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4"/>
          <w:szCs w:val="24"/>
          <w:b w:val="1"/>
          <w:bCs w:val="1"/>
          <w:color w:val="auto"/>
        </w:rPr>
        <w:t>UNITED STATES</w:t>
      </w:r>
    </w:p>
    <w:p>
      <w:pPr>
        <w:spacing w:after="0" w:line="4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1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2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4"/>
          <w:szCs w:val="24"/>
          <w:b w:val="1"/>
          <w:bCs w:val="1"/>
          <w:color w:val="auto"/>
        </w:rPr>
        <w:t>FORM 10-Q</w:t>
      </w:r>
    </w:p>
    <w:p>
      <w:pPr>
        <w:spacing w:after="0" w:line="5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color w:val="auto"/>
        </w:rPr>
        <w:t>(Mark One)</w:t>
      </w:r>
    </w:p>
    <w:p>
      <w:pPr>
        <w:spacing w:after="0" w:line="39" w:lineRule="exact"/>
        <w:rPr>
          <w:sz w:val="24"/>
          <w:szCs w:val="24"/>
          <w:color w:val="auto"/>
        </w:rPr>
      </w:pPr>
    </w:p>
    <w:p>
      <w:pPr>
        <w:ind w:left="660" w:hanging="407"/>
        <w:spacing w:after="0"/>
        <w:tabs>
          <w:tab w:leader="none" w:pos="66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QUARTERLY REPORT PURSUANT TO SECTION 13 OR 15(d) OF THE SECURITIES EXCHANGE ACT OF 1934</w:t>
      </w:r>
    </w:p>
    <w:p>
      <w:pPr>
        <w:spacing w:after="0" w:line="47" w:lineRule="exact"/>
        <w:rPr>
          <w:sz w:val="24"/>
          <w:szCs w:val="24"/>
          <w:color w:val="auto"/>
        </w:rPr>
      </w:pPr>
    </w:p>
    <w:p>
      <w:pPr>
        <w:ind w:left="660"/>
        <w:spacing w:after="0"/>
        <w:tabs>
          <w:tab w:leader="none" w:pos="5940" w:val="left"/>
        </w:tabs>
        <w:rPr>
          <w:sz w:val="20"/>
          <w:szCs w:val="20"/>
          <w:color w:val="auto"/>
        </w:rPr>
      </w:pPr>
      <w:r>
        <w:rPr>
          <w:rFonts w:ascii="Times New Roman" w:cs="Times New Roman" w:eastAsia="Times New Roman" w:hAnsi="Times New Roman"/>
          <w:sz w:val="17"/>
          <w:szCs w:val="17"/>
          <w:color w:val="auto"/>
        </w:rPr>
        <w:t>For the quarterly period ended</w:t>
      </w:r>
      <w:r>
        <w:rPr>
          <w:sz w:val="20"/>
          <w:szCs w:val="20"/>
          <w:color w:val="auto"/>
        </w:rPr>
        <w:tab/>
      </w:r>
      <w:r>
        <w:rPr>
          <w:rFonts w:ascii="Times New Roman" w:cs="Times New Roman" w:eastAsia="Times New Roman" w:hAnsi="Times New Roman"/>
          <w:sz w:val="17"/>
          <w:szCs w:val="17"/>
          <w:b w:val="1"/>
          <w:bCs w:val="1"/>
          <w:color w:val="auto"/>
        </w:rPr>
        <w:t>March 31, 2026</w:t>
      </w:r>
    </w:p>
    <w:p>
      <w:pPr>
        <w:spacing w:after="0" w:line="8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OR</w:t>
      </w:r>
    </w:p>
    <w:p>
      <w:pPr>
        <w:spacing w:after="0" w:line="52" w:lineRule="exact"/>
        <w:rPr>
          <w:sz w:val="24"/>
          <w:szCs w:val="24"/>
          <w:color w:val="auto"/>
        </w:rPr>
      </w:pPr>
    </w:p>
    <w:p>
      <w:pPr>
        <w:ind w:left="640" w:right="2200" w:hanging="400"/>
        <w:spacing w:after="0" w:line="311" w:lineRule="auto"/>
        <w:tabs>
          <w:tab w:leader="none" w:pos="64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TRANSITION REPORT PURSUANT TO SECTION 13 OR 15(d) OF THE SECURITIES EXCHANGE ACT OF 1934 For the transition period from ______ to ______</w:t>
      </w:r>
    </w:p>
    <w:p>
      <w:pPr>
        <w:spacing w:after="0" w:line="13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 xml:space="preserve">Commission file number </w:t>
      </w:r>
      <w:r>
        <w:rPr>
          <w:rFonts w:ascii="Times New Roman" w:cs="Times New Roman" w:eastAsia="Times New Roman" w:hAnsi="Times New Roman"/>
          <w:sz w:val="16"/>
          <w:szCs w:val="16"/>
          <w:b w:val="1"/>
          <w:bCs w:val="1"/>
          <w:color w:val="auto"/>
        </w:rPr>
        <w:t>001-36174</w:t>
      </w:r>
    </w:p>
    <w:p>
      <w:pPr>
        <w:spacing w:after="0" w:line="2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1"/>
          <w:szCs w:val="31"/>
          <w:b w:val="1"/>
          <w:bCs w:val="1"/>
          <w:color w:val="auto"/>
        </w:rPr>
        <w:t>NMI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-213360</wp:posOffset>
            </wp:positionV>
            <wp:extent cx="71367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17780</wp:posOffset>
            </wp:positionV>
            <wp:extent cx="71367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132" w:lineRule="exact"/>
        <w:rPr>
          <w:sz w:val="24"/>
          <w:szCs w:val="24"/>
          <w:color w:val="auto"/>
        </w:rPr>
      </w:pPr>
    </w:p>
    <w:tbl>
      <w:tblPr>
        <w:tblLayout w:type="fixed"/>
        <w:tblInd w:w="10" w:type="dxa"/>
        <w:tblCellMar>
          <w:top w:w="0" w:type="dxa"/>
          <w:left w:w="0" w:type="dxa"/>
          <w:bottom w:w="0" w:type="dxa"/>
          <w:right w:w="0" w:type="dxa"/>
        </w:tblCellMar>
      </w:tblPr>
      <w:tr>
        <w:trPr>
          <w:trHeight w:val="218"/>
        </w:trPr>
        <w:tc>
          <w:tcPr>
            <w:tcW w:w="4340" w:type="dxa"/>
            <w:vAlign w:val="bottom"/>
            <w:gridSpan w:val="2"/>
          </w:tcPr>
          <w:p>
            <w:pPr>
              <w:jc w:val="center"/>
              <w:ind w:left="359"/>
              <w:spacing w:after="0"/>
              <w:rPr>
                <w:sz w:val="20"/>
                <w:szCs w:val="20"/>
                <w:color w:val="auto"/>
              </w:rPr>
            </w:pPr>
            <w:r>
              <w:rPr>
                <w:rFonts w:ascii="Times New Roman" w:cs="Times New Roman" w:eastAsia="Times New Roman" w:hAnsi="Times New Roman"/>
                <w:sz w:val="17"/>
                <w:szCs w:val="17"/>
                <w:b w:val="1"/>
                <w:bCs w:val="1"/>
                <w:color w:val="auto"/>
              </w:rPr>
              <w:t>Delaware</w:t>
            </w:r>
          </w:p>
        </w:tc>
        <w:tc>
          <w:tcPr>
            <w:tcW w:w="2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20" w:type="dxa"/>
            <w:vAlign w:val="bottom"/>
          </w:tcPr>
          <w:p>
            <w:pPr>
              <w:jc w:val="right"/>
              <w:ind w:right="2656"/>
              <w:spacing w:after="0"/>
              <w:rPr>
                <w:sz w:val="20"/>
                <w:szCs w:val="20"/>
                <w:color w:val="auto"/>
              </w:rPr>
            </w:pPr>
            <w:r>
              <w:rPr>
                <w:rFonts w:ascii="Times New Roman" w:cs="Times New Roman" w:eastAsia="Times New Roman" w:hAnsi="Times New Roman"/>
                <w:sz w:val="17"/>
                <w:szCs w:val="17"/>
                <w:b w:val="1"/>
                <w:bCs w:val="1"/>
                <w:color w:val="auto"/>
              </w:rPr>
              <w:t>45-4914248</w:t>
            </w:r>
          </w:p>
        </w:tc>
      </w:tr>
      <w:tr>
        <w:trPr>
          <w:trHeight w:val="184"/>
        </w:trPr>
        <w:tc>
          <w:tcPr>
            <w:tcW w:w="4340" w:type="dxa"/>
            <w:vAlign w:val="bottom"/>
            <w:gridSpan w:val="2"/>
          </w:tcPr>
          <w:p>
            <w:pPr>
              <w:jc w:val="center"/>
              <w:ind w:left="359"/>
              <w:spacing w:after="0"/>
              <w:rPr>
                <w:sz w:val="20"/>
                <w:szCs w:val="20"/>
                <w:color w:val="auto"/>
              </w:rPr>
            </w:pPr>
            <w:r>
              <w:rPr>
                <w:rFonts w:ascii="Times New Roman" w:cs="Times New Roman" w:eastAsia="Times New Roman" w:hAnsi="Times New Roman"/>
                <w:sz w:val="14"/>
                <w:szCs w:val="14"/>
                <w:b w:val="1"/>
                <w:bCs w:val="1"/>
                <w:color w:val="auto"/>
                <w:w w:val="99"/>
              </w:rPr>
              <w:t>(State or other jurisdiction of incorporation or organization)</w:t>
            </w:r>
          </w:p>
        </w:tc>
        <w:tc>
          <w:tcPr>
            <w:tcW w:w="6920" w:type="dxa"/>
            <w:vAlign w:val="bottom"/>
            <w:gridSpan w:val="3"/>
          </w:tcPr>
          <w:p>
            <w:pPr>
              <w:jc w:val="center"/>
              <w:ind w:left="537"/>
              <w:spacing w:after="0"/>
              <w:rPr>
                <w:sz w:val="20"/>
                <w:szCs w:val="20"/>
                <w:color w:val="auto"/>
              </w:rPr>
            </w:pPr>
            <w:r>
              <w:rPr>
                <w:rFonts w:ascii="Times New Roman" w:cs="Times New Roman" w:eastAsia="Times New Roman" w:hAnsi="Times New Roman"/>
                <w:sz w:val="14"/>
                <w:szCs w:val="14"/>
                <w:b w:val="1"/>
                <w:bCs w:val="1"/>
                <w:color w:val="auto"/>
                <w:w w:val="99"/>
              </w:rPr>
              <w:t>(I.R.S. Employer Identification No.)</w:t>
            </w:r>
          </w:p>
        </w:tc>
      </w:tr>
      <w:tr>
        <w:trPr>
          <w:trHeight w:val="339"/>
        </w:trPr>
        <w:tc>
          <w:tcPr>
            <w:tcW w:w="2500" w:type="dxa"/>
            <w:vAlign w:val="bottom"/>
          </w:tcPr>
          <w:p>
            <w:pPr>
              <w:ind w:left="920"/>
              <w:spacing w:after="0"/>
              <w:rPr>
                <w:sz w:val="20"/>
                <w:szCs w:val="20"/>
                <w:color w:val="auto"/>
              </w:rPr>
            </w:pPr>
            <w:r>
              <w:rPr>
                <w:rFonts w:ascii="Times New Roman" w:cs="Times New Roman" w:eastAsia="Times New Roman" w:hAnsi="Times New Roman"/>
                <w:sz w:val="17"/>
                <w:szCs w:val="17"/>
                <w:b w:val="1"/>
                <w:bCs w:val="1"/>
                <w:color w:val="auto"/>
              </w:rPr>
              <w:t>2100 Powell Street</w:t>
            </w:r>
          </w:p>
        </w:tc>
        <w:tc>
          <w:tcPr>
            <w:tcW w:w="1840" w:type="dxa"/>
            <w:vAlign w:val="bottom"/>
          </w:tcPr>
          <w:p>
            <w:pPr>
              <w:ind w:left="220"/>
              <w:spacing w:after="0"/>
              <w:rPr>
                <w:sz w:val="20"/>
                <w:szCs w:val="20"/>
                <w:color w:val="auto"/>
              </w:rPr>
            </w:pPr>
            <w:r>
              <w:rPr>
                <w:rFonts w:ascii="Times New Roman" w:cs="Times New Roman" w:eastAsia="Times New Roman" w:hAnsi="Times New Roman"/>
                <w:sz w:val="17"/>
                <w:szCs w:val="17"/>
                <w:b w:val="1"/>
                <w:bCs w:val="1"/>
                <w:color w:val="auto"/>
              </w:rPr>
              <w:t>Emeryville , CA</w:t>
            </w:r>
          </w:p>
        </w:tc>
        <w:tc>
          <w:tcPr>
            <w:tcW w:w="2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20" w:type="dxa"/>
            <w:vAlign w:val="bottom"/>
          </w:tcPr>
          <w:p>
            <w:pPr>
              <w:jc w:val="right"/>
              <w:ind w:right="2856"/>
              <w:spacing w:after="0"/>
              <w:rPr>
                <w:sz w:val="20"/>
                <w:szCs w:val="20"/>
                <w:color w:val="auto"/>
              </w:rPr>
            </w:pPr>
            <w:r>
              <w:rPr>
                <w:rFonts w:ascii="Times New Roman" w:cs="Times New Roman" w:eastAsia="Times New Roman" w:hAnsi="Times New Roman"/>
                <w:sz w:val="17"/>
                <w:szCs w:val="17"/>
                <w:b w:val="1"/>
                <w:bCs w:val="1"/>
                <w:color w:val="auto"/>
              </w:rPr>
              <w:t>94608</w:t>
            </w:r>
          </w:p>
        </w:tc>
      </w:tr>
      <w:tr>
        <w:trPr>
          <w:trHeight w:val="184"/>
        </w:trPr>
        <w:tc>
          <w:tcPr>
            <w:tcW w:w="4340" w:type="dxa"/>
            <w:vAlign w:val="bottom"/>
            <w:gridSpan w:val="2"/>
          </w:tcPr>
          <w:p>
            <w:pPr>
              <w:jc w:val="center"/>
              <w:ind w:left="359"/>
              <w:spacing w:after="0"/>
              <w:rPr>
                <w:sz w:val="20"/>
                <w:szCs w:val="20"/>
                <w:color w:val="auto"/>
              </w:rPr>
            </w:pPr>
            <w:r>
              <w:rPr>
                <w:rFonts w:ascii="Times New Roman" w:cs="Times New Roman" w:eastAsia="Times New Roman" w:hAnsi="Times New Roman"/>
                <w:sz w:val="14"/>
                <w:szCs w:val="14"/>
                <w:b w:val="1"/>
                <w:bCs w:val="1"/>
                <w:color w:val="auto"/>
                <w:w w:val="99"/>
              </w:rPr>
              <w:t>(Address of principal executive offices)</w:t>
            </w:r>
          </w:p>
        </w:tc>
        <w:tc>
          <w:tcPr>
            <w:tcW w:w="2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620" w:type="dxa"/>
            <w:vAlign w:val="bottom"/>
          </w:tcPr>
          <w:p>
            <w:pPr>
              <w:jc w:val="center"/>
              <w:ind w:right="2596"/>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535"/>
        </w:trPr>
        <w:tc>
          <w:tcPr>
            <w:tcW w:w="25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800" w:type="dxa"/>
            <w:vAlign w:val="bottom"/>
          </w:tcPr>
          <w:p>
            <w:pPr>
              <w:jc w:val="center"/>
              <w:ind w:right="157"/>
              <w:spacing w:after="0"/>
              <w:rPr>
                <w:sz w:val="20"/>
                <w:szCs w:val="20"/>
                <w:color w:val="auto"/>
              </w:rPr>
            </w:pPr>
            <w:r>
              <w:rPr>
                <w:rFonts w:ascii="Times New Roman" w:cs="Times New Roman" w:eastAsia="Times New Roman" w:hAnsi="Times New Roman"/>
                <w:sz w:val="17"/>
                <w:szCs w:val="17"/>
                <w:b w:val="1"/>
                <w:bCs w:val="1"/>
                <w:color w:val="auto"/>
              </w:rPr>
              <w:t>(855) 530-6642</w:t>
            </w:r>
          </w:p>
        </w:tc>
        <w:tc>
          <w:tcPr>
            <w:tcW w:w="50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184"/>
        </w:trPr>
        <w:tc>
          <w:tcPr>
            <w:tcW w:w="2500" w:type="dxa"/>
            <w:vAlign w:val="bottom"/>
          </w:tcPr>
          <w:p>
            <w:pPr>
              <w:spacing w:after="0"/>
              <w:rPr>
                <w:sz w:val="16"/>
                <w:szCs w:val="16"/>
                <w:color w:val="auto"/>
              </w:rPr>
            </w:pPr>
          </w:p>
        </w:tc>
        <w:tc>
          <w:tcPr>
            <w:tcW w:w="5140" w:type="dxa"/>
            <w:vAlign w:val="bottom"/>
            <w:gridSpan w:val="3"/>
          </w:tcPr>
          <w:p>
            <w:pPr>
              <w:jc w:val="center"/>
              <w:ind w:left="1039"/>
              <w:spacing w:after="0"/>
              <w:rPr>
                <w:sz w:val="20"/>
                <w:szCs w:val="20"/>
                <w:color w:val="auto"/>
              </w:rPr>
            </w:pPr>
            <w:r>
              <w:rPr>
                <w:rFonts w:ascii="Times New Roman" w:cs="Times New Roman" w:eastAsia="Times New Roman" w:hAnsi="Times New Roman"/>
                <w:sz w:val="14"/>
                <w:szCs w:val="14"/>
                <w:b w:val="1"/>
                <w:bCs w:val="1"/>
                <w:color w:val="auto"/>
                <w:w w:val="98"/>
              </w:rPr>
              <w:t>(Registrant's telephone number, including area code)</w:t>
            </w:r>
          </w:p>
        </w:tc>
        <w:tc>
          <w:tcPr>
            <w:tcW w:w="3620" w:type="dxa"/>
            <w:vAlign w:val="bottom"/>
          </w:tcPr>
          <w:p>
            <w:pPr>
              <w:spacing w:after="0"/>
              <w:rPr>
                <w:sz w:val="16"/>
                <w:szCs w:val="16"/>
                <w:color w:val="auto"/>
              </w:rPr>
            </w:pPr>
          </w:p>
        </w:tc>
      </w:tr>
      <w:tr>
        <w:trPr>
          <w:trHeight w:val="311"/>
        </w:trPr>
        <w:tc>
          <w:tcPr>
            <w:tcW w:w="2500" w:type="dxa"/>
            <w:vAlign w:val="bottom"/>
          </w:tcPr>
          <w:p>
            <w:pPr>
              <w:spacing w:after="0"/>
              <w:rPr>
                <w:sz w:val="24"/>
                <w:szCs w:val="24"/>
                <w:color w:val="auto"/>
              </w:rPr>
            </w:pPr>
          </w:p>
        </w:tc>
        <w:tc>
          <w:tcPr>
            <w:tcW w:w="5140" w:type="dxa"/>
            <w:vAlign w:val="bottom"/>
            <w:gridSpan w:val="3"/>
          </w:tcPr>
          <w:p>
            <w:pPr>
              <w:jc w:val="center"/>
              <w:ind w:left="1039"/>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tc>
        <w:tc>
          <w:tcPr>
            <w:tcW w:w="3620" w:type="dxa"/>
            <w:vAlign w:val="bottom"/>
          </w:tcPr>
          <w:p>
            <w:pPr>
              <w:spacing w:after="0"/>
              <w:rPr>
                <w:sz w:val="24"/>
                <w:szCs w:val="24"/>
                <w:color w:val="auto"/>
              </w:rPr>
            </w:pPr>
          </w:p>
        </w:tc>
      </w:tr>
      <w:tr>
        <w:trPr>
          <w:trHeight w:val="26"/>
        </w:trPr>
        <w:tc>
          <w:tcPr>
            <w:tcW w:w="4340" w:type="dxa"/>
            <w:vAlign w:val="bottom"/>
            <w:tcBorders>
              <w:bottom w:val="single" w:sz="8" w:color="auto"/>
            </w:tcBorders>
            <w:gridSpan w:val="2"/>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r>
      <w:tr>
        <w:trPr>
          <w:trHeight w:val="215"/>
        </w:trPr>
        <w:tc>
          <w:tcPr>
            <w:tcW w:w="4340" w:type="dxa"/>
            <w:vAlign w:val="bottom"/>
            <w:tcBorders>
              <w:left w:val="single" w:sz="8" w:color="auto"/>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color w:val="auto"/>
              </w:rPr>
              <w:t>Title of each class</w:t>
            </w:r>
          </w:p>
        </w:tc>
        <w:tc>
          <w:tcPr>
            <w:tcW w:w="2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Trading Symbol(s)</w:t>
            </w:r>
          </w:p>
        </w:tc>
        <w:tc>
          <w:tcPr>
            <w:tcW w:w="500" w:type="dxa"/>
            <w:vAlign w:val="bottom"/>
            <w:tcBorders>
              <w:bottom w:val="single" w:sz="8" w:color="auto"/>
            </w:tcBorders>
          </w:tcPr>
          <w:p>
            <w:pPr>
              <w:spacing w:after="0"/>
              <w:rPr>
                <w:sz w:val="18"/>
                <w:szCs w:val="18"/>
                <w:color w:val="auto"/>
              </w:rPr>
            </w:pPr>
          </w:p>
        </w:tc>
        <w:tc>
          <w:tcPr>
            <w:tcW w:w="3620" w:type="dxa"/>
            <w:vAlign w:val="bottom"/>
            <w:tcBorders>
              <w:bottom w:val="single" w:sz="8" w:color="auto"/>
              <w:right w:val="single" w:sz="8" w:color="auto"/>
            </w:tcBorders>
          </w:tcPr>
          <w:p>
            <w:pPr>
              <w:jc w:val="center"/>
              <w:ind w:right="436"/>
              <w:spacing w:after="0"/>
              <w:rPr>
                <w:sz w:val="20"/>
                <w:szCs w:val="20"/>
                <w:color w:val="auto"/>
              </w:rPr>
            </w:pPr>
            <w:r>
              <w:rPr>
                <w:rFonts w:ascii="Times New Roman" w:cs="Times New Roman" w:eastAsia="Times New Roman" w:hAnsi="Times New Roman"/>
                <w:sz w:val="17"/>
                <w:szCs w:val="17"/>
                <w:color w:val="auto"/>
              </w:rPr>
              <w:t>Name of each exchange on which registered</w:t>
            </w:r>
          </w:p>
        </w:tc>
      </w:tr>
      <w:tr>
        <w:trPr>
          <w:trHeight w:val="215"/>
        </w:trPr>
        <w:tc>
          <w:tcPr>
            <w:tcW w:w="4340" w:type="dxa"/>
            <w:vAlign w:val="bottom"/>
            <w:tcBorders>
              <w:left w:val="single" w:sz="8" w:color="auto"/>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color w:val="auto"/>
              </w:rPr>
              <w:t>Common Stock, par value $0.01</w:t>
            </w:r>
          </w:p>
        </w:tc>
        <w:tc>
          <w:tcPr>
            <w:tcW w:w="2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NMIH</w:t>
            </w:r>
          </w:p>
        </w:tc>
        <w:tc>
          <w:tcPr>
            <w:tcW w:w="500" w:type="dxa"/>
            <w:vAlign w:val="bottom"/>
            <w:tcBorders>
              <w:bottom w:val="single" w:sz="8" w:color="auto"/>
            </w:tcBorders>
          </w:tcPr>
          <w:p>
            <w:pPr>
              <w:spacing w:after="0"/>
              <w:rPr>
                <w:sz w:val="18"/>
                <w:szCs w:val="18"/>
                <w:color w:val="auto"/>
              </w:rPr>
            </w:pPr>
          </w:p>
        </w:tc>
        <w:tc>
          <w:tcPr>
            <w:tcW w:w="3620" w:type="dxa"/>
            <w:vAlign w:val="bottom"/>
            <w:tcBorders>
              <w:bottom w:val="single" w:sz="8" w:color="auto"/>
              <w:right w:val="single" w:sz="8" w:color="auto"/>
            </w:tcBorders>
          </w:tcPr>
          <w:p>
            <w:pPr>
              <w:jc w:val="center"/>
              <w:ind w:right="416"/>
              <w:spacing w:after="0"/>
              <w:rPr>
                <w:sz w:val="20"/>
                <w:szCs w:val="20"/>
                <w:color w:val="auto"/>
              </w:rPr>
            </w:pPr>
            <w:r>
              <w:rPr>
                <w:rFonts w:ascii="Times New Roman" w:cs="Times New Roman" w:eastAsia="Times New Roman" w:hAnsi="Times New Roman"/>
                <w:sz w:val="17"/>
                <w:szCs w:val="17"/>
                <w:color w:val="auto"/>
              </w:rPr>
              <w:t>Nasdaq</w:t>
            </w:r>
          </w:p>
        </w:tc>
      </w:tr>
    </w:tbl>
    <w:p>
      <w:pPr>
        <w:spacing w:after="0" w:line="178" w:lineRule="exact"/>
        <w:rPr>
          <w:sz w:val="24"/>
          <w:szCs w:val="24"/>
          <w:color w:val="auto"/>
        </w:rPr>
      </w:pPr>
    </w:p>
    <w:p>
      <w:pPr>
        <w:jc w:val="both"/>
        <w:ind w:right="20"/>
        <w:spacing w:after="0" w:line="264" w:lineRule="auto"/>
        <w:rPr>
          <w:sz w:val="20"/>
          <w:szCs w:val="20"/>
          <w:color w:val="auto"/>
        </w:rPr>
      </w:pPr>
      <w:r>
        <w:rPr>
          <w:rFonts w:ascii="Times New Roman" w:cs="Times New Roman" w:eastAsia="Times New Roman" w:hAnsi="Times New Roman"/>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96" w:lineRule="exact"/>
        <w:tabs>
          <w:tab w:leader="none" w:pos="620" w:val="left"/>
        </w:tabs>
        <w:rPr>
          <w:sz w:val="20"/>
          <w:szCs w:val="20"/>
          <w:color w:val="auto"/>
        </w:rPr>
      </w:pPr>
      <w:r>
        <w:rPr>
          <w:rFonts w:ascii="Times New Roman" w:cs="Times New Roman" w:eastAsia="Times New Roman" w:hAnsi="Times New Roman"/>
          <w:sz w:val="17"/>
          <w:szCs w:val="17"/>
          <w:b w:val="1"/>
          <w:bCs w:val="1"/>
          <w:color w:val="auto"/>
        </w:rPr>
        <w:t xml:space="preserve">Yes </w:t>
      </w:r>
      <w:r>
        <w:rPr>
          <w:rFonts w:ascii="MS PGothic" w:cs="MS PGothic" w:eastAsia="MS PGothic" w:hAnsi="MS PGothic"/>
          <w:sz w:val="17"/>
          <w:szCs w:val="17"/>
          <w:color w:val="auto"/>
        </w:rPr>
        <w:t>☒</w:t>
      </w:r>
      <w:r>
        <w:rPr>
          <w:sz w:val="20"/>
          <w:szCs w:val="20"/>
          <w:color w:val="auto"/>
        </w:rPr>
        <w:tab/>
      </w:r>
      <w:r>
        <w:rPr>
          <w:rFonts w:ascii="Times New Roman" w:cs="Times New Roman" w:eastAsia="Times New Roman" w:hAnsi="Times New Roman"/>
          <w:sz w:val="16"/>
          <w:szCs w:val="16"/>
          <w:b w:val="1"/>
          <w:bCs w:val="1"/>
          <w:color w:val="auto"/>
        </w:rPr>
        <w:t xml:space="preserve">No </w:t>
      </w:r>
      <w:r>
        <w:rPr>
          <w:rFonts w:ascii="MS PGothic" w:cs="MS PGothic" w:eastAsia="MS PGothic" w:hAnsi="MS PGothic"/>
          <w:sz w:val="16"/>
          <w:szCs w:val="16"/>
          <w:color w:val="auto"/>
        </w:rPr>
        <w:t>☐</w:t>
      </w:r>
    </w:p>
    <w:p>
      <w:pPr>
        <w:spacing w:after="0" w:line="205" w:lineRule="exact"/>
        <w:rPr>
          <w:sz w:val="24"/>
          <w:szCs w:val="24"/>
          <w:color w:val="auto"/>
        </w:rPr>
      </w:pPr>
    </w:p>
    <w:p>
      <w:pPr>
        <w:jc w:val="both"/>
        <w:ind w:right="20"/>
        <w:spacing w:after="0" w:line="267" w:lineRule="auto"/>
        <w:rPr>
          <w:sz w:val="20"/>
          <w:szCs w:val="20"/>
          <w:color w:val="auto"/>
        </w:rPr>
      </w:pPr>
      <w:r>
        <w:rPr>
          <w:rFonts w:ascii="Times New Roman" w:cs="Times New Roman" w:eastAsia="Times New Roman" w:hAnsi="Times New Roman"/>
          <w:sz w:val="17"/>
          <w:szCs w:val="17"/>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spacing w:after="0" w:line="196" w:lineRule="exact"/>
        <w:tabs>
          <w:tab w:leader="none" w:pos="620" w:val="left"/>
        </w:tabs>
        <w:rPr>
          <w:sz w:val="20"/>
          <w:szCs w:val="20"/>
          <w:color w:val="auto"/>
        </w:rPr>
      </w:pPr>
      <w:r>
        <w:rPr>
          <w:rFonts w:ascii="Times New Roman" w:cs="Times New Roman" w:eastAsia="Times New Roman" w:hAnsi="Times New Roman"/>
          <w:sz w:val="17"/>
          <w:szCs w:val="17"/>
          <w:b w:val="1"/>
          <w:bCs w:val="1"/>
          <w:color w:val="auto"/>
        </w:rPr>
        <w:t xml:space="preserve">Yes </w:t>
      </w:r>
      <w:r>
        <w:rPr>
          <w:rFonts w:ascii="MS PGothic" w:cs="MS PGothic" w:eastAsia="MS PGothic" w:hAnsi="MS PGothic"/>
          <w:sz w:val="17"/>
          <w:szCs w:val="17"/>
          <w:color w:val="auto"/>
        </w:rPr>
        <w:t>☒</w:t>
      </w:r>
      <w:r>
        <w:rPr>
          <w:sz w:val="20"/>
          <w:szCs w:val="20"/>
          <w:color w:val="auto"/>
        </w:rPr>
        <w:tab/>
      </w:r>
      <w:r>
        <w:rPr>
          <w:rFonts w:ascii="Times New Roman" w:cs="Times New Roman" w:eastAsia="Times New Roman" w:hAnsi="Times New Roman"/>
          <w:sz w:val="16"/>
          <w:szCs w:val="16"/>
          <w:b w:val="1"/>
          <w:bCs w:val="1"/>
          <w:color w:val="auto"/>
        </w:rPr>
        <w:t xml:space="preserve">No </w:t>
      </w:r>
      <w:r>
        <w:rPr>
          <w:rFonts w:ascii="MS PGothic" w:cs="MS PGothic" w:eastAsia="MS PGothic" w:hAnsi="MS PGothic"/>
          <w:sz w:val="16"/>
          <w:szCs w:val="16"/>
          <w:color w:val="auto"/>
        </w:rPr>
        <w:t>☐</w:t>
      </w:r>
    </w:p>
    <w:p>
      <w:pPr>
        <w:spacing w:after="0" w:line="205" w:lineRule="exact"/>
        <w:rPr>
          <w:sz w:val="24"/>
          <w:szCs w:val="24"/>
          <w:color w:val="auto"/>
        </w:rPr>
      </w:pPr>
    </w:p>
    <w:p>
      <w:pPr>
        <w:jc w:val="both"/>
        <w:ind w:right="20"/>
        <w:spacing w:after="0" w:line="267"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05"/>
        </w:trPr>
        <w:tc>
          <w:tcPr>
            <w:tcW w:w="4640" w:type="dxa"/>
            <w:vAlign w:val="bottom"/>
          </w:tcPr>
          <w:p>
            <w:pPr>
              <w:ind w:left="2320"/>
              <w:spacing w:after="0"/>
              <w:rPr>
                <w:sz w:val="20"/>
                <w:szCs w:val="20"/>
                <w:color w:val="auto"/>
              </w:rPr>
            </w:pPr>
            <w:r>
              <w:rPr>
                <w:rFonts w:ascii="Times New Roman" w:cs="Times New Roman" w:eastAsia="Times New Roman" w:hAnsi="Times New Roman"/>
                <w:sz w:val="17"/>
                <w:szCs w:val="17"/>
                <w:color w:val="auto"/>
              </w:rPr>
              <w:t>Large accelerated filer</w:t>
            </w:r>
          </w:p>
        </w:tc>
        <w:tc>
          <w:tcPr>
            <w:tcW w:w="1660" w:type="dxa"/>
            <w:vAlign w:val="bottom"/>
          </w:tcPr>
          <w:p>
            <w:pPr>
              <w:ind w:left="780"/>
              <w:spacing w:after="0" w:line="171" w:lineRule="exact"/>
              <w:rPr>
                <w:sz w:val="20"/>
                <w:szCs w:val="20"/>
                <w:color w:val="auto"/>
              </w:rPr>
            </w:pPr>
            <w:r>
              <w:rPr>
                <w:rFonts w:ascii="MS PGothic" w:cs="MS PGothic" w:eastAsia="MS PGothic" w:hAnsi="MS PGothic"/>
                <w:sz w:val="17"/>
                <w:szCs w:val="17"/>
                <w:color w:val="auto"/>
              </w:rPr>
              <w:t>☒</w:t>
            </w:r>
          </w:p>
        </w:tc>
        <w:tc>
          <w:tcPr>
            <w:tcW w:w="324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Accelerated filer</w:t>
            </w:r>
          </w:p>
        </w:tc>
        <w:tc>
          <w:tcPr>
            <w:tcW w:w="780" w:type="dxa"/>
            <w:vAlign w:val="bottom"/>
          </w:tcPr>
          <w:p>
            <w:pPr>
              <w:ind w:left="620"/>
              <w:spacing w:after="0" w:line="171" w:lineRule="exact"/>
              <w:rPr>
                <w:sz w:val="20"/>
                <w:szCs w:val="20"/>
                <w:color w:val="auto"/>
              </w:rPr>
            </w:pPr>
            <w:r>
              <w:rPr>
                <w:rFonts w:ascii="MS PGothic" w:cs="MS PGothic" w:eastAsia="MS PGothic" w:hAnsi="MS PGothic"/>
                <w:sz w:val="17"/>
                <w:szCs w:val="17"/>
                <w:color w:val="auto"/>
                <w:w w:val="82"/>
              </w:rPr>
              <w:t>☐</w:t>
            </w:r>
          </w:p>
        </w:tc>
        <w:tc>
          <w:tcPr>
            <w:tcW w:w="0" w:type="dxa"/>
            <w:vAlign w:val="bottom"/>
          </w:tcPr>
          <w:p>
            <w:pPr>
              <w:spacing w:after="0"/>
              <w:rPr>
                <w:sz w:val="1"/>
                <w:szCs w:val="1"/>
                <w:color w:val="auto"/>
              </w:rPr>
            </w:pPr>
          </w:p>
        </w:tc>
      </w:tr>
      <w:tr>
        <w:trPr>
          <w:trHeight w:val="222"/>
        </w:trPr>
        <w:tc>
          <w:tcPr>
            <w:tcW w:w="4640" w:type="dxa"/>
            <w:vAlign w:val="bottom"/>
          </w:tcPr>
          <w:p>
            <w:pPr>
              <w:ind w:left="2320"/>
              <w:spacing w:after="0"/>
              <w:rPr>
                <w:sz w:val="20"/>
                <w:szCs w:val="20"/>
                <w:color w:val="auto"/>
              </w:rPr>
            </w:pPr>
            <w:r>
              <w:rPr>
                <w:rFonts w:ascii="Times New Roman" w:cs="Times New Roman" w:eastAsia="Times New Roman" w:hAnsi="Times New Roman"/>
                <w:sz w:val="17"/>
                <w:szCs w:val="17"/>
                <w:color w:val="auto"/>
              </w:rPr>
              <w:t>Non-accelerated filer</w:t>
            </w:r>
          </w:p>
        </w:tc>
        <w:tc>
          <w:tcPr>
            <w:tcW w:w="1660" w:type="dxa"/>
            <w:vAlign w:val="bottom"/>
          </w:tcPr>
          <w:p>
            <w:pPr>
              <w:ind w:left="780"/>
              <w:spacing w:after="0" w:line="171" w:lineRule="exact"/>
              <w:rPr>
                <w:sz w:val="20"/>
                <w:szCs w:val="20"/>
                <w:color w:val="auto"/>
              </w:rPr>
            </w:pPr>
            <w:r>
              <w:rPr>
                <w:rFonts w:ascii="MS PGothic" w:cs="MS PGothic" w:eastAsia="MS PGothic" w:hAnsi="MS PGothic"/>
                <w:sz w:val="17"/>
                <w:szCs w:val="17"/>
                <w:color w:val="auto"/>
              </w:rPr>
              <w:t>☐</w:t>
            </w:r>
          </w:p>
        </w:tc>
        <w:tc>
          <w:tcPr>
            <w:tcW w:w="324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780" w:type="dxa"/>
            <w:vAlign w:val="bottom"/>
          </w:tcPr>
          <w:p>
            <w:pPr>
              <w:ind w:left="620"/>
              <w:spacing w:after="0" w:line="171" w:lineRule="exact"/>
              <w:rPr>
                <w:sz w:val="20"/>
                <w:szCs w:val="20"/>
                <w:color w:val="auto"/>
              </w:rPr>
            </w:pPr>
            <w:r>
              <w:rPr>
                <w:rFonts w:ascii="MS PGothic" w:cs="MS PGothic" w:eastAsia="MS PGothic" w:hAnsi="MS PGothic"/>
                <w:sz w:val="17"/>
                <w:szCs w:val="17"/>
                <w:color w:val="auto"/>
                <w:w w:val="82"/>
              </w:rPr>
              <w:t>☐</w:t>
            </w:r>
          </w:p>
        </w:tc>
        <w:tc>
          <w:tcPr>
            <w:tcW w:w="0" w:type="dxa"/>
            <w:vAlign w:val="bottom"/>
          </w:tcPr>
          <w:p>
            <w:pPr>
              <w:spacing w:after="0"/>
              <w:rPr>
                <w:sz w:val="1"/>
                <w:szCs w:val="1"/>
                <w:color w:val="auto"/>
              </w:rPr>
            </w:pPr>
          </w:p>
        </w:tc>
      </w:tr>
      <w:tr>
        <w:trPr>
          <w:trHeight w:val="294"/>
        </w:trPr>
        <w:tc>
          <w:tcPr>
            <w:tcW w:w="46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Rule 12b-2 of the Exchange Act.</w:t>
            </w:r>
          </w:p>
        </w:tc>
        <w:tc>
          <w:tcPr>
            <w:tcW w:w="1660" w:type="dxa"/>
            <w:vAlign w:val="bottom"/>
          </w:tcPr>
          <w:p>
            <w:pPr>
              <w:spacing w:after="0"/>
              <w:rPr>
                <w:sz w:val="24"/>
                <w:szCs w:val="24"/>
                <w:color w:val="auto"/>
              </w:rPr>
            </w:pPr>
          </w:p>
        </w:tc>
        <w:tc>
          <w:tcPr>
            <w:tcW w:w="324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Emerging growth company</w:t>
            </w:r>
          </w:p>
        </w:tc>
        <w:tc>
          <w:tcPr>
            <w:tcW w:w="780" w:type="dxa"/>
            <w:vAlign w:val="bottom"/>
          </w:tcPr>
          <w:p>
            <w:pPr>
              <w:ind w:left="620"/>
              <w:spacing w:after="0" w:line="171" w:lineRule="exact"/>
              <w:rPr>
                <w:sz w:val="20"/>
                <w:szCs w:val="20"/>
                <w:color w:val="auto"/>
              </w:rPr>
            </w:pPr>
            <w:r>
              <w:rPr>
                <w:rFonts w:ascii="MS PGothic" w:cs="MS PGothic" w:eastAsia="MS PGothic" w:hAnsi="MS PGothic"/>
                <w:sz w:val="17"/>
                <w:szCs w:val="17"/>
                <w:color w:val="auto"/>
                <w:w w:val="82"/>
              </w:rPr>
              <w:t>☐</w:t>
            </w:r>
          </w:p>
        </w:tc>
        <w:tc>
          <w:tcPr>
            <w:tcW w:w="0" w:type="dxa"/>
            <w:vAlign w:val="bottom"/>
          </w:tcPr>
          <w:p>
            <w:pPr>
              <w:spacing w:after="0"/>
              <w:rPr>
                <w:sz w:val="1"/>
                <w:szCs w:val="1"/>
                <w:color w:val="auto"/>
              </w:rPr>
            </w:pPr>
          </w:p>
        </w:tc>
      </w:tr>
      <w:tr>
        <w:trPr>
          <w:trHeight w:val="77"/>
        </w:trPr>
        <w:tc>
          <w:tcPr>
            <w:tcW w:w="4640" w:type="dxa"/>
            <w:vAlign w:val="bottom"/>
            <w:vMerge w:val="continue"/>
          </w:tcPr>
          <w:p>
            <w:pPr>
              <w:spacing w:after="0"/>
              <w:rPr>
                <w:sz w:val="6"/>
                <w:szCs w:val="6"/>
                <w:color w:val="auto"/>
              </w:rPr>
            </w:pPr>
          </w:p>
        </w:tc>
        <w:tc>
          <w:tcPr>
            <w:tcW w:w="1660" w:type="dxa"/>
            <w:vAlign w:val="bottom"/>
          </w:tcPr>
          <w:p>
            <w:pPr>
              <w:spacing w:after="0"/>
              <w:rPr>
                <w:sz w:val="6"/>
                <w:szCs w:val="6"/>
                <w:color w:val="auto"/>
              </w:rPr>
            </w:pPr>
          </w:p>
        </w:tc>
        <w:tc>
          <w:tcPr>
            <w:tcW w:w="324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right="20"/>
        <w:spacing w:after="0" w:line="223"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9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is a shell company (as defined in Rule 12b-2 of the Exchange Act).</w:t>
      </w:r>
    </w:p>
    <w:p>
      <w:pPr>
        <w:spacing w:after="0" w:line="32" w:lineRule="exact"/>
        <w:rPr>
          <w:sz w:val="24"/>
          <w:szCs w:val="24"/>
          <w:color w:val="auto"/>
        </w:rPr>
      </w:pPr>
    </w:p>
    <w:p>
      <w:pPr>
        <w:spacing w:after="0" w:line="196" w:lineRule="exact"/>
        <w:tabs>
          <w:tab w:leader="none" w:pos="620" w:val="left"/>
        </w:tabs>
        <w:rPr>
          <w:sz w:val="20"/>
          <w:szCs w:val="20"/>
          <w:color w:val="auto"/>
        </w:rPr>
      </w:pPr>
      <w:r>
        <w:rPr>
          <w:rFonts w:ascii="Times New Roman" w:cs="Times New Roman" w:eastAsia="Times New Roman" w:hAnsi="Times New Roman"/>
          <w:sz w:val="17"/>
          <w:szCs w:val="17"/>
          <w:b w:val="1"/>
          <w:bCs w:val="1"/>
          <w:color w:val="auto"/>
        </w:rPr>
        <w:t xml:space="preserve">Yes </w:t>
      </w:r>
      <w:r>
        <w:rPr>
          <w:rFonts w:ascii="MS PGothic" w:cs="MS PGothic" w:eastAsia="MS PGothic" w:hAnsi="MS PGothic"/>
          <w:sz w:val="17"/>
          <w:szCs w:val="17"/>
          <w:color w:val="auto"/>
        </w:rPr>
        <w:t>☐</w:t>
      </w:r>
      <w:r>
        <w:rPr>
          <w:sz w:val="20"/>
          <w:szCs w:val="20"/>
          <w:color w:val="auto"/>
        </w:rPr>
        <w:tab/>
      </w:r>
      <w:r>
        <w:rPr>
          <w:rFonts w:ascii="Times New Roman" w:cs="Times New Roman" w:eastAsia="Times New Roman" w:hAnsi="Times New Roman"/>
          <w:sz w:val="16"/>
          <w:szCs w:val="16"/>
          <w:b w:val="1"/>
          <w:bCs w:val="1"/>
          <w:color w:val="auto"/>
        </w:rPr>
        <w:t xml:space="preserve">No </w:t>
      </w:r>
      <w:r>
        <w:rPr>
          <w:rFonts w:ascii="MS PGothic" w:cs="MS PGothic" w:eastAsia="MS PGothic" w:hAnsi="MS PGothic"/>
          <w:sz w:val="16"/>
          <w:szCs w:val="16"/>
          <w:color w:val="auto"/>
        </w:rPr>
        <w:t>☒</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The number of shares of common stock, $0.01 par value per share, of the registrant outstanding on April 27, 2026 was 75,971,891 shares.</w:t>
      </w:r>
    </w:p>
    <w:p>
      <w:pPr>
        <w:spacing w:after="0" w:line="200" w:lineRule="exact"/>
        <w:rPr>
          <w:sz w:val="24"/>
          <w:szCs w:val="24"/>
          <w:color w:val="auto"/>
        </w:rPr>
      </w:pPr>
    </w:p>
    <w:p>
      <w:pPr>
        <w:spacing w:after="0" w:line="23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60"/>
          </w:cols>
          <w:pgMar w:left="320" w:top="1001" w:right="3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6720" w:type="dxa"/>
            <w:vAlign w:val="bottom"/>
            <w:gridSpan w:val="3"/>
          </w:tcPr>
          <w:p>
            <w:pPr>
              <w:ind w:left="36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6"/>
        </w:trPr>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3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3"/>
        </w:trPr>
        <w:tc>
          <w:tcPr>
            <w:tcW w:w="20" w:type="dxa"/>
            <w:vAlign w:val="bottom"/>
            <w:shd w:val="clear" w:color="auto" w:fill="CCEEFF"/>
          </w:tcPr>
          <w:p>
            <w:pPr>
              <w:spacing w:after="0"/>
              <w:rPr>
                <w:sz w:val="15"/>
                <w:szCs w:val="15"/>
                <w:color w:val="auto"/>
              </w:rPr>
            </w:pPr>
          </w:p>
        </w:tc>
        <w:tc>
          <w:tcPr>
            <w:tcW w:w="4320" w:type="dxa"/>
            <w:vAlign w:val="bottom"/>
            <w:gridSpan w:val="10"/>
            <w:shd w:val="clear" w:color="auto" w:fill="CCEEFF"/>
          </w:tcPr>
          <w:p>
            <w:pPr>
              <w:spacing w:after="0" w:line="183" w:lineRule="exact"/>
              <w:rPr>
                <w:sz w:val="20"/>
                <w:szCs w:val="20"/>
                <w:color w:val="auto"/>
              </w:rPr>
            </w:pPr>
            <w:r>
              <w:rPr>
                <w:rFonts w:ascii="Times New Roman" w:cs="Times New Roman" w:eastAsia="Times New Roman" w:hAnsi="Times New Roman"/>
                <w:sz w:val="17"/>
                <w:szCs w:val="17"/>
                <w:b w:val="1"/>
                <w:bCs w:val="1"/>
                <w:color w:val="0000FF"/>
              </w:rPr>
              <w:t>Cautionary Note Regarding Forward-Looking Statements</w:t>
            </w:r>
          </w:p>
        </w:tc>
        <w:tc>
          <w:tcPr>
            <w:tcW w:w="6720" w:type="dxa"/>
            <w:vAlign w:val="bottom"/>
            <w:gridSpan w:val="3"/>
            <w:shd w:val="clear" w:color="auto" w:fill="CCEEFF"/>
          </w:tcPr>
          <w:p>
            <w:pPr>
              <w:spacing w:after="0"/>
              <w:rPr>
                <w:sz w:val="15"/>
                <w:szCs w:val="15"/>
                <w:color w:val="auto"/>
              </w:rPr>
            </w:pPr>
          </w:p>
        </w:tc>
        <w:tc>
          <w:tcPr>
            <w:tcW w:w="180" w:type="dxa"/>
            <w:vAlign w:val="bottom"/>
            <w:gridSpan w:val="3"/>
            <w:shd w:val="clear" w:color="auto" w:fill="CCEEFF"/>
          </w:tcPr>
          <w:p>
            <w:pPr>
              <w:jc w:val="right"/>
              <w:ind w:right="20"/>
              <w:spacing w:after="0" w:line="183" w:lineRule="exact"/>
              <w:rPr>
                <w:sz w:val="20"/>
                <w:szCs w:val="20"/>
                <w:color w:val="auto"/>
              </w:rPr>
            </w:pPr>
            <w:r>
              <w:rPr>
                <w:rFonts w:ascii="Times New Roman" w:cs="Times New Roman" w:eastAsia="Times New Roman" w:hAnsi="Times New Roman"/>
                <w:sz w:val="17"/>
                <w:szCs w:val="17"/>
                <w:color w:val="0000FF"/>
              </w:rPr>
              <w:t>4</w:t>
            </w:r>
          </w:p>
        </w:tc>
      </w:tr>
      <w:tr>
        <w:trPr>
          <w:trHeight w:val="39"/>
        </w:trPr>
        <w:tc>
          <w:tcPr>
            <w:tcW w:w="20" w:type="dxa"/>
            <w:vAlign w:val="bottom"/>
            <w:shd w:val="clear" w:color="auto" w:fill="CCEE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420" w:type="dxa"/>
            <w:vAlign w:val="bottom"/>
            <w:tcBorders>
              <w:right w:val="single" w:sz="8" w:color="0000FF"/>
            </w:tcBorders>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1580" w:type="dxa"/>
            <w:vAlign w:val="bottom"/>
            <w:shd w:val="clear" w:color="auto" w:fill="0000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2020" w:type="dxa"/>
            <w:vAlign w:val="bottom"/>
            <w:tcBorders>
              <w:left w:val="single" w:sz="8" w:color="CCEEFF"/>
            </w:tcBorders>
            <w:shd w:val="clear" w:color="auto" w:fill="CCEEFF"/>
          </w:tcPr>
          <w:p>
            <w:pPr>
              <w:spacing w:after="0"/>
              <w:rPr>
                <w:sz w:val="3"/>
                <w:szCs w:val="3"/>
                <w:color w:val="auto"/>
              </w:rPr>
            </w:pPr>
          </w:p>
        </w:tc>
        <w:tc>
          <w:tcPr>
            <w:tcW w:w="37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3"/>
        </w:trPr>
        <w:tc>
          <w:tcPr>
            <w:tcW w:w="20" w:type="dxa"/>
            <w:vAlign w:val="bottom"/>
          </w:tcPr>
          <w:p>
            <w:pPr>
              <w:spacing w:after="0"/>
              <w:rPr>
                <w:sz w:val="15"/>
                <w:szCs w:val="15"/>
                <w:color w:val="auto"/>
              </w:rPr>
            </w:pPr>
          </w:p>
        </w:tc>
        <w:tc>
          <w:tcPr>
            <w:tcW w:w="1040" w:type="dxa"/>
            <w:vAlign w:val="bottom"/>
            <w:gridSpan w:val="4"/>
          </w:tcPr>
          <w:p>
            <w:pPr>
              <w:spacing w:after="0" w:line="183" w:lineRule="exact"/>
              <w:rPr>
                <w:sz w:val="20"/>
                <w:szCs w:val="20"/>
                <w:color w:val="auto"/>
              </w:rPr>
            </w:pPr>
            <w:r>
              <w:rPr>
                <w:rFonts w:ascii="Times New Roman" w:cs="Times New Roman" w:eastAsia="Times New Roman" w:hAnsi="Times New Roman"/>
                <w:sz w:val="17"/>
                <w:szCs w:val="17"/>
                <w:b w:val="1"/>
                <w:bCs w:val="1"/>
                <w:color w:val="0000FF"/>
              </w:rPr>
              <w:t>PART I</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180" w:type="dxa"/>
            <w:vAlign w:val="bottom"/>
            <w:gridSpan w:val="3"/>
          </w:tcPr>
          <w:p>
            <w:pPr>
              <w:jc w:val="right"/>
              <w:ind w:right="20"/>
              <w:spacing w:after="0" w:line="183" w:lineRule="exact"/>
              <w:rPr>
                <w:sz w:val="20"/>
                <w:szCs w:val="20"/>
                <w:color w:val="auto"/>
              </w:rPr>
            </w:pPr>
            <w:r>
              <w:rPr>
                <w:rFonts w:ascii="Times New Roman" w:cs="Times New Roman" w:eastAsia="Times New Roman" w:hAnsi="Times New Roman"/>
                <w:sz w:val="17"/>
                <w:szCs w:val="17"/>
                <w:color w:val="0000FF"/>
              </w:rPr>
              <w:t>6</w:t>
            </w:r>
          </w:p>
        </w:tc>
      </w:tr>
      <w:tr>
        <w:trPr>
          <w:trHeight w:val="30"/>
        </w:trPr>
        <w:tc>
          <w:tcPr>
            <w:tcW w:w="20" w:type="dxa"/>
            <w:vAlign w:val="bottom"/>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3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3"/>
        </w:trPr>
        <w:tc>
          <w:tcPr>
            <w:tcW w:w="20" w:type="dxa"/>
            <w:vAlign w:val="bottom"/>
            <w:shd w:val="clear" w:color="auto" w:fill="CCEEFF"/>
          </w:tcPr>
          <w:p>
            <w:pPr>
              <w:spacing w:after="0"/>
              <w:rPr>
                <w:sz w:val="16"/>
                <w:szCs w:val="16"/>
                <w:color w:val="auto"/>
              </w:rPr>
            </w:pPr>
          </w:p>
        </w:tc>
        <w:tc>
          <w:tcPr>
            <w:tcW w:w="1040" w:type="dxa"/>
            <w:vAlign w:val="bottom"/>
            <w:gridSpan w:val="4"/>
            <w:shd w:val="clear" w:color="auto" w:fill="CCEEFF"/>
          </w:tcPr>
          <w:p>
            <w:pPr>
              <w:ind w:left="120"/>
              <w:spacing w:after="0" w:line="193" w:lineRule="exact"/>
              <w:rPr>
                <w:sz w:val="20"/>
                <w:szCs w:val="20"/>
                <w:color w:val="auto"/>
              </w:rPr>
            </w:pPr>
            <w:r>
              <w:rPr>
                <w:rFonts w:ascii="Times New Roman" w:cs="Times New Roman" w:eastAsia="Times New Roman" w:hAnsi="Times New Roman"/>
                <w:sz w:val="17"/>
                <w:szCs w:val="17"/>
                <w:color w:val="auto"/>
              </w:rPr>
              <w:t>Item 1.</w:t>
            </w:r>
          </w:p>
        </w:tc>
        <w:tc>
          <w:tcPr>
            <w:tcW w:w="1460" w:type="dxa"/>
            <w:vAlign w:val="bottom"/>
            <w:gridSpan w:val="4"/>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0000FF"/>
              </w:rPr>
              <w:t>Financial Statements</w:t>
            </w:r>
          </w:p>
        </w:tc>
        <w:tc>
          <w:tcPr>
            <w:tcW w:w="8540" w:type="dxa"/>
            <w:vAlign w:val="bottom"/>
            <w:gridSpan w:val="5"/>
            <w:shd w:val="clear" w:color="auto" w:fill="CCEEFF"/>
          </w:tcPr>
          <w:p>
            <w:pPr>
              <w:spacing w:after="0"/>
              <w:rPr>
                <w:sz w:val="16"/>
                <w:szCs w:val="16"/>
                <w:color w:val="auto"/>
              </w:rPr>
            </w:pPr>
          </w:p>
        </w:tc>
        <w:tc>
          <w:tcPr>
            <w:tcW w:w="180" w:type="dxa"/>
            <w:vAlign w:val="bottom"/>
            <w:gridSpan w:val="3"/>
            <w:shd w:val="clear" w:color="auto" w:fill="CCEEFF"/>
          </w:tcPr>
          <w:p>
            <w:pPr>
              <w:jc w:val="right"/>
              <w:ind w:right="20"/>
              <w:spacing w:after="0" w:line="193" w:lineRule="exact"/>
              <w:rPr>
                <w:sz w:val="20"/>
                <w:szCs w:val="20"/>
                <w:color w:val="auto"/>
              </w:rPr>
            </w:pPr>
            <w:r>
              <w:rPr>
                <w:rFonts w:ascii="Times New Roman" w:cs="Times New Roman" w:eastAsia="Times New Roman" w:hAnsi="Times New Roman"/>
                <w:sz w:val="17"/>
                <w:szCs w:val="17"/>
                <w:color w:val="0000FF"/>
              </w:rPr>
              <w:t>6</w:t>
            </w:r>
          </w:p>
        </w:tc>
      </w:tr>
      <w:tr>
        <w:trPr>
          <w:trHeight w:val="39"/>
        </w:trPr>
        <w:tc>
          <w:tcPr>
            <w:tcW w:w="2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420" w:type="dxa"/>
            <w:vAlign w:val="bottom"/>
            <w:tcBorders>
              <w:right w:val="single" w:sz="8" w:color="0000FF"/>
            </w:tcBorders>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58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2020" w:type="dxa"/>
            <w:vAlign w:val="bottom"/>
            <w:tcBorders>
              <w:left w:val="single" w:sz="8" w:color="CCEEFF"/>
            </w:tcBorders>
            <w:shd w:val="clear" w:color="auto" w:fill="CCEEFF"/>
          </w:tcPr>
          <w:p>
            <w:pPr>
              <w:spacing w:after="0"/>
              <w:rPr>
                <w:sz w:val="3"/>
                <w:szCs w:val="3"/>
                <w:color w:val="auto"/>
              </w:rPr>
            </w:pPr>
          </w:p>
        </w:tc>
        <w:tc>
          <w:tcPr>
            <w:tcW w:w="37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3"/>
        </w:trPr>
        <w:tc>
          <w:tcPr>
            <w:tcW w:w="20" w:type="dxa"/>
            <w:vAlign w:val="bottom"/>
          </w:tcPr>
          <w:p>
            <w:pPr>
              <w:spacing w:after="0"/>
              <w:rPr>
                <w:sz w:val="15"/>
                <w:szCs w:val="15"/>
                <w:color w:val="auto"/>
              </w:rPr>
            </w:pPr>
          </w:p>
        </w:tc>
        <w:tc>
          <w:tcPr>
            <w:tcW w:w="1040" w:type="dxa"/>
            <w:vAlign w:val="bottom"/>
            <w:gridSpan w:val="4"/>
          </w:tcPr>
          <w:p>
            <w:pPr>
              <w:ind w:left="120"/>
              <w:spacing w:after="0" w:line="183" w:lineRule="exact"/>
              <w:rPr>
                <w:sz w:val="20"/>
                <w:szCs w:val="20"/>
                <w:color w:val="auto"/>
              </w:rPr>
            </w:pPr>
            <w:r>
              <w:rPr>
                <w:rFonts w:ascii="Times New Roman" w:cs="Times New Roman" w:eastAsia="Times New Roman" w:hAnsi="Times New Roman"/>
                <w:sz w:val="17"/>
                <w:szCs w:val="17"/>
                <w:color w:val="auto"/>
              </w:rPr>
              <w:t>Item 2.</w:t>
            </w:r>
          </w:p>
        </w:tc>
        <w:tc>
          <w:tcPr>
            <w:tcW w:w="10000" w:type="dxa"/>
            <w:vAlign w:val="bottom"/>
            <w:gridSpan w:val="9"/>
          </w:tcPr>
          <w:p>
            <w:pPr>
              <w:spacing w:after="0" w:line="183" w:lineRule="exact"/>
              <w:rPr>
                <w:sz w:val="20"/>
                <w:szCs w:val="20"/>
                <w:color w:val="auto"/>
              </w:rPr>
            </w:pPr>
            <w:r>
              <w:rPr>
                <w:rFonts w:ascii="Times New Roman" w:cs="Times New Roman" w:eastAsia="Times New Roman" w:hAnsi="Times New Roman"/>
                <w:sz w:val="17"/>
                <w:szCs w:val="17"/>
                <w:color w:val="0000FF"/>
              </w:rPr>
              <w:t>Management's Discussion and Analysis of Financial Condition and Results of Operations</w:t>
            </w:r>
          </w:p>
        </w:tc>
        <w:tc>
          <w:tcPr>
            <w:tcW w:w="180" w:type="dxa"/>
            <w:vAlign w:val="bottom"/>
            <w:gridSpan w:val="3"/>
          </w:tcPr>
          <w:p>
            <w:pPr>
              <w:jc w:val="right"/>
              <w:ind w:right="20"/>
              <w:spacing w:after="0" w:line="183" w:lineRule="exact"/>
              <w:rPr>
                <w:sz w:val="20"/>
                <w:szCs w:val="20"/>
                <w:color w:val="auto"/>
              </w:rPr>
            </w:pPr>
            <w:r>
              <w:rPr>
                <w:rFonts w:ascii="Times New Roman" w:cs="Times New Roman" w:eastAsia="Times New Roman" w:hAnsi="Times New Roman"/>
                <w:sz w:val="17"/>
                <w:szCs w:val="17"/>
                <w:color w:val="0000FF"/>
                <w:w w:val="82"/>
              </w:rPr>
              <w:t>27</w:t>
            </w:r>
          </w:p>
        </w:tc>
      </w:tr>
      <w:tr>
        <w:trPr>
          <w:trHeight w:val="30"/>
        </w:trPr>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580" w:type="dxa"/>
            <w:vAlign w:val="bottom"/>
            <w:shd w:val="clear" w:color="auto" w:fill="0000FF"/>
          </w:tcPr>
          <w:p>
            <w:pPr>
              <w:spacing w:after="0"/>
              <w:rPr>
                <w:sz w:val="2"/>
                <w:szCs w:val="2"/>
                <w:color w:val="auto"/>
              </w:rPr>
            </w:pPr>
          </w:p>
        </w:tc>
        <w:tc>
          <w:tcPr>
            <w:tcW w:w="920" w:type="dxa"/>
            <w:vAlign w:val="bottom"/>
            <w:shd w:val="clear" w:color="auto" w:fill="0000FF"/>
          </w:tcPr>
          <w:p>
            <w:pPr>
              <w:spacing w:after="0"/>
              <w:rPr>
                <w:sz w:val="2"/>
                <w:szCs w:val="2"/>
                <w:color w:val="auto"/>
              </w:rPr>
            </w:pPr>
          </w:p>
        </w:tc>
        <w:tc>
          <w:tcPr>
            <w:tcW w:w="2020" w:type="dxa"/>
            <w:vAlign w:val="bottom"/>
            <w:tcBorders>
              <w:left w:val="single" w:sz="8" w:color="0000FF"/>
            </w:tcBorders>
            <w:shd w:val="clear" w:color="auto" w:fill="0000FF"/>
          </w:tcPr>
          <w:p>
            <w:pPr>
              <w:spacing w:after="0"/>
              <w:rPr>
                <w:sz w:val="2"/>
                <w:szCs w:val="2"/>
                <w:color w:val="auto"/>
              </w:rPr>
            </w:pPr>
          </w:p>
        </w:tc>
        <w:tc>
          <w:tcPr>
            <w:tcW w:w="37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3"/>
        </w:trPr>
        <w:tc>
          <w:tcPr>
            <w:tcW w:w="20" w:type="dxa"/>
            <w:vAlign w:val="bottom"/>
            <w:shd w:val="clear" w:color="auto" w:fill="CCEEFF"/>
          </w:tcPr>
          <w:p>
            <w:pPr>
              <w:spacing w:after="0"/>
              <w:rPr>
                <w:sz w:val="16"/>
                <w:szCs w:val="16"/>
                <w:color w:val="auto"/>
              </w:rPr>
            </w:pPr>
          </w:p>
        </w:tc>
        <w:tc>
          <w:tcPr>
            <w:tcW w:w="1040" w:type="dxa"/>
            <w:vAlign w:val="bottom"/>
            <w:gridSpan w:val="4"/>
            <w:shd w:val="clear" w:color="auto" w:fill="CCEEFF"/>
          </w:tcPr>
          <w:p>
            <w:pPr>
              <w:ind w:left="120"/>
              <w:spacing w:after="0" w:line="193" w:lineRule="exact"/>
              <w:rPr>
                <w:sz w:val="20"/>
                <w:szCs w:val="20"/>
                <w:color w:val="auto"/>
              </w:rPr>
            </w:pPr>
            <w:r>
              <w:rPr>
                <w:rFonts w:ascii="Times New Roman" w:cs="Times New Roman" w:eastAsia="Times New Roman" w:hAnsi="Times New Roman"/>
                <w:sz w:val="17"/>
                <w:szCs w:val="17"/>
                <w:color w:val="auto"/>
              </w:rPr>
              <w:t>Item 3.</w:t>
            </w:r>
          </w:p>
        </w:tc>
        <w:tc>
          <w:tcPr>
            <w:tcW w:w="4200" w:type="dxa"/>
            <w:vAlign w:val="bottom"/>
            <w:gridSpan w:val="7"/>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0000FF"/>
              </w:rPr>
              <w:t>Quantitative and Qualitative Disclosures About Market Risk</w:t>
            </w:r>
          </w:p>
        </w:tc>
        <w:tc>
          <w:tcPr>
            <w:tcW w:w="2020" w:type="dxa"/>
            <w:vAlign w:val="bottom"/>
            <w:tcBorders>
              <w:left w:val="single" w:sz="8" w:color="CCEEFF"/>
            </w:tcBorders>
            <w:shd w:val="clear" w:color="auto" w:fill="CCEEFF"/>
          </w:tcPr>
          <w:p>
            <w:pPr>
              <w:spacing w:after="0"/>
              <w:rPr>
                <w:sz w:val="16"/>
                <w:szCs w:val="16"/>
                <w:color w:val="auto"/>
              </w:rPr>
            </w:pPr>
          </w:p>
        </w:tc>
        <w:tc>
          <w:tcPr>
            <w:tcW w:w="3780" w:type="dxa"/>
            <w:vAlign w:val="bottom"/>
            <w:shd w:val="clear" w:color="auto" w:fill="CCEEFF"/>
          </w:tcPr>
          <w:p>
            <w:pPr>
              <w:spacing w:after="0"/>
              <w:rPr>
                <w:sz w:val="16"/>
                <w:szCs w:val="16"/>
                <w:color w:val="auto"/>
              </w:rPr>
            </w:pPr>
          </w:p>
        </w:tc>
        <w:tc>
          <w:tcPr>
            <w:tcW w:w="180" w:type="dxa"/>
            <w:vAlign w:val="bottom"/>
            <w:gridSpan w:val="3"/>
            <w:shd w:val="clear" w:color="auto" w:fill="CCEEFF"/>
          </w:tcPr>
          <w:p>
            <w:pPr>
              <w:jc w:val="right"/>
              <w:ind w:right="20"/>
              <w:spacing w:after="0" w:line="193" w:lineRule="exact"/>
              <w:rPr>
                <w:sz w:val="20"/>
                <w:szCs w:val="20"/>
                <w:color w:val="auto"/>
              </w:rPr>
            </w:pPr>
            <w:r>
              <w:rPr>
                <w:rFonts w:ascii="Times New Roman" w:cs="Times New Roman" w:eastAsia="Times New Roman" w:hAnsi="Times New Roman"/>
                <w:sz w:val="17"/>
                <w:szCs w:val="17"/>
                <w:color w:val="0000FF"/>
                <w:w w:val="82"/>
              </w:rPr>
              <w:t>49</w:t>
            </w:r>
          </w:p>
        </w:tc>
      </w:tr>
      <w:tr>
        <w:trPr>
          <w:trHeight w:val="39"/>
        </w:trPr>
        <w:tc>
          <w:tcPr>
            <w:tcW w:w="2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420" w:type="dxa"/>
            <w:vAlign w:val="bottom"/>
            <w:tcBorders>
              <w:right w:val="single" w:sz="8" w:color="0000FF"/>
            </w:tcBorders>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1580" w:type="dxa"/>
            <w:vAlign w:val="bottom"/>
            <w:shd w:val="clear" w:color="auto" w:fill="0000FF"/>
          </w:tcPr>
          <w:p>
            <w:pPr>
              <w:spacing w:after="0"/>
              <w:rPr>
                <w:sz w:val="3"/>
                <w:szCs w:val="3"/>
                <w:color w:val="auto"/>
              </w:rPr>
            </w:pPr>
          </w:p>
        </w:tc>
        <w:tc>
          <w:tcPr>
            <w:tcW w:w="920" w:type="dxa"/>
            <w:vAlign w:val="bottom"/>
            <w:shd w:val="clear" w:color="auto" w:fill="0000FF"/>
          </w:tcPr>
          <w:p>
            <w:pPr>
              <w:spacing w:after="0"/>
              <w:rPr>
                <w:sz w:val="3"/>
                <w:szCs w:val="3"/>
                <w:color w:val="auto"/>
              </w:rPr>
            </w:pPr>
          </w:p>
        </w:tc>
        <w:tc>
          <w:tcPr>
            <w:tcW w:w="2020" w:type="dxa"/>
            <w:vAlign w:val="bottom"/>
            <w:tcBorders>
              <w:left w:val="single" w:sz="8" w:color="0000FF"/>
            </w:tcBorders>
            <w:shd w:val="clear" w:color="auto" w:fill="CCEEFF"/>
          </w:tcPr>
          <w:p>
            <w:pPr>
              <w:spacing w:after="0"/>
              <w:rPr>
                <w:sz w:val="3"/>
                <w:szCs w:val="3"/>
                <w:color w:val="auto"/>
              </w:rPr>
            </w:pPr>
          </w:p>
        </w:tc>
        <w:tc>
          <w:tcPr>
            <w:tcW w:w="378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3"/>
        </w:trPr>
        <w:tc>
          <w:tcPr>
            <w:tcW w:w="20" w:type="dxa"/>
            <w:vAlign w:val="bottom"/>
          </w:tcPr>
          <w:p>
            <w:pPr>
              <w:spacing w:after="0"/>
              <w:rPr>
                <w:sz w:val="15"/>
                <w:szCs w:val="15"/>
                <w:color w:val="auto"/>
              </w:rPr>
            </w:pPr>
          </w:p>
        </w:tc>
        <w:tc>
          <w:tcPr>
            <w:tcW w:w="1040" w:type="dxa"/>
            <w:vAlign w:val="bottom"/>
            <w:gridSpan w:val="4"/>
          </w:tcPr>
          <w:p>
            <w:pPr>
              <w:ind w:left="120"/>
              <w:spacing w:after="0" w:line="183" w:lineRule="exact"/>
              <w:rPr>
                <w:sz w:val="20"/>
                <w:szCs w:val="20"/>
                <w:color w:val="auto"/>
              </w:rPr>
            </w:pPr>
            <w:r>
              <w:rPr>
                <w:rFonts w:ascii="Times New Roman" w:cs="Times New Roman" w:eastAsia="Times New Roman" w:hAnsi="Times New Roman"/>
                <w:sz w:val="17"/>
                <w:szCs w:val="17"/>
                <w:color w:val="auto"/>
              </w:rPr>
              <w:t>Item 4.</w:t>
            </w:r>
          </w:p>
        </w:tc>
        <w:tc>
          <w:tcPr>
            <w:tcW w:w="4200" w:type="dxa"/>
            <w:vAlign w:val="bottom"/>
            <w:gridSpan w:val="7"/>
          </w:tcPr>
          <w:p>
            <w:pPr>
              <w:spacing w:after="0" w:line="183" w:lineRule="exact"/>
              <w:rPr>
                <w:sz w:val="20"/>
                <w:szCs w:val="20"/>
                <w:color w:val="auto"/>
              </w:rPr>
            </w:pPr>
            <w:r>
              <w:rPr>
                <w:rFonts w:ascii="Times New Roman" w:cs="Times New Roman" w:eastAsia="Times New Roman" w:hAnsi="Times New Roman"/>
                <w:sz w:val="17"/>
                <w:szCs w:val="17"/>
                <w:color w:val="0000FF"/>
              </w:rPr>
              <w:t>Controls and Procedures</w:t>
            </w:r>
          </w:p>
        </w:tc>
        <w:tc>
          <w:tcPr>
            <w:tcW w:w="5800" w:type="dxa"/>
            <w:vAlign w:val="bottom"/>
            <w:gridSpan w:val="2"/>
          </w:tcPr>
          <w:p>
            <w:pPr>
              <w:spacing w:after="0"/>
              <w:rPr>
                <w:sz w:val="15"/>
                <w:szCs w:val="15"/>
                <w:color w:val="auto"/>
              </w:rPr>
            </w:pPr>
          </w:p>
        </w:tc>
        <w:tc>
          <w:tcPr>
            <w:tcW w:w="180" w:type="dxa"/>
            <w:vAlign w:val="bottom"/>
            <w:gridSpan w:val="3"/>
          </w:tcPr>
          <w:p>
            <w:pPr>
              <w:jc w:val="right"/>
              <w:ind w:right="20"/>
              <w:spacing w:after="0" w:line="183" w:lineRule="exact"/>
              <w:rPr>
                <w:sz w:val="20"/>
                <w:szCs w:val="20"/>
                <w:color w:val="auto"/>
              </w:rPr>
            </w:pPr>
            <w:r>
              <w:rPr>
                <w:rFonts w:ascii="Times New Roman" w:cs="Times New Roman" w:eastAsia="Times New Roman" w:hAnsi="Times New Roman"/>
                <w:sz w:val="17"/>
                <w:szCs w:val="17"/>
                <w:color w:val="0000FF"/>
                <w:w w:val="82"/>
              </w:rPr>
              <w:t>50</w:t>
            </w:r>
          </w:p>
        </w:tc>
      </w:tr>
      <w:tr>
        <w:trPr>
          <w:trHeight w:val="30"/>
        </w:trPr>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37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3"/>
        </w:trPr>
        <w:tc>
          <w:tcPr>
            <w:tcW w:w="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spacing w:after="0" w:line="193" w:lineRule="exact"/>
              <w:rPr>
                <w:sz w:val="20"/>
                <w:szCs w:val="20"/>
                <w:color w:val="auto"/>
              </w:rPr>
            </w:pPr>
            <w:r>
              <w:rPr>
                <w:rFonts w:ascii="Times New Roman" w:cs="Times New Roman" w:eastAsia="Times New Roman" w:hAnsi="Times New Roman"/>
                <w:sz w:val="17"/>
                <w:szCs w:val="17"/>
                <w:b w:val="1"/>
                <w:bCs w:val="1"/>
                <w:color w:val="0000FF"/>
                <w:w w:val="97"/>
              </w:rPr>
              <w:t>PART II</w:t>
            </w:r>
          </w:p>
        </w:tc>
        <w:tc>
          <w:tcPr>
            <w:tcW w:w="400" w:type="dxa"/>
            <w:vAlign w:val="bottom"/>
            <w:gridSpan w:val="2"/>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2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20" w:type="dxa"/>
            <w:vAlign w:val="bottom"/>
            <w:tcBorders>
              <w:left w:val="single" w:sz="8" w:color="CCEEFF"/>
            </w:tcBorders>
            <w:shd w:val="clear" w:color="auto" w:fill="CCEEFF"/>
          </w:tcPr>
          <w:p>
            <w:pPr>
              <w:spacing w:after="0"/>
              <w:rPr>
                <w:sz w:val="16"/>
                <w:szCs w:val="16"/>
                <w:color w:val="auto"/>
              </w:rPr>
            </w:pPr>
          </w:p>
        </w:tc>
        <w:tc>
          <w:tcPr>
            <w:tcW w:w="3780" w:type="dxa"/>
            <w:vAlign w:val="bottom"/>
            <w:shd w:val="clear" w:color="auto" w:fill="CCEEFF"/>
          </w:tcPr>
          <w:p>
            <w:pPr>
              <w:spacing w:after="0"/>
              <w:rPr>
                <w:sz w:val="16"/>
                <w:szCs w:val="16"/>
                <w:color w:val="auto"/>
              </w:rPr>
            </w:pPr>
          </w:p>
        </w:tc>
        <w:tc>
          <w:tcPr>
            <w:tcW w:w="180" w:type="dxa"/>
            <w:vAlign w:val="bottom"/>
            <w:gridSpan w:val="3"/>
            <w:shd w:val="clear" w:color="auto" w:fill="CCEEFF"/>
          </w:tcPr>
          <w:p>
            <w:pPr>
              <w:jc w:val="right"/>
              <w:ind w:right="20"/>
              <w:spacing w:after="0" w:line="193" w:lineRule="exact"/>
              <w:rPr>
                <w:sz w:val="20"/>
                <w:szCs w:val="20"/>
                <w:color w:val="auto"/>
              </w:rPr>
            </w:pPr>
            <w:r>
              <w:rPr>
                <w:rFonts w:ascii="Times New Roman" w:cs="Times New Roman" w:eastAsia="Times New Roman" w:hAnsi="Times New Roman"/>
                <w:sz w:val="17"/>
                <w:szCs w:val="17"/>
                <w:color w:val="0000FF"/>
                <w:w w:val="82"/>
              </w:rPr>
              <w:t>51</w:t>
            </w:r>
          </w:p>
        </w:tc>
      </w:tr>
      <w:tr>
        <w:trPr>
          <w:trHeight w:val="39"/>
        </w:trPr>
        <w:tc>
          <w:tcPr>
            <w:tcW w:w="20" w:type="dxa"/>
            <w:vAlign w:val="bottom"/>
            <w:shd w:val="clear" w:color="auto" w:fill="CCEE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420" w:type="dxa"/>
            <w:vAlign w:val="bottom"/>
            <w:tcBorders>
              <w:right w:val="single" w:sz="8" w:color="CCEEFF"/>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58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2020" w:type="dxa"/>
            <w:vAlign w:val="bottom"/>
            <w:tcBorders>
              <w:left w:val="single" w:sz="8" w:color="CCEEFF"/>
            </w:tcBorders>
            <w:shd w:val="clear" w:color="auto" w:fill="CCEEFF"/>
          </w:tcPr>
          <w:p>
            <w:pPr>
              <w:spacing w:after="0"/>
              <w:rPr>
                <w:sz w:val="3"/>
                <w:szCs w:val="3"/>
                <w:color w:val="auto"/>
              </w:rPr>
            </w:pPr>
          </w:p>
        </w:tc>
        <w:tc>
          <w:tcPr>
            <w:tcW w:w="378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3"/>
        </w:trPr>
        <w:tc>
          <w:tcPr>
            <w:tcW w:w="20" w:type="dxa"/>
            <w:vAlign w:val="bottom"/>
          </w:tcPr>
          <w:p>
            <w:pPr>
              <w:spacing w:after="0"/>
              <w:rPr>
                <w:sz w:val="15"/>
                <w:szCs w:val="15"/>
                <w:color w:val="auto"/>
              </w:rPr>
            </w:pPr>
          </w:p>
        </w:tc>
        <w:tc>
          <w:tcPr>
            <w:tcW w:w="640" w:type="dxa"/>
            <w:vAlign w:val="bottom"/>
            <w:gridSpan w:val="2"/>
          </w:tcPr>
          <w:p>
            <w:pPr>
              <w:ind w:left="120"/>
              <w:spacing w:after="0" w:line="183" w:lineRule="exact"/>
              <w:rPr>
                <w:sz w:val="20"/>
                <w:szCs w:val="20"/>
                <w:color w:val="auto"/>
              </w:rPr>
            </w:pPr>
            <w:r>
              <w:rPr>
                <w:rFonts w:ascii="Times New Roman" w:cs="Times New Roman" w:eastAsia="Times New Roman" w:hAnsi="Times New Roman"/>
                <w:sz w:val="17"/>
                <w:szCs w:val="17"/>
                <w:color w:val="auto"/>
              </w:rPr>
              <w:t>Item 1.</w:t>
            </w:r>
          </w:p>
        </w:tc>
        <w:tc>
          <w:tcPr>
            <w:tcW w:w="400" w:type="dxa"/>
            <w:vAlign w:val="bottom"/>
            <w:gridSpan w:val="2"/>
          </w:tcPr>
          <w:p>
            <w:pPr>
              <w:spacing w:after="0"/>
              <w:rPr>
                <w:sz w:val="15"/>
                <w:szCs w:val="15"/>
                <w:color w:val="auto"/>
              </w:rPr>
            </w:pPr>
          </w:p>
        </w:tc>
        <w:tc>
          <w:tcPr>
            <w:tcW w:w="10000" w:type="dxa"/>
            <w:vAlign w:val="bottom"/>
            <w:gridSpan w:val="9"/>
          </w:tcPr>
          <w:p>
            <w:pPr>
              <w:spacing w:after="0" w:line="183" w:lineRule="exact"/>
              <w:rPr>
                <w:sz w:val="20"/>
                <w:szCs w:val="20"/>
                <w:color w:val="auto"/>
              </w:rPr>
            </w:pPr>
            <w:r>
              <w:rPr>
                <w:rFonts w:ascii="Times New Roman" w:cs="Times New Roman" w:eastAsia="Times New Roman" w:hAnsi="Times New Roman"/>
                <w:sz w:val="17"/>
                <w:szCs w:val="17"/>
                <w:color w:val="0000FF"/>
              </w:rPr>
              <w:t>Legal Proceedings</w:t>
            </w:r>
          </w:p>
        </w:tc>
        <w:tc>
          <w:tcPr>
            <w:tcW w:w="180" w:type="dxa"/>
            <w:vAlign w:val="bottom"/>
            <w:gridSpan w:val="3"/>
          </w:tcPr>
          <w:p>
            <w:pPr>
              <w:jc w:val="right"/>
              <w:ind w:right="20"/>
              <w:spacing w:after="0" w:line="183" w:lineRule="exact"/>
              <w:rPr>
                <w:sz w:val="20"/>
                <w:szCs w:val="20"/>
                <w:color w:val="auto"/>
              </w:rPr>
            </w:pPr>
            <w:r>
              <w:rPr>
                <w:rFonts w:ascii="Times New Roman" w:cs="Times New Roman" w:eastAsia="Times New Roman" w:hAnsi="Times New Roman"/>
                <w:sz w:val="17"/>
                <w:szCs w:val="17"/>
                <w:color w:val="0000FF"/>
                <w:w w:val="82"/>
              </w:rPr>
              <w:t>51</w:t>
            </w: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2"/>
        </w:trPr>
        <w:tc>
          <w:tcPr>
            <w:tcW w:w="20" w:type="dxa"/>
            <w:vAlign w:val="bottom"/>
            <w:shd w:val="clear" w:color="auto" w:fill="CCEEFF"/>
          </w:tcPr>
          <w:p>
            <w:pPr>
              <w:spacing w:after="0"/>
              <w:rPr>
                <w:sz w:val="15"/>
                <w:szCs w:val="15"/>
                <w:color w:val="auto"/>
              </w:rPr>
            </w:pPr>
          </w:p>
        </w:tc>
        <w:tc>
          <w:tcPr>
            <w:tcW w:w="1040" w:type="dxa"/>
            <w:vAlign w:val="bottom"/>
            <w:gridSpan w:val="4"/>
            <w:shd w:val="clear" w:color="auto" w:fill="CCEEFF"/>
          </w:tcPr>
          <w:p>
            <w:pPr>
              <w:ind w:left="120"/>
              <w:spacing w:after="0" w:line="182" w:lineRule="exact"/>
              <w:rPr>
                <w:sz w:val="20"/>
                <w:szCs w:val="20"/>
                <w:color w:val="auto"/>
              </w:rPr>
            </w:pPr>
            <w:r>
              <w:rPr>
                <w:rFonts w:ascii="Times New Roman" w:cs="Times New Roman" w:eastAsia="Times New Roman" w:hAnsi="Times New Roman"/>
                <w:sz w:val="17"/>
                <w:szCs w:val="17"/>
                <w:color w:val="auto"/>
              </w:rPr>
              <w:t>Item 1A.</w:t>
            </w:r>
          </w:p>
        </w:tc>
        <w:tc>
          <w:tcPr>
            <w:tcW w:w="860" w:type="dxa"/>
            <w:vAlign w:val="bottom"/>
            <w:gridSpan w:val="2"/>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0000FF"/>
                <w:w w:val="98"/>
                <w:shd w:val="clear" w:color="auto" w:fill="CCEEFF"/>
              </w:rPr>
              <w:t>Risk Factors</w:t>
            </w:r>
          </w:p>
        </w:tc>
        <w:tc>
          <w:tcPr>
            <w:tcW w:w="420" w:type="dxa"/>
            <w:vAlign w:val="bottom"/>
            <w:tcBorders>
              <w:right w:val="single" w:sz="8" w:color="CCEEFF"/>
            </w:tcBorders>
            <w:shd w:val="clear" w:color="auto" w:fill="CCEEFF"/>
          </w:tcPr>
          <w:p>
            <w:pPr>
              <w:spacing w:after="0"/>
              <w:rPr>
                <w:sz w:val="15"/>
                <w:szCs w:val="15"/>
                <w:color w:val="auto"/>
              </w:rPr>
            </w:pPr>
          </w:p>
        </w:tc>
        <w:tc>
          <w:tcPr>
            <w:tcW w:w="2920" w:type="dxa"/>
            <w:vAlign w:val="bottom"/>
            <w:gridSpan w:val="4"/>
            <w:shd w:val="clear" w:color="auto" w:fill="CCEEFF"/>
          </w:tcPr>
          <w:p>
            <w:pPr>
              <w:spacing w:after="0"/>
              <w:rPr>
                <w:sz w:val="15"/>
                <w:szCs w:val="15"/>
                <w:color w:val="auto"/>
              </w:rPr>
            </w:pPr>
          </w:p>
        </w:tc>
        <w:tc>
          <w:tcPr>
            <w:tcW w:w="5800" w:type="dxa"/>
            <w:vAlign w:val="bottom"/>
            <w:tcBorders>
              <w:left w:val="single" w:sz="8" w:color="CCEEFF"/>
            </w:tcBorders>
            <w:gridSpan w:val="2"/>
            <w:shd w:val="clear" w:color="auto" w:fill="CCEEFF"/>
          </w:tcPr>
          <w:p>
            <w:pPr>
              <w:spacing w:after="0"/>
              <w:rPr>
                <w:sz w:val="15"/>
                <w:szCs w:val="15"/>
                <w:color w:val="auto"/>
              </w:rPr>
            </w:pPr>
          </w:p>
        </w:tc>
        <w:tc>
          <w:tcPr>
            <w:tcW w:w="180" w:type="dxa"/>
            <w:vAlign w:val="bottom"/>
            <w:gridSpan w:val="3"/>
            <w:shd w:val="clear" w:color="auto" w:fill="CCEEFF"/>
          </w:tcPr>
          <w:p>
            <w:pPr>
              <w:jc w:val="right"/>
              <w:ind w:right="20"/>
              <w:spacing w:after="0" w:line="182" w:lineRule="exact"/>
              <w:rPr>
                <w:sz w:val="20"/>
                <w:szCs w:val="20"/>
                <w:color w:val="auto"/>
              </w:rPr>
            </w:pPr>
            <w:r>
              <w:rPr>
                <w:rFonts w:ascii="Times New Roman" w:cs="Times New Roman" w:eastAsia="Times New Roman" w:hAnsi="Times New Roman"/>
                <w:sz w:val="17"/>
                <w:szCs w:val="17"/>
                <w:color w:val="0000FF"/>
                <w:w w:val="82"/>
              </w:rPr>
              <w:t>51</w:t>
            </w:r>
          </w:p>
        </w:tc>
      </w:tr>
      <w:tr>
        <w:trPr>
          <w:trHeight w:val="39"/>
        </w:trPr>
        <w:tc>
          <w:tcPr>
            <w:tcW w:w="2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420" w:type="dxa"/>
            <w:vAlign w:val="bottom"/>
            <w:tcBorders>
              <w:right w:val="single" w:sz="8" w:color="CCEEFF"/>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58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2020" w:type="dxa"/>
            <w:vAlign w:val="bottom"/>
            <w:tcBorders>
              <w:left w:val="single" w:sz="8" w:color="CCEEFF"/>
            </w:tcBorders>
            <w:shd w:val="clear" w:color="auto" w:fill="CCEEFF"/>
          </w:tcPr>
          <w:p>
            <w:pPr>
              <w:spacing w:after="0"/>
              <w:rPr>
                <w:sz w:val="3"/>
                <w:szCs w:val="3"/>
                <w:color w:val="auto"/>
              </w:rPr>
            </w:pPr>
          </w:p>
        </w:tc>
        <w:tc>
          <w:tcPr>
            <w:tcW w:w="378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3"/>
        </w:trPr>
        <w:tc>
          <w:tcPr>
            <w:tcW w:w="20" w:type="dxa"/>
            <w:vAlign w:val="bottom"/>
          </w:tcPr>
          <w:p>
            <w:pPr>
              <w:spacing w:after="0"/>
              <w:rPr>
                <w:sz w:val="15"/>
                <w:szCs w:val="15"/>
                <w:color w:val="auto"/>
              </w:rPr>
            </w:pPr>
          </w:p>
        </w:tc>
        <w:tc>
          <w:tcPr>
            <w:tcW w:w="1040" w:type="dxa"/>
            <w:vAlign w:val="bottom"/>
            <w:gridSpan w:val="4"/>
          </w:tcPr>
          <w:p>
            <w:pPr>
              <w:ind w:left="120"/>
              <w:spacing w:after="0" w:line="183" w:lineRule="exact"/>
              <w:rPr>
                <w:sz w:val="20"/>
                <w:szCs w:val="20"/>
                <w:color w:val="auto"/>
              </w:rPr>
            </w:pPr>
            <w:r>
              <w:rPr>
                <w:rFonts w:ascii="Times New Roman" w:cs="Times New Roman" w:eastAsia="Times New Roman" w:hAnsi="Times New Roman"/>
                <w:sz w:val="17"/>
                <w:szCs w:val="17"/>
                <w:color w:val="auto"/>
              </w:rPr>
              <w:t>Item 2.</w:t>
            </w:r>
          </w:p>
        </w:tc>
        <w:tc>
          <w:tcPr>
            <w:tcW w:w="10000" w:type="dxa"/>
            <w:vAlign w:val="bottom"/>
            <w:gridSpan w:val="9"/>
          </w:tcPr>
          <w:p>
            <w:pPr>
              <w:spacing w:after="0" w:line="183" w:lineRule="exact"/>
              <w:rPr>
                <w:sz w:val="20"/>
                <w:szCs w:val="20"/>
                <w:color w:val="auto"/>
              </w:rPr>
            </w:pPr>
            <w:r>
              <w:rPr>
                <w:rFonts w:ascii="Times New Roman" w:cs="Times New Roman" w:eastAsia="Times New Roman" w:hAnsi="Times New Roman"/>
                <w:sz w:val="17"/>
                <w:szCs w:val="17"/>
                <w:color w:val="0000FF"/>
              </w:rPr>
              <w:t>Unregistered Sales of Equity Securities and Use of Proceeds</w:t>
            </w:r>
          </w:p>
        </w:tc>
        <w:tc>
          <w:tcPr>
            <w:tcW w:w="180" w:type="dxa"/>
            <w:vAlign w:val="bottom"/>
            <w:gridSpan w:val="3"/>
          </w:tcPr>
          <w:p>
            <w:pPr>
              <w:jc w:val="right"/>
              <w:ind w:right="20"/>
              <w:spacing w:after="0" w:line="183" w:lineRule="exact"/>
              <w:rPr>
                <w:sz w:val="20"/>
                <w:szCs w:val="20"/>
                <w:color w:val="auto"/>
              </w:rPr>
            </w:pPr>
            <w:r>
              <w:rPr>
                <w:rFonts w:ascii="Times New Roman" w:cs="Times New Roman" w:eastAsia="Times New Roman" w:hAnsi="Times New Roman"/>
                <w:sz w:val="17"/>
                <w:szCs w:val="17"/>
                <w:color w:val="0000FF"/>
                <w:w w:val="82"/>
              </w:rPr>
              <w:t>51</w:t>
            </w:r>
          </w:p>
        </w:tc>
      </w:tr>
      <w:tr>
        <w:trPr>
          <w:trHeight w:val="30"/>
        </w:trPr>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580" w:type="dxa"/>
            <w:vAlign w:val="bottom"/>
            <w:shd w:val="clear" w:color="auto" w:fill="0000FF"/>
          </w:tcPr>
          <w:p>
            <w:pPr>
              <w:spacing w:after="0"/>
              <w:rPr>
                <w:sz w:val="2"/>
                <w:szCs w:val="2"/>
                <w:color w:val="auto"/>
              </w:rPr>
            </w:pPr>
          </w:p>
        </w:tc>
        <w:tc>
          <w:tcPr>
            <w:tcW w:w="920" w:type="dxa"/>
            <w:vAlign w:val="bottom"/>
            <w:shd w:val="clear" w:color="auto" w:fill="0000FF"/>
          </w:tcPr>
          <w:p>
            <w:pPr>
              <w:spacing w:after="0"/>
              <w:rPr>
                <w:sz w:val="2"/>
                <w:szCs w:val="2"/>
                <w:color w:val="auto"/>
              </w:rPr>
            </w:pPr>
          </w:p>
        </w:tc>
        <w:tc>
          <w:tcPr>
            <w:tcW w:w="2020" w:type="dxa"/>
            <w:vAlign w:val="bottom"/>
          </w:tcPr>
          <w:p>
            <w:pPr>
              <w:spacing w:after="0"/>
              <w:rPr>
                <w:sz w:val="2"/>
                <w:szCs w:val="2"/>
                <w:color w:val="auto"/>
              </w:rPr>
            </w:pPr>
          </w:p>
        </w:tc>
        <w:tc>
          <w:tcPr>
            <w:tcW w:w="37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3"/>
        </w:trPr>
        <w:tc>
          <w:tcPr>
            <w:tcW w:w="20" w:type="dxa"/>
            <w:vAlign w:val="bottom"/>
            <w:shd w:val="clear" w:color="auto" w:fill="CCEEFF"/>
          </w:tcPr>
          <w:p>
            <w:pPr>
              <w:spacing w:after="0"/>
              <w:rPr>
                <w:sz w:val="16"/>
                <w:szCs w:val="16"/>
                <w:color w:val="auto"/>
              </w:rPr>
            </w:pPr>
          </w:p>
        </w:tc>
        <w:tc>
          <w:tcPr>
            <w:tcW w:w="1040" w:type="dxa"/>
            <w:vAlign w:val="bottom"/>
            <w:gridSpan w:val="4"/>
            <w:shd w:val="clear" w:color="auto" w:fill="CCEEFF"/>
          </w:tcPr>
          <w:p>
            <w:pPr>
              <w:ind w:left="120"/>
              <w:spacing w:after="0" w:line="193" w:lineRule="exact"/>
              <w:rPr>
                <w:sz w:val="20"/>
                <w:szCs w:val="20"/>
                <w:color w:val="auto"/>
              </w:rPr>
            </w:pPr>
            <w:r>
              <w:rPr>
                <w:rFonts w:ascii="Times New Roman" w:cs="Times New Roman" w:eastAsia="Times New Roman" w:hAnsi="Times New Roman"/>
                <w:sz w:val="17"/>
                <w:szCs w:val="17"/>
                <w:color w:val="auto"/>
              </w:rPr>
              <w:t>Item 5.</w:t>
            </w:r>
          </w:p>
        </w:tc>
        <w:tc>
          <w:tcPr>
            <w:tcW w:w="4200" w:type="dxa"/>
            <w:vAlign w:val="bottom"/>
            <w:gridSpan w:val="7"/>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0000FF"/>
              </w:rPr>
              <w:t>Other Information</w:t>
            </w:r>
          </w:p>
        </w:tc>
        <w:tc>
          <w:tcPr>
            <w:tcW w:w="5800" w:type="dxa"/>
            <w:vAlign w:val="bottom"/>
            <w:tcBorders>
              <w:left w:val="single" w:sz="8" w:color="CCEEFF"/>
            </w:tcBorders>
            <w:gridSpan w:val="2"/>
            <w:shd w:val="clear" w:color="auto" w:fill="CCEEFF"/>
          </w:tcPr>
          <w:p>
            <w:pPr>
              <w:spacing w:after="0"/>
              <w:rPr>
                <w:sz w:val="16"/>
                <w:szCs w:val="16"/>
                <w:color w:val="auto"/>
              </w:rPr>
            </w:pPr>
          </w:p>
        </w:tc>
        <w:tc>
          <w:tcPr>
            <w:tcW w:w="180" w:type="dxa"/>
            <w:vAlign w:val="bottom"/>
            <w:gridSpan w:val="3"/>
            <w:shd w:val="clear" w:color="auto" w:fill="CCEEFF"/>
          </w:tcPr>
          <w:p>
            <w:pPr>
              <w:jc w:val="right"/>
              <w:ind w:right="20"/>
              <w:spacing w:after="0" w:line="193" w:lineRule="exact"/>
              <w:rPr>
                <w:sz w:val="20"/>
                <w:szCs w:val="20"/>
                <w:color w:val="auto"/>
              </w:rPr>
            </w:pPr>
            <w:r>
              <w:rPr>
                <w:rFonts w:ascii="Times New Roman" w:cs="Times New Roman" w:eastAsia="Times New Roman" w:hAnsi="Times New Roman"/>
                <w:sz w:val="17"/>
                <w:szCs w:val="17"/>
                <w:color w:val="0000FF"/>
                <w:w w:val="82"/>
              </w:rPr>
              <w:t>52</w:t>
            </w:r>
          </w:p>
        </w:tc>
      </w:tr>
      <w:tr>
        <w:trPr>
          <w:trHeight w:val="39"/>
        </w:trPr>
        <w:tc>
          <w:tcPr>
            <w:tcW w:w="2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420" w:type="dxa"/>
            <w:vAlign w:val="bottom"/>
            <w:tcBorders>
              <w:right w:val="single" w:sz="8" w:color="CCEEFF"/>
            </w:tcBorders>
            <w:shd w:val="clear" w:color="auto" w:fill="0000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58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2020" w:type="dxa"/>
            <w:vAlign w:val="bottom"/>
            <w:tcBorders>
              <w:left w:val="single" w:sz="8" w:color="CCEEFF"/>
            </w:tcBorders>
            <w:shd w:val="clear" w:color="auto" w:fill="CCEEFF"/>
          </w:tcPr>
          <w:p>
            <w:pPr>
              <w:spacing w:after="0"/>
              <w:rPr>
                <w:sz w:val="3"/>
                <w:szCs w:val="3"/>
                <w:color w:val="auto"/>
              </w:rPr>
            </w:pPr>
          </w:p>
        </w:tc>
        <w:tc>
          <w:tcPr>
            <w:tcW w:w="378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3"/>
        </w:trPr>
        <w:tc>
          <w:tcPr>
            <w:tcW w:w="20" w:type="dxa"/>
            <w:vAlign w:val="bottom"/>
          </w:tcPr>
          <w:p>
            <w:pPr>
              <w:spacing w:after="0"/>
              <w:rPr>
                <w:sz w:val="15"/>
                <w:szCs w:val="15"/>
                <w:color w:val="auto"/>
              </w:rPr>
            </w:pPr>
          </w:p>
        </w:tc>
        <w:tc>
          <w:tcPr>
            <w:tcW w:w="1040" w:type="dxa"/>
            <w:vAlign w:val="bottom"/>
            <w:gridSpan w:val="4"/>
          </w:tcPr>
          <w:p>
            <w:pPr>
              <w:ind w:left="120"/>
              <w:spacing w:after="0" w:line="183" w:lineRule="exact"/>
              <w:rPr>
                <w:sz w:val="20"/>
                <w:szCs w:val="20"/>
                <w:color w:val="auto"/>
              </w:rPr>
            </w:pPr>
            <w:r>
              <w:rPr>
                <w:rFonts w:ascii="Times New Roman" w:cs="Times New Roman" w:eastAsia="Times New Roman" w:hAnsi="Times New Roman"/>
                <w:sz w:val="17"/>
                <w:szCs w:val="17"/>
                <w:color w:val="auto"/>
              </w:rPr>
              <w:t>Item 6.</w:t>
            </w:r>
          </w:p>
        </w:tc>
        <w:tc>
          <w:tcPr>
            <w:tcW w:w="580" w:type="dxa"/>
            <w:vAlign w:val="bottom"/>
          </w:tcPr>
          <w:p>
            <w:pPr>
              <w:spacing w:after="0" w:line="183" w:lineRule="exact"/>
              <w:rPr>
                <w:sz w:val="20"/>
                <w:szCs w:val="20"/>
                <w:color w:val="auto"/>
              </w:rPr>
            </w:pPr>
            <w:r>
              <w:rPr>
                <w:rFonts w:ascii="Times New Roman" w:cs="Times New Roman" w:eastAsia="Times New Roman" w:hAnsi="Times New Roman"/>
                <w:sz w:val="17"/>
                <w:szCs w:val="17"/>
                <w:color w:val="0000FF"/>
                <w:w w:val="98"/>
              </w:rPr>
              <w:t>Exhibits</w:t>
            </w:r>
          </w:p>
        </w:tc>
        <w:tc>
          <w:tcPr>
            <w:tcW w:w="700" w:type="dxa"/>
            <w:vAlign w:val="bottom"/>
            <w:gridSpan w:val="2"/>
          </w:tcPr>
          <w:p>
            <w:pPr>
              <w:spacing w:after="0"/>
              <w:rPr>
                <w:sz w:val="15"/>
                <w:szCs w:val="15"/>
                <w:color w:val="auto"/>
              </w:rPr>
            </w:pPr>
          </w:p>
        </w:tc>
        <w:tc>
          <w:tcPr>
            <w:tcW w:w="8720" w:type="dxa"/>
            <w:vAlign w:val="bottom"/>
            <w:gridSpan w:val="6"/>
          </w:tcPr>
          <w:p>
            <w:pPr>
              <w:spacing w:after="0"/>
              <w:rPr>
                <w:sz w:val="15"/>
                <w:szCs w:val="15"/>
                <w:color w:val="auto"/>
              </w:rPr>
            </w:pPr>
          </w:p>
        </w:tc>
        <w:tc>
          <w:tcPr>
            <w:tcW w:w="180" w:type="dxa"/>
            <w:vAlign w:val="bottom"/>
            <w:gridSpan w:val="3"/>
          </w:tcPr>
          <w:p>
            <w:pPr>
              <w:jc w:val="right"/>
              <w:ind w:right="20"/>
              <w:spacing w:after="0" w:line="183" w:lineRule="exact"/>
              <w:rPr>
                <w:sz w:val="20"/>
                <w:szCs w:val="20"/>
                <w:color w:val="auto"/>
              </w:rPr>
            </w:pPr>
            <w:r>
              <w:rPr>
                <w:rFonts w:ascii="Times New Roman" w:cs="Times New Roman" w:eastAsia="Times New Roman" w:hAnsi="Times New Roman"/>
                <w:sz w:val="17"/>
                <w:szCs w:val="17"/>
                <w:color w:val="0000FF"/>
                <w:w w:val="82"/>
              </w:rPr>
              <w:t>53</w:t>
            </w:r>
          </w:p>
        </w:tc>
      </w:tr>
      <w:tr>
        <w:trPr>
          <w:trHeight w:val="30"/>
        </w:trPr>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37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3"/>
        </w:trPr>
        <w:tc>
          <w:tcPr>
            <w:tcW w:w="20" w:type="dxa"/>
            <w:vAlign w:val="bottom"/>
            <w:shd w:val="clear" w:color="auto" w:fill="CCEEFF"/>
          </w:tcPr>
          <w:p>
            <w:pPr>
              <w:spacing w:after="0"/>
              <w:rPr>
                <w:sz w:val="16"/>
                <w:szCs w:val="16"/>
                <w:color w:val="auto"/>
              </w:rPr>
            </w:pPr>
          </w:p>
        </w:tc>
        <w:tc>
          <w:tcPr>
            <w:tcW w:w="800" w:type="dxa"/>
            <w:vAlign w:val="bottom"/>
            <w:gridSpan w:val="3"/>
            <w:shd w:val="clear" w:color="auto" w:fill="CCEEFF"/>
          </w:tcPr>
          <w:p>
            <w:pPr>
              <w:spacing w:after="0" w:line="193" w:lineRule="exact"/>
              <w:rPr>
                <w:sz w:val="20"/>
                <w:szCs w:val="20"/>
                <w:color w:val="auto"/>
              </w:rPr>
            </w:pPr>
            <w:r>
              <w:rPr>
                <w:rFonts w:ascii="Times New Roman" w:cs="Times New Roman" w:eastAsia="Times New Roman" w:hAnsi="Times New Roman"/>
                <w:sz w:val="17"/>
                <w:szCs w:val="17"/>
                <w:b w:val="1"/>
                <w:bCs w:val="1"/>
                <w:color w:val="0000FF"/>
              </w:rPr>
              <w:t>Signatures</w:t>
            </w:r>
          </w:p>
        </w:tc>
        <w:tc>
          <w:tcPr>
            <w:tcW w:w="2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2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20" w:type="dxa"/>
            <w:vAlign w:val="bottom"/>
            <w:tcBorders>
              <w:left w:val="single" w:sz="8" w:color="CCEEFF"/>
            </w:tcBorders>
            <w:shd w:val="clear" w:color="auto" w:fill="CCEEFF"/>
          </w:tcPr>
          <w:p>
            <w:pPr>
              <w:spacing w:after="0"/>
              <w:rPr>
                <w:sz w:val="16"/>
                <w:szCs w:val="16"/>
                <w:color w:val="auto"/>
              </w:rPr>
            </w:pPr>
          </w:p>
        </w:tc>
        <w:tc>
          <w:tcPr>
            <w:tcW w:w="3780" w:type="dxa"/>
            <w:vAlign w:val="bottom"/>
            <w:shd w:val="clear" w:color="auto" w:fill="CCEEFF"/>
          </w:tcPr>
          <w:p>
            <w:pPr>
              <w:spacing w:after="0"/>
              <w:rPr>
                <w:sz w:val="16"/>
                <w:szCs w:val="16"/>
                <w:color w:val="auto"/>
              </w:rPr>
            </w:pPr>
          </w:p>
        </w:tc>
        <w:tc>
          <w:tcPr>
            <w:tcW w:w="180" w:type="dxa"/>
            <w:vAlign w:val="bottom"/>
            <w:gridSpan w:val="3"/>
            <w:shd w:val="clear" w:color="auto" w:fill="CCEEFF"/>
          </w:tcPr>
          <w:p>
            <w:pPr>
              <w:jc w:val="right"/>
              <w:ind w:right="20"/>
              <w:spacing w:after="0" w:line="193" w:lineRule="exact"/>
              <w:rPr>
                <w:sz w:val="20"/>
                <w:szCs w:val="20"/>
                <w:color w:val="auto"/>
              </w:rPr>
            </w:pPr>
            <w:r>
              <w:rPr>
                <w:rFonts w:ascii="Times New Roman" w:cs="Times New Roman" w:eastAsia="Times New Roman" w:hAnsi="Times New Roman"/>
                <w:sz w:val="17"/>
                <w:szCs w:val="17"/>
                <w:color w:val="0000FF"/>
                <w:w w:val="82"/>
              </w:rPr>
              <w:t>56</w:t>
            </w:r>
          </w:p>
        </w:tc>
      </w:tr>
      <w:tr>
        <w:trPr>
          <w:trHeight w:val="39"/>
        </w:trPr>
        <w:tc>
          <w:tcPr>
            <w:tcW w:w="20" w:type="dxa"/>
            <w:vAlign w:val="bottom"/>
            <w:shd w:val="clear" w:color="auto" w:fill="CCEE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420" w:type="dxa"/>
            <w:vAlign w:val="bottom"/>
            <w:tcBorders>
              <w:right w:val="single" w:sz="8" w:color="CCEEFF"/>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58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2020" w:type="dxa"/>
            <w:vAlign w:val="bottom"/>
            <w:tcBorders>
              <w:left w:val="single" w:sz="8" w:color="CCEEFF"/>
            </w:tcBorders>
            <w:shd w:val="clear" w:color="auto" w:fill="CCEEFF"/>
          </w:tcPr>
          <w:p>
            <w:pPr>
              <w:spacing w:after="0"/>
              <w:rPr>
                <w:sz w:val="3"/>
                <w:szCs w:val="3"/>
                <w:color w:val="auto"/>
              </w:rPr>
            </w:pPr>
          </w:p>
        </w:tc>
        <w:tc>
          <w:tcPr>
            <w:tcW w:w="378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b w:val="1"/>
          <w:bCs w:val="1"/>
          <w:color w:val="auto"/>
        </w:rPr>
        <w:t>Glossary of Abbreviations and Acronyms</w:t>
      </w:r>
    </w:p>
    <w:p>
      <w:pPr>
        <w:spacing w:after="0" w:line="172" w:lineRule="exact"/>
        <w:rPr>
          <w:sz w:val="20"/>
          <w:szCs w:val="20"/>
          <w:color w:val="auto"/>
        </w:rPr>
      </w:pPr>
    </w:p>
    <w:p>
      <w:pPr>
        <w:ind w:right="160" w:firstLine="627"/>
        <w:spacing w:after="0" w:line="295" w:lineRule="auto"/>
        <w:rPr>
          <w:sz w:val="20"/>
          <w:szCs w:val="20"/>
          <w:color w:val="auto"/>
        </w:rPr>
      </w:pPr>
      <w:r>
        <w:rPr>
          <w:rFonts w:ascii="Times New Roman" w:cs="Times New Roman" w:eastAsia="Times New Roman" w:hAnsi="Times New Roman"/>
          <w:sz w:val="17"/>
          <w:szCs w:val="17"/>
          <w:color w:val="auto"/>
        </w:rPr>
        <w:t>The following list defines various abbreviations and acronyms used throughout this report and in our Annual Report on Form 10-K for the year ended December 31, 2025.</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ASU</w:t>
            </w:r>
          </w:p>
        </w:tc>
        <w:tc>
          <w:tcPr>
            <w:tcW w:w="8860" w:type="dxa"/>
            <w:vAlign w:val="bottom"/>
            <w:shd w:val="clear" w:color="auto" w:fill="CCEEFF"/>
          </w:tcPr>
          <w:p>
            <w:pPr>
              <w:ind w:left="1320"/>
              <w:spacing w:after="0"/>
              <w:rPr>
                <w:sz w:val="20"/>
                <w:szCs w:val="20"/>
                <w:color w:val="auto"/>
              </w:rPr>
            </w:pPr>
            <w:r>
              <w:rPr>
                <w:rFonts w:ascii="Times New Roman" w:cs="Times New Roman" w:eastAsia="Times New Roman" w:hAnsi="Times New Roman"/>
                <w:sz w:val="17"/>
                <w:szCs w:val="17"/>
                <w:color w:val="auto"/>
              </w:rPr>
              <w:t>Accounting Standards Update</w:t>
            </w:r>
          </w:p>
        </w:tc>
      </w:tr>
      <w:tr>
        <w:trPr>
          <w:trHeight w:val="219"/>
        </w:trPr>
        <w:tc>
          <w:tcPr>
            <w:tcW w:w="2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BPMI</w:t>
            </w:r>
          </w:p>
        </w:tc>
        <w:tc>
          <w:tcPr>
            <w:tcW w:w="8860" w:type="dxa"/>
            <w:vAlign w:val="bottom"/>
          </w:tcPr>
          <w:p>
            <w:pPr>
              <w:ind w:left="1320"/>
              <w:spacing w:after="0"/>
              <w:rPr>
                <w:sz w:val="20"/>
                <w:szCs w:val="20"/>
                <w:color w:val="auto"/>
              </w:rPr>
            </w:pPr>
            <w:r>
              <w:rPr>
                <w:rFonts w:ascii="Times New Roman" w:cs="Times New Roman" w:eastAsia="Times New Roman" w:hAnsi="Times New Roman"/>
                <w:sz w:val="17"/>
                <w:szCs w:val="17"/>
                <w:color w:val="auto"/>
              </w:rPr>
              <w:t>Borrower-paid mortgage insurance</w:t>
            </w:r>
          </w:p>
        </w:tc>
      </w:tr>
      <w:tr>
        <w:trPr>
          <w:trHeight w:val="226"/>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CEO</w:t>
            </w:r>
          </w:p>
        </w:tc>
        <w:tc>
          <w:tcPr>
            <w:tcW w:w="8860" w:type="dxa"/>
            <w:vAlign w:val="bottom"/>
            <w:shd w:val="clear" w:color="auto" w:fill="CCEEFF"/>
          </w:tcPr>
          <w:p>
            <w:pPr>
              <w:ind w:left="1320"/>
              <w:spacing w:after="0"/>
              <w:rPr>
                <w:sz w:val="20"/>
                <w:szCs w:val="20"/>
                <w:color w:val="auto"/>
              </w:rPr>
            </w:pPr>
            <w:r>
              <w:rPr>
                <w:rFonts w:ascii="Times New Roman" w:cs="Times New Roman" w:eastAsia="Times New Roman" w:hAnsi="Times New Roman"/>
                <w:sz w:val="17"/>
                <w:szCs w:val="17"/>
                <w:color w:val="auto"/>
              </w:rPr>
              <w:t>Chief executive officer</w:t>
            </w:r>
          </w:p>
        </w:tc>
      </w:tr>
      <w:tr>
        <w:trPr>
          <w:trHeight w:val="219"/>
        </w:trPr>
        <w:tc>
          <w:tcPr>
            <w:tcW w:w="2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CODM</w:t>
            </w:r>
          </w:p>
        </w:tc>
        <w:tc>
          <w:tcPr>
            <w:tcW w:w="8860" w:type="dxa"/>
            <w:vAlign w:val="bottom"/>
          </w:tcPr>
          <w:p>
            <w:pPr>
              <w:ind w:left="1320"/>
              <w:spacing w:after="0"/>
              <w:rPr>
                <w:sz w:val="20"/>
                <w:szCs w:val="20"/>
                <w:color w:val="auto"/>
              </w:rPr>
            </w:pPr>
            <w:r>
              <w:rPr>
                <w:rFonts w:ascii="Times New Roman" w:cs="Times New Roman" w:eastAsia="Times New Roman" w:hAnsi="Times New Roman"/>
                <w:sz w:val="17"/>
                <w:szCs w:val="17"/>
                <w:color w:val="auto"/>
              </w:rPr>
              <w:t>Chief operating decision maker</w:t>
            </w:r>
          </w:p>
        </w:tc>
      </w:tr>
      <w:tr>
        <w:trPr>
          <w:trHeight w:val="226"/>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DTI</w:t>
            </w:r>
          </w:p>
        </w:tc>
        <w:tc>
          <w:tcPr>
            <w:tcW w:w="8860" w:type="dxa"/>
            <w:vAlign w:val="bottom"/>
            <w:shd w:val="clear" w:color="auto" w:fill="CCEEFF"/>
          </w:tcPr>
          <w:p>
            <w:pPr>
              <w:ind w:left="1320"/>
              <w:spacing w:after="0"/>
              <w:rPr>
                <w:sz w:val="20"/>
                <w:szCs w:val="20"/>
                <w:color w:val="auto"/>
              </w:rPr>
            </w:pPr>
            <w:r>
              <w:rPr>
                <w:rFonts w:ascii="Times New Roman" w:cs="Times New Roman" w:eastAsia="Times New Roman" w:hAnsi="Times New Roman"/>
                <w:sz w:val="17"/>
                <w:szCs w:val="17"/>
                <w:color w:val="auto"/>
              </w:rPr>
              <w:t>Debt-to-income</w:t>
            </w:r>
          </w:p>
        </w:tc>
      </w:tr>
      <w:tr>
        <w:trPr>
          <w:trHeight w:val="222"/>
        </w:trPr>
        <w:tc>
          <w:tcPr>
            <w:tcW w:w="2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EPS</w:t>
            </w:r>
          </w:p>
        </w:tc>
        <w:tc>
          <w:tcPr>
            <w:tcW w:w="8860" w:type="dxa"/>
            <w:vAlign w:val="bottom"/>
          </w:tcPr>
          <w:p>
            <w:pPr>
              <w:ind w:left="1320"/>
              <w:spacing w:after="0"/>
              <w:rPr>
                <w:sz w:val="20"/>
                <w:szCs w:val="20"/>
                <w:color w:val="auto"/>
              </w:rPr>
            </w:pPr>
            <w:r>
              <w:rPr>
                <w:rFonts w:ascii="Times New Roman" w:cs="Times New Roman" w:eastAsia="Times New Roman" w:hAnsi="Times New Roman"/>
                <w:sz w:val="17"/>
                <w:szCs w:val="17"/>
                <w:color w:val="auto"/>
              </w:rPr>
              <w:t>Earnings per share</w:t>
            </w:r>
          </w:p>
        </w:tc>
      </w:tr>
      <w:tr>
        <w:trPr>
          <w:trHeight w:val="222"/>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Fannie Mae</w:t>
            </w:r>
          </w:p>
        </w:tc>
        <w:tc>
          <w:tcPr>
            <w:tcW w:w="8860" w:type="dxa"/>
            <w:vAlign w:val="bottom"/>
            <w:shd w:val="clear" w:color="auto" w:fill="CCEEFF"/>
          </w:tcPr>
          <w:p>
            <w:pPr>
              <w:ind w:left="1320"/>
              <w:spacing w:after="0"/>
              <w:rPr>
                <w:sz w:val="20"/>
                <w:szCs w:val="20"/>
                <w:color w:val="auto"/>
              </w:rPr>
            </w:pPr>
            <w:r>
              <w:rPr>
                <w:rFonts w:ascii="Times New Roman" w:cs="Times New Roman" w:eastAsia="Times New Roman" w:hAnsi="Times New Roman"/>
                <w:sz w:val="17"/>
                <w:szCs w:val="17"/>
                <w:color w:val="auto"/>
              </w:rPr>
              <w:t>Federal National Mortgage Association</w:t>
            </w:r>
          </w:p>
        </w:tc>
      </w:tr>
      <w:tr>
        <w:trPr>
          <w:trHeight w:val="219"/>
        </w:trPr>
        <w:tc>
          <w:tcPr>
            <w:tcW w:w="2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FASB</w:t>
            </w:r>
          </w:p>
        </w:tc>
        <w:tc>
          <w:tcPr>
            <w:tcW w:w="8860" w:type="dxa"/>
            <w:vAlign w:val="bottom"/>
          </w:tcPr>
          <w:p>
            <w:pPr>
              <w:ind w:left="1320"/>
              <w:spacing w:after="0"/>
              <w:rPr>
                <w:sz w:val="20"/>
                <w:szCs w:val="20"/>
                <w:color w:val="auto"/>
              </w:rPr>
            </w:pPr>
            <w:r>
              <w:rPr>
                <w:rFonts w:ascii="Times New Roman" w:cs="Times New Roman" w:eastAsia="Times New Roman" w:hAnsi="Times New Roman"/>
                <w:sz w:val="17"/>
                <w:szCs w:val="17"/>
                <w:color w:val="auto"/>
              </w:rPr>
              <w:t>Financial Accounting Standards Board</w:t>
            </w:r>
          </w:p>
        </w:tc>
      </w:tr>
      <w:tr>
        <w:trPr>
          <w:trHeight w:val="226"/>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FHFA</w:t>
            </w:r>
          </w:p>
        </w:tc>
        <w:tc>
          <w:tcPr>
            <w:tcW w:w="8860" w:type="dxa"/>
            <w:vAlign w:val="bottom"/>
            <w:shd w:val="clear" w:color="auto" w:fill="CCEEFF"/>
          </w:tcPr>
          <w:p>
            <w:pPr>
              <w:ind w:left="1320"/>
              <w:spacing w:after="0"/>
              <w:rPr>
                <w:sz w:val="20"/>
                <w:szCs w:val="20"/>
                <w:color w:val="auto"/>
              </w:rPr>
            </w:pPr>
            <w:r>
              <w:rPr>
                <w:rFonts w:ascii="Times New Roman" w:cs="Times New Roman" w:eastAsia="Times New Roman" w:hAnsi="Times New Roman"/>
                <w:sz w:val="17"/>
                <w:szCs w:val="17"/>
                <w:color w:val="auto"/>
              </w:rPr>
              <w:t>Federal Housing Finance Agency</w:t>
            </w:r>
          </w:p>
        </w:tc>
      </w:tr>
      <w:tr>
        <w:trPr>
          <w:trHeight w:val="219"/>
        </w:trPr>
        <w:tc>
          <w:tcPr>
            <w:tcW w:w="2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FICO</w:t>
            </w:r>
          </w:p>
        </w:tc>
        <w:tc>
          <w:tcPr>
            <w:tcW w:w="8860" w:type="dxa"/>
            <w:vAlign w:val="bottom"/>
          </w:tcPr>
          <w:p>
            <w:pPr>
              <w:ind w:left="1320"/>
              <w:spacing w:after="0"/>
              <w:rPr>
                <w:sz w:val="20"/>
                <w:szCs w:val="20"/>
                <w:color w:val="auto"/>
              </w:rPr>
            </w:pPr>
            <w:r>
              <w:rPr>
                <w:rFonts w:ascii="Times New Roman" w:cs="Times New Roman" w:eastAsia="Times New Roman" w:hAnsi="Times New Roman"/>
                <w:sz w:val="17"/>
                <w:szCs w:val="17"/>
                <w:color w:val="auto"/>
              </w:rPr>
              <w:t>Fair Isaac Corporation</w:t>
            </w:r>
          </w:p>
        </w:tc>
      </w:tr>
      <w:tr>
        <w:trPr>
          <w:trHeight w:val="226"/>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Freddie Mac</w:t>
            </w:r>
          </w:p>
        </w:tc>
        <w:tc>
          <w:tcPr>
            <w:tcW w:w="8860" w:type="dxa"/>
            <w:vAlign w:val="bottom"/>
            <w:shd w:val="clear" w:color="auto" w:fill="CCEEFF"/>
          </w:tcPr>
          <w:p>
            <w:pPr>
              <w:ind w:left="1320"/>
              <w:spacing w:after="0"/>
              <w:rPr>
                <w:sz w:val="20"/>
                <w:szCs w:val="20"/>
                <w:color w:val="auto"/>
              </w:rPr>
            </w:pPr>
            <w:r>
              <w:rPr>
                <w:rFonts w:ascii="Times New Roman" w:cs="Times New Roman" w:eastAsia="Times New Roman" w:hAnsi="Times New Roman"/>
                <w:sz w:val="17"/>
                <w:szCs w:val="17"/>
                <w:color w:val="auto"/>
              </w:rPr>
              <w:t>Federal Home Loan Mortgage Corporation</w:t>
            </w:r>
          </w:p>
        </w:tc>
      </w:tr>
      <w:tr>
        <w:trPr>
          <w:trHeight w:val="219"/>
        </w:trPr>
        <w:tc>
          <w:tcPr>
            <w:tcW w:w="2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GAAP</w:t>
            </w:r>
          </w:p>
        </w:tc>
        <w:tc>
          <w:tcPr>
            <w:tcW w:w="8860" w:type="dxa"/>
            <w:vAlign w:val="bottom"/>
          </w:tcPr>
          <w:p>
            <w:pPr>
              <w:ind w:left="1320"/>
              <w:spacing w:after="0"/>
              <w:rPr>
                <w:sz w:val="20"/>
                <w:szCs w:val="20"/>
                <w:color w:val="auto"/>
              </w:rPr>
            </w:pPr>
            <w:r>
              <w:rPr>
                <w:rFonts w:ascii="Times New Roman" w:cs="Times New Roman" w:eastAsia="Times New Roman" w:hAnsi="Times New Roman"/>
                <w:sz w:val="17"/>
                <w:szCs w:val="17"/>
                <w:color w:val="auto"/>
              </w:rPr>
              <w:t>Generally accepted accounting principles in the U.S.</w:t>
            </w:r>
          </w:p>
        </w:tc>
      </w:tr>
      <w:tr>
        <w:trPr>
          <w:trHeight w:val="226"/>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GSEs</w:t>
            </w:r>
          </w:p>
        </w:tc>
        <w:tc>
          <w:tcPr>
            <w:tcW w:w="8860" w:type="dxa"/>
            <w:vAlign w:val="bottom"/>
            <w:shd w:val="clear" w:color="auto" w:fill="CCEEFF"/>
          </w:tcPr>
          <w:p>
            <w:pPr>
              <w:ind w:left="1320"/>
              <w:spacing w:after="0"/>
              <w:rPr>
                <w:sz w:val="20"/>
                <w:szCs w:val="20"/>
                <w:color w:val="auto"/>
              </w:rPr>
            </w:pPr>
            <w:r>
              <w:rPr>
                <w:rFonts w:ascii="Times New Roman" w:cs="Times New Roman" w:eastAsia="Times New Roman" w:hAnsi="Times New Roman"/>
                <w:sz w:val="17"/>
                <w:szCs w:val="17"/>
                <w:color w:val="auto"/>
              </w:rPr>
              <w:t>Government-Sponsored Enterprises (Fannie Mae and Freddie Mac)</w:t>
            </w:r>
          </w:p>
        </w:tc>
      </w:tr>
      <w:tr>
        <w:trPr>
          <w:trHeight w:val="219"/>
        </w:trPr>
        <w:tc>
          <w:tcPr>
            <w:tcW w:w="2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IBNR</w:t>
            </w:r>
          </w:p>
        </w:tc>
        <w:tc>
          <w:tcPr>
            <w:tcW w:w="8860" w:type="dxa"/>
            <w:vAlign w:val="bottom"/>
          </w:tcPr>
          <w:p>
            <w:pPr>
              <w:ind w:left="1320"/>
              <w:spacing w:after="0"/>
              <w:rPr>
                <w:sz w:val="20"/>
                <w:szCs w:val="20"/>
                <w:color w:val="auto"/>
              </w:rPr>
            </w:pPr>
            <w:r>
              <w:rPr>
                <w:rFonts w:ascii="Times New Roman" w:cs="Times New Roman" w:eastAsia="Times New Roman" w:hAnsi="Times New Roman"/>
                <w:sz w:val="17"/>
                <w:szCs w:val="17"/>
                <w:color w:val="auto"/>
              </w:rPr>
              <w:t>Incurred but not reported</w:t>
            </w:r>
          </w:p>
        </w:tc>
      </w:tr>
      <w:tr>
        <w:trPr>
          <w:trHeight w:val="226"/>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IIF</w:t>
            </w:r>
          </w:p>
        </w:tc>
        <w:tc>
          <w:tcPr>
            <w:tcW w:w="8860" w:type="dxa"/>
            <w:vAlign w:val="bottom"/>
            <w:shd w:val="clear" w:color="auto" w:fill="CCEEFF"/>
          </w:tcPr>
          <w:p>
            <w:pPr>
              <w:ind w:left="1320"/>
              <w:spacing w:after="0"/>
              <w:rPr>
                <w:sz w:val="20"/>
                <w:szCs w:val="20"/>
                <w:color w:val="auto"/>
              </w:rPr>
            </w:pPr>
            <w:r>
              <w:rPr>
                <w:rFonts w:ascii="Times New Roman" w:cs="Times New Roman" w:eastAsia="Times New Roman" w:hAnsi="Times New Roman"/>
                <w:sz w:val="17"/>
                <w:szCs w:val="17"/>
                <w:color w:val="auto"/>
              </w:rPr>
              <w:t>Insurance-in-force</w:t>
            </w:r>
          </w:p>
        </w:tc>
      </w:tr>
      <w:tr>
        <w:trPr>
          <w:trHeight w:val="219"/>
        </w:trPr>
        <w:tc>
          <w:tcPr>
            <w:tcW w:w="2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ILN</w:t>
            </w:r>
          </w:p>
        </w:tc>
        <w:tc>
          <w:tcPr>
            <w:tcW w:w="8860" w:type="dxa"/>
            <w:vAlign w:val="bottom"/>
          </w:tcPr>
          <w:p>
            <w:pPr>
              <w:ind w:left="1320"/>
              <w:spacing w:after="0"/>
              <w:rPr>
                <w:sz w:val="20"/>
                <w:szCs w:val="20"/>
                <w:color w:val="auto"/>
              </w:rPr>
            </w:pPr>
            <w:r>
              <w:rPr>
                <w:rFonts w:ascii="Times New Roman" w:cs="Times New Roman" w:eastAsia="Times New Roman" w:hAnsi="Times New Roman"/>
                <w:sz w:val="17"/>
                <w:szCs w:val="17"/>
                <w:color w:val="auto"/>
              </w:rPr>
              <w:t>Insurance-linked notes</w:t>
            </w:r>
          </w:p>
        </w:tc>
      </w:tr>
      <w:tr>
        <w:trPr>
          <w:trHeight w:val="226"/>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IRC</w:t>
            </w:r>
          </w:p>
        </w:tc>
        <w:tc>
          <w:tcPr>
            <w:tcW w:w="8860" w:type="dxa"/>
            <w:vAlign w:val="bottom"/>
            <w:shd w:val="clear" w:color="auto" w:fill="CCEEFF"/>
          </w:tcPr>
          <w:p>
            <w:pPr>
              <w:ind w:left="1320"/>
              <w:spacing w:after="0"/>
              <w:rPr>
                <w:sz w:val="20"/>
                <w:szCs w:val="20"/>
                <w:color w:val="auto"/>
              </w:rPr>
            </w:pPr>
            <w:r>
              <w:rPr>
                <w:rFonts w:ascii="Times New Roman" w:cs="Times New Roman" w:eastAsia="Times New Roman" w:hAnsi="Times New Roman"/>
                <w:sz w:val="17"/>
                <w:szCs w:val="17"/>
                <w:color w:val="auto"/>
              </w:rPr>
              <w:t>Internal revenue code</w:t>
            </w:r>
          </w:p>
        </w:tc>
      </w:tr>
      <w:tr>
        <w:trPr>
          <w:trHeight w:val="219"/>
        </w:trPr>
        <w:tc>
          <w:tcPr>
            <w:tcW w:w="2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w:t>
            </w:r>
          </w:p>
        </w:tc>
        <w:tc>
          <w:tcPr>
            <w:tcW w:w="8860" w:type="dxa"/>
            <w:vAlign w:val="bottom"/>
          </w:tcPr>
          <w:p>
            <w:pPr>
              <w:ind w:left="1320"/>
              <w:spacing w:after="0"/>
              <w:rPr>
                <w:sz w:val="20"/>
                <w:szCs w:val="20"/>
                <w:color w:val="auto"/>
              </w:rPr>
            </w:pPr>
            <w:r>
              <w:rPr>
                <w:rFonts w:ascii="Times New Roman" w:cs="Times New Roman" w:eastAsia="Times New Roman" w:hAnsi="Times New Roman"/>
                <w:sz w:val="17"/>
                <w:szCs w:val="17"/>
                <w:color w:val="auto"/>
              </w:rPr>
              <w:t>Information technology</w:t>
            </w:r>
          </w:p>
        </w:tc>
      </w:tr>
      <w:tr>
        <w:trPr>
          <w:trHeight w:val="226"/>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LTV</w:t>
            </w:r>
          </w:p>
        </w:tc>
        <w:tc>
          <w:tcPr>
            <w:tcW w:w="8860" w:type="dxa"/>
            <w:vAlign w:val="bottom"/>
            <w:shd w:val="clear" w:color="auto" w:fill="CCEEFF"/>
          </w:tcPr>
          <w:p>
            <w:pPr>
              <w:ind w:left="1320"/>
              <w:spacing w:after="0"/>
              <w:rPr>
                <w:sz w:val="20"/>
                <w:szCs w:val="20"/>
                <w:color w:val="auto"/>
              </w:rPr>
            </w:pPr>
            <w:r>
              <w:rPr>
                <w:rFonts w:ascii="Times New Roman" w:cs="Times New Roman" w:eastAsia="Times New Roman" w:hAnsi="Times New Roman"/>
                <w:sz w:val="17"/>
                <w:szCs w:val="17"/>
                <w:color w:val="auto"/>
              </w:rPr>
              <w:t>Loan-to-value</w:t>
            </w:r>
          </w:p>
        </w:tc>
      </w:tr>
      <w:tr>
        <w:trPr>
          <w:trHeight w:val="219"/>
        </w:trPr>
        <w:tc>
          <w:tcPr>
            <w:tcW w:w="2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LPMI</w:t>
            </w:r>
          </w:p>
        </w:tc>
        <w:tc>
          <w:tcPr>
            <w:tcW w:w="8860" w:type="dxa"/>
            <w:vAlign w:val="bottom"/>
          </w:tcPr>
          <w:p>
            <w:pPr>
              <w:ind w:left="1320"/>
              <w:spacing w:after="0"/>
              <w:rPr>
                <w:sz w:val="20"/>
                <w:szCs w:val="20"/>
                <w:color w:val="auto"/>
              </w:rPr>
            </w:pPr>
            <w:r>
              <w:rPr>
                <w:rFonts w:ascii="Times New Roman" w:cs="Times New Roman" w:eastAsia="Times New Roman" w:hAnsi="Times New Roman"/>
                <w:sz w:val="17"/>
                <w:szCs w:val="17"/>
                <w:color w:val="auto"/>
              </w:rPr>
              <w:t>Lender-paid mortgage insurance</w:t>
            </w:r>
          </w:p>
        </w:tc>
      </w:tr>
      <w:tr>
        <w:trPr>
          <w:trHeight w:val="226"/>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MI</w:t>
            </w:r>
          </w:p>
        </w:tc>
        <w:tc>
          <w:tcPr>
            <w:tcW w:w="8860" w:type="dxa"/>
            <w:vAlign w:val="bottom"/>
            <w:shd w:val="clear" w:color="auto" w:fill="CCEEFF"/>
          </w:tcPr>
          <w:p>
            <w:pPr>
              <w:ind w:left="1320"/>
              <w:spacing w:after="0"/>
              <w:rPr>
                <w:sz w:val="20"/>
                <w:szCs w:val="20"/>
                <w:color w:val="auto"/>
              </w:rPr>
            </w:pPr>
            <w:r>
              <w:rPr>
                <w:rFonts w:ascii="Times New Roman" w:cs="Times New Roman" w:eastAsia="Times New Roman" w:hAnsi="Times New Roman"/>
                <w:sz w:val="17"/>
                <w:szCs w:val="17"/>
                <w:color w:val="auto"/>
              </w:rPr>
              <w:t>Mortgage insurance</w:t>
            </w:r>
          </w:p>
        </w:tc>
      </w:tr>
      <w:tr>
        <w:trPr>
          <w:trHeight w:val="219"/>
        </w:trPr>
        <w:tc>
          <w:tcPr>
            <w:tcW w:w="2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NAIC</w:t>
            </w:r>
          </w:p>
        </w:tc>
        <w:tc>
          <w:tcPr>
            <w:tcW w:w="8860" w:type="dxa"/>
            <w:vAlign w:val="bottom"/>
          </w:tcPr>
          <w:p>
            <w:pPr>
              <w:ind w:left="1320"/>
              <w:spacing w:after="0"/>
              <w:rPr>
                <w:sz w:val="20"/>
                <w:szCs w:val="20"/>
                <w:color w:val="auto"/>
              </w:rPr>
            </w:pPr>
            <w:r>
              <w:rPr>
                <w:rFonts w:ascii="Times New Roman" w:cs="Times New Roman" w:eastAsia="Times New Roman" w:hAnsi="Times New Roman"/>
                <w:sz w:val="17"/>
                <w:szCs w:val="17"/>
                <w:color w:val="auto"/>
              </w:rPr>
              <w:t>National Association of Insurance Commissioners</w:t>
            </w:r>
          </w:p>
        </w:tc>
      </w:tr>
      <w:tr>
        <w:trPr>
          <w:trHeight w:val="226"/>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NIW</w:t>
            </w:r>
          </w:p>
        </w:tc>
        <w:tc>
          <w:tcPr>
            <w:tcW w:w="8860" w:type="dxa"/>
            <w:vAlign w:val="bottom"/>
            <w:shd w:val="clear" w:color="auto" w:fill="CCEEFF"/>
          </w:tcPr>
          <w:p>
            <w:pPr>
              <w:ind w:left="1320"/>
              <w:spacing w:after="0"/>
              <w:rPr>
                <w:sz w:val="20"/>
                <w:szCs w:val="20"/>
                <w:color w:val="auto"/>
              </w:rPr>
            </w:pPr>
            <w:r>
              <w:rPr>
                <w:rFonts w:ascii="Times New Roman" w:cs="Times New Roman" w:eastAsia="Times New Roman" w:hAnsi="Times New Roman"/>
                <w:sz w:val="17"/>
                <w:szCs w:val="17"/>
                <w:color w:val="auto"/>
              </w:rPr>
              <w:t>New insurance written</w:t>
            </w:r>
          </w:p>
        </w:tc>
      </w:tr>
      <w:tr>
        <w:trPr>
          <w:trHeight w:val="219"/>
        </w:trPr>
        <w:tc>
          <w:tcPr>
            <w:tcW w:w="2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NMIC</w:t>
            </w:r>
          </w:p>
        </w:tc>
        <w:tc>
          <w:tcPr>
            <w:tcW w:w="8860" w:type="dxa"/>
            <w:vAlign w:val="bottom"/>
          </w:tcPr>
          <w:p>
            <w:pPr>
              <w:ind w:left="1320"/>
              <w:spacing w:after="0"/>
              <w:rPr>
                <w:sz w:val="20"/>
                <w:szCs w:val="20"/>
                <w:color w:val="auto"/>
              </w:rPr>
            </w:pPr>
            <w:r>
              <w:rPr>
                <w:rFonts w:ascii="Times New Roman" w:cs="Times New Roman" w:eastAsia="Times New Roman" w:hAnsi="Times New Roman"/>
                <w:sz w:val="17"/>
                <w:szCs w:val="17"/>
                <w:color w:val="auto"/>
              </w:rPr>
              <w:t>National Mortgage Insurance Corporation, a subsidiary of NMI Holdings, Inc.</w:t>
            </w:r>
          </w:p>
        </w:tc>
      </w:tr>
      <w:tr>
        <w:trPr>
          <w:trHeight w:val="226"/>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NMIH</w:t>
            </w:r>
          </w:p>
        </w:tc>
        <w:tc>
          <w:tcPr>
            <w:tcW w:w="8860" w:type="dxa"/>
            <w:vAlign w:val="bottom"/>
            <w:shd w:val="clear" w:color="auto" w:fill="CCEEFF"/>
          </w:tcPr>
          <w:p>
            <w:pPr>
              <w:ind w:left="1320"/>
              <w:spacing w:after="0"/>
              <w:rPr>
                <w:sz w:val="20"/>
                <w:szCs w:val="20"/>
                <w:color w:val="auto"/>
              </w:rPr>
            </w:pPr>
            <w:r>
              <w:rPr>
                <w:rFonts w:ascii="Times New Roman" w:cs="Times New Roman" w:eastAsia="Times New Roman" w:hAnsi="Times New Roman"/>
                <w:sz w:val="17"/>
                <w:szCs w:val="17"/>
                <w:color w:val="auto"/>
              </w:rPr>
              <w:t>NMI Holdings, Inc.</w:t>
            </w:r>
          </w:p>
        </w:tc>
      </w:tr>
      <w:tr>
        <w:trPr>
          <w:trHeight w:val="219"/>
        </w:trPr>
        <w:tc>
          <w:tcPr>
            <w:tcW w:w="2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NMIS</w:t>
            </w:r>
          </w:p>
        </w:tc>
        <w:tc>
          <w:tcPr>
            <w:tcW w:w="8860" w:type="dxa"/>
            <w:vAlign w:val="bottom"/>
          </w:tcPr>
          <w:p>
            <w:pPr>
              <w:ind w:left="1320"/>
              <w:spacing w:after="0"/>
              <w:rPr>
                <w:sz w:val="20"/>
                <w:szCs w:val="20"/>
                <w:color w:val="auto"/>
              </w:rPr>
            </w:pPr>
            <w:r>
              <w:rPr>
                <w:rFonts w:ascii="Times New Roman" w:cs="Times New Roman" w:eastAsia="Times New Roman" w:hAnsi="Times New Roman"/>
                <w:sz w:val="17"/>
                <w:szCs w:val="17"/>
                <w:color w:val="auto"/>
              </w:rPr>
              <w:t>National Mortgage Insurance Services, Inc., a subsidiary of NMI Holdings, Inc.</w:t>
            </w:r>
          </w:p>
        </w:tc>
      </w:tr>
      <w:tr>
        <w:trPr>
          <w:trHeight w:val="226"/>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PMIERs</w:t>
            </w:r>
          </w:p>
        </w:tc>
        <w:tc>
          <w:tcPr>
            <w:tcW w:w="8860" w:type="dxa"/>
            <w:vAlign w:val="bottom"/>
            <w:shd w:val="clear" w:color="auto" w:fill="CCEEFF"/>
          </w:tcPr>
          <w:p>
            <w:pPr>
              <w:ind w:left="1320"/>
              <w:spacing w:after="0"/>
              <w:rPr>
                <w:sz w:val="20"/>
                <w:szCs w:val="20"/>
                <w:color w:val="auto"/>
              </w:rPr>
            </w:pPr>
            <w:r>
              <w:rPr>
                <w:rFonts w:ascii="Times New Roman" w:cs="Times New Roman" w:eastAsia="Times New Roman" w:hAnsi="Times New Roman"/>
                <w:sz w:val="17"/>
                <w:szCs w:val="17"/>
                <w:color w:val="auto"/>
              </w:rPr>
              <w:t>Private mortgage insurer eligibility requirements</w:t>
            </w:r>
          </w:p>
        </w:tc>
      </w:tr>
      <w:tr>
        <w:trPr>
          <w:trHeight w:val="219"/>
        </w:trPr>
        <w:tc>
          <w:tcPr>
            <w:tcW w:w="2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QSR</w:t>
            </w:r>
          </w:p>
        </w:tc>
        <w:tc>
          <w:tcPr>
            <w:tcW w:w="8860" w:type="dxa"/>
            <w:vAlign w:val="bottom"/>
          </w:tcPr>
          <w:p>
            <w:pPr>
              <w:ind w:left="1320"/>
              <w:spacing w:after="0"/>
              <w:rPr>
                <w:sz w:val="20"/>
                <w:szCs w:val="20"/>
                <w:color w:val="auto"/>
              </w:rPr>
            </w:pPr>
            <w:r>
              <w:rPr>
                <w:rFonts w:ascii="Times New Roman" w:cs="Times New Roman" w:eastAsia="Times New Roman" w:hAnsi="Times New Roman"/>
                <w:sz w:val="17"/>
                <w:szCs w:val="17"/>
                <w:color w:val="auto"/>
              </w:rPr>
              <w:t>Quota share reinsurance</w:t>
            </w:r>
          </w:p>
        </w:tc>
      </w:tr>
      <w:tr>
        <w:trPr>
          <w:trHeight w:val="226"/>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Rate card</w:t>
            </w:r>
          </w:p>
        </w:tc>
        <w:tc>
          <w:tcPr>
            <w:tcW w:w="8860" w:type="dxa"/>
            <w:vAlign w:val="bottom"/>
            <w:shd w:val="clear" w:color="auto" w:fill="CCEEFF"/>
          </w:tcPr>
          <w:p>
            <w:pPr>
              <w:ind w:left="1320"/>
              <w:spacing w:after="0"/>
              <w:rPr>
                <w:sz w:val="20"/>
                <w:szCs w:val="20"/>
                <w:color w:val="auto"/>
              </w:rPr>
            </w:pPr>
            <w:r>
              <w:rPr>
                <w:rFonts w:ascii="Times New Roman" w:cs="Times New Roman" w:eastAsia="Times New Roman" w:hAnsi="Times New Roman"/>
                <w:sz w:val="17"/>
                <w:szCs w:val="17"/>
                <w:color w:val="auto"/>
              </w:rPr>
              <w:t>A fixed schedule of mortgage insurance premium rates applied uniformly across defined loan categories</w:t>
            </w:r>
          </w:p>
        </w:tc>
      </w:tr>
      <w:tr>
        <w:trPr>
          <w:trHeight w:val="222"/>
        </w:trPr>
        <w:tc>
          <w:tcPr>
            <w:tcW w:w="2380" w:type="dxa"/>
            <w:vAlign w:val="bottom"/>
          </w:tcPr>
          <w:p>
            <w:pPr>
              <w:ind w:left="20"/>
              <w:spacing w:after="0" w:line="222" w:lineRule="exact"/>
              <w:rPr>
                <w:sz w:val="20"/>
                <w:szCs w:val="20"/>
                <w:color w:val="auto"/>
              </w:rPr>
            </w:pPr>
            <w:r>
              <w:rPr>
                <w:rFonts w:ascii="Times New Roman" w:cs="Times New Roman" w:eastAsia="Times New Roman" w:hAnsi="Times New Roman"/>
                <w:sz w:val="17"/>
                <w:szCs w:val="17"/>
                <w:color w:val="auto"/>
              </w:rPr>
              <w:t>Rate GPS</w:t>
            </w:r>
            <w:r>
              <w:rPr>
                <w:rFonts w:ascii="Times New Roman" w:cs="Times New Roman" w:eastAsia="Times New Roman" w:hAnsi="Times New Roman"/>
                <w:sz w:val="21"/>
                <w:szCs w:val="21"/>
                <w:color w:val="auto"/>
                <w:vertAlign w:val="superscript"/>
              </w:rPr>
              <w:t>®</w:t>
            </w:r>
          </w:p>
        </w:tc>
        <w:tc>
          <w:tcPr>
            <w:tcW w:w="8860" w:type="dxa"/>
            <w:vAlign w:val="bottom"/>
          </w:tcPr>
          <w:p>
            <w:pPr>
              <w:ind w:left="1320"/>
              <w:spacing w:after="0"/>
              <w:rPr>
                <w:sz w:val="20"/>
                <w:szCs w:val="20"/>
                <w:color w:val="auto"/>
              </w:rPr>
            </w:pPr>
            <w:r>
              <w:rPr>
                <w:rFonts w:ascii="Times New Roman" w:cs="Times New Roman" w:eastAsia="Times New Roman" w:hAnsi="Times New Roman"/>
                <w:sz w:val="17"/>
                <w:szCs w:val="17"/>
                <w:color w:val="auto"/>
              </w:rPr>
              <w:t>Our proprietary risk-based pricing platform</w:t>
            </w:r>
          </w:p>
        </w:tc>
      </w:tr>
      <w:tr>
        <w:trPr>
          <w:trHeight w:val="222"/>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 One</w:t>
            </w:r>
          </w:p>
        </w:tc>
        <w:tc>
          <w:tcPr>
            <w:tcW w:w="8860" w:type="dxa"/>
            <w:vAlign w:val="bottom"/>
            <w:shd w:val="clear" w:color="auto" w:fill="CCEEFF"/>
          </w:tcPr>
          <w:p>
            <w:pPr>
              <w:ind w:left="1320"/>
              <w:spacing w:after="0"/>
              <w:rPr>
                <w:sz w:val="20"/>
                <w:szCs w:val="20"/>
                <w:color w:val="auto"/>
              </w:rPr>
            </w:pPr>
            <w:r>
              <w:rPr>
                <w:rFonts w:ascii="Times New Roman" w:cs="Times New Roman" w:eastAsia="Times New Roman" w:hAnsi="Times New Roman"/>
                <w:sz w:val="17"/>
                <w:szCs w:val="17"/>
                <w:color w:val="auto"/>
              </w:rPr>
              <w:t>National Mortgage Reinsurance Inc. One</w:t>
            </w:r>
          </w:p>
        </w:tc>
      </w:tr>
      <w:tr>
        <w:trPr>
          <w:trHeight w:val="219"/>
        </w:trPr>
        <w:tc>
          <w:tcPr>
            <w:tcW w:w="2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RIF</w:t>
            </w:r>
          </w:p>
        </w:tc>
        <w:tc>
          <w:tcPr>
            <w:tcW w:w="8860" w:type="dxa"/>
            <w:vAlign w:val="bottom"/>
          </w:tcPr>
          <w:p>
            <w:pPr>
              <w:ind w:left="1320"/>
              <w:spacing w:after="0"/>
              <w:rPr>
                <w:sz w:val="20"/>
                <w:szCs w:val="20"/>
                <w:color w:val="auto"/>
              </w:rPr>
            </w:pPr>
            <w:r>
              <w:rPr>
                <w:rFonts w:ascii="Times New Roman" w:cs="Times New Roman" w:eastAsia="Times New Roman" w:hAnsi="Times New Roman"/>
                <w:sz w:val="17"/>
                <w:szCs w:val="17"/>
                <w:color w:val="auto"/>
              </w:rPr>
              <w:t>Risk-in-force</w:t>
            </w:r>
          </w:p>
        </w:tc>
      </w:tr>
      <w:tr>
        <w:trPr>
          <w:trHeight w:val="226"/>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RSU</w:t>
            </w:r>
          </w:p>
        </w:tc>
        <w:tc>
          <w:tcPr>
            <w:tcW w:w="8860" w:type="dxa"/>
            <w:vAlign w:val="bottom"/>
            <w:shd w:val="clear" w:color="auto" w:fill="CCEEFF"/>
          </w:tcPr>
          <w:p>
            <w:pPr>
              <w:ind w:left="1320"/>
              <w:spacing w:after="0"/>
              <w:rPr>
                <w:sz w:val="20"/>
                <w:szCs w:val="20"/>
                <w:color w:val="auto"/>
              </w:rPr>
            </w:pPr>
            <w:r>
              <w:rPr>
                <w:rFonts w:ascii="Times New Roman" w:cs="Times New Roman" w:eastAsia="Times New Roman" w:hAnsi="Times New Roman"/>
                <w:sz w:val="17"/>
                <w:szCs w:val="17"/>
                <w:color w:val="auto"/>
              </w:rPr>
              <w:t>Restricted stock units</w:t>
            </w:r>
          </w:p>
        </w:tc>
      </w:tr>
      <w:tr>
        <w:trPr>
          <w:trHeight w:val="219"/>
        </w:trPr>
        <w:tc>
          <w:tcPr>
            <w:tcW w:w="2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RTC</w:t>
            </w:r>
          </w:p>
        </w:tc>
        <w:tc>
          <w:tcPr>
            <w:tcW w:w="8860" w:type="dxa"/>
            <w:vAlign w:val="bottom"/>
          </w:tcPr>
          <w:p>
            <w:pPr>
              <w:ind w:left="1320"/>
              <w:spacing w:after="0"/>
              <w:rPr>
                <w:sz w:val="20"/>
                <w:szCs w:val="20"/>
                <w:color w:val="auto"/>
              </w:rPr>
            </w:pPr>
            <w:r>
              <w:rPr>
                <w:rFonts w:ascii="Times New Roman" w:cs="Times New Roman" w:eastAsia="Times New Roman" w:hAnsi="Times New Roman"/>
                <w:sz w:val="17"/>
                <w:szCs w:val="17"/>
                <w:color w:val="auto"/>
              </w:rPr>
              <w:t>Risk-to-capital</w:t>
            </w:r>
          </w:p>
        </w:tc>
      </w:tr>
      <w:tr>
        <w:trPr>
          <w:trHeight w:val="226"/>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SAP</w:t>
            </w:r>
          </w:p>
        </w:tc>
        <w:tc>
          <w:tcPr>
            <w:tcW w:w="8860" w:type="dxa"/>
            <w:vAlign w:val="bottom"/>
            <w:shd w:val="clear" w:color="auto" w:fill="CCEEFF"/>
          </w:tcPr>
          <w:p>
            <w:pPr>
              <w:ind w:left="1320"/>
              <w:spacing w:after="0"/>
              <w:rPr>
                <w:sz w:val="20"/>
                <w:szCs w:val="20"/>
                <w:color w:val="auto"/>
              </w:rPr>
            </w:pPr>
            <w:r>
              <w:rPr>
                <w:rFonts w:ascii="Times New Roman" w:cs="Times New Roman" w:eastAsia="Times New Roman" w:hAnsi="Times New Roman"/>
                <w:sz w:val="17"/>
                <w:szCs w:val="17"/>
                <w:color w:val="auto"/>
              </w:rPr>
              <w:t>Statutory accounting principles</w:t>
            </w:r>
          </w:p>
        </w:tc>
      </w:tr>
      <w:tr>
        <w:trPr>
          <w:trHeight w:val="219"/>
        </w:trPr>
        <w:tc>
          <w:tcPr>
            <w:tcW w:w="2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SEC</w:t>
            </w:r>
          </w:p>
        </w:tc>
        <w:tc>
          <w:tcPr>
            <w:tcW w:w="8860" w:type="dxa"/>
            <w:vAlign w:val="bottom"/>
          </w:tcPr>
          <w:p>
            <w:pPr>
              <w:ind w:left="1320"/>
              <w:spacing w:after="0"/>
              <w:rPr>
                <w:sz w:val="20"/>
                <w:szCs w:val="20"/>
                <w:color w:val="auto"/>
              </w:rPr>
            </w:pPr>
            <w:r>
              <w:rPr>
                <w:rFonts w:ascii="Times New Roman" w:cs="Times New Roman" w:eastAsia="Times New Roman" w:hAnsi="Times New Roman"/>
                <w:sz w:val="17"/>
                <w:szCs w:val="17"/>
                <w:color w:val="auto"/>
              </w:rPr>
              <w:t>United States Securities and Exchange Commission</w:t>
            </w:r>
          </w:p>
        </w:tc>
      </w:tr>
      <w:tr>
        <w:trPr>
          <w:trHeight w:val="226"/>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SOFR</w:t>
            </w:r>
          </w:p>
        </w:tc>
        <w:tc>
          <w:tcPr>
            <w:tcW w:w="8860" w:type="dxa"/>
            <w:vAlign w:val="bottom"/>
            <w:shd w:val="clear" w:color="auto" w:fill="CCEEFF"/>
          </w:tcPr>
          <w:p>
            <w:pPr>
              <w:ind w:left="1320"/>
              <w:spacing w:after="0"/>
              <w:rPr>
                <w:sz w:val="20"/>
                <w:szCs w:val="20"/>
                <w:color w:val="auto"/>
              </w:rPr>
            </w:pPr>
            <w:r>
              <w:rPr>
                <w:rFonts w:ascii="Times New Roman" w:cs="Times New Roman" w:eastAsia="Times New Roman" w:hAnsi="Times New Roman"/>
                <w:sz w:val="17"/>
                <w:szCs w:val="17"/>
                <w:color w:val="auto"/>
              </w:rPr>
              <w:t>Secured Overnight Financing Rate</w:t>
            </w:r>
          </w:p>
        </w:tc>
      </w:tr>
      <w:tr>
        <w:trPr>
          <w:trHeight w:val="219"/>
        </w:trPr>
        <w:tc>
          <w:tcPr>
            <w:tcW w:w="2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Wisconsin OCI</w:t>
            </w:r>
          </w:p>
        </w:tc>
        <w:tc>
          <w:tcPr>
            <w:tcW w:w="8860" w:type="dxa"/>
            <w:vAlign w:val="bottom"/>
          </w:tcPr>
          <w:p>
            <w:pPr>
              <w:ind w:left="1320"/>
              <w:spacing w:after="0"/>
              <w:rPr>
                <w:sz w:val="20"/>
                <w:szCs w:val="20"/>
                <w:color w:val="auto"/>
              </w:rPr>
            </w:pPr>
            <w:r>
              <w:rPr>
                <w:rFonts w:ascii="Times New Roman" w:cs="Times New Roman" w:eastAsia="Times New Roman" w:hAnsi="Times New Roman"/>
                <w:sz w:val="17"/>
                <w:szCs w:val="17"/>
                <w:color w:val="auto"/>
              </w:rPr>
              <w:t>The Wisconsin Office of the Commissioner of Insurance</w:t>
            </w:r>
          </w:p>
        </w:tc>
      </w:tr>
      <w:tr>
        <w:trPr>
          <w:trHeight w:val="226"/>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XOL</w:t>
            </w:r>
          </w:p>
        </w:tc>
        <w:tc>
          <w:tcPr>
            <w:tcW w:w="8860" w:type="dxa"/>
            <w:vAlign w:val="bottom"/>
            <w:shd w:val="clear" w:color="auto" w:fill="CCEEFF"/>
          </w:tcPr>
          <w:p>
            <w:pPr>
              <w:ind w:left="1320"/>
              <w:spacing w:after="0"/>
              <w:rPr>
                <w:sz w:val="20"/>
                <w:szCs w:val="20"/>
                <w:color w:val="auto"/>
              </w:rPr>
            </w:pPr>
            <w:r>
              <w:rPr>
                <w:rFonts w:ascii="Times New Roman" w:cs="Times New Roman" w:eastAsia="Times New Roman" w:hAnsi="Times New Roman"/>
                <w:sz w:val="17"/>
                <w:szCs w:val="17"/>
                <w:color w:val="auto"/>
              </w:rPr>
              <w:t>Excess-of-loss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b w:val="1"/>
          <w:bCs w:val="1"/>
          <w:color w:val="auto"/>
        </w:rPr>
        <w:t>CAUTIONARY NOTE REGARDING FORWARD-LOOKING STATEMENTS</w:t>
      </w:r>
    </w:p>
    <w:p>
      <w:pPr>
        <w:spacing w:after="0" w:line="172" w:lineRule="exact"/>
        <w:rPr>
          <w:sz w:val="20"/>
          <w:szCs w:val="20"/>
          <w:color w:val="auto"/>
        </w:rPr>
      </w:pPr>
    </w:p>
    <w:p>
      <w:pPr>
        <w:jc w:val="both"/>
        <w:ind w:firstLine="171"/>
        <w:spacing w:after="0" w:line="259" w:lineRule="auto"/>
        <w:rPr>
          <w:sz w:val="20"/>
          <w:szCs w:val="20"/>
          <w:color w:val="auto"/>
        </w:rPr>
      </w:pPr>
      <w:r>
        <w:rPr>
          <w:rFonts w:ascii="Times New Roman" w:cs="Times New Roman" w:eastAsia="Times New Roman" w:hAnsi="Times New Roman"/>
          <w:sz w:val="17"/>
          <w:szCs w:val="17"/>
          <w:color w:val="auto"/>
        </w:rPr>
        <w:t>This report contains forward-looking statements within the meaning of Section 27A of the Securities Act of 1933, as amended (Securities Act), Section 21E of the Securities Exchange Act of 1934, as amended (Exchange Act), and the U.S. Private Securities Litigation Reform Act of 1995. Any statements about our expectations, outlook, beliefs, plans, predictions, forecasts, objectives, assumptions or future events or performance are not historical facts and may be forward-looking. These statements are often, but not always, made through the use of words or phrases such as “anticipate,” “believe,” “can,” “could,” “may,” “predict,” “assume,” “potential,” “should,” “will,” “estimate,” “perceive,” “plan,” “project,” “continuing,” “ongoing,” “expect,” “intend” or words of similar meaning and include, but are not limited to, statements regarding the outlook for our future business and financial performance. All forward-looking statements are necessarily only estimates of future results, and actual results may differ materially from expectations. You are, therefore, cautioned not to place undue reliance on such statements, which should be read in conjunction with the other cautionary statements that are included elsewhere in this report. Further, any forward-looking statement speaks only as of the date on which it is made, and we undertake no obligation to update or revise any forward-looking statement to reflect events or circumstances after the date on which the statement is made or to reflect the occurrence of unanticipated events. We have based these forward-looking statements on our current expectations and projections about future events and financial trends that we believe may affect our financial condition, operating results, business strategy and financial needs. There are important factors that could cause our actual results, level of activity, performance or achievements to differ materially from the results, level of activity, performance or achievements expressed or implied by the forward-looking statements including, but not limited to:</w:t>
      </w:r>
    </w:p>
    <w:p>
      <w:pPr>
        <w:spacing w:after="0" w:line="342" w:lineRule="exact"/>
        <w:rPr>
          <w:sz w:val="20"/>
          <w:szCs w:val="20"/>
          <w:color w:val="auto"/>
        </w:rPr>
      </w:pPr>
    </w:p>
    <w:p>
      <w:pPr>
        <w:jc w:val="both"/>
        <w:ind w:left="940" w:hanging="308"/>
        <w:spacing w:after="0" w:line="269" w:lineRule="auto"/>
        <w:tabs>
          <w:tab w:leader="none" w:pos="93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general economic, market and political conditions and policies (including changes in interest rates and inflation) and investment results or other conditions that affect the U.S. housing market or the U.S. markets for home mortgages, mortgage insurance, reinsurance and credit risk transfer markets, including the risk related to geopolitical instability, inflation, an economic downturn (including any decline in home prices) or recession, international trade policies in areas such as tariffs or other trade restrictions, and their impacts on our business, operations and personnel;</w:t>
      </w:r>
    </w:p>
    <w:p>
      <w:pPr>
        <w:spacing w:after="0" w:line="116" w:lineRule="exact"/>
        <w:rPr>
          <w:rFonts w:ascii="Times New Roman" w:cs="Times New Roman" w:eastAsia="Times New Roman" w:hAnsi="Times New Roman"/>
          <w:sz w:val="17"/>
          <w:szCs w:val="17"/>
          <w:color w:val="auto"/>
        </w:rPr>
      </w:pPr>
    </w:p>
    <w:p>
      <w:pPr>
        <w:jc w:val="both"/>
        <w:ind w:left="940" w:hanging="308"/>
        <w:spacing w:after="0" w:line="266" w:lineRule="auto"/>
        <w:tabs>
          <w:tab w:leader="none" w:pos="93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charters, business practices, policy, pricing or priorities of Fannie Mae and Freddie Mac (collectively, the GSEs), which may include decisions that have the impact of decreasing or discontinuing the use of mortgage insurance as credit enhancement generally, or with first-time homebuyers or on very high- loan-to-value mortgages; or changes in the direction of housing policy objectives of the Federal Housing Finance Agency (FHFA), such as the FHFA's priority to increase the accessibility to and affordability of homeownership for low-and-moderate income borrowers and underrepresented communities;</w:t>
      </w:r>
    </w:p>
    <w:p>
      <w:pPr>
        <w:spacing w:after="0" w:line="118" w:lineRule="exact"/>
        <w:rPr>
          <w:rFonts w:ascii="Times New Roman" w:cs="Times New Roman" w:eastAsia="Times New Roman" w:hAnsi="Times New Roman"/>
          <w:sz w:val="17"/>
          <w:szCs w:val="17"/>
          <w:color w:val="auto"/>
        </w:rPr>
      </w:pPr>
    </w:p>
    <w:p>
      <w:pPr>
        <w:ind w:left="940" w:hanging="308"/>
        <w:spacing w:after="0" w:line="295" w:lineRule="auto"/>
        <w:tabs>
          <w:tab w:leader="none" w:pos="93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remain an eligible mortgage insurer under the private mortgage insurer eligibility requirements (PMIERs) and other requirements imposed by the GSEs, which they may change at any time;</w:t>
      </w:r>
    </w:p>
    <w:p>
      <w:pPr>
        <w:spacing w:after="0" w:line="94" w:lineRule="exact"/>
        <w:rPr>
          <w:rFonts w:ascii="Times New Roman" w:cs="Times New Roman" w:eastAsia="Times New Roman" w:hAnsi="Times New Roman"/>
          <w:sz w:val="17"/>
          <w:szCs w:val="17"/>
          <w:color w:val="auto"/>
        </w:rPr>
      </w:pPr>
    </w:p>
    <w:p>
      <w:pPr>
        <w:ind w:left="940" w:hanging="308"/>
        <w:spacing w:after="0" w:line="295" w:lineRule="auto"/>
        <w:tabs>
          <w:tab w:leader="none" w:pos="93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retention of our existing certificates of authority in each state and the District of Columbia (D.C.) and our ability to remain a mortgage insurer in good standing in each state and D.C.;</w:t>
      </w:r>
    </w:p>
    <w:p>
      <w:pPr>
        <w:spacing w:after="0" w:line="94" w:lineRule="exact"/>
        <w:rPr>
          <w:rFonts w:ascii="Times New Roman" w:cs="Times New Roman" w:eastAsia="Times New Roman" w:hAnsi="Times New Roman"/>
          <w:sz w:val="17"/>
          <w:szCs w:val="17"/>
          <w:color w:val="auto"/>
        </w:rPr>
      </w:pPr>
    </w:p>
    <w:p>
      <w:pPr>
        <w:ind w:left="940" w:hanging="308"/>
        <w:spacing w:after="0"/>
        <w:tabs>
          <w:tab w:leader="none" w:pos="9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future profitability, liquidity and capital resources;</w:t>
      </w:r>
    </w:p>
    <w:p>
      <w:pPr>
        <w:spacing w:after="0" w:line="170" w:lineRule="exact"/>
        <w:rPr>
          <w:rFonts w:ascii="Times New Roman" w:cs="Times New Roman" w:eastAsia="Times New Roman" w:hAnsi="Times New Roman"/>
          <w:sz w:val="17"/>
          <w:szCs w:val="17"/>
          <w:color w:val="auto"/>
        </w:rPr>
      </w:pPr>
    </w:p>
    <w:p>
      <w:pPr>
        <w:jc w:val="both"/>
        <w:ind w:left="940" w:hanging="308"/>
        <w:spacing w:after="0" w:line="276" w:lineRule="auto"/>
        <w:tabs>
          <w:tab w:leader="none" w:pos="93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actions of existing competitors, including other private mortgage insurers and government mortgage insurers such as the Federal Housing Administration (FHA), the U.S. Department of Agriculture's Rural Housing Service (USDA) and the U.S. Department of Veterans Affairs(VA) (collectively, government MIs), and potential market entry by new competitors or consolidation of existing competitors;</w:t>
      </w:r>
    </w:p>
    <w:p>
      <w:pPr>
        <w:spacing w:after="0" w:line="109" w:lineRule="exact"/>
        <w:rPr>
          <w:rFonts w:ascii="Times New Roman" w:cs="Times New Roman" w:eastAsia="Times New Roman" w:hAnsi="Times New Roman"/>
          <w:sz w:val="17"/>
          <w:szCs w:val="17"/>
          <w:color w:val="auto"/>
        </w:rPr>
      </w:pPr>
    </w:p>
    <w:p>
      <w:pPr>
        <w:jc w:val="both"/>
        <w:ind w:left="940" w:hanging="308"/>
        <w:spacing w:after="0" w:line="276" w:lineRule="auto"/>
        <w:tabs>
          <w:tab w:leader="none" w:pos="93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adoption of new or changes to existing laws, rules and regulations that impact our business or financial condition directly or the mortgage insurance industry generally or their enforcement and implementation by regulators, including the implementation of the final rules defining and/or concerning “Qualified Mortgage” and “Qualified Residential Mortgage”;</w:t>
      </w:r>
    </w:p>
    <w:p>
      <w:pPr>
        <w:spacing w:after="0" w:line="109" w:lineRule="exact"/>
        <w:rPr>
          <w:rFonts w:ascii="Times New Roman" w:cs="Times New Roman" w:eastAsia="Times New Roman" w:hAnsi="Times New Roman"/>
          <w:sz w:val="17"/>
          <w:szCs w:val="17"/>
          <w:color w:val="auto"/>
        </w:rPr>
      </w:pPr>
    </w:p>
    <w:p>
      <w:pPr>
        <w:ind w:left="940" w:hanging="308"/>
        <w:spacing w:after="0"/>
        <w:tabs>
          <w:tab w:leader="none" w:pos="9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 federal tax reform and other potential changes in tax law and their impact on us and our operations;</w:t>
      </w:r>
    </w:p>
    <w:p>
      <w:pPr>
        <w:spacing w:after="0" w:line="170" w:lineRule="exact"/>
        <w:rPr>
          <w:rFonts w:ascii="Times New Roman" w:cs="Times New Roman" w:eastAsia="Times New Roman" w:hAnsi="Times New Roman"/>
          <w:sz w:val="17"/>
          <w:szCs w:val="17"/>
          <w:color w:val="auto"/>
        </w:rPr>
      </w:pPr>
    </w:p>
    <w:p>
      <w:pPr>
        <w:ind w:left="940" w:hanging="308"/>
        <w:spacing w:after="0" w:line="295" w:lineRule="auto"/>
        <w:tabs>
          <w:tab w:leader="none" w:pos="93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legislative or regulatory changes to the GSEs' role in the secondary mortgage market or other changes that could affect the residential mortgage industry generally or mortgage insurance industry in particular;</w:t>
      </w:r>
    </w:p>
    <w:p>
      <w:pPr>
        <w:spacing w:after="0" w:line="94" w:lineRule="exact"/>
        <w:rPr>
          <w:rFonts w:ascii="Times New Roman" w:cs="Times New Roman" w:eastAsia="Times New Roman" w:hAnsi="Times New Roman"/>
          <w:sz w:val="17"/>
          <w:szCs w:val="17"/>
          <w:color w:val="auto"/>
        </w:rPr>
      </w:pPr>
    </w:p>
    <w:p>
      <w:pPr>
        <w:ind w:left="940" w:hanging="308"/>
        <w:spacing w:after="0" w:line="295" w:lineRule="auto"/>
        <w:tabs>
          <w:tab w:leader="none" w:pos="93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legal and regulatory claims, investigations, actions, audits or inquiries that could result in adverse judgments, settlements, fines or other reliefs that could require significant expenditures or have other negative effects on our business;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4" w:name="page5"/>
    <w:bookmarkEnd w:id="4"/>
    <w:p>
      <w:pPr>
        <w:ind w:left="940" w:hanging="308"/>
        <w:spacing w:after="0" w:line="295" w:lineRule="auto"/>
        <w:tabs>
          <w:tab w:leader="none" w:pos="93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successfully execute and implement our capital plans, including our ability to access the equity, credit and reinsurance markets and to enter into, and receive approval of, reinsurance arrangements on terms and conditions that are acceptable to us, the GSEs and our regulators;</w:t>
      </w:r>
    </w:p>
    <w:p>
      <w:pPr>
        <w:spacing w:after="0" w:line="94" w:lineRule="exact"/>
        <w:rPr>
          <w:rFonts w:ascii="Times New Roman" w:cs="Times New Roman" w:eastAsia="Times New Roman" w:hAnsi="Times New Roman"/>
          <w:sz w:val="17"/>
          <w:szCs w:val="17"/>
          <w:color w:val="auto"/>
        </w:rPr>
      </w:pPr>
    </w:p>
    <w:p>
      <w:pPr>
        <w:ind w:left="940" w:hanging="308"/>
        <w:spacing w:after="0"/>
        <w:tabs>
          <w:tab w:leader="none" w:pos="9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lenders, the GSEs, or other market participants seeking alternatives to private mortgage insurance;</w:t>
      </w:r>
    </w:p>
    <w:p>
      <w:pPr>
        <w:spacing w:after="0" w:line="170" w:lineRule="exact"/>
        <w:rPr>
          <w:rFonts w:ascii="Times New Roman" w:cs="Times New Roman" w:eastAsia="Times New Roman" w:hAnsi="Times New Roman"/>
          <w:sz w:val="17"/>
          <w:szCs w:val="17"/>
          <w:color w:val="auto"/>
        </w:rPr>
      </w:pPr>
    </w:p>
    <w:p>
      <w:pPr>
        <w:jc w:val="both"/>
        <w:ind w:left="940" w:hanging="308"/>
        <w:spacing w:after="0" w:line="276" w:lineRule="auto"/>
        <w:tabs>
          <w:tab w:leader="none" w:pos="93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implement our business strategy, including our ability to write mortgage insurance on high quality low down payment residential mortgage loans, implement successfully and on a timely basis, complex infrastructure, systems, procedures, and internal controls to support our business and regulatory and reporting requirements of the insurance industry;</w:t>
      </w:r>
    </w:p>
    <w:p>
      <w:pPr>
        <w:spacing w:after="0" w:line="109" w:lineRule="exact"/>
        <w:rPr>
          <w:rFonts w:ascii="Times New Roman" w:cs="Times New Roman" w:eastAsia="Times New Roman" w:hAnsi="Times New Roman"/>
          <w:sz w:val="17"/>
          <w:szCs w:val="17"/>
          <w:color w:val="auto"/>
        </w:rPr>
      </w:pPr>
    </w:p>
    <w:p>
      <w:pPr>
        <w:ind w:left="940" w:hanging="308"/>
        <w:spacing w:after="0"/>
        <w:tabs>
          <w:tab w:leader="none" w:pos="9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attract and retain a diverse customer base, including the largest mortgage originators;</w:t>
      </w:r>
    </w:p>
    <w:p>
      <w:pPr>
        <w:spacing w:after="0" w:line="170" w:lineRule="exact"/>
        <w:rPr>
          <w:rFonts w:ascii="Times New Roman" w:cs="Times New Roman" w:eastAsia="Times New Roman" w:hAnsi="Times New Roman"/>
          <w:sz w:val="17"/>
          <w:szCs w:val="17"/>
          <w:color w:val="auto"/>
        </w:rPr>
      </w:pPr>
    </w:p>
    <w:p>
      <w:pPr>
        <w:ind w:left="940" w:hanging="308"/>
        <w:spacing w:after="0"/>
        <w:tabs>
          <w:tab w:leader="none" w:pos="9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of risk management or pricing or investment strategies;</w:t>
      </w:r>
    </w:p>
    <w:p>
      <w:pPr>
        <w:spacing w:after="0" w:line="170" w:lineRule="exact"/>
        <w:rPr>
          <w:rFonts w:ascii="Times New Roman" w:cs="Times New Roman" w:eastAsia="Times New Roman" w:hAnsi="Times New Roman"/>
          <w:sz w:val="17"/>
          <w:szCs w:val="17"/>
          <w:color w:val="auto"/>
        </w:rPr>
      </w:pPr>
    </w:p>
    <w:p>
      <w:pPr>
        <w:ind w:left="940" w:hanging="308"/>
        <w:spacing w:after="0"/>
        <w:tabs>
          <w:tab w:leader="none" w:pos="9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decrease in the length of time our insurance policies are in force;</w:t>
      </w:r>
    </w:p>
    <w:p>
      <w:pPr>
        <w:spacing w:after="0" w:line="170" w:lineRule="exact"/>
        <w:rPr>
          <w:rFonts w:ascii="Times New Roman" w:cs="Times New Roman" w:eastAsia="Times New Roman" w:hAnsi="Times New Roman"/>
          <w:sz w:val="17"/>
          <w:szCs w:val="17"/>
          <w:color w:val="auto"/>
        </w:rPr>
      </w:pPr>
    </w:p>
    <w:p>
      <w:pPr>
        <w:ind w:left="940" w:hanging="308"/>
        <w:spacing w:after="0"/>
        <w:tabs>
          <w:tab w:leader="none" w:pos="9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emergence of unexpected claim and coverage issues, including claims exceeding our reserves or amounts we had expected to experience;</w:t>
      </w:r>
    </w:p>
    <w:p>
      <w:pPr>
        <w:spacing w:after="0" w:line="170" w:lineRule="exact"/>
        <w:rPr>
          <w:rFonts w:ascii="Times New Roman" w:cs="Times New Roman" w:eastAsia="Times New Roman" w:hAnsi="Times New Roman"/>
          <w:sz w:val="17"/>
          <w:szCs w:val="17"/>
          <w:color w:val="auto"/>
        </w:rPr>
      </w:pPr>
    </w:p>
    <w:p>
      <w:pPr>
        <w:ind w:left="940" w:hanging="308"/>
        <w:spacing w:after="0" w:line="295" w:lineRule="auto"/>
        <w:tabs>
          <w:tab w:leader="none" w:pos="93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adverse impacts arising from natural disasters including, with respect to affected areas, a decline in new business, adverse effects on home prices, and an increase in notices of default on insured mortgages;</w:t>
      </w:r>
    </w:p>
    <w:p>
      <w:pPr>
        <w:spacing w:after="0" w:line="94" w:lineRule="exact"/>
        <w:rPr>
          <w:rFonts w:ascii="Times New Roman" w:cs="Times New Roman" w:eastAsia="Times New Roman" w:hAnsi="Times New Roman"/>
          <w:sz w:val="17"/>
          <w:szCs w:val="17"/>
          <w:color w:val="auto"/>
        </w:rPr>
      </w:pPr>
    </w:p>
    <w:p>
      <w:pPr>
        <w:ind w:left="940" w:hanging="308"/>
        <w:spacing w:after="0"/>
        <w:tabs>
          <w:tab w:leader="none" w:pos="9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climate risk and efforts to manage or regulate climate risk by government agencies could affect our business and operations;</w:t>
      </w:r>
    </w:p>
    <w:p>
      <w:pPr>
        <w:spacing w:after="0" w:line="170" w:lineRule="exact"/>
        <w:rPr>
          <w:rFonts w:ascii="Times New Roman" w:cs="Times New Roman" w:eastAsia="Times New Roman" w:hAnsi="Times New Roman"/>
          <w:sz w:val="17"/>
          <w:szCs w:val="17"/>
          <w:color w:val="auto"/>
        </w:rPr>
      </w:pPr>
    </w:p>
    <w:p>
      <w:pPr>
        <w:ind w:left="940" w:hanging="308"/>
        <w:spacing w:after="0"/>
        <w:tabs>
          <w:tab w:leader="none" w:pos="9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adverse impacts arising from the occurrence of any man-made disasters or public health emergencies, including pandemics;</w:t>
      </w:r>
    </w:p>
    <w:p>
      <w:pPr>
        <w:spacing w:after="0" w:line="170" w:lineRule="exact"/>
        <w:rPr>
          <w:rFonts w:ascii="Times New Roman" w:cs="Times New Roman" w:eastAsia="Times New Roman" w:hAnsi="Times New Roman"/>
          <w:sz w:val="17"/>
          <w:szCs w:val="17"/>
          <w:color w:val="auto"/>
        </w:rPr>
      </w:pPr>
    </w:p>
    <w:p>
      <w:pPr>
        <w:ind w:left="940" w:hanging="308"/>
        <w:spacing w:after="0"/>
        <w:tabs>
          <w:tab w:leader="none" w:pos="9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inability of our counter-parties, including third-party reinsurers, to meet their obligations to us;</w:t>
      </w:r>
    </w:p>
    <w:p>
      <w:pPr>
        <w:spacing w:after="0" w:line="170" w:lineRule="exact"/>
        <w:rPr>
          <w:rFonts w:ascii="Times New Roman" w:cs="Times New Roman" w:eastAsia="Times New Roman" w:hAnsi="Times New Roman"/>
          <w:sz w:val="17"/>
          <w:szCs w:val="17"/>
          <w:color w:val="auto"/>
        </w:rPr>
      </w:pPr>
    </w:p>
    <w:p>
      <w:pPr>
        <w:ind w:left="940" w:hanging="308"/>
        <w:spacing w:after="0" w:line="267" w:lineRule="auto"/>
        <w:tabs>
          <w:tab w:leader="none" w:pos="93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maintain, improve and continue to develop necessary information technology (IT) systems or the failure of technology providers to perform;</w:t>
      </w:r>
    </w:p>
    <w:p>
      <w:pPr>
        <w:spacing w:after="0" w:line="357" w:lineRule="exact"/>
        <w:rPr>
          <w:rFonts w:ascii="Times New Roman" w:cs="Times New Roman" w:eastAsia="Times New Roman" w:hAnsi="Times New Roman"/>
          <w:sz w:val="17"/>
          <w:szCs w:val="17"/>
          <w:color w:val="auto"/>
        </w:rPr>
      </w:pPr>
    </w:p>
    <w:p>
      <w:pPr>
        <w:jc w:val="both"/>
        <w:ind w:left="940" w:hanging="308"/>
        <w:spacing w:after="0" w:line="276" w:lineRule="auto"/>
        <w:tabs>
          <w:tab w:leader="none" w:pos="93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effectiveness and security of our information technology systems and digital products and services, including the risks these systems, products or services may fail to operate as expected or planned, or expose us to cybersecurity or third-party risks (including exposure of our confidential customer and other information); and</w:t>
      </w:r>
    </w:p>
    <w:p>
      <w:pPr>
        <w:spacing w:after="0" w:line="109" w:lineRule="exact"/>
        <w:rPr>
          <w:rFonts w:ascii="Times New Roman" w:cs="Times New Roman" w:eastAsia="Times New Roman" w:hAnsi="Times New Roman"/>
          <w:sz w:val="17"/>
          <w:szCs w:val="17"/>
          <w:color w:val="auto"/>
        </w:rPr>
      </w:pPr>
    </w:p>
    <w:p>
      <w:pPr>
        <w:ind w:left="940" w:hanging="308"/>
        <w:spacing w:after="0"/>
        <w:tabs>
          <w:tab w:leader="none" w:pos="9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ability to recruit, train and retain key personnel.</w:t>
      </w:r>
    </w:p>
    <w:p>
      <w:pPr>
        <w:spacing w:after="0" w:line="170" w:lineRule="exact"/>
        <w:rPr>
          <w:sz w:val="20"/>
          <w:szCs w:val="20"/>
          <w:color w:val="auto"/>
        </w:rPr>
      </w:pPr>
    </w:p>
    <w:p>
      <w:pPr>
        <w:jc w:val="both"/>
        <w:ind w:firstLine="627"/>
        <w:spacing w:after="0" w:line="264" w:lineRule="auto"/>
        <w:rPr>
          <w:sz w:val="20"/>
          <w:szCs w:val="20"/>
          <w:color w:val="auto"/>
        </w:rPr>
      </w:pPr>
      <w:r>
        <w:rPr>
          <w:rFonts w:ascii="Times New Roman" w:cs="Times New Roman" w:eastAsia="Times New Roman" w:hAnsi="Times New Roman"/>
          <w:sz w:val="17"/>
          <w:szCs w:val="17"/>
          <w:color w:val="auto"/>
        </w:rPr>
        <w:t>For further information regarding these risks and uncertainties as well as certain additional risks that we face, you should refer to Part I, Item 2, “</w:t>
      </w:r>
      <w:r>
        <w:rPr>
          <w:rFonts w:ascii="Times New Roman" w:cs="Times New Roman" w:eastAsia="Times New Roman" w:hAnsi="Times New Roman"/>
          <w:sz w:val="17"/>
          <w:szCs w:val="17"/>
          <w:i w:val="1"/>
          <w:iCs w:val="1"/>
          <w:color w:val="auto"/>
        </w:rPr>
        <w:t>Management's Discussion and Analysis of Financial Condition and Results of Operations</w:t>
      </w:r>
      <w:r>
        <w:rPr>
          <w:rFonts w:ascii="Times New Roman" w:cs="Times New Roman" w:eastAsia="Times New Roman" w:hAnsi="Times New Roman"/>
          <w:sz w:val="17"/>
          <w:szCs w:val="17"/>
          <w:color w:val="auto"/>
        </w:rPr>
        <w:t xml:space="preserve">” and elsewhere in this report on Form 10-Q, including the exhibits hereto. In addition, for additional discussion of those risks and uncertainties that have the potential to affect our business, financial condition, results of operations, cash flows or prospects in a material and adverse manner, you should review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xml:space="preserve"> in Part II, Item 1A of this Report and in Part I, Item 1A, of our Annual Report on Form 10-K for the year ended December 31, 2025 (2025 10-K), as subsequently updated in other reports we file from time to time with the U.S. Securities and Exchange Commission (SEC).</w:t>
      </w:r>
    </w:p>
    <w:p>
      <w:pPr>
        <w:spacing w:after="0" w:line="121" w:lineRule="exact"/>
        <w:rPr>
          <w:sz w:val="20"/>
          <w:szCs w:val="20"/>
          <w:color w:val="auto"/>
        </w:rPr>
      </w:pPr>
    </w:p>
    <w:p>
      <w:pPr>
        <w:jc w:val="both"/>
        <w:ind w:firstLine="627"/>
        <w:spacing w:after="0" w:line="295" w:lineRule="auto"/>
        <w:rPr>
          <w:sz w:val="20"/>
          <w:szCs w:val="20"/>
          <w:color w:val="auto"/>
        </w:rPr>
      </w:pPr>
      <w:r>
        <w:rPr>
          <w:rFonts w:ascii="Times New Roman" w:cs="Times New Roman" w:eastAsia="Times New Roman" w:hAnsi="Times New Roman"/>
          <w:sz w:val="17"/>
          <w:szCs w:val="17"/>
          <w:color w:val="auto"/>
        </w:rPr>
        <w:t>Unless expressly indicated or the context requires otherwise, the terms “we,” “our,” “us,” “Company” and “NMI” in this document refer to NMI Holdings, Inc., a Delaware corporation, and its wholly-owned subsidiaries on a consolidated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40"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7"/>
          <w:szCs w:val="17"/>
          <w:b w:val="1"/>
          <w:bCs w:val="1"/>
          <w:color w:val="auto"/>
        </w:rPr>
        <w:t>PART I</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Financial Statements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INDEX TO FINANCIAL STATEMENTS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Condensed Consolidated Balance Sheets (Unaudited)</w:t>
            </w:r>
          </w:p>
        </w:tc>
        <w:tc>
          <w:tcPr>
            <w:tcW w:w="1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0000FF"/>
              </w:rPr>
              <w:t>7</w:t>
            </w:r>
          </w:p>
        </w:tc>
      </w:tr>
      <w:tr>
        <w:trPr>
          <w:trHeight w:val="39"/>
        </w:trPr>
        <w:tc>
          <w:tcPr>
            <w:tcW w:w="110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3"/>
        </w:trPr>
        <w:tc>
          <w:tcPr>
            <w:tcW w:w="11060" w:type="dxa"/>
            <w:vAlign w:val="bottom"/>
          </w:tcPr>
          <w:p>
            <w:pPr>
              <w:ind w:left="20"/>
              <w:spacing w:after="0" w:line="183" w:lineRule="exact"/>
              <w:rPr>
                <w:sz w:val="20"/>
                <w:szCs w:val="20"/>
                <w:color w:val="auto"/>
              </w:rPr>
            </w:pPr>
            <w:r>
              <w:rPr>
                <w:rFonts w:ascii="Times New Roman" w:cs="Times New Roman" w:eastAsia="Times New Roman" w:hAnsi="Times New Roman"/>
                <w:sz w:val="17"/>
                <w:szCs w:val="17"/>
                <w:color w:val="auto"/>
              </w:rPr>
              <w:t>Condensed Consolidated Statements of Operations and Comprehensive Income (Unaudited)</w:t>
            </w:r>
          </w:p>
        </w:tc>
        <w:tc>
          <w:tcPr>
            <w:tcW w:w="180" w:type="dxa"/>
            <w:vAlign w:val="bottom"/>
            <w:gridSpan w:val="3"/>
          </w:tcPr>
          <w:p>
            <w:pPr>
              <w:jc w:val="right"/>
              <w:ind w:right="20"/>
              <w:spacing w:after="0" w:line="183" w:lineRule="exact"/>
              <w:rPr>
                <w:sz w:val="20"/>
                <w:szCs w:val="20"/>
                <w:color w:val="auto"/>
              </w:rPr>
            </w:pPr>
            <w:r>
              <w:rPr>
                <w:rFonts w:ascii="Times New Roman" w:cs="Times New Roman" w:eastAsia="Times New Roman" w:hAnsi="Times New Roman"/>
                <w:sz w:val="17"/>
                <w:szCs w:val="17"/>
                <w:color w:val="0000FF"/>
              </w:rPr>
              <w:t>8</w:t>
            </w:r>
          </w:p>
        </w:tc>
      </w:tr>
      <w:tr>
        <w:trPr>
          <w:trHeight w:val="30"/>
        </w:trPr>
        <w:tc>
          <w:tcPr>
            <w:tcW w:w="1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3"/>
        </w:trPr>
        <w:tc>
          <w:tcPr>
            <w:tcW w:w="11060" w:type="dxa"/>
            <w:vAlign w:val="bottom"/>
            <w:shd w:val="clear" w:color="auto" w:fill="CCEEFF"/>
          </w:tcPr>
          <w:p>
            <w:pPr>
              <w:ind w:left="20"/>
              <w:spacing w:after="0" w:line="193" w:lineRule="exact"/>
              <w:rPr>
                <w:sz w:val="20"/>
                <w:szCs w:val="20"/>
                <w:color w:val="auto"/>
              </w:rPr>
            </w:pPr>
            <w:r>
              <w:rPr>
                <w:rFonts w:ascii="Times New Roman" w:cs="Times New Roman" w:eastAsia="Times New Roman" w:hAnsi="Times New Roman"/>
                <w:sz w:val="17"/>
                <w:szCs w:val="17"/>
                <w:color w:val="auto"/>
              </w:rPr>
              <w:t>Condensed Consolidated Statements of Changes in Shareholders' Equity (Unaudited)</w:t>
            </w:r>
          </w:p>
        </w:tc>
        <w:tc>
          <w:tcPr>
            <w:tcW w:w="180" w:type="dxa"/>
            <w:vAlign w:val="bottom"/>
            <w:gridSpan w:val="3"/>
            <w:shd w:val="clear" w:color="auto" w:fill="CCEEFF"/>
          </w:tcPr>
          <w:p>
            <w:pPr>
              <w:jc w:val="right"/>
              <w:ind w:right="20"/>
              <w:spacing w:after="0" w:line="193" w:lineRule="exact"/>
              <w:rPr>
                <w:sz w:val="20"/>
                <w:szCs w:val="20"/>
                <w:color w:val="auto"/>
              </w:rPr>
            </w:pPr>
            <w:r>
              <w:rPr>
                <w:rFonts w:ascii="Times New Roman" w:cs="Times New Roman" w:eastAsia="Times New Roman" w:hAnsi="Times New Roman"/>
                <w:sz w:val="17"/>
                <w:szCs w:val="17"/>
                <w:color w:val="0000FF"/>
              </w:rPr>
              <w:t>9</w:t>
            </w:r>
          </w:p>
        </w:tc>
      </w:tr>
      <w:tr>
        <w:trPr>
          <w:trHeight w:val="39"/>
        </w:trPr>
        <w:tc>
          <w:tcPr>
            <w:tcW w:w="110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3"/>
        </w:trPr>
        <w:tc>
          <w:tcPr>
            <w:tcW w:w="11060" w:type="dxa"/>
            <w:vAlign w:val="bottom"/>
          </w:tcPr>
          <w:p>
            <w:pPr>
              <w:ind w:left="20"/>
              <w:spacing w:after="0" w:line="183" w:lineRule="exact"/>
              <w:rPr>
                <w:sz w:val="20"/>
                <w:szCs w:val="20"/>
                <w:color w:val="auto"/>
              </w:rPr>
            </w:pPr>
            <w:r>
              <w:rPr>
                <w:rFonts w:ascii="Times New Roman" w:cs="Times New Roman" w:eastAsia="Times New Roman" w:hAnsi="Times New Roman"/>
                <w:sz w:val="17"/>
                <w:szCs w:val="17"/>
                <w:color w:val="auto"/>
              </w:rPr>
              <w:t>Condensed Consolidated Statements of Cash Flows (Unaudited)</w:t>
            </w:r>
          </w:p>
        </w:tc>
        <w:tc>
          <w:tcPr>
            <w:tcW w:w="180" w:type="dxa"/>
            <w:vAlign w:val="bottom"/>
            <w:gridSpan w:val="3"/>
          </w:tcPr>
          <w:p>
            <w:pPr>
              <w:jc w:val="right"/>
              <w:ind w:right="20"/>
              <w:spacing w:after="0" w:line="183" w:lineRule="exact"/>
              <w:rPr>
                <w:sz w:val="20"/>
                <w:szCs w:val="20"/>
                <w:color w:val="auto"/>
              </w:rPr>
            </w:pPr>
            <w:r>
              <w:rPr>
                <w:rFonts w:ascii="Times New Roman" w:cs="Times New Roman" w:eastAsia="Times New Roman" w:hAnsi="Times New Roman"/>
                <w:sz w:val="17"/>
                <w:szCs w:val="17"/>
                <w:color w:val="0000FF"/>
                <w:w w:val="82"/>
              </w:rPr>
              <w:t>10</w:t>
            </w:r>
          </w:p>
        </w:tc>
      </w:tr>
      <w:tr>
        <w:trPr>
          <w:trHeight w:val="30"/>
        </w:trPr>
        <w:tc>
          <w:tcPr>
            <w:tcW w:w="1106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3"/>
        </w:trPr>
        <w:tc>
          <w:tcPr>
            <w:tcW w:w="11060" w:type="dxa"/>
            <w:vAlign w:val="bottom"/>
            <w:shd w:val="clear" w:color="auto" w:fill="CCEEFF"/>
          </w:tcPr>
          <w:p>
            <w:pPr>
              <w:ind w:left="20"/>
              <w:spacing w:after="0" w:line="193" w:lineRule="exact"/>
              <w:rPr>
                <w:sz w:val="20"/>
                <w:szCs w:val="20"/>
                <w:color w:val="auto"/>
              </w:rPr>
            </w:pPr>
            <w:r>
              <w:rPr>
                <w:rFonts w:ascii="Times New Roman" w:cs="Times New Roman" w:eastAsia="Times New Roman" w:hAnsi="Times New Roman"/>
                <w:sz w:val="17"/>
                <w:szCs w:val="17"/>
                <w:color w:val="auto"/>
              </w:rPr>
              <w:t>Notes to Condensed Consolidated Financial Statements (Unaudited)</w:t>
            </w:r>
          </w:p>
        </w:tc>
        <w:tc>
          <w:tcPr>
            <w:tcW w:w="180" w:type="dxa"/>
            <w:vAlign w:val="bottom"/>
            <w:gridSpan w:val="3"/>
            <w:shd w:val="clear" w:color="auto" w:fill="CCEEFF"/>
          </w:tcPr>
          <w:p>
            <w:pPr>
              <w:jc w:val="right"/>
              <w:ind w:right="20"/>
              <w:spacing w:after="0" w:line="193" w:lineRule="exact"/>
              <w:rPr>
                <w:sz w:val="20"/>
                <w:szCs w:val="20"/>
                <w:color w:val="auto"/>
              </w:rPr>
            </w:pPr>
            <w:r>
              <w:rPr>
                <w:rFonts w:ascii="Times New Roman" w:cs="Times New Roman" w:eastAsia="Times New Roman" w:hAnsi="Times New Roman"/>
                <w:sz w:val="17"/>
                <w:szCs w:val="17"/>
                <w:color w:val="0000FF"/>
                <w:w w:val="82"/>
              </w:rPr>
              <w:t>11</w:t>
            </w:r>
          </w:p>
        </w:tc>
      </w:tr>
      <w:tr>
        <w:trPr>
          <w:trHeight w:val="39"/>
        </w:trPr>
        <w:tc>
          <w:tcPr>
            <w:tcW w:w="1106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CONDENSED CONSOLIDATED BALANCE SHEETS (UNAUDITED)</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00" w:type="dxa"/>
            <w:vAlign w:val="bottom"/>
          </w:tcPr>
          <w:p>
            <w:pPr>
              <w:spacing w:after="0"/>
              <w:rPr>
                <w:sz w:val="16"/>
                <w:szCs w:val="16"/>
                <w:color w:val="auto"/>
              </w:rPr>
            </w:pPr>
          </w:p>
        </w:tc>
        <w:tc>
          <w:tcPr>
            <w:tcW w:w="154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3"/>
        </w:trPr>
        <w:tc>
          <w:tcPr>
            <w:tcW w:w="76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Assets</w:t>
            </w:r>
          </w:p>
        </w:tc>
        <w:tc>
          <w:tcPr>
            <w:tcW w:w="26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76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3300" w:type="dxa"/>
            <w:vAlign w:val="bottom"/>
            <w:gridSpan w:val="4"/>
          </w:tcPr>
          <w:p>
            <w:pPr>
              <w:jc w:val="right"/>
              <w:ind w:right="654"/>
              <w:spacing w:after="0"/>
              <w:rPr>
                <w:sz w:val="20"/>
                <w:szCs w:val="20"/>
                <w:color w:val="auto"/>
              </w:rPr>
            </w:pPr>
            <w:r>
              <w:rPr>
                <w:rFonts w:ascii="Times New Roman" w:cs="Times New Roman" w:eastAsia="Times New Roman" w:hAnsi="Times New Roman"/>
                <w:sz w:val="14"/>
                <w:szCs w:val="14"/>
                <w:i w:val="1"/>
                <w:iCs w:val="1"/>
                <w:color w:val="auto"/>
              </w:rPr>
              <w:t>(In Thousands, except for share data)</w:t>
            </w:r>
          </w:p>
        </w:tc>
        <w:tc>
          <w:tcPr>
            <w:tcW w:w="0" w:type="dxa"/>
            <w:vAlign w:val="bottom"/>
          </w:tcPr>
          <w:p>
            <w:pPr>
              <w:spacing w:after="0"/>
              <w:rPr>
                <w:sz w:val="1"/>
                <w:szCs w:val="1"/>
                <w:color w:val="auto"/>
              </w:rPr>
            </w:pPr>
          </w:p>
        </w:tc>
      </w:tr>
      <w:tr>
        <w:trPr>
          <w:trHeight w:val="222"/>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Fixed maturities, available-for-sale, at fair value (amortized cost of $3,255,203 and $3,190,174)</w:t>
            </w:r>
          </w:p>
        </w:tc>
        <w:tc>
          <w:tcPr>
            <w:tcW w:w="2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3,174,107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3,137,023</w:t>
            </w:r>
          </w:p>
        </w:tc>
        <w:tc>
          <w:tcPr>
            <w:tcW w:w="0" w:type="dxa"/>
            <w:vAlign w:val="bottom"/>
          </w:tcPr>
          <w:p>
            <w:pPr>
              <w:spacing w:after="0"/>
              <w:rPr>
                <w:sz w:val="1"/>
                <w:szCs w:val="1"/>
                <w:color w:val="auto"/>
              </w:rPr>
            </w:pPr>
          </w:p>
        </w:tc>
      </w:tr>
      <w:tr>
        <w:trPr>
          <w:trHeight w:val="222"/>
        </w:trPr>
        <w:tc>
          <w:tcPr>
            <w:tcW w:w="76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70,679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43,937</w:t>
            </w:r>
          </w:p>
        </w:tc>
        <w:tc>
          <w:tcPr>
            <w:tcW w:w="0" w:type="dxa"/>
            <w:vAlign w:val="bottom"/>
          </w:tcPr>
          <w:p>
            <w:pPr>
              <w:spacing w:after="0"/>
              <w:rPr>
                <w:sz w:val="1"/>
                <w:szCs w:val="1"/>
                <w:color w:val="auto"/>
              </w:rPr>
            </w:pPr>
          </w:p>
        </w:tc>
      </w:tr>
      <w:tr>
        <w:trPr>
          <w:trHeight w:val="222"/>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Premiums receivable, net</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86,861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86,259</w:t>
            </w:r>
          </w:p>
        </w:tc>
        <w:tc>
          <w:tcPr>
            <w:tcW w:w="0" w:type="dxa"/>
            <w:vAlign w:val="bottom"/>
          </w:tcPr>
          <w:p>
            <w:pPr>
              <w:spacing w:after="0"/>
              <w:rPr>
                <w:sz w:val="1"/>
                <w:szCs w:val="1"/>
                <w:color w:val="auto"/>
              </w:rPr>
            </w:pPr>
          </w:p>
        </w:tc>
      </w:tr>
      <w:tr>
        <w:trPr>
          <w:trHeight w:val="222"/>
        </w:trPr>
        <w:tc>
          <w:tcPr>
            <w:tcW w:w="76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Accrued investment income</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29,726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27,253</w:t>
            </w:r>
          </w:p>
        </w:tc>
        <w:tc>
          <w:tcPr>
            <w:tcW w:w="0" w:type="dxa"/>
            <w:vAlign w:val="bottom"/>
          </w:tcPr>
          <w:p>
            <w:pPr>
              <w:spacing w:after="0"/>
              <w:rPr>
                <w:sz w:val="1"/>
                <w:szCs w:val="1"/>
                <w:color w:val="auto"/>
              </w:rPr>
            </w:pPr>
          </w:p>
        </w:tc>
      </w:tr>
      <w:tr>
        <w:trPr>
          <w:trHeight w:val="222"/>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Deferred policy acquisition costs, net</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64,330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64,372</w:t>
            </w:r>
          </w:p>
        </w:tc>
        <w:tc>
          <w:tcPr>
            <w:tcW w:w="0" w:type="dxa"/>
            <w:vAlign w:val="bottom"/>
          </w:tcPr>
          <w:p>
            <w:pPr>
              <w:spacing w:after="0"/>
              <w:rPr>
                <w:sz w:val="1"/>
                <w:szCs w:val="1"/>
                <w:color w:val="auto"/>
              </w:rPr>
            </w:pPr>
          </w:p>
        </w:tc>
      </w:tr>
      <w:tr>
        <w:trPr>
          <w:trHeight w:val="222"/>
        </w:trPr>
        <w:tc>
          <w:tcPr>
            <w:tcW w:w="76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Software and equipment, net</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20,887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21,727</w:t>
            </w:r>
          </w:p>
        </w:tc>
        <w:tc>
          <w:tcPr>
            <w:tcW w:w="0" w:type="dxa"/>
            <w:vAlign w:val="bottom"/>
          </w:tcPr>
          <w:p>
            <w:pPr>
              <w:spacing w:after="0"/>
              <w:rPr>
                <w:sz w:val="1"/>
                <w:szCs w:val="1"/>
                <w:color w:val="auto"/>
              </w:rPr>
            </w:pPr>
          </w:p>
        </w:tc>
      </w:tr>
      <w:tr>
        <w:trPr>
          <w:trHeight w:val="222"/>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Intangible assets and goodwill</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3,634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3,634</w:t>
            </w:r>
          </w:p>
        </w:tc>
        <w:tc>
          <w:tcPr>
            <w:tcW w:w="0" w:type="dxa"/>
            <w:vAlign w:val="bottom"/>
          </w:tcPr>
          <w:p>
            <w:pPr>
              <w:spacing w:after="0"/>
              <w:rPr>
                <w:sz w:val="1"/>
                <w:szCs w:val="1"/>
                <w:color w:val="auto"/>
              </w:rPr>
            </w:pPr>
          </w:p>
        </w:tc>
      </w:tr>
      <w:tr>
        <w:trPr>
          <w:trHeight w:val="222"/>
        </w:trPr>
        <w:tc>
          <w:tcPr>
            <w:tcW w:w="76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Reinsurance recoverable</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39,703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38,577</w:t>
            </w:r>
          </w:p>
        </w:tc>
        <w:tc>
          <w:tcPr>
            <w:tcW w:w="0" w:type="dxa"/>
            <w:vAlign w:val="bottom"/>
          </w:tcPr>
          <w:p>
            <w:pPr>
              <w:spacing w:after="0"/>
              <w:rPr>
                <w:sz w:val="1"/>
                <w:szCs w:val="1"/>
                <w:color w:val="auto"/>
              </w:rPr>
            </w:pPr>
          </w:p>
        </w:tc>
      </w:tr>
      <w:tr>
        <w:trPr>
          <w:trHeight w:val="222"/>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Prepaid federal income taxes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400,258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400,258</w:t>
            </w:r>
          </w:p>
        </w:tc>
        <w:tc>
          <w:tcPr>
            <w:tcW w:w="0" w:type="dxa"/>
            <w:vAlign w:val="bottom"/>
          </w:tcPr>
          <w:p>
            <w:pPr>
              <w:spacing w:after="0"/>
              <w:rPr>
                <w:sz w:val="1"/>
                <w:szCs w:val="1"/>
                <w:color w:val="auto"/>
              </w:rPr>
            </w:pPr>
          </w:p>
        </w:tc>
      </w:tr>
      <w:tr>
        <w:trPr>
          <w:trHeight w:val="222"/>
        </w:trPr>
        <w:tc>
          <w:tcPr>
            <w:tcW w:w="76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Other assets</w:t>
            </w:r>
          </w:p>
        </w:tc>
        <w:tc>
          <w:tcPr>
            <w:tcW w:w="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19,453</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18,058</w:t>
            </w:r>
          </w:p>
        </w:tc>
        <w:tc>
          <w:tcPr>
            <w:tcW w:w="0" w:type="dxa"/>
            <w:vAlign w:val="bottom"/>
          </w:tcPr>
          <w:p>
            <w:pPr>
              <w:spacing w:after="0"/>
              <w:rPr>
                <w:sz w:val="1"/>
                <w:szCs w:val="1"/>
                <w:color w:val="auto"/>
              </w:rPr>
            </w:pPr>
          </w:p>
        </w:tc>
      </w:tr>
      <w:tr>
        <w:trPr>
          <w:trHeight w:val="240"/>
        </w:trPr>
        <w:tc>
          <w:tcPr>
            <w:tcW w:w="7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26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3,909,638</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3,841,098</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6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Debt</w:t>
            </w:r>
          </w:p>
        </w:tc>
        <w:tc>
          <w:tcPr>
            <w:tcW w:w="26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417,522</w:t>
            </w:r>
          </w:p>
        </w:tc>
        <w:tc>
          <w:tcPr>
            <w:tcW w:w="80" w:type="dxa"/>
            <w:vAlign w:val="bottom"/>
          </w:tcPr>
          <w:p>
            <w:pPr>
              <w:spacing w:after="0"/>
              <w:rPr>
                <w:sz w:val="19"/>
                <w:szCs w:val="19"/>
                <w:color w:val="auto"/>
              </w:rPr>
            </w:pP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417,031</w:t>
            </w:r>
          </w:p>
        </w:tc>
        <w:tc>
          <w:tcPr>
            <w:tcW w:w="0" w:type="dxa"/>
            <w:vAlign w:val="bottom"/>
          </w:tcPr>
          <w:p>
            <w:pPr>
              <w:spacing w:after="0"/>
              <w:rPr>
                <w:sz w:val="1"/>
                <w:szCs w:val="1"/>
                <w:color w:val="auto"/>
              </w:rPr>
            </w:pPr>
          </w:p>
        </w:tc>
      </w:tr>
      <w:tr>
        <w:trPr>
          <w:trHeight w:val="222"/>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Unearned premiums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43,680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46,660</w:t>
            </w:r>
          </w:p>
        </w:tc>
        <w:tc>
          <w:tcPr>
            <w:tcW w:w="0" w:type="dxa"/>
            <w:vAlign w:val="bottom"/>
          </w:tcPr>
          <w:p>
            <w:pPr>
              <w:spacing w:after="0"/>
              <w:rPr>
                <w:sz w:val="1"/>
                <w:szCs w:val="1"/>
                <w:color w:val="auto"/>
              </w:rPr>
            </w:pPr>
          </w:p>
        </w:tc>
      </w:tr>
      <w:tr>
        <w:trPr>
          <w:trHeight w:val="222"/>
        </w:trPr>
        <w:tc>
          <w:tcPr>
            <w:tcW w:w="76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Accounts payable and accrued expenses</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104,835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101,595</w:t>
            </w:r>
          </w:p>
        </w:tc>
        <w:tc>
          <w:tcPr>
            <w:tcW w:w="0" w:type="dxa"/>
            <w:vAlign w:val="bottom"/>
          </w:tcPr>
          <w:p>
            <w:pPr>
              <w:spacing w:after="0"/>
              <w:rPr>
                <w:sz w:val="1"/>
                <w:szCs w:val="1"/>
                <w:color w:val="auto"/>
              </w:rPr>
            </w:pPr>
          </w:p>
        </w:tc>
      </w:tr>
      <w:tr>
        <w:trPr>
          <w:trHeight w:val="222"/>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Reserve for insurance claims and claim expenses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211,204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196,429</w:t>
            </w:r>
          </w:p>
        </w:tc>
        <w:tc>
          <w:tcPr>
            <w:tcW w:w="0" w:type="dxa"/>
            <w:vAlign w:val="bottom"/>
          </w:tcPr>
          <w:p>
            <w:pPr>
              <w:spacing w:after="0"/>
              <w:rPr>
                <w:sz w:val="1"/>
                <w:szCs w:val="1"/>
                <w:color w:val="auto"/>
              </w:rPr>
            </w:pPr>
          </w:p>
        </w:tc>
      </w:tr>
      <w:tr>
        <w:trPr>
          <w:trHeight w:val="222"/>
        </w:trPr>
        <w:tc>
          <w:tcPr>
            <w:tcW w:w="76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Deferred tax liability, net</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491,879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478,890</w:t>
            </w:r>
          </w:p>
        </w:tc>
        <w:tc>
          <w:tcPr>
            <w:tcW w:w="0" w:type="dxa"/>
            <w:vAlign w:val="bottom"/>
          </w:tcPr>
          <w:p>
            <w:pPr>
              <w:spacing w:after="0"/>
              <w:rPr>
                <w:sz w:val="1"/>
                <w:szCs w:val="1"/>
                <w:color w:val="auto"/>
              </w:rPr>
            </w:pPr>
          </w:p>
        </w:tc>
      </w:tr>
      <w:tr>
        <w:trPr>
          <w:trHeight w:val="222"/>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8,086</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8,507</w:t>
            </w:r>
          </w:p>
        </w:tc>
        <w:tc>
          <w:tcPr>
            <w:tcW w:w="0" w:type="dxa"/>
            <w:vAlign w:val="bottom"/>
          </w:tcPr>
          <w:p>
            <w:pPr>
              <w:spacing w:after="0"/>
              <w:rPr>
                <w:sz w:val="1"/>
                <w:szCs w:val="1"/>
                <w:color w:val="auto"/>
              </w:rPr>
            </w:pPr>
          </w:p>
        </w:tc>
      </w:tr>
      <w:tr>
        <w:trPr>
          <w:trHeight w:val="215"/>
        </w:trPr>
        <w:tc>
          <w:tcPr>
            <w:tcW w:w="7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liabilities</w:t>
            </w:r>
          </w:p>
        </w:tc>
        <w:tc>
          <w:tcPr>
            <w:tcW w:w="2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1,277,206</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1,249,112</w:t>
            </w:r>
          </w:p>
        </w:tc>
        <w:tc>
          <w:tcPr>
            <w:tcW w:w="0" w:type="dxa"/>
            <w:vAlign w:val="bottom"/>
          </w:tcPr>
          <w:p>
            <w:pPr>
              <w:spacing w:after="0"/>
              <w:rPr>
                <w:sz w:val="1"/>
                <w:szCs w:val="1"/>
                <w:color w:val="auto"/>
              </w:rPr>
            </w:pPr>
          </w:p>
        </w:tc>
      </w:tr>
      <w:tr>
        <w:trPr>
          <w:trHeight w:val="202"/>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Commitments and contingencies</w:t>
            </w:r>
          </w:p>
        </w:tc>
        <w:tc>
          <w:tcPr>
            <w:tcW w:w="2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7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Shareholders' equity</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7660" w:type="dxa"/>
            <w:vAlign w:val="bottom"/>
          </w:tcPr>
          <w:p>
            <w:pPr>
              <w:ind w:left="220"/>
              <w:spacing w:after="0" w:line="170" w:lineRule="exact"/>
              <w:rPr>
                <w:sz w:val="20"/>
                <w:szCs w:val="20"/>
                <w:color w:val="auto"/>
              </w:rPr>
            </w:pPr>
            <w:r>
              <w:rPr>
                <w:rFonts w:ascii="Times New Roman" w:cs="Times New Roman" w:eastAsia="Times New Roman" w:hAnsi="Times New Roman"/>
                <w:sz w:val="17"/>
                <w:szCs w:val="17"/>
                <w:color w:val="auto"/>
              </w:rPr>
              <w:t>Common stock - $0.01 par value; 88,951,544 shares issued and 76,149,574 shares outstanding as of</w:t>
            </w:r>
          </w:p>
        </w:tc>
        <w:tc>
          <w:tcPr>
            <w:tcW w:w="2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7660" w:type="dxa"/>
            <w:vAlign w:val="bottom"/>
          </w:tcPr>
          <w:p>
            <w:pPr>
              <w:ind w:left="220"/>
              <w:spacing w:after="0" w:line="178" w:lineRule="exact"/>
              <w:rPr>
                <w:sz w:val="20"/>
                <w:szCs w:val="20"/>
                <w:color w:val="auto"/>
              </w:rPr>
            </w:pPr>
            <w:r>
              <w:rPr>
                <w:rFonts w:ascii="Times New Roman" w:cs="Times New Roman" w:eastAsia="Times New Roman" w:hAnsi="Times New Roman"/>
                <w:sz w:val="17"/>
                <w:szCs w:val="17"/>
                <w:color w:val="auto"/>
              </w:rPr>
              <w:t>March 31, 2026 and 88,371,465 shares issued and 76,285,242 shares outstanding as of December 31,</w:t>
            </w:r>
          </w:p>
        </w:tc>
        <w:tc>
          <w:tcPr>
            <w:tcW w:w="2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76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2025 (250,000,000 shares authorized)</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884</w:t>
            </w:r>
          </w:p>
        </w:tc>
        <w:tc>
          <w:tcPr>
            <w:tcW w:w="0" w:type="dxa"/>
            <w:vAlign w:val="bottom"/>
          </w:tcPr>
          <w:p>
            <w:pPr>
              <w:spacing w:after="0"/>
              <w:rPr>
                <w:sz w:val="1"/>
                <w:szCs w:val="1"/>
                <w:color w:val="auto"/>
              </w:rPr>
            </w:pPr>
          </w:p>
        </w:tc>
      </w:tr>
      <w:tr>
        <w:trPr>
          <w:trHeight w:val="222"/>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1,007,682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1,016,772</w:t>
            </w:r>
          </w:p>
        </w:tc>
        <w:tc>
          <w:tcPr>
            <w:tcW w:w="0" w:type="dxa"/>
            <w:vAlign w:val="bottom"/>
          </w:tcPr>
          <w:p>
            <w:pPr>
              <w:spacing w:after="0"/>
              <w:rPr>
                <w:sz w:val="1"/>
                <w:szCs w:val="1"/>
                <w:color w:val="auto"/>
              </w:rPr>
            </w:pPr>
          </w:p>
        </w:tc>
      </w:tr>
      <w:tr>
        <w:trPr>
          <w:trHeight w:val="170"/>
        </w:trPr>
        <w:tc>
          <w:tcPr>
            <w:tcW w:w="7660" w:type="dxa"/>
            <w:vAlign w:val="bottom"/>
          </w:tcPr>
          <w:p>
            <w:pPr>
              <w:ind w:left="220"/>
              <w:spacing w:after="0" w:line="170" w:lineRule="exact"/>
              <w:rPr>
                <w:sz w:val="20"/>
                <w:szCs w:val="20"/>
                <w:color w:val="auto"/>
              </w:rPr>
            </w:pPr>
            <w:r>
              <w:rPr>
                <w:rFonts w:ascii="Times New Roman" w:cs="Times New Roman" w:eastAsia="Times New Roman" w:hAnsi="Times New Roman"/>
                <w:sz w:val="17"/>
                <w:szCs w:val="17"/>
                <w:color w:val="auto"/>
              </w:rPr>
              <w:t>Treasury stock, at cost: 12,801,970 and 12,086,223 common shares as of March 31, 2026 and</w:t>
            </w:r>
          </w:p>
        </w:tc>
        <w:tc>
          <w:tcPr>
            <w:tcW w:w="2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76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December 31, 2025, respectively</w:t>
            </w:r>
          </w:p>
        </w:tc>
        <w:tc>
          <w:tcPr>
            <w:tcW w:w="2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(379,495)</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(351,772)</w:t>
            </w:r>
          </w:p>
        </w:tc>
        <w:tc>
          <w:tcPr>
            <w:tcW w:w="0" w:type="dxa"/>
            <w:vAlign w:val="bottom"/>
          </w:tcPr>
          <w:p>
            <w:pPr>
              <w:spacing w:after="0"/>
              <w:rPr>
                <w:sz w:val="1"/>
                <w:szCs w:val="1"/>
                <w:color w:val="auto"/>
              </w:rPr>
            </w:pPr>
          </w:p>
        </w:tc>
      </w:tr>
      <w:tr>
        <w:trPr>
          <w:trHeight w:val="222"/>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Accumulated other comprehensive loss, net of tax</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(68,160)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(46,083)</w:t>
            </w:r>
          </w:p>
        </w:tc>
        <w:tc>
          <w:tcPr>
            <w:tcW w:w="0" w:type="dxa"/>
            <w:vAlign w:val="bottom"/>
          </w:tcPr>
          <w:p>
            <w:pPr>
              <w:spacing w:after="0"/>
              <w:rPr>
                <w:sz w:val="1"/>
                <w:szCs w:val="1"/>
                <w:color w:val="auto"/>
              </w:rPr>
            </w:pPr>
          </w:p>
        </w:tc>
      </w:tr>
      <w:tr>
        <w:trPr>
          <w:trHeight w:val="222"/>
        </w:trPr>
        <w:tc>
          <w:tcPr>
            <w:tcW w:w="76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Retained earnings</w:t>
            </w:r>
          </w:p>
        </w:tc>
        <w:tc>
          <w:tcPr>
            <w:tcW w:w="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2,071,515</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1,972,185</w:t>
            </w:r>
          </w:p>
        </w:tc>
        <w:tc>
          <w:tcPr>
            <w:tcW w:w="0" w:type="dxa"/>
            <w:vAlign w:val="bottom"/>
          </w:tcPr>
          <w:p>
            <w:pPr>
              <w:spacing w:after="0"/>
              <w:rPr>
                <w:sz w:val="1"/>
                <w:szCs w:val="1"/>
                <w:color w:val="auto"/>
              </w:rPr>
            </w:pPr>
          </w:p>
        </w:tc>
      </w:tr>
      <w:tr>
        <w:trPr>
          <w:trHeight w:val="215"/>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shareholders' equity</w:t>
            </w:r>
          </w:p>
        </w:tc>
        <w:tc>
          <w:tcPr>
            <w:tcW w:w="2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2,632,432</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2,591,986</w:t>
            </w:r>
          </w:p>
        </w:tc>
        <w:tc>
          <w:tcPr>
            <w:tcW w:w="0" w:type="dxa"/>
            <w:vAlign w:val="bottom"/>
          </w:tcPr>
          <w:p>
            <w:pPr>
              <w:spacing w:after="0"/>
              <w:rPr>
                <w:sz w:val="1"/>
                <w:szCs w:val="1"/>
                <w:color w:val="auto"/>
              </w:rPr>
            </w:pPr>
          </w:p>
        </w:tc>
      </w:tr>
      <w:tr>
        <w:trPr>
          <w:trHeight w:val="215"/>
        </w:trPr>
        <w:tc>
          <w:tcPr>
            <w:tcW w:w="7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liabilities and shareholders' equity</w:t>
            </w:r>
          </w:p>
        </w:tc>
        <w:tc>
          <w:tcPr>
            <w:tcW w:w="2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3,909,638</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3,841,098</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i w:val="1"/>
          <w:iCs w:val="1"/>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74295</wp:posOffset>
            </wp:positionV>
            <wp:extent cx="716216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40" w:top="121" w:right="339" w:bottom="1440" w:gutter="0" w:footer="0" w:header="0"/>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C</w:t>
      </w:r>
      <w:r>
        <w:rPr>
          <w:rFonts w:ascii="Times New Roman" w:cs="Times New Roman" w:eastAsia="Times New Roman" w:hAnsi="Times New Roman"/>
          <w:sz w:val="15"/>
          <w:szCs w:val="15"/>
          <w:color w:val="auto"/>
        </w:rPr>
        <w:t>ONDENSED CONSOLIDATED STATEMENTS OF OPERATIONS AND COMPREHENSIVE INCOME (UNAUDITED)</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660" w:type="dxa"/>
            <w:vAlign w:val="bottom"/>
          </w:tcPr>
          <w:p>
            <w:pPr>
              <w:spacing w:after="0"/>
              <w:rPr>
                <w:sz w:val="16"/>
                <w:szCs w:val="16"/>
                <w:color w:val="auto"/>
              </w:rPr>
            </w:pPr>
          </w:p>
        </w:tc>
        <w:tc>
          <w:tcPr>
            <w:tcW w:w="3560" w:type="dxa"/>
            <w:vAlign w:val="bottom"/>
            <w:gridSpan w:val="5"/>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r>
      <w:tr>
        <w:trPr>
          <w:trHeight w:val="23"/>
        </w:trPr>
        <w:tc>
          <w:tcPr>
            <w:tcW w:w="76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83"/>
        </w:trPr>
        <w:tc>
          <w:tcPr>
            <w:tcW w:w="7660" w:type="dxa"/>
            <w:vAlign w:val="bottom"/>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89"/>
        </w:trPr>
        <w:tc>
          <w:tcPr>
            <w:tcW w:w="7660" w:type="dxa"/>
            <w:vAlign w:val="bottom"/>
          </w:tcPr>
          <w:p>
            <w:pPr>
              <w:spacing w:after="0"/>
              <w:rPr>
                <w:sz w:val="16"/>
                <w:szCs w:val="16"/>
                <w:color w:val="auto"/>
              </w:rPr>
            </w:pPr>
          </w:p>
        </w:tc>
        <w:tc>
          <w:tcPr>
            <w:tcW w:w="3560" w:type="dxa"/>
            <w:vAlign w:val="bottom"/>
            <w:gridSpan w:val="5"/>
          </w:tcPr>
          <w:p>
            <w:pPr>
              <w:jc w:val="right"/>
              <w:ind w:right="534"/>
              <w:spacing w:after="0"/>
              <w:rPr>
                <w:sz w:val="20"/>
                <w:szCs w:val="20"/>
                <w:color w:val="auto"/>
              </w:rPr>
            </w:pPr>
            <w:r>
              <w:rPr>
                <w:rFonts w:ascii="Times New Roman" w:cs="Times New Roman" w:eastAsia="Times New Roman" w:hAnsi="Times New Roman"/>
                <w:sz w:val="14"/>
                <w:szCs w:val="14"/>
                <w:i w:val="1"/>
                <w:iCs w:val="1"/>
                <w:color w:val="auto"/>
              </w:rPr>
              <w:t>(In Thousands, except for per share data)</w:t>
            </w:r>
          </w:p>
        </w:tc>
      </w:tr>
      <w:tr>
        <w:trPr>
          <w:trHeight w:val="228"/>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Revenues</w:t>
            </w:r>
          </w:p>
        </w:tc>
        <w:tc>
          <w:tcPr>
            <w:tcW w:w="10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2"/>
        </w:trPr>
        <w:tc>
          <w:tcPr>
            <w:tcW w:w="76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Net premiums earned</w:t>
            </w:r>
          </w:p>
        </w:tc>
        <w:tc>
          <w:tcPr>
            <w:tcW w:w="1060" w:type="dxa"/>
            <w:vAlign w:val="bottom"/>
          </w:tcPr>
          <w:p>
            <w:pPr>
              <w:jc w:val="right"/>
              <w:ind w:right="86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154,806</w:t>
            </w:r>
          </w:p>
        </w:tc>
        <w:tc>
          <w:tcPr>
            <w:tcW w:w="80" w:type="dxa"/>
            <w:vAlign w:val="bottom"/>
          </w:tcPr>
          <w:p>
            <w:pPr>
              <w:spacing w:after="0"/>
              <w:rPr>
                <w:sz w:val="19"/>
                <w:szCs w:val="19"/>
                <w:color w:val="auto"/>
              </w:rPr>
            </w:pPr>
          </w:p>
        </w:tc>
        <w:tc>
          <w:tcPr>
            <w:tcW w:w="42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149,366</w:t>
            </w:r>
          </w:p>
        </w:tc>
      </w:tr>
      <w:tr>
        <w:trPr>
          <w:trHeight w:val="222"/>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Net investment income</w:t>
            </w:r>
          </w:p>
        </w:tc>
        <w:tc>
          <w:tcPr>
            <w:tcW w:w="10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28,604</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23,686</w:t>
            </w:r>
          </w:p>
        </w:tc>
      </w:tr>
      <w:tr>
        <w:trPr>
          <w:trHeight w:val="222"/>
        </w:trPr>
        <w:tc>
          <w:tcPr>
            <w:tcW w:w="76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Net realized investment (losses) gains</w:t>
            </w:r>
          </w:p>
        </w:tc>
        <w:tc>
          <w:tcPr>
            <w:tcW w:w="10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r>
      <w:tr>
        <w:trPr>
          <w:trHeight w:val="222"/>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 revenues</w:t>
            </w:r>
          </w:p>
        </w:tc>
        <w:tc>
          <w:tcPr>
            <w:tcW w:w="10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w:t>
            </w:r>
          </w:p>
        </w:tc>
      </w:tr>
      <w:tr>
        <w:trPr>
          <w:trHeight w:val="215"/>
        </w:trPr>
        <w:tc>
          <w:tcPr>
            <w:tcW w:w="7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revenues</w:t>
            </w:r>
          </w:p>
        </w:tc>
        <w:tc>
          <w:tcPr>
            <w:tcW w:w="10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183,475</w:t>
            </w:r>
          </w:p>
        </w:tc>
        <w:tc>
          <w:tcPr>
            <w:tcW w:w="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173,246</w:t>
            </w:r>
          </w:p>
        </w:tc>
      </w:tr>
      <w:tr>
        <w:trPr>
          <w:trHeight w:val="202"/>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Expenses</w:t>
            </w:r>
          </w:p>
        </w:tc>
        <w:tc>
          <w:tcPr>
            <w:tcW w:w="10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22"/>
        </w:trPr>
        <w:tc>
          <w:tcPr>
            <w:tcW w:w="76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Insurance claims and claim expenses</w:t>
            </w:r>
          </w:p>
        </w:tc>
        <w:tc>
          <w:tcPr>
            <w:tcW w:w="10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20,661</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4,478</w:t>
            </w:r>
          </w:p>
        </w:tc>
      </w:tr>
      <w:tr>
        <w:trPr>
          <w:trHeight w:val="222"/>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Underwriting and operating expenses</w:t>
            </w:r>
          </w:p>
        </w:tc>
        <w:tc>
          <w:tcPr>
            <w:tcW w:w="10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30,623</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30,175</w:t>
            </w:r>
          </w:p>
        </w:tc>
      </w:tr>
      <w:tr>
        <w:trPr>
          <w:trHeight w:val="222"/>
        </w:trPr>
        <w:tc>
          <w:tcPr>
            <w:tcW w:w="76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Service expenses</w:t>
            </w:r>
          </w:p>
        </w:tc>
        <w:tc>
          <w:tcPr>
            <w:tcW w:w="10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w:t>
            </w:r>
          </w:p>
        </w:tc>
      </w:tr>
      <w:tr>
        <w:trPr>
          <w:trHeight w:val="222"/>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Interest expense</w:t>
            </w:r>
          </w:p>
        </w:tc>
        <w:tc>
          <w:tcPr>
            <w:tcW w:w="10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7,109</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7,106</w:t>
            </w:r>
          </w:p>
        </w:tc>
      </w:tr>
      <w:tr>
        <w:trPr>
          <w:trHeight w:val="215"/>
        </w:trPr>
        <w:tc>
          <w:tcPr>
            <w:tcW w:w="7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expenses</w:t>
            </w:r>
          </w:p>
        </w:tc>
        <w:tc>
          <w:tcPr>
            <w:tcW w:w="10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58,532</w:t>
            </w:r>
          </w:p>
        </w:tc>
        <w:tc>
          <w:tcPr>
            <w:tcW w:w="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41,875</w:t>
            </w:r>
          </w:p>
        </w:tc>
      </w:tr>
      <w:tr>
        <w:trPr>
          <w:trHeight w:val="241"/>
        </w:trPr>
        <w:tc>
          <w:tcPr>
            <w:tcW w:w="76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r>
      <w:tr>
        <w:trPr>
          <w:trHeight w:val="222"/>
        </w:trPr>
        <w:tc>
          <w:tcPr>
            <w:tcW w:w="7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10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124,943</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131,371</w:t>
            </w:r>
          </w:p>
        </w:tc>
      </w:tr>
      <w:tr>
        <w:trPr>
          <w:trHeight w:val="222"/>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Income tax expense</w:t>
            </w:r>
          </w:p>
        </w:tc>
        <w:tc>
          <w:tcPr>
            <w:tcW w:w="10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25,613</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28,812</w:t>
            </w:r>
          </w:p>
        </w:tc>
      </w:tr>
      <w:tr>
        <w:trPr>
          <w:trHeight w:val="215"/>
        </w:trPr>
        <w:tc>
          <w:tcPr>
            <w:tcW w:w="7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1060" w:type="dxa"/>
            <w:vAlign w:val="bottom"/>
            <w:tcBorders>
              <w:bottom w:val="single" w:sz="8" w:color="auto"/>
            </w:tcBorders>
          </w:tcPr>
          <w:p>
            <w:pPr>
              <w:jc w:val="right"/>
              <w:ind w:right="86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99,330</w:t>
            </w:r>
          </w:p>
        </w:tc>
        <w:tc>
          <w:tcPr>
            <w:tcW w:w="80" w:type="dxa"/>
            <w:vAlign w:val="bottom"/>
          </w:tcPr>
          <w:p>
            <w:pPr>
              <w:spacing w:after="0"/>
              <w:rPr>
                <w:sz w:val="18"/>
                <w:szCs w:val="18"/>
                <w:color w:val="auto"/>
              </w:rPr>
            </w:pPr>
          </w:p>
        </w:tc>
        <w:tc>
          <w:tcPr>
            <w:tcW w:w="4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102,559</w:t>
            </w:r>
          </w:p>
        </w:tc>
      </w:tr>
      <w:tr>
        <w:trPr>
          <w:trHeight w:val="20"/>
        </w:trPr>
        <w:tc>
          <w:tcPr>
            <w:tcW w:w="766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28"/>
        </w:trPr>
        <w:tc>
          <w:tcPr>
            <w:tcW w:w="76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2"/>
        </w:trPr>
        <w:tc>
          <w:tcPr>
            <w:tcW w:w="7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Earnings per share</w:t>
            </w:r>
          </w:p>
        </w:tc>
        <w:tc>
          <w:tcPr>
            <w:tcW w:w="10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2"/>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Basic</w:t>
            </w:r>
          </w:p>
        </w:tc>
        <w:tc>
          <w:tcPr>
            <w:tcW w:w="1060" w:type="dxa"/>
            <w:vAlign w:val="bottom"/>
            <w:shd w:val="clear" w:color="auto" w:fill="CCEEFF"/>
          </w:tcPr>
          <w:p>
            <w:pPr>
              <w:jc w:val="right"/>
              <w:ind w:right="86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w:t>
            </w:r>
          </w:p>
        </w:tc>
      </w:tr>
      <w:tr>
        <w:trPr>
          <w:trHeight w:val="222"/>
        </w:trPr>
        <w:tc>
          <w:tcPr>
            <w:tcW w:w="76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Diluted</w:t>
            </w:r>
          </w:p>
        </w:tc>
        <w:tc>
          <w:tcPr>
            <w:tcW w:w="1060" w:type="dxa"/>
            <w:vAlign w:val="bottom"/>
          </w:tcPr>
          <w:p>
            <w:pPr>
              <w:jc w:val="right"/>
              <w:ind w:right="86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w:t>
            </w:r>
          </w:p>
        </w:tc>
        <w:tc>
          <w:tcPr>
            <w:tcW w:w="80" w:type="dxa"/>
            <w:vAlign w:val="bottom"/>
          </w:tcPr>
          <w:p>
            <w:pPr>
              <w:spacing w:after="0"/>
              <w:rPr>
                <w:sz w:val="19"/>
                <w:szCs w:val="19"/>
                <w:color w:val="auto"/>
              </w:rPr>
            </w:pPr>
          </w:p>
        </w:tc>
        <w:tc>
          <w:tcPr>
            <w:tcW w:w="42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w:t>
            </w:r>
          </w:p>
        </w:tc>
      </w:tr>
      <w:tr>
        <w:trPr>
          <w:trHeight w:val="261"/>
        </w:trPr>
        <w:tc>
          <w:tcPr>
            <w:tcW w:w="76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r>
      <w:tr>
        <w:trPr>
          <w:trHeight w:val="222"/>
        </w:trPr>
        <w:tc>
          <w:tcPr>
            <w:tcW w:w="7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 average common shares outstanding</w:t>
            </w:r>
          </w:p>
        </w:tc>
        <w:tc>
          <w:tcPr>
            <w:tcW w:w="10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2"/>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Basic</w:t>
            </w:r>
          </w:p>
        </w:tc>
        <w:tc>
          <w:tcPr>
            <w:tcW w:w="10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76,175</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78,407</w:t>
            </w:r>
          </w:p>
        </w:tc>
      </w:tr>
      <w:tr>
        <w:trPr>
          <w:trHeight w:val="222"/>
        </w:trPr>
        <w:tc>
          <w:tcPr>
            <w:tcW w:w="76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Diluted</w:t>
            </w:r>
          </w:p>
        </w:tc>
        <w:tc>
          <w:tcPr>
            <w:tcW w:w="10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77,435</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79,858</w:t>
            </w:r>
          </w:p>
        </w:tc>
      </w:tr>
      <w:tr>
        <w:trPr>
          <w:trHeight w:val="261"/>
        </w:trPr>
        <w:tc>
          <w:tcPr>
            <w:tcW w:w="76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r>
    </w:tbl>
    <w:p>
      <w:pPr>
        <w:spacing w:after="0" w:line="1" w:lineRule="exact"/>
        <w:rPr>
          <w:sz w:val="20"/>
          <w:szCs w:val="20"/>
          <w:color w:val="auto"/>
        </w:rPr>
      </w:pPr>
    </w:p>
    <w:p>
      <w:pPr>
        <w:sectPr>
          <w:pgSz w:w="11900" w:h="16838" w:orient="portrait"/>
          <w:cols w:equalWidth="0" w:num="1">
            <w:col w:w="11220"/>
          </w:cols>
          <w:pgMar w:left="340" w:top="121" w:right="339" w:bottom="1440" w:gutter="0" w:footer="0" w:header="0"/>
        </w:sectPr>
      </w:pPr>
    </w:p>
    <w:p>
      <w:pPr>
        <w:ind w:left="20"/>
        <w:spacing w:after="0"/>
        <w:tabs>
          <w:tab w:leader="none" w:pos="7660" w:val="left"/>
        </w:tabs>
        <w:rPr>
          <w:sz w:val="20"/>
          <w:szCs w:val="20"/>
          <w:color w:val="auto"/>
        </w:rPr>
      </w:pPr>
      <w:r>
        <w:rPr>
          <w:rFonts w:ascii="Times New Roman" w:cs="Times New Roman" w:eastAsia="Times New Roman" w:hAnsi="Times New Roman"/>
          <w:sz w:val="17"/>
          <w:szCs w:val="17"/>
          <w:color w:val="auto"/>
        </w:rPr>
        <w:t>Net income</w:t>
      </w:r>
      <w:r>
        <w:rPr>
          <w:sz w:val="20"/>
          <w:szCs w:val="20"/>
          <w:color w:val="auto"/>
        </w:rPr>
        <w:tab/>
      </w:r>
      <w:r>
        <w:rPr>
          <w:rFonts w:ascii="Times New Roman" w:cs="Times New Roman" w:eastAsia="Times New Roman" w:hAnsi="Times New Roman"/>
          <w:sz w:val="17"/>
          <w:szCs w:val="17"/>
          <w:color w:val="auto"/>
        </w:rPr>
        <w:t>$</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Other comprehensive (loss) income,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-123190</wp:posOffset>
            </wp:positionV>
            <wp:extent cx="7120255" cy="1409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20255" cy="140970"/>
                    </a:xfrm>
                    <a:prstGeom prst="rect">
                      <a:avLst/>
                    </a:prstGeom>
                    <a:noFill/>
                  </pic:spPr>
                </pic:pic>
              </a:graphicData>
            </a:graphic>
          </wp:anchor>
        </w:drawing>
      </w:r>
    </w:p>
    <w:p>
      <w:pPr>
        <w:spacing w:after="0" w:line="7" w:lineRule="exact"/>
        <w:rPr>
          <w:sz w:val="20"/>
          <w:szCs w:val="20"/>
          <w:color w:val="auto"/>
        </w:rPr>
      </w:pPr>
    </w:p>
    <w:p>
      <w:pPr>
        <w:ind w:left="20" w:right="560"/>
        <w:spacing w:after="0" w:line="241" w:lineRule="auto"/>
        <w:rPr>
          <w:sz w:val="20"/>
          <w:szCs w:val="20"/>
          <w:color w:val="auto"/>
        </w:rPr>
      </w:pPr>
      <w:r>
        <w:rPr>
          <w:rFonts w:ascii="Times New Roman" w:cs="Times New Roman" w:eastAsia="Times New Roman" w:hAnsi="Times New Roman"/>
          <w:sz w:val="17"/>
          <w:szCs w:val="17"/>
          <w:color w:val="auto"/>
        </w:rPr>
        <w:t>Unrealized (losses) gains in accumulated other comprehensive loss, net of tax (benefit) expense of $(5,959) and $8,186 for the quarters ended March 31, 2026 and 2025, respectively</w:t>
      </w:r>
    </w:p>
    <w:p>
      <w:pPr>
        <w:spacing w:after="0" w:line="7" w:lineRule="exact"/>
        <w:rPr>
          <w:sz w:val="20"/>
          <w:szCs w:val="20"/>
          <w:color w:val="auto"/>
        </w:rPr>
      </w:pPr>
    </w:p>
    <w:p>
      <w:pPr>
        <w:ind w:left="20" w:right="480"/>
        <w:spacing w:after="0" w:line="247" w:lineRule="auto"/>
        <w:rPr>
          <w:sz w:val="20"/>
          <w:szCs w:val="20"/>
          <w:color w:val="auto"/>
        </w:rPr>
      </w:pPr>
      <w:r>
        <w:rPr>
          <w:rFonts w:ascii="Times New Roman" w:cs="Times New Roman" w:eastAsia="Times New Roman" w:hAnsi="Times New Roman"/>
          <w:sz w:val="17"/>
          <w:szCs w:val="17"/>
          <w:color w:val="auto"/>
        </w:rPr>
        <w:t>Reclassification adjustment for realized losses (gains) included in net income, net of tax (benefit) expense of $(90) and $5 for the quarters ended March 31, 2026 and 2025,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-251460</wp:posOffset>
            </wp:positionV>
            <wp:extent cx="7120255" cy="2571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20255" cy="2571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60"/>
        <w:spacing w:after="0"/>
        <w:tabs>
          <w:tab w:leader="none" w:pos="700" w:val="left"/>
          <w:tab w:leader="none" w:pos="1780" w:val="left"/>
        </w:tabs>
        <w:rPr>
          <w:sz w:val="20"/>
          <w:szCs w:val="20"/>
          <w:color w:val="auto"/>
        </w:rPr>
      </w:pPr>
      <w:r>
        <w:rPr>
          <w:rFonts w:ascii="Times New Roman" w:cs="Times New Roman" w:eastAsia="Times New Roman" w:hAnsi="Times New Roman"/>
          <w:sz w:val="17"/>
          <w:szCs w:val="17"/>
          <w:color w:val="auto"/>
        </w:rPr>
        <w:t>99,330</w:t>
        <w:tab/>
        <w:t>$</w:t>
      </w:r>
      <w:r>
        <w:rPr>
          <w:sz w:val="20"/>
          <w:szCs w:val="20"/>
          <w:color w:val="auto"/>
        </w:rPr>
        <w:tab/>
      </w:r>
      <w:r>
        <w:rPr>
          <w:rFonts w:ascii="Times New Roman" w:cs="Times New Roman" w:eastAsia="Times New Roman" w:hAnsi="Times New Roman"/>
          <w:sz w:val="17"/>
          <w:szCs w:val="17"/>
          <w:color w:val="auto"/>
        </w:rPr>
        <w:t>102,559</w:t>
      </w:r>
    </w:p>
    <w:p>
      <w:pPr>
        <w:spacing w:after="0" w:line="200" w:lineRule="exact"/>
        <w:rPr>
          <w:sz w:val="20"/>
          <w:szCs w:val="20"/>
          <w:color w:val="auto"/>
        </w:rPr>
      </w:pPr>
    </w:p>
    <w:p>
      <w:pPr>
        <w:spacing w:after="0" w:line="226" w:lineRule="exact"/>
        <w:rPr>
          <w:sz w:val="20"/>
          <w:szCs w:val="20"/>
          <w:color w:val="auto"/>
        </w:rPr>
      </w:pPr>
    </w:p>
    <w:p>
      <w:pPr>
        <w:spacing w:after="0"/>
        <w:tabs>
          <w:tab w:leader="none" w:pos="1860" w:val="left"/>
        </w:tabs>
        <w:rPr>
          <w:sz w:val="20"/>
          <w:szCs w:val="20"/>
          <w:color w:val="auto"/>
        </w:rPr>
      </w:pPr>
      <w:r>
        <w:rPr>
          <w:rFonts w:ascii="Times New Roman" w:cs="Times New Roman" w:eastAsia="Times New Roman" w:hAnsi="Times New Roman"/>
          <w:sz w:val="17"/>
          <w:szCs w:val="17"/>
          <w:color w:val="auto"/>
        </w:rPr>
        <w:t>(22,415)</w:t>
      </w:r>
      <w:r>
        <w:rPr>
          <w:sz w:val="20"/>
          <w:szCs w:val="20"/>
          <w:color w:val="auto"/>
        </w:rPr>
        <w:tab/>
      </w:r>
      <w:r>
        <w:rPr>
          <w:rFonts w:ascii="Times New Roman" w:cs="Times New Roman" w:eastAsia="Times New Roman" w:hAnsi="Times New Roman"/>
          <w:sz w:val="17"/>
          <w:szCs w:val="17"/>
          <w:color w:val="auto"/>
        </w:rPr>
        <w:t>30,795</w:t>
      </w:r>
    </w:p>
    <w:p>
      <w:pPr>
        <w:spacing w:after="0" w:line="210" w:lineRule="exact"/>
        <w:rPr>
          <w:sz w:val="20"/>
          <w:szCs w:val="20"/>
          <w:color w:val="auto"/>
        </w:rPr>
      </w:pPr>
    </w:p>
    <w:p>
      <w:pPr>
        <w:jc w:val="both"/>
        <w:ind w:left="280"/>
        <w:spacing w:after="0"/>
        <w:tabs>
          <w:tab w:leader="none" w:pos="2100" w:val="left"/>
        </w:tabs>
        <w:rPr>
          <w:sz w:val="20"/>
          <w:szCs w:val="20"/>
          <w:color w:val="auto"/>
        </w:rPr>
      </w:pPr>
      <w:r>
        <w:rPr>
          <w:rFonts w:ascii="Times New Roman" w:cs="Times New Roman" w:eastAsia="Times New Roman" w:hAnsi="Times New Roman"/>
          <w:sz w:val="17"/>
          <w:szCs w:val="17"/>
          <w:color w:val="auto"/>
        </w:rPr>
        <w:t>338</w:t>
      </w:r>
      <w:r>
        <w:rPr>
          <w:sz w:val="20"/>
          <w:szCs w:val="20"/>
          <w:color w:val="auto"/>
        </w:rPr>
        <w:tab/>
      </w:r>
      <w:r>
        <w:rPr>
          <w:rFonts w:ascii="Times New Roman" w:cs="Times New Roman" w:eastAsia="Times New Roman" w:hAnsi="Times New Roman"/>
          <w:sz w:val="17"/>
          <w:szCs w:val="17"/>
          <w:color w:val="auto"/>
        </w:rPr>
        <w:t>(19)</w:t>
      </w:r>
    </w:p>
    <w:p>
      <w:pPr>
        <w:spacing w:after="0" w:line="31" w:lineRule="exact"/>
        <w:rPr>
          <w:sz w:val="20"/>
          <w:szCs w:val="20"/>
          <w:color w:val="auto"/>
        </w:rPr>
      </w:pPr>
    </w:p>
    <w:p>
      <w:pPr>
        <w:sectPr>
          <w:pgSz w:w="11900" w:h="16838" w:orient="portrait"/>
          <w:cols w:equalWidth="0" w:num="2">
            <w:col w:w="8060" w:space="720"/>
            <w:col w:w="2440"/>
          </w:cols>
          <w:pgMar w:left="34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7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comprehensive (loss) income, net of tax</w:t>
            </w:r>
          </w:p>
        </w:tc>
        <w:tc>
          <w:tcPr>
            <w:tcW w:w="6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(22,077)</w:t>
            </w:r>
          </w:p>
        </w:tc>
        <w:tc>
          <w:tcPr>
            <w:tcW w:w="80" w:type="dxa"/>
            <w:vAlign w:val="bottom"/>
            <w:tcBorders>
              <w:bottom w:val="single" w:sz="8" w:color="CCEEFF"/>
            </w:tcBorders>
          </w:tcPr>
          <w:p>
            <w:pPr>
              <w:spacing w:after="0"/>
              <w:rPr>
                <w:sz w:val="18"/>
                <w:szCs w:val="18"/>
                <w:color w:val="auto"/>
              </w:rPr>
            </w:pPr>
          </w:p>
        </w:tc>
        <w:tc>
          <w:tcPr>
            <w:tcW w:w="6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30,776</w:t>
            </w:r>
          </w:p>
        </w:tc>
      </w:tr>
      <w:tr>
        <w:trPr>
          <w:trHeight w:val="240"/>
        </w:trPr>
        <w:tc>
          <w:tcPr>
            <w:tcW w:w="7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Comprehensive income</w:t>
            </w:r>
          </w:p>
        </w:tc>
        <w:tc>
          <w:tcPr>
            <w:tcW w:w="620" w:type="dxa"/>
            <w:vAlign w:val="bottom"/>
            <w:tcBorders>
              <w:bottom w:val="single" w:sz="8" w:color="auto"/>
            </w:tcBorders>
            <w:shd w:val="clear" w:color="auto" w:fill="CCEEFF"/>
          </w:tcPr>
          <w:p>
            <w:pPr>
              <w:jc w:val="right"/>
              <w:ind w:right="413"/>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77,253</w:t>
            </w:r>
          </w:p>
        </w:tc>
        <w:tc>
          <w:tcPr>
            <w:tcW w:w="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41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133,335</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i w:val="1"/>
          <w:iCs w:val="1"/>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74295</wp:posOffset>
            </wp:positionV>
            <wp:extent cx="716216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40" w:top="121" w:right="339" w:bottom="1440" w:gutter="0" w:footer="0" w:header="0"/>
          <w:type w:val="continuous"/>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C</w:t>
      </w:r>
      <w:r>
        <w:rPr>
          <w:rFonts w:ascii="Times New Roman" w:cs="Times New Roman" w:eastAsia="Times New Roman" w:hAnsi="Times New Roman"/>
          <w:sz w:val="15"/>
          <w:szCs w:val="15"/>
          <w:color w:val="auto"/>
        </w:rPr>
        <w:t>ONDENSED CONSOLIDATED STATEMENTS OF OPERATIONS AND COMPREHENSIVE INCOME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3"/>
                <w:szCs w:val="13"/>
                <w:color w:val="auto"/>
              </w:rPr>
            </w:pPr>
          </w:p>
        </w:tc>
        <w:tc>
          <w:tcPr>
            <w:tcW w:w="1820" w:type="dxa"/>
            <w:vAlign w:val="bottom"/>
            <w:gridSpan w:val="3"/>
            <w:vMerge w:val="restart"/>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860" w:type="dxa"/>
            <w:vAlign w:val="bottom"/>
          </w:tcPr>
          <w:p>
            <w:pPr>
              <w:spacing w:after="0"/>
              <w:rPr>
                <w:sz w:val="9"/>
                <w:szCs w:val="9"/>
                <w:color w:val="auto"/>
              </w:rPr>
            </w:pPr>
          </w:p>
        </w:tc>
        <w:tc>
          <w:tcPr>
            <w:tcW w:w="182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vMerge w:val="restart"/>
          </w:tcPr>
          <w:p>
            <w:pPr>
              <w:jc w:val="right"/>
              <w:ind w:right="135"/>
              <w:spacing w:after="0" w:line="123"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080" w:type="dxa"/>
            <w:vAlign w:val="bottom"/>
            <w:gridSpan w:val="2"/>
            <w:vMerge w:val="restart"/>
          </w:tcPr>
          <w:p>
            <w:pPr>
              <w:jc w:val="right"/>
              <w:spacing w:after="0" w:line="123" w:lineRule="exact"/>
              <w:rPr>
                <w:sz w:val="20"/>
                <w:szCs w:val="20"/>
                <w:color w:val="auto"/>
              </w:rPr>
            </w:pPr>
            <w:r>
              <w:rPr>
                <w:rFonts w:ascii="Times New Roman" w:cs="Times New Roman" w:eastAsia="Times New Roman" w:hAnsi="Times New Roman"/>
                <w:sz w:val="14"/>
                <w:szCs w:val="14"/>
                <w:b w:val="1"/>
                <w:bCs w:val="1"/>
                <w:color w:val="auto"/>
              </w:rPr>
              <w:t>Treasury Stock,</w:t>
            </w:r>
          </w:p>
        </w:tc>
        <w:tc>
          <w:tcPr>
            <w:tcW w:w="160" w:type="dxa"/>
            <w:vAlign w:val="bottom"/>
          </w:tcPr>
          <w:p>
            <w:pPr>
              <w:spacing w:after="0"/>
              <w:rPr>
                <w:sz w:val="9"/>
                <w:szCs w:val="9"/>
                <w:color w:val="auto"/>
              </w:rPr>
            </w:pPr>
          </w:p>
        </w:tc>
        <w:tc>
          <w:tcPr>
            <w:tcW w:w="1080" w:type="dxa"/>
            <w:vAlign w:val="bottom"/>
            <w:vMerge w:val="restart"/>
          </w:tcPr>
          <w:p>
            <w:pPr>
              <w:jc w:val="right"/>
              <w:ind w:right="57"/>
              <w:spacing w:after="0" w:line="123" w:lineRule="exact"/>
              <w:rPr>
                <w:sz w:val="20"/>
                <w:szCs w:val="20"/>
                <w:color w:val="auto"/>
              </w:rPr>
            </w:pPr>
            <w:r>
              <w:rPr>
                <w:rFonts w:ascii="Times New Roman" w:cs="Times New Roman" w:eastAsia="Times New Roman" w:hAnsi="Times New Roman"/>
                <w:sz w:val="14"/>
                <w:szCs w:val="14"/>
                <w:b w:val="1"/>
                <w:bCs w:val="1"/>
                <w:color w:val="auto"/>
                <w:w w:val="98"/>
              </w:rPr>
              <w:t>Comprehensive</w:t>
            </w:r>
          </w:p>
        </w:tc>
        <w:tc>
          <w:tcPr>
            <w:tcW w:w="200" w:type="dxa"/>
            <w:vAlign w:val="bottom"/>
          </w:tcPr>
          <w:p>
            <w:pPr>
              <w:spacing w:after="0"/>
              <w:rPr>
                <w:sz w:val="9"/>
                <w:szCs w:val="9"/>
                <w:color w:val="auto"/>
              </w:rPr>
            </w:pPr>
          </w:p>
        </w:tc>
        <w:tc>
          <w:tcPr>
            <w:tcW w:w="840" w:type="dxa"/>
            <w:vAlign w:val="bottom"/>
            <w:vMerge w:val="restart"/>
          </w:tcPr>
          <w:p>
            <w:pPr>
              <w:jc w:val="right"/>
              <w:ind w:right="157"/>
              <w:spacing w:after="0" w:line="123"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38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108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vMerge w:val="continue"/>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vMerge w:val="continue"/>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vMerge w:val="restart"/>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4"/>
        </w:trPr>
        <w:tc>
          <w:tcPr>
            <w:tcW w:w="3860" w:type="dxa"/>
            <w:vAlign w:val="bottom"/>
          </w:tcPr>
          <w:p>
            <w:pPr>
              <w:spacing w:after="0"/>
              <w:rPr>
                <w:sz w:val="15"/>
                <w:szCs w:val="15"/>
                <w:color w:val="auto"/>
              </w:rPr>
            </w:pPr>
          </w:p>
        </w:tc>
        <w:tc>
          <w:tcPr>
            <w:tcW w:w="98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At Cost</w:t>
            </w: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8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Balances, December 31, 2025</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76,285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1,016,772</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(351,772)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(46,083)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1,972,185</w:t>
            </w:r>
          </w:p>
        </w:tc>
        <w:tc>
          <w:tcPr>
            <w:tcW w:w="2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2,591,986</w:t>
            </w:r>
          </w:p>
        </w:tc>
        <w:tc>
          <w:tcPr>
            <w:tcW w:w="0" w:type="dxa"/>
            <w:vAlign w:val="bottom"/>
          </w:tcPr>
          <w:p>
            <w:pPr>
              <w:spacing w:after="0"/>
              <w:rPr>
                <w:sz w:val="1"/>
                <w:szCs w:val="1"/>
                <w:color w:val="auto"/>
              </w:rPr>
            </w:pPr>
          </w:p>
        </w:tc>
      </w:tr>
      <w:tr>
        <w:trPr>
          <w:trHeight w:val="170"/>
        </w:trPr>
        <w:tc>
          <w:tcPr>
            <w:tcW w:w="3860" w:type="dxa"/>
            <w:vAlign w:val="bottom"/>
          </w:tcPr>
          <w:p>
            <w:pPr>
              <w:ind w:left="20"/>
              <w:spacing w:after="0" w:line="170" w:lineRule="exact"/>
              <w:rPr>
                <w:sz w:val="20"/>
                <w:szCs w:val="20"/>
                <w:color w:val="auto"/>
              </w:rPr>
            </w:pPr>
            <w:r>
              <w:rPr>
                <w:rFonts w:ascii="Times New Roman" w:cs="Times New Roman" w:eastAsia="Times New Roman" w:hAnsi="Times New Roman"/>
                <w:sz w:val="17"/>
                <w:szCs w:val="17"/>
                <w:color w:val="auto"/>
              </w:rPr>
              <w:t>Common stock: shares issued under stock plans, net of</w:t>
            </w: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3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shares withheld for employee taxes</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580</w:t>
            </w: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(13,772)</w:t>
            </w: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(13,766)</w:t>
            </w:r>
          </w:p>
        </w:tc>
        <w:tc>
          <w:tcPr>
            <w:tcW w:w="0" w:type="dxa"/>
            <w:vAlign w:val="bottom"/>
          </w:tcPr>
          <w:p>
            <w:pPr>
              <w:spacing w:after="0"/>
              <w:rPr>
                <w:sz w:val="1"/>
                <w:szCs w:val="1"/>
                <w:color w:val="auto"/>
              </w:rPr>
            </w:pPr>
          </w:p>
        </w:tc>
      </w:tr>
      <w:tr>
        <w:trPr>
          <w:trHeight w:val="222"/>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Repurchase of common stock</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(716)</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(27,723)</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(27,723)</w:t>
            </w:r>
          </w:p>
        </w:tc>
        <w:tc>
          <w:tcPr>
            <w:tcW w:w="0" w:type="dxa"/>
            <w:vAlign w:val="bottom"/>
          </w:tcPr>
          <w:p>
            <w:pPr>
              <w:spacing w:after="0"/>
              <w:rPr>
                <w:sz w:val="1"/>
                <w:szCs w:val="1"/>
                <w:color w:val="auto"/>
              </w:rPr>
            </w:pPr>
          </w:p>
        </w:tc>
      </w:tr>
      <w:tr>
        <w:trPr>
          <w:trHeight w:val="222"/>
        </w:trPr>
        <w:tc>
          <w:tcPr>
            <w:tcW w:w="3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Share-based compensation expense</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4,682</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9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4,682</w:t>
            </w:r>
          </w:p>
        </w:tc>
        <w:tc>
          <w:tcPr>
            <w:tcW w:w="0" w:type="dxa"/>
            <w:vAlign w:val="bottom"/>
          </w:tcPr>
          <w:p>
            <w:pPr>
              <w:spacing w:after="0"/>
              <w:rPr>
                <w:sz w:val="1"/>
                <w:szCs w:val="1"/>
                <w:color w:val="auto"/>
              </w:rPr>
            </w:pPr>
          </w:p>
        </w:tc>
      </w:tr>
      <w:tr>
        <w:trPr>
          <w:trHeight w:val="170"/>
        </w:trPr>
        <w:tc>
          <w:tcPr>
            <w:tcW w:w="3860" w:type="dxa"/>
            <w:vAlign w:val="bottom"/>
            <w:shd w:val="clear" w:color="auto" w:fill="CCEEFF"/>
          </w:tcPr>
          <w:p>
            <w:pPr>
              <w:ind w:left="20"/>
              <w:spacing w:after="0" w:line="170" w:lineRule="exact"/>
              <w:rPr>
                <w:sz w:val="20"/>
                <w:szCs w:val="20"/>
                <w:color w:val="auto"/>
              </w:rPr>
            </w:pPr>
            <w:r>
              <w:rPr>
                <w:rFonts w:ascii="Times New Roman" w:cs="Times New Roman" w:eastAsia="Times New Roman" w:hAnsi="Times New Roman"/>
                <w:sz w:val="17"/>
                <w:szCs w:val="17"/>
                <w:color w:val="auto"/>
              </w:rPr>
              <w:t>Change in unrealized investment gains/losses, net of</w:t>
            </w:r>
          </w:p>
        </w:tc>
        <w:tc>
          <w:tcPr>
            <w:tcW w:w="9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tax benefit of $5,869</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(22,077)</w:t>
            </w: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(22,077)</w:t>
            </w:r>
          </w:p>
        </w:tc>
        <w:tc>
          <w:tcPr>
            <w:tcW w:w="0" w:type="dxa"/>
            <w:vAlign w:val="bottom"/>
          </w:tcPr>
          <w:p>
            <w:pPr>
              <w:spacing w:after="0"/>
              <w:rPr>
                <w:sz w:val="1"/>
                <w:szCs w:val="1"/>
                <w:color w:val="auto"/>
              </w:rPr>
            </w:pPr>
          </w:p>
        </w:tc>
      </w:tr>
      <w:tr>
        <w:trPr>
          <w:trHeight w:val="222"/>
        </w:trPr>
        <w:tc>
          <w:tcPr>
            <w:tcW w:w="3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99,330</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99,330</w:t>
            </w:r>
          </w:p>
        </w:tc>
        <w:tc>
          <w:tcPr>
            <w:tcW w:w="0" w:type="dxa"/>
            <w:vAlign w:val="bottom"/>
          </w:tcPr>
          <w:p>
            <w:pPr>
              <w:spacing w:after="0"/>
              <w:rPr>
                <w:sz w:val="1"/>
                <w:szCs w:val="1"/>
                <w:color w:val="auto"/>
              </w:rPr>
            </w:pPr>
          </w:p>
        </w:tc>
      </w:tr>
      <w:tr>
        <w:trPr>
          <w:trHeight w:val="240"/>
        </w:trPr>
        <w:tc>
          <w:tcPr>
            <w:tcW w:w="3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Balances, March 31, 2026</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76,149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1,007,682</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(379,495)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(68,160)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2,071,515</w:t>
            </w:r>
          </w:p>
        </w:tc>
        <w:tc>
          <w:tcPr>
            <w:tcW w:w="2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2,632,432</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3"/>
                <w:szCs w:val="13"/>
                <w:color w:val="auto"/>
              </w:rPr>
            </w:pPr>
          </w:p>
        </w:tc>
        <w:tc>
          <w:tcPr>
            <w:tcW w:w="1820" w:type="dxa"/>
            <w:vAlign w:val="bottom"/>
            <w:gridSpan w:val="3"/>
            <w:vMerge w:val="restart"/>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w w:val="99"/>
              </w:rPr>
              <w:t>Accumulated Other</w:t>
            </w: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3860" w:type="dxa"/>
            <w:vAlign w:val="bottom"/>
          </w:tcPr>
          <w:p>
            <w:pPr>
              <w:spacing w:after="0"/>
              <w:rPr>
                <w:sz w:val="9"/>
                <w:szCs w:val="9"/>
                <w:color w:val="auto"/>
              </w:rPr>
            </w:pPr>
          </w:p>
        </w:tc>
        <w:tc>
          <w:tcPr>
            <w:tcW w:w="182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vMerge w:val="restart"/>
          </w:tcPr>
          <w:p>
            <w:pPr>
              <w:jc w:val="right"/>
              <w:ind w:right="135"/>
              <w:spacing w:after="0" w:line="124"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080" w:type="dxa"/>
            <w:vAlign w:val="bottom"/>
            <w:gridSpan w:val="2"/>
            <w:vMerge w:val="restart"/>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Treasury Stock,</w:t>
            </w:r>
          </w:p>
        </w:tc>
        <w:tc>
          <w:tcPr>
            <w:tcW w:w="160" w:type="dxa"/>
            <w:vAlign w:val="bottom"/>
          </w:tcPr>
          <w:p>
            <w:pPr>
              <w:spacing w:after="0"/>
              <w:rPr>
                <w:sz w:val="9"/>
                <w:szCs w:val="9"/>
                <w:color w:val="auto"/>
              </w:rPr>
            </w:pPr>
          </w:p>
        </w:tc>
        <w:tc>
          <w:tcPr>
            <w:tcW w:w="1080" w:type="dxa"/>
            <w:vAlign w:val="bottom"/>
            <w:vMerge w:val="restart"/>
          </w:tcPr>
          <w:p>
            <w:pPr>
              <w:jc w:val="right"/>
              <w:ind w:right="57"/>
              <w:spacing w:after="0" w:line="124" w:lineRule="exact"/>
              <w:rPr>
                <w:sz w:val="20"/>
                <w:szCs w:val="20"/>
                <w:color w:val="auto"/>
              </w:rPr>
            </w:pPr>
            <w:r>
              <w:rPr>
                <w:rFonts w:ascii="Times New Roman" w:cs="Times New Roman" w:eastAsia="Times New Roman" w:hAnsi="Times New Roman"/>
                <w:sz w:val="14"/>
                <w:szCs w:val="14"/>
                <w:b w:val="1"/>
                <w:bCs w:val="1"/>
                <w:color w:val="auto"/>
                <w:w w:val="98"/>
              </w:rPr>
              <w:t>Comprehensive</w:t>
            </w:r>
          </w:p>
        </w:tc>
        <w:tc>
          <w:tcPr>
            <w:tcW w:w="200" w:type="dxa"/>
            <w:vAlign w:val="bottom"/>
          </w:tcPr>
          <w:p>
            <w:pPr>
              <w:spacing w:after="0"/>
              <w:rPr>
                <w:sz w:val="9"/>
                <w:szCs w:val="9"/>
                <w:color w:val="auto"/>
              </w:rPr>
            </w:pPr>
          </w:p>
        </w:tc>
        <w:tc>
          <w:tcPr>
            <w:tcW w:w="840" w:type="dxa"/>
            <w:vAlign w:val="bottom"/>
            <w:vMerge w:val="restart"/>
          </w:tcPr>
          <w:p>
            <w:pPr>
              <w:jc w:val="right"/>
              <w:ind w:right="157"/>
              <w:spacing w:after="0" w:line="124"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38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108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vMerge w:val="continue"/>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vMerge w:val="continue"/>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vMerge w:val="restart"/>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3"/>
        </w:trPr>
        <w:tc>
          <w:tcPr>
            <w:tcW w:w="3860" w:type="dxa"/>
            <w:vAlign w:val="bottom"/>
          </w:tcPr>
          <w:p>
            <w:pPr>
              <w:spacing w:after="0"/>
              <w:rPr>
                <w:sz w:val="15"/>
                <w:szCs w:val="15"/>
                <w:color w:val="auto"/>
              </w:rPr>
            </w:pPr>
          </w:p>
        </w:tc>
        <w:tc>
          <w:tcPr>
            <w:tcW w:w="98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At Cost</w:t>
            </w: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8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ind w:left="200"/>
              <w:spacing w:after="0"/>
              <w:rPr>
                <w:sz w:val="20"/>
                <w:szCs w:val="20"/>
                <w:color w:val="auto"/>
              </w:rPr>
            </w:pPr>
            <w:r>
              <w:rPr>
                <w:rFonts w:ascii="Times New Roman" w:cs="Times New Roman" w:eastAsia="Times New Roman" w:hAnsi="Times New Roman"/>
                <w:sz w:val="14"/>
                <w:szCs w:val="14"/>
                <w:i w:val="1"/>
                <w:iCs w:val="1"/>
                <w:color w:val="auto"/>
                <w:w w:val="96"/>
              </w:rPr>
              <w:t>(In Thousands)</w:t>
            </w: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Balances, December 31, 2024</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78,601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1,004,692</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(246,594)</w:t>
            </w: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(124,804)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1,583,259</w:t>
            </w:r>
          </w:p>
        </w:tc>
        <w:tc>
          <w:tcPr>
            <w:tcW w:w="2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2,217,432</w:t>
            </w:r>
          </w:p>
        </w:tc>
        <w:tc>
          <w:tcPr>
            <w:tcW w:w="0" w:type="dxa"/>
            <w:vAlign w:val="bottom"/>
          </w:tcPr>
          <w:p>
            <w:pPr>
              <w:spacing w:after="0"/>
              <w:rPr>
                <w:sz w:val="1"/>
                <w:szCs w:val="1"/>
                <w:color w:val="auto"/>
              </w:rPr>
            </w:pPr>
          </w:p>
        </w:tc>
      </w:tr>
      <w:tr>
        <w:trPr>
          <w:trHeight w:val="170"/>
        </w:trPr>
        <w:tc>
          <w:tcPr>
            <w:tcW w:w="3860" w:type="dxa"/>
            <w:vAlign w:val="bottom"/>
          </w:tcPr>
          <w:p>
            <w:pPr>
              <w:ind w:left="20"/>
              <w:spacing w:after="0" w:line="170" w:lineRule="exact"/>
              <w:rPr>
                <w:sz w:val="20"/>
                <w:szCs w:val="20"/>
                <w:color w:val="auto"/>
              </w:rPr>
            </w:pPr>
            <w:r>
              <w:rPr>
                <w:rFonts w:ascii="Times New Roman" w:cs="Times New Roman" w:eastAsia="Times New Roman" w:hAnsi="Times New Roman"/>
                <w:sz w:val="17"/>
                <w:szCs w:val="17"/>
                <w:color w:val="auto"/>
              </w:rPr>
              <w:t>Common stock: shares issued under stock plans, net of</w:t>
            </w: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3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shares withheld for employee taxes</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418</w:t>
            </w: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(7,654)</w:t>
            </w: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(7,650)</w:t>
            </w:r>
          </w:p>
        </w:tc>
        <w:tc>
          <w:tcPr>
            <w:tcW w:w="0" w:type="dxa"/>
            <w:vAlign w:val="bottom"/>
          </w:tcPr>
          <w:p>
            <w:pPr>
              <w:spacing w:after="0"/>
              <w:rPr>
                <w:sz w:val="1"/>
                <w:szCs w:val="1"/>
                <w:color w:val="auto"/>
              </w:rPr>
            </w:pPr>
          </w:p>
        </w:tc>
      </w:tr>
      <w:tr>
        <w:trPr>
          <w:trHeight w:val="222"/>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Repurchase of common stock</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(718)</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(26,053)</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(26,053)</w:t>
            </w:r>
          </w:p>
        </w:tc>
        <w:tc>
          <w:tcPr>
            <w:tcW w:w="0" w:type="dxa"/>
            <w:vAlign w:val="bottom"/>
          </w:tcPr>
          <w:p>
            <w:pPr>
              <w:spacing w:after="0"/>
              <w:rPr>
                <w:sz w:val="1"/>
                <w:szCs w:val="1"/>
                <w:color w:val="auto"/>
              </w:rPr>
            </w:pPr>
          </w:p>
        </w:tc>
      </w:tr>
      <w:tr>
        <w:trPr>
          <w:trHeight w:val="222"/>
        </w:trPr>
        <w:tc>
          <w:tcPr>
            <w:tcW w:w="3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Share-based compensation expense</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4,507</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9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4,507</w:t>
            </w:r>
          </w:p>
        </w:tc>
        <w:tc>
          <w:tcPr>
            <w:tcW w:w="0" w:type="dxa"/>
            <w:vAlign w:val="bottom"/>
          </w:tcPr>
          <w:p>
            <w:pPr>
              <w:spacing w:after="0"/>
              <w:rPr>
                <w:sz w:val="1"/>
                <w:szCs w:val="1"/>
                <w:color w:val="auto"/>
              </w:rPr>
            </w:pPr>
          </w:p>
        </w:tc>
      </w:tr>
      <w:tr>
        <w:trPr>
          <w:trHeight w:val="170"/>
        </w:trPr>
        <w:tc>
          <w:tcPr>
            <w:tcW w:w="3860" w:type="dxa"/>
            <w:vAlign w:val="bottom"/>
            <w:shd w:val="clear" w:color="auto" w:fill="CCEEFF"/>
          </w:tcPr>
          <w:p>
            <w:pPr>
              <w:ind w:left="20"/>
              <w:spacing w:after="0" w:line="170" w:lineRule="exact"/>
              <w:rPr>
                <w:sz w:val="20"/>
                <w:szCs w:val="20"/>
                <w:color w:val="auto"/>
              </w:rPr>
            </w:pPr>
            <w:r>
              <w:rPr>
                <w:rFonts w:ascii="Times New Roman" w:cs="Times New Roman" w:eastAsia="Times New Roman" w:hAnsi="Times New Roman"/>
                <w:sz w:val="17"/>
                <w:szCs w:val="17"/>
                <w:color w:val="auto"/>
              </w:rPr>
              <w:t>Change in unrealized investment gains/losses, net of</w:t>
            </w:r>
          </w:p>
        </w:tc>
        <w:tc>
          <w:tcPr>
            <w:tcW w:w="9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tax expense of $8,181</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30,776</w:t>
            </w: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30,776</w:t>
            </w:r>
          </w:p>
        </w:tc>
        <w:tc>
          <w:tcPr>
            <w:tcW w:w="0" w:type="dxa"/>
            <w:vAlign w:val="bottom"/>
          </w:tcPr>
          <w:p>
            <w:pPr>
              <w:spacing w:after="0"/>
              <w:rPr>
                <w:sz w:val="1"/>
                <w:szCs w:val="1"/>
                <w:color w:val="auto"/>
              </w:rPr>
            </w:pPr>
          </w:p>
        </w:tc>
      </w:tr>
      <w:tr>
        <w:trPr>
          <w:trHeight w:val="222"/>
        </w:trPr>
        <w:tc>
          <w:tcPr>
            <w:tcW w:w="3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102,559</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102,559</w:t>
            </w:r>
          </w:p>
        </w:tc>
        <w:tc>
          <w:tcPr>
            <w:tcW w:w="0" w:type="dxa"/>
            <w:vAlign w:val="bottom"/>
          </w:tcPr>
          <w:p>
            <w:pPr>
              <w:spacing w:after="0"/>
              <w:rPr>
                <w:sz w:val="1"/>
                <w:szCs w:val="1"/>
                <w:color w:val="auto"/>
              </w:rPr>
            </w:pPr>
          </w:p>
        </w:tc>
      </w:tr>
      <w:tr>
        <w:trPr>
          <w:trHeight w:val="240"/>
        </w:trPr>
        <w:tc>
          <w:tcPr>
            <w:tcW w:w="3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Balances, March 31, 2025</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78,301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1,001,545</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(272,647)</w:t>
            </w:r>
          </w:p>
        </w:tc>
        <w:tc>
          <w:tcPr>
            <w:tcW w:w="1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(94,028)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1,685,818</w:t>
            </w:r>
          </w:p>
        </w:tc>
        <w:tc>
          <w:tcPr>
            <w:tcW w:w="2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2,321,571</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i w:val="1"/>
          <w:iCs w:val="1"/>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74295</wp:posOffset>
            </wp:positionV>
            <wp:extent cx="716216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40" w:top="121" w:right="339" w:bottom="1440" w:gutter="0" w:footer="0" w:header="0"/>
        </w:sectPr>
      </w:pPr>
    </w:p>
    <w:bookmarkStart w:id="9" w:name="page10"/>
    <w:bookmarkEnd w:id="9"/>
    <w:p>
      <w:pPr>
        <w:jc w:val="center"/>
        <w:ind w:right="60"/>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color w:val="auto"/>
        </w:rPr>
        <w:t>CONDENSED CONSOLIDATED STATEMENTS OF CASH FLOWS (UNAUDITED)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660" w:type="dxa"/>
            <w:vAlign w:val="bottom"/>
          </w:tcPr>
          <w:p>
            <w:pPr>
              <w:spacing w:after="0"/>
              <w:rPr>
                <w:sz w:val="16"/>
                <w:szCs w:val="16"/>
                <w:color w:val="auto"/>
              </w:rPr>
            </w:pPr>
          </w:p>
        </w:tc>
        <w:tc>
          <w:tcPr>
            <w:tcW w:w="3520" w:type="dxa"/>
            <w:vAlign w:val="bottom"/>
            <w:gridSpan w:val="5"/>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r>
      <w:tr>
        <w:trPr>
          <w:trHeight w:val="23"/>
        </w:trPr>
        <w:tc>
          <w:tcPr>
            <w:tcW w:w="76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2"/>
        </w:trPr>
        <w:tc>
          <w:tcPr>
            <w:tcW w:w="7660" w:type="dxa"/>
            <w:vAlign w:val="bottom"/>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63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01"/>
        </w:trPr>
        <w:tc>
          <w:tcPr>
            <w:tcW w:w="7660" w:type="dxa"/>
            <w:vAlign w:val="bottom"/>
          </w:tcPr>
          <w:p>
            <w:pPr>
              <w:ind w:left="20"/>
              <w:spacing w:after="0" w:line="194" w:lineRule="exact"/>
              <w:rPr>
                <w:sz w:val="20"/>
                <w:szCs w:val="20"/>
                <w:color w:val="auto"/>
              </w:rPr>
            </w:pPr>
            <w:r>
              <w:rPr>
                <w:rFonts w:ascii="Times New Roman" w:cs="Times New Roman" w:eastAsia="Times New Roman" w:hAnsi="Times New Roman"/>
                <w:sz w:val="17"/>
                <w:szCs w:val="17"/>
                <w:color w:val="auto"/>
              </w:rPr>
              <w:t>Cash flows from operating activities</w:t>
            </w:r>
          </w:p>
        </w:tc>
        <w:tc>
          <w:tcPr>
            <w:tcW w:w="1020" w:type="dxa"/>
            <w:vAlign w:val="bottom"/>
          </w:tcPr>
          <w:p>
            <w:pPr>
              <w:spacing w:after="0"/>
              <w:rPr>
                <w:sz w:val="17"/>
                <w:szCs w:val="17"/>
                <w:color w:val="auto"/>
              </w:rPr>
            </w:pPr>
          </w:p>
        </w:tc>
        <w:tc>
          <w:tcPr>
            <w:tcW w:w="1340" w:type="dxa"/>
            <w:vAlign w:val="bottom"/>
            <w:gridSpan w:val="3"/>
          </w:tcPr>
          <w:p>
            <w:pPr>
              <w:jc w:val="right"/>
              <w:ind w:right="97"/>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160" w:type="dxa"/>
            <w:vAlign w:val="bottom"/>
          </w:tcPr>
          <w:p>
            <w:pPr>
              <w:spacing w:after="0"/>
              <w:rPr>
                <w:sz w:val="17"/>
                <w:szCs w:val="17"/>
                <w:color w:val="auto"/>
              </w:rPr>
            </w:pPr>
          </w:p>
        </w:tc>
      </w:tr>
      <w:tr>
        <w:trPr>
          <w:trHeight w:val="230"/>
        </w:trPr>
        <w:tc>
          <w:tcPr>
            <w:tcW w:w="7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Net income</w:t>
            </w:r>
          </w:p>
        </w:tc>
        <w:tc>
          <w:tcPr>
            <w:tcW w:w="1020" w:type="dxa"/>
            <w:vAlign w:val="bottom"/>
            <w:shd w:val="clear" w:color="auto" w:fill="CCEEFF"/>
          </w:tcPr>
          <w:p>
            <w:pPr>
              <w:jc w:val="right"/>
              <w:ind w:right="843"/>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99,330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7"/>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102,559</w:t>
            </w:r>
          </w:p>
        </w:tc>
      </w:tr>
      <w:tr>
        <w:trPr>
          <w:trHeight w:val="219"/>
        </w:trPr>
        <w:tc>
          <w:tcPr>
            <w:tcW w:w="76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Adjustments to reconcile net income to net cash provided by operating activities:</w:t>
            </w:r>
          </w:p>
        </w:tc>
        <w:tc>
          <w:tcPr>
            <w:tcW w:w="10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6"/>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Net realized investment losses (gains)</w:t>
            </w:r>
          </w:p>
        </w:tc>
        <w:tc>
          <w:tcPr>
            <w:tcW w:w="10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r>
      <w:tr>
        <w:trPr>
          <w:trHeight w:val="219"/>
        </w:trPr>
        <w:tc>
          <w:tcPr>
            <w:tcW w:w="76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0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2,481</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2,888</w:t>
            </w:r>
          </w:p>
        </w:tc>
      </w:tr>
      <w:tr>
        <w:trPr>
          <w:trHeight w:val="226"/>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Net accretion of discount on investment securities</w:t>
            </w:r>
          </w:p>
        </w:tc>
        <w:tc>
          <w:tcPr>
            <w:tcW w:w="10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(770)</w:t>
            </w:r>
          </w:p>
        </w:tc>
      </w:tr>
      <w:tr>
        <w:trPr>
          <w:trHeight w:val="219"/>
        </w:trPr>
        <w:tc>
          <w:tcPr>
            <w:tcW w:w="76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Amortization of debt discount and debt issuance costs</w:t>
            </w:r>
          </w:p>
        </w:tc>
        <w:tc>
          <w:tcPr>
            <w:tcW w:w="10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592</w:t>
            </w:r>
          </w:p>
        </w:tc>
      </w:tr>
      <w:tr>
        <w:trPr>
          <w:trHeight w:val="226"/>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Deferred income taxes</w:t>
            </w:r>
          </w:p>
        </w:tc>
        <w:tc>
          <w:tcPr>
            <w:tcW w:w="10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18,857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24,543</w:t>
            </w:r>
          </w:p>
        </w:tc>
      </w:tr>
      <w:tr>
        <w:trPr>
          <w:trHeight w:val="219"/>
        </w:trPr>
        <w:tc>
          <w:tcPr>
            <w:tcW w:w="76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Share-based compensation expense</w:t>
            </w:r>
          </w:p>
        </w:tc>
        <w:tc>
          <w:tcPr>
            <w:tcW w:w="10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4,682</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4,507</w:t>
            </w:r>
          </w:p>
        </w:tc>
      </w:tr>
      <w:tr>
        <w:trPr>
          <w:trHeight w:val="226"/>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10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19"/>
        </w:trPr>
        <w:tc>
          <w:tcPr>
            <w:tcW w:w="76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Premiums receivable, net</w:t>
            </w:r>
          </w:p>
        </w:tc>
        <w:tc>
          <w:tcPr>
            <w:tcW w:w="10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(602)</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(1,349)</w:t>
            </w:r>
          </w:p>
        </w:tc>
      </w:tr>
      <w:tr>
        <w:trPr>
          <w:trHeight w:val="226"/>
        </w:trPr>
        <w:tc>
          <w:tcPr>
            <w:tcW w:w="7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Accrued investment income</w:t>
            </w:r>
          </w:p>
        </w:tc>
        <w:tc>
          <w:tcPr>
            <w:tcW w:w="10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(1,255)</w:t>
            </w:r>
          </w:p>
        </w:tc>
      </w:tr>
      <w:tr>
        <w:trPr>
          <w:trHeight w:val="219"/>
        </w:trPr>
        <w:tc>
          <w:tcPr>
            <w:tcW w:w="76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Deferred policy acquisition costs, net</w:t>
            </w:r>
          </w:p>
        </w:tc>
        <w:tc>
          <w:tcPr>
            <w:tcW w:w="10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314</w:t>
            </w:r>
          </w:p>
        </w:tc>
      </w:tr>
      <w:tr>
        <w:trPr>
          <w:trHeight w:val="226"/>
        </w:trPr>
        <w:tc>
          <w:tcPr>
            <w:tcW w:w="7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Reinsurance recoverable</w:t>
            </w:r>
          </w:p>
        </w:tc>
        <w:tc>
          <w:tcPr>
            <w:tcW w:w="10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881</w:t>
            </w:r>
          </w:p>
        </w:tc>
      </w:tr>
      <w:tr>
        <w:trPr>
          <w:trHeight w:val="219"/>
        </w:trPr>
        <w:tc>
          <w:tcPr>
            <w:tcW w:w="76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Other assets</w:t>
            </w:r>
          </w:p>
        </w:tc>
        <w:tc>
          <w:tcPr>
            <w:tcW w:w="10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(2,319)</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(555)</w:t>
            </w:r>
          </w:p>
        </w:tc>
      </w:tr>
      <w:tr>
        <w:trPr>
          <w:trHeight w:val="226"/>
        </w:trPr>
        <w:tc>
          <w:tcPr>
            <w:tcW w:w="7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Unearned premiums</w:t>
            </w:r>
          </w:p>
        </w:tc>
        <w:tc>
          <w:tcPr>
            <w:tcW w:w="10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(2,980)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(6,041)</w:t>
            </w:r>
          </w:p>
        </w:tc>
      </w:tr>
      <w:tr>
        <w:trPr>
          <w:trHeight w:val="219"/>
        </w:trPr>
        <w:tc>
          <w:tcPr>
            <w:tcW w:w="76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Reserve for insurance claims and claim expenses</w:t>
            </w:r>
          </w:p>
        </w:tc>
        <w:tc>
          <w:tcPr>
            <w:tcW w:w="10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14,775</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(224)</w:t>
            </w:r>
          </w:p>
        </w:tc>
      </w:tr>
      <w:tr>
        <w:trPr>
          <w:trHeight w:val="226"/>
        </w:trPr>
        <w:tc>
          <w:tcPr>
            <w:tcW w:w="7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Reinsurance balances, net</w:t>
            </w:r>
          </w:p>
        </w:tc>
        <w:tc>
          <w:tcPr>
            <w:tcW w:w="10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w:t>
            </w:r>
          </w:p>
        </w:tc>
      </w:tr>
      <w:tr>
        <w:trPr>
          <w:trHeight w:val="219"/>
        </w:trPr>
        <w:tc>
          <w:tcPr>
            <w:tcW w:w="76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Accounts payable and accrued expenses</w:t>
            </w:r>
          </w:p>
        </w:tc>
        <w:tc>
          <w:tcPr>
            <w:tcW w:w="10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(14,639)</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(24,797)</w:t>
            </w:r>
          </w:p>
        </w:tc>
      </w:tr>
      <w:tr>
        <w:trPr>
          <w:trHeight w:val="219"/>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10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116,091</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101,151</w:t>
            </w:r>
          </w:p>
        </w:tc>
      </w:tr>
      <w:tr>
        <w:trPr>
          <w:trHeight w:val="199"/>
        </w:trPr>
        <w:tc>
          <w:tcPr>
            <w:tcW w:w="7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flows from investing activities</w:t>
            </w:r>
          </w:p>
        </w:tc>
        <w:tc>
          <w:tcPr>
            <w:tcW w:w="10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26"/>
        </w:trPr>
        <w:tc>
          <w:tcPr>
            <w:tcW w:w="7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Purchase of fixed-maturity investments, available-for-sale</w:t>
            </w:r>
          </w:p>
        </w:tc>
        <w:tc>
          <w:tcPr>
            <w:tcW w:w="10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(299,673)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(141,474)</w:t>
            </w:r>
          </w:p>
        </w:tc>
      </w:tr>
      <w:tr>
        <w:trPr>
          <w:trHeight w:val="219"/>
        </w:trPr>
        <w:tc>
          <w:tcPr>
            <w:tcW w:w="76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Proceeds from maturities of short-term investments</w:t>
            </w:r>
          </w:p>
        </w:tc>
        <w:tc>
          <w:tcPr>
            <w:tcW w:w="10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61,625</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55,100</w:t>
            </w:r>
          </w:p>
        </w:tc>
      </w:tr>
      <w:tr>
        <w:trPr>
          <w:trHeight w:val="226"/>
        </w:trPr>
        <w:tc>
          <w:tcPr>
            <w:tcW w:w="7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Proceeds from maturities and redemptions of fixed-maturity investments, available-for-sale</w:t>
            </w:r>
          </w:p>
        </w:tc>
        <w:tc>
          <w:tcPr>
            <w:tcW w:w="10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76,208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40,423</w:t>
            </w:r>
          </w:p>
        </w:tc>
      </w:tr>
      <w:tr>
        <w:trPr>
          <w:trHeight w:val="219"/>
        </w:trPr>
        <w:tc>
          <w:tcPr>
            <w:tcW w:w="76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Proceeds from sales of fixed-maturity investments, available-for-sale</w:t>
            </w:r>
          </w:p>
        </w:tc>
        <w:tc>
          <w:tcPr>
            <w:tcW w:w="10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115,032</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6"/>
        </w:trPr>
        <w:tc>
          <w:tcPr>
            <w:tcW w:w="7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Additions to software and equipment</w:t>
            </w:r>
          </w:p>
        </w:tc>
        <w:tc>
          <w:tcPr>
            <w:tcW w:w="10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(1,100)</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(1,706)</w:t>
            </w:r>
          </w:p>
        </w:tc>
      </w:tr>
      <w:tr>
        <w:trPr>
          <w:trHeight w:val="212"/>
        </w:trPr>
        <w:tc>
          <w:tcPr>
            <w:tcW w:w="7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10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(47,908)</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(47,657)</w:t>
            </w:r>
          </w:p>
        </w:tc>
      </w:tr>
      <w:tr>
        <w:trPr>
          <w:trHeight w:val="206"/>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flows from financing activities</w:t>
            </w:r>
          </w:p>
        </w:tc>
        <w:tc>
          <w:tcPr>
            <w:tcW w:w="10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19"/>
        </w:trPr>
        <w:tc>
          <w:tcPr>
            <w:tcW w:w="76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Proceeds from issuance of common stock related to employee equity plans</w:t>
            </w:r>
          </w:p>
        </w:tc>
        <w:tc>
          <w:tcPr>
            <w:tcW w:w="10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3,881</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2,778</w:t>
            </w:r>
          </w:p>
        </w:tc>
      </w:tr>
      <w:tr>
        <w:trPr>
          <w:trHeight w:val="226"/>
        </w:trPr>
        <w:tc>
          <w:tcPr>
            <w:tcW w:w="7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Taxes paid related to net share settlement of equity awards</w:t>
            </w:r>
          </w:p>
        </w:tc>
        <w:tc>
          <w:tcPr>
            <w:tcW w:w="10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(17,647)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(10,428)</w:t>
            </w:r>
          </w:p>
        </w:tc>
      </w:tr>
      <w:tr>
        <w:trPr>
          <w:trHeight w:val="219"/>
        </w:trPr>
        <w:tc>
          <w:tcPr>
            <w:tcW w:w="76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Repurchases of common stock</w:t>
            </w:r>
          </w:p>
        </w:tc>
        <w:tc>
          <w:tcPr>
            <w:tcW w:w="10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(27,675)</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(25,943)</w:t>
            </w:r>
          </w:p>
        </w:tc>
      </w:tr>
      <w:tr>
        <w:trPr>
          <w:trHeight w:val="215"/>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used in financing activities</w:t>
            </w:r>
          </w:p>
        </w:tc>
        <w:tc>
          <w:tcPr>
            <w:tcW w:w="10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(41,441)</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(33,593)</w:t>
            </w:r>
          </w:p>
        </w:tc>
      </w:tr>
      <w:tr>
        <w:trPr>
          <w:trHeight w:val="179"/>
        </w:trPr>
        <w:tc>
          <w:tcPr>
            <w:tcW w:w="76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22"/>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increase in cash, cash equivalents and restricted cash</w:t>
            </w:r>
          </w:p>
        </w:tc>
        <w:tc>
          <w:tcPr>
            <w:tcW w:w="10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26,742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19,901</w:t>
            </w:r>
          </w:p>
        </w:tc>
      </w:tr>
      <w:tr>
        <w:trPr>
          <w:trHeight w:val="219"/>
        </w:trPr>
        <w:tc>
          <w:tcPr>
            <w:tcW w:w="7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beginning of period</w:t>
            </w:r>
          </w:p>
        </w:tc>
        <w:tc>
          <w:tcPr>
            <w:tcW w:w="10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43,937</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54,308</w:t>
            </w:r>
          </w:p>
        </w:tc>
      </w:tr>
      <w:tr>
        <w:trPr>
          <w:trHeight w:val="244"/>
        </w:trPr>
        <w:tc>
          <w:tcPr>
            <w:tcW w:w="7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end of period</w:t>
            </w:r>
          </w:p>
        </w:tc>
        <w:tc>
          <w:tcPr>
            <w:tcW w:w="1020" w:type="dxa"/>
            <w:vAlign w:val="bottom"/>
            <w:tcBorders>
              <w:bottom w:val="single" w:sz="8" w:color="auto"/>
            </w:tcBorders>
            <w:shd w:val="clear" w:color="auto" w:fill="CCEEFF"/>
          </w:tcPr>
          <w:p>
            <w:pPr>
              <w:jc w:val="right"/>
              <w:ind w:right="843"/>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70,679</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7"/>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74,209</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142"/>
        </w:trPr>
        <w:tc>
          <w:tcPr>
            <w:tcW w:w="76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222"/>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Supplemental disclosures of cash flow information</w:t>
            </w:r>
          </w:p>
        </w:tc>
        <w:tc>
          <w:tcPr>
            <w:tcW w:w="10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19"/>
        </w:trPr>
        <w:tc>
          <w:tcPr>
            <w:tcW w:w="76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Interest paid</w:t>
            </w:r>
          </w:p>
        </w:tc>
        <w:tc>
          <w:tcPr>
            <w:tcW w:w="1020" w:type="dxa"/>
            <w:vAlign w:val="bottom"/>
          </w:tcPr>
          <w:p>
            <w:pPr>
              <w:jc w:val="right"/>
              <w:ind w:right="843"/>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12,750</w:t>
            </w:r>
          </w:p>
        </w:tc>
        <w:tc>
          <w:tcPr>
            <w:tcW w:w="100" w:type="dxa"/>
            <w:vAlign w:val="bottom"/>
          </w:tcPr>
          <w:p>
            <w:pPr>
              <w:spacing w:after="0"/>
              <w:rPr>
                <w:sz w:val="19"/>
                <w:szCs w:val="19"/>
                <w:color w:val="auto"/>
              </w:rPr>
            </w:pPr>
          </w:p>
        </w:tc>
        <w:tc>
          <w:tcPr>
            <w:tcW w:w="540" w:type="dxa"/>
            <w:vAlign w:val="bottom"/>
          </w:tcPr>
          <w:p>
            <w:pPr>
              <w:jc w:val="right"/>
              <w:ind w:right="357"/>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18,700</w:t>
            </w:r>
          </w:p>
        </w:tc>
      </w:tr>
      <w:tr>
        <w:trPr>
          <w:trHeight w:val="226"/>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Income taxes refunded</w:t>
            </w:r>
          </w:p>
        </w:tc>
        <w:tc>
          <w:tcPr>
            <w:tcW w:w="10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bl>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i w:val="1"/>
          <w:iCs w:val="1"/>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74295</wp:posOffset>
            </wp:positionV>
            <wp:extent cx="716216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80"/>
          </w:cols>
          <w:pgMar w:left="380" w:top="121"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 Organization, Basis of Presentation and Summary of Accounting Principles</w:t>
      </w:r>
    </w:p>
    <w:p>
      <w:pPr>
        <w:spacing w:after="0" w:line="172" w:lineRule="exact"/>
        <w:rPr>
          <w:sz w:val="20"/>
          <w:szCs w:val="20"/>
          <w:color w:val="auto"/>
        </w:rPr>
      </w:pPr>
    </w:p>
    <w:p>
      <w:pPr>
        <w:jc w:val="both"/>
        <w:ind w:firstLine="627"/>
        <w:spacing w:after="0" w:line="276" w:lineRule="auto"/>
        <w:rPr>
          <w:sz w:val="20"/>
          <w:szCs w:val="20"/>
          <w:color w:val="auto"/>
        </w:rPr>
      </w:pPr>
      <w:r>
        <w:rPr>
          <w:rFonts w:ascii="Times New Roman" w:cs="Times New Roman" w:eastAsia="Times New Roman" w:hAnsi="Times New Roman"/>
          <w:sz w:val="17"/>
          <w:szCs w:val="17"/>
          <w:color w:val="auto"/>
        </w:rPr>
        <w:t>NMI Holdings, Inc. (NMIH) is a Delaware corporation, incorporated in May 2011 to provide private mortgage guaranty insurance (which we refer to as mortgage insurance or MI) through its wholly-owned insurance subsidiaries, National Mortgage Insurance Corporation (NMIC) and National Mortgage Reinsurance Inc. One (Re One). Our common stock is listed on the Nasdaq exchange under the ticker symbol “NMIH.”</w:t>
      </w:r>
    </w:p>
    <w:p>
      <w:pPr>
        <w:spacing w:after="0" w:line="110" w:lineRule="exact"/>
        <w:rPr>
          <w:sz w:val="20"/>
          <w:szCs w:val="20"/>
          <w:color w:val="auto"/>
        </w:rPr>
      </w:pPr>
    </w:p>
    <w:p>
      <w:pPr>
        <w:jc w:val="both"/>
        <w:ind w:firstLine="627"/>
        <w:spacing w:after="0" w:line="264" w:lineRule="auto"/>
        <w:rPr>
          <w:sz w:val="20"/>
          <w:szCs w:val="20"/>
          <w:color w:val="auto"/>
        </w:rPr>
      </w:pPr>
      <w:r>
        <w:rPr>
          <w:rFonts w:ascii="Times New Roman" w:cs="Times New Roman" w:eastAsia="Times New Roman" w:hAnsi="Times New Roman"/>
          <w:sz w:val="17"/>
          <w:szCs w:val="17"/>
          <w:color w:val="auto"/>
        </w:rPr>
        <w:t>NMIC, our primary insurance subsidiary, issued its first mortgage insurance policy in April 2013. NMIC is licensed to write mortgage insurance in all 50 states and the District of Columbia (D.C.). Re One historically provided reinsurance coverage to NMIC in accordance with certain statutory risk retention requirements. Such requirements have been repealed and the reinsurance coverage provided by Re One to NMIC has been commuted. Re One remains a wholly-owned, licensed insurance subsidiary; however, it does not currently have active insurance exposures. In August 2015, NMIH capitalized a wholly-owned subsidiary, NMI Services, Inc. (NMIS), through which we offer outsourced loan review services to mortgage loan originators. We operate as a single segment for the purposes of assessing performance and making operating decisions.</w:t>
      </w:r>
    </w:p>
    <w:p>
      <w:pPr>
        <w:spacing w:after="0" w:line="1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i w:val="1"/>
          <w:iCs w:val="1"/>
          <w:color w:val="auto"/>
        </w:rPr>
        <w:t>Basis of Presentation</w:t>
      </w:r>
    </w:p>
    <w:p>
      <w:pPr>
        <w:spacing w:after="0" w:line="174" w:lineRule="exact"/>
        <w:rPr>
          <w:sz w:val="20"/>
          <w:szCs w:val="20"/>
          <w:color w:val="auto"/>
        </w:rPr>
      </w:pPr>
    </w:p>
    <w:p>
      <w:pPr>
        <w:jc w:val="both"/>
        <w:ind w:firstLine="627"/>
        <w:spacing w:after="0" w:line="261" w:lineRule="auto"/>
        <w:rPr>
          <w:sz w:val="20"/>
          <w:szCs w:val="20"/>
          <w:color w:val="auto"/>
        </w:rPr>
      </w:pPr>
      <w:r>
        <w:rPr>
          <w:rFonts w:ascii="Times New Roman" w:cs="Times New Roman" w:eastAsia="Times New Roman" w:hAnsi="Times New Roman"/>
          <w:sz w:val="17"/>
          <w:szCs w:val="17"/>
          <w:color w:val="auto"/>
        </w:rPr>
        <w:t>The accompanying unaudited condensed consolidated financial statements, which include the results of NMIH and its wholly-owned subsidiaries, have been prepared in accordance with the instructions to Form 10-Q as prescribed by the SEC for interim reporting and include other information and disclosures required by accounting principles generally accepted in the U.S. (GAAP). Our accounts are maintained in U.S. dollars. These statements should be read in conjunction with our consolidated financial statements and notes thereto for the year ended December 31, 2025, included in our 2025 10-K. All intercompany transactions have been eliminated. The preparation of financial statements in accordance with GAAP requires management to make estimates and assumptions that affect reported amounts of assets and liabilities, and the disclosure of contingent assets and liabilities as of the balance sheet date, as well as reported amounts of income and expenses for the reporting period. Actual results could differ from those estimates. In the opinion of management, these unaudited condensed consolidated financial statements include all adjustments (including normal recurring adjustments) that are necessary to present a fair statement of financial position, results of operations and cash flows for the periods presented. The results of operations for the interim period may not be indicative of the results that may be expected for the full year ending December 31, 2026.</w:t>
      </w:r>
    </w:p>
    <w:p>
      <w:pPr>
        <w:spacing w:after="0" w:line="11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i w:val="1"/>
          <w:iCs w:val="1"/>
          <w:color w:val="auto"/>
        </w:rPr>
        <w:t>Significant Accounting Principles</w:t>
      </w:r>
    </w:p>
    <w:p>
      <w:pPr>
        <w:spacing w:after="0" w:line="172" w:lineRule="exact"/>
        <w:rPr>
          <w:sz w:val="20"/>
          <w:szCs w:val="20"/>
          <w:color w:val="auto"/>
        </w:rPr>
      </w:pPr>
    </w:p>
    <w:p>
      <w:pPr>
        <w:jc w:val="both"/>
        <w:ind w:firstLine="627"/>
        <w:spacing w:after="0" w:line="298" w:lineRule="auto"/>
        <w:rPr>
          <w:sz w:val="20"/>
          <w:szCs w:val="20"/>
          <w:color w:val="auto"/>
        </w:rPr>
      </w:pPr>
      <w:r>
        <w:rPr>
          <w:rFonts w:ascii="Times New Roman" w:cs="Times New Roman" w:eastAsia="Times New Roman" w:hAnsi="Times New Roman"/>
          <w:sz w:val="17"/>
          <w:szCs w:val="17"/>
          <w:color w:val="auto"/>
        </w:rPr>
        <w:t>There have been no changes to our significant accounting principles as described in Item 8, “</w:t>
      </w:r>
      <w:r>
        <w:rPr>
          <w:rFonts w:ascii="Times New Roman" w:cs="Times New Roman" w:eastAsia="Times New Roman" w:hAnsi="Times New Roman"/>
          <w:sz w:val="17"/>
          <w:szCs w:val="17"/>
          <w:i w:val="1"/>
          <w:iCs w:val="1"/>
          <w:color w:val="auto"/>
        </w:rPr>
        <w:t>Financial Statements and Supplementary Data - Notes to</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Consolidated Financial Statements - Note 2 - Summary of Accounting Principles” </w:t>
      </w:r>
      <w:r>
        <w:rPr>
          <w:rFonts w:ascii="Times New Roman" w:cs="Times New Roman" w:eastAsia="Times New Roman" w:hAnsi="Times New Roman"/>
          <w:sz w:val="17"/>
          <w:szCs w:val="17"/>
          <w:color w:val="auto"/>
        </w:rPr>
        <w:t>of our 2025 10-K.</w:t>
      </w:r>
    </w:p>
    <w:p>
      <w:pPr>
        <w:spacing w:after="0" w:line="9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i w:val="1"/>
          <w:iCs w:val="1"/>
          <w:color w:val="auto"/>
        </w:rPr>
        <w:t>Recent Accounting Pronouncements – Not Yet Adopted</w:t>
      </w:r>
    </w:p>
    <w:p>
      <w:pPr>
        <w:spacing w:after="0" w:line="172" w:lineRule="exact"/>
        <w:rPr>
          <w:sz w:val="20"/>
          <w:szCs w:val="20"/>
          <w:color w:val="auto"/>
        </w:rPr>
      </w:pPr>
    </w:p>
    <w:p>
      <w:pPr>
        <w:jc w:val="both"/>
        <w:ind w:firstLine="627"/>
        <w:spacing w:after="0" w:line="266" w:lineRule="auto"/>
        <w:rPr>
          <w:sz w:val="20"/>
          <w:szCs w:val="20"/>
          <w:color w:val="auto"/>
        </w:rPr>
      </w:pPr>
      <w:r>
        <w:rPr>
          <w:rFonts w:ascii="Times New Roman" w:cs="Times New Roman" w:eastAsia="Times New Roman" w:hAnsi="Times New Roman"/>
          <w:sz w:val="17"/>
          <w:szCs w:val="17"/>
          <w:color w:val="auto"/>
        </w:rPr>
        <w:t>In November 2024, the FASB issued ASU 2024-03, Disaggregation of Income Statement Expense (Topic 220). The update expands disclosure requirements related to certain income statement expenses, including a requirement to provide a tabular disaggregation of certain operating expenses by category. The standard will take effect for all public business entities for annual reporting periods beginning after December 15, 2026, and interim reporting periods beginning after December 15, 2027. Early adoption is permitted. We are currently evaluating the impact the adoption of this ASU will have, if any, on our consolidated financial statements.</w:t>
      </w:r>
    </w:p>
    <w:p>
      <w:pPr>
        <w:spacing w:after="0" w:line="132" w:lineRule="exact"/>
        <w:rPr>
          <w:sz w:val="20"/>
          <w:szCs w:val="20"/>
          <w:color w:val="auto"/>
        </w:rPr>
      </w:pPr>
    </w:p>
    <w:p>
      <w:pPr>
        <w:jc w:val="both"/>
        <w:ind w:firstLine="627"/>
        <w:spacing w:after="0" w:line="269" w:lineRule="auto"/>
        <w:rPr>
          <w:sz w:val="20"/>
          <w:szCs w:val="20"/>
          <w:color w:val="auto"/>
        </w:rPr>
      </w:pPr>
      <w:r>
        <w:rPr>
          <w:rFonts w:ascii="Times New Roman" w:cs="Times New Roman" w:eastAsia="Times New Roman" w:hAnsi="Times New Roman"/>
          <w:sz w:val="17"/>
          <w:szCs w:val="17"/>
          <w:color w:val="auto"/>
        </w:rPr>
        <w:t>In September 2025, the FASB issued ASU 2025-06, Targeted Accounting for Internal-Use Software (Topic 350). The update clarifies the criteria surrounding the capitalization of certain costs and expands related disclosure requirements. The standard will take effect for all public business entities for annual reporting periods beginning after December 15, 2027, and interim reporting periods within those annual reporting periods. Early adoption is permitted. We are currently evaluating the impact the adoption of this ASU will have, if any,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CONDENSED CONSOLIDATED FINANCIAL STATEMENTS (UNAUDITED)</w:t>
      </w:r>
    </w:p>
    <w:p>
      <w:pPr>
        <w:spacing w:after="0" w:line="200" w:lineRule="exact"/>
        <w:rPr>
          <w:sz w:val="20"/>
          <w:szCs w:val="20"/>
          <w:color w:val="auto"/>
        </w:rPr>
      </w:pPr>
    </w:p>
    <w:p>
      <w:pPr>
        <w:spacing w:after="0" w:line="3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2. Investments</w:t>
      </w:r>
    </w:p>
    <w:p>
      <w:pPr>
        <w:spacing w:after="0" w:line="172" w:lineRule="exact"/>
        <w:rPr>
          <w:sz w:val="20"/>
          <w:szCs w:val="20"/>
          <w:color w:val="auto"/>
        </w:rPr>
      </w:pPr>
    </w:p>
    <w:p>
      <w:pPr>
        <w:jc w:val="both"/>
        <w:ind w:left="120" w:firstLine="470"/>
        <w:spacing w:after="0" w:line="262" w:lineRule="auto"/>
        <w:rPr>
          <w:sz w:val="20"/>
          <w:szCs w:val="20"/>
          <w:color w:val="auto"/>
        </w:rPr>
      </w:pPr>
      <w:r>
        <w:rPr>
          <w:rFonts w:ascii="Times New Roman" w:cs="Times New Roman" w:eastAsia="Times New Roman" w:hAnsi="Times New Roman"/>
          <w:sz w:val="17"/>
          <w:szCs w:val="17"/>
          <w:color w:val="auto"/>
        </w:rPr>
        <w:t>We hold all investments on an available-for-sale basis at fair value on our condensed consolidated balance sheets and evaluate each position quarterly for impairment. We recognize an impairment on a security through the statement of operations if (i) we intend to sell the impaired security; or (ii) it is more likely than not that we will be required to sell the impaired security prior to recovery of its amortized cost basis. If a sale is intended or likely to be required, we recognize an impairment loss equivalent to the difference of the amortized cost basis of the security and its fair value through the condensed consolidated statements of operations and comprehensive income as a “</w:t>
      </w:r>
      <w:r>
        <w:rPr>
          <w:rFonts w:ascii="Times New Roman" w:cs="Times New Roman" w:eastAsia="Times New Roman" w:hAnsi="Times New Roman"/>
          <w:sz w:val="17"/>
          <w:szCs w:val="17"/>
          <w:i w:val="1"/>
          <w:iCs w:val="1"/>
          <w:color w:val="auto"/>
        </w:rPr>
        <w:t>Net Realized Investment Loss</w:t>
      </w:r>
      <w:r>
        <w:rPr>
          <w:rFonts w:ascii="Times New Roman" w:cs="Times New Roman" w:eastAsia="Times New Roman" w:hAnsi="Times New Roman"/>
          <w:sz w:val="17"/>
          <w:szCs w:val="17"/>
          <w:color w:val="auto"/>
        </w:rPr>
        <w:t>.” In the event of an impairment of a security that we intend to and have the ability to hold to maturity, we evaluate the drivers of the impairment to determine the portion that is credit related and the portion that is non-credit related. The portion of impairment loss that is attributed to credit related factors is recognized through the statement of operations as a provision for credit loss and the portion that is attributed to non-credit related factors is recognized in other comprehensive income, net of taxes.</w:t>
      </w:r>
    </w:p>
    <w:p>
      <w:pPr>
        <w:spacing w:after="0" w:line="1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i w:val="1"/>
          <w:iCs w:val="1"/>
          <w:color w:val="auto"/>
        </w:rPr>
        <w:t>Fair Values and Gross Unrealized Gains and Losses on Investments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2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380" w:type="dxa"/>
            <w:vAlign w:val="bottom"/>
          </w:tcPr>
          <w:p>
            <w:pPr>
              <w:spacing w:after="0"/>
              <w:rPr>
                <w:sz w:val="16"/>
                <w:szCs w:val="16"/>
                <w:color w:val="auto"/>
              </w:rPr>
            </w:pPr>
          </w:p>
        </w:tc>
        <w:tc>
          <w:tcPr>
            <w:tcW w:w="2000" w:type="dxa"/>
            <w:vAlign w:val="bottom"/>
            <w:gridSpan w:val="3"/>
          </w:tcPr>
          <w:p>
            <w:pPr>
              <w:jc w:val="center"/>
              <w:ind w:left="678"/>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vMerge w:val="restart"/>
          </w:tcPr>
          <w:p>
            <w:pPr>
              <w:jc w:val="center"/>
              <w:ind w:right="316"/>
              <w:spacing w:after="0"/>
              <w:rPr>
                <w:sz w:val="20"/>
                <w:szCs w:val="20"/>
                <w:color w:val="auto"/>
              </w:rPr>
            </w:pPr>
            <w:r>
              <w:rPr>
                <w:rFonts w:ascii="Times New Roman" w:cs="Times New Roman" w:eastAsia="Times New Roman" w:hAnsi="Times New Roman"/>
                <w:sz w:val="14"/>
                <w:szCs w:val="14"/>
                <w:b w:val="1"/>
                <w:bCs w:val="1"/>
                <w:color w:val="auto"/>
                <w:w w:val="93"/>
              </w:rPr>
              <w:t>Fair</w:t>
            </w:r>
          </w:p>
        </w:tc>
        <w:tc>
          <w:tcPr>
            <w:tcW w:w="0" w:type="dxa"/>
            <w:vAlign w:val="bottom"/>
          </w:tcPr>
          <w:p>
            <w:pPr>
              <w:spacing w:after="0"/>
              <w:rPr>
                <w:sz w:val="1"/>
                <w:szCs w:val="1"/>
                <w:color w:val="auto"/>
              </w:rPr>
            </w:pPr>
          </w:p>
        </w:tc>
      </w:tr>
      <w:tr>
        <w:trPr>
          <w:trHeight w:val="23"/>
        </w:trPr>
        <w:tc>
          <w:tcPr>
            <w:tcW w:w="4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gridSpan w:val="2"/>
            <w:vMerge w:val="continue"/>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 of March 31, 2026</w:t>
            </w:r>
          </w:p>
        </w:tc>
        <w:tc>
          <w:tcPr>
            <w:tcW w:w="320" w:type="dxa"/>
            <w:vAlign w:val="bottom"/>
          </w:tcPr>
          <w:p>
            <w:pPr>
              <w:spacing w:after="0"/>
              <w:rPr>
                <w:sz w:val="15"/>
                <w:szCs w:val="15"/>
                <w:color w:val="auto"/>
              </w:rPr>
            </w:pPr>
          </w:p>
        </w:tc>
        <w:tc>
          <w:tcPr>
            <w:tcW w:w="15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3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98"/>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0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316"/>
              <w:spacing w:after="0"/>
              <w:rPr>
                <w:sz w:val="20"/>
                <w:szCs w:val="20"/>
                <w:color w:val="auto"/>
              </w:rPr>
            </w:pPr>
            <w:r>
              <w:rPr>
                <w:rFonts w:ascii="Times New Roman" w:cs="Times New Roman" w:eastAsia="Times New Roman" w:hAnsi="Times New Roman"/>
                <w:sz w:val="14"/>
                <w:szCs w:val="14"/>
                <w:b w:val="1"/>
                <w:bCs w:val="1"/>
                <w:color w:val="auto"/>
                <w:w w:val="91"/>
              </w:rPr>
              <w:t>Value</w:t>
            </w:r>
          </w:p>
        </w:tc>
        <w:tc>
          <w:tcPr>
            <w:tcW w:w="0" w:type="dxa"/>
            <w:vAlign w:val="bottom"/>
          </w:tcPr>
          <w:p>
            <w:pPr>
              <w:spacing w:after="0"/>
              <w:rPr>
                <w:sz w:val="1"/>
                <w:szCs w:val="1"/>
                <w:color w:val="auto"/>
              </w:rPr>
            </w:pPr>
          </w:p>
        </w:tc>
      </w:tr>
      <w:tr>
        <w:trPr>
          <w:trHeight w:val="181"/>
        </w:trPr>
        <w:tc>
          <w:tcPr>
            <w:tcW w:w="40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0" w:type="dxa"/>
            <w:vAlign w:val="bottom"/>
            <w:gridSpan w:val="3"/>
          </w:tcPr>
          <w:p>
            <w:pPr>
              <w:jc w:val="center"/>
              <w:ind w:left="678"/>
              <w:spacing w:after="0"/>
              <w:rPr>
                <w:sz w:val="20"/>
                <w:szCs w:val="20"/>
                <w:color w:val="auto"/>
              </w:rPr>
            </w:pPr>
            <w:r>
              <w:rPr>
                <w:rFonts w:ascii="Times New Roman" w:cs="Times New Roman" w:eastAsia="Times New Roman" w:hAnsi="Times New Roman"/>
                <w:sz w:val="14"/>
                <w:szCs w:val="14"/>
                <w:i w:val="1"/>
                <w:iCs w:val="1"/>
                <w:color w:val="auto"/>
                <w:w w:val="98"/>
              </w:rPr>
              <w:t>(In Thousands)</w:t>
            </w: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4040" w:type="dxa"/>
            <w:vAlign w:val="bottom"/>
            <w:shd w:val="clear" w:color="auto" w:fill="CCEEFF"/>
          </w:tcPr>
          <w:p>
            <w:pPr>
              <w:ind w:left="20"/>
              <w:spacing w:after="0" w:line="170" w:lineRule="exact"/>
              <w:rPr>
                <w:sz w:val="20"/>
                <w:szCs w:val="20"/>
                <w:color w:val="auto"/>
              </w:rPr>
            </w:pPr>
            <w:r>
              <w:rPr>
                <w:rFonts w:ascii="Times New Roman" w:cs="Times New Roman" w:eastAsia="Times New Roman" w:hAnsi="Times New Roman"/>
                <w:sz w:val="17"/>
                <w:szCs w:val="17"/>
                <w:color w:val="auto"/>
              </w:rPr>
              <w:t>U.S. Treasury securities and obligations of U.S.</w:t>
            </w:r>
          </w:p>
        </w:tc>
        <w:tc>
          <w:tcPr>
            <w:tcW w:w="3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government agencies</w:t>
            </w: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259,668</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1,328</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373"/>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(3,812)</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257,184</w:t>
            </w:r>
          </w:p>
        </w:tc>
        <w:tc>
          <w:tcPr>
            <w:tcW w:w="0" w:type="dxa"/>
            <w:vAlign w:val="bottom"/>
          </w:tcPr>
          <w:p>
            <w:pPr>
              <w:spacing w:after="0"/>
              <w:rPr>
                <w:sz w:val="1"/>
                <w:szCs w:val="1"/>
                <w:color w:val="auto"/>
              </w:rPr>
            </w:pPr>
          </w:p>
        </w:tc>
      </w:tr>
      <w:tr>
        <w:trPr>
          <w:trHeight w:val="222"/>
        </w:trPr>
        <w:tc>
          <w:tcPr>
            <w:tcW w:w="4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Municipal debt securities</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621,318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(27,656)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595,265</w:t>
            </w:r>
          </w:p>
        </w:tc>
        <w:tc>
          <w:tcPr>
            <w:tcW w:w="0" w:type="dxa"/>
            <w:vAlign w:val="bottom"/>
          </w:tcPr>
          <w:p>
            <w:pPr>
              <w:spacing w:after="0"/>
              <w:rPr>
                <w:sz w:val="1"/>
                <w:szCs w:val="1"/>
                <w:color w:val="auto"/>
              </w:rPr>
            </w:pPr>
          </w:p>
        </w:tc>
      </w:tr>
      <w:tr>
        <w:trPr>
          <w:trHeight w:val="222"/>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Corporate debt securities</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2,210,982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13,083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(62,318)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2,161,747</w:t>
            </w:r>
          </w:p>
        </w:tc>
        <w:tc>
          <w:tcPr>
            <w:tcW w:w="0" w:type="dxa"/>
            <w:vAlign w:val="bottom"/>
          </w:tcPr>
          <w:p>
            <w:pPr>
              <w:spacing w:after="0"/>
              <w:rPr>
                <w:sz w:val="1"/>
                <w:szCs w:val="1"/>
                <w:color w:val="auto"/>
              </w:rPr>
            </w:pPr>
          </w:p>
        </w:tc>
      </w:tr>
      <w:tr>
        <w:trPr>
          <w:trHeight w:val="222"/>
        </w:trPr>
        <w:tc>
          <w:tcPr>
            <w:tcW w:w="4040" w:type="dxa"/>
            <w:vAlign w:val="bottom"/>
          </w:tcPr>
          <w:p>
            <w:pPr>
              <w:ind w:left="20"/>
              <w:spacing w:after="0" w:line="222" w:lineRule="exact"/>
              <w:rPr>
                <w:sz w:val="20"/>
                <w:szCs w:val="20"/>
                <w:color w:val="auto"/>
              </w:rPr>
            </w:pPr>
            <w:r>
              <w:rPr>
                <w:rFonts w:ascii="Times New Roman" w:cs="Times New Roman" w:eastAsia="Times New Roman" w:hAnsi="Times New Roman"/>
                <w:sz w:val="17"/>
                <w:szCs w:val="17"/>
                <w:color w:val="auto"/>
              </w:rPr>
              <w:t xml:space="preserve">U.S. agency mortgage-backed securities </w:t>
            </w:r>
            <w:r>
              <w:rPr>
                <w:rFonts w:ascii="Times New Roman" w:cs="Times New Roman" w:eastAsia="Times New Roman" w:hAnsi="Times New Roman"/>
                <w:sz w:val="22"/>
                <w:szCs w:val="22"/>
                <w:color w:val="auto"/>
                <w:vertAlign w:val="superscript"/>
              </w:rPr>
              <w:t>(1)</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40,925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40,576</w:t>
            </w:r>
          </w:p>
        </w:tc>
        <w:tc>
          <w:tcPr>
            <w:tcW w:w="0" w:type="dxa"/>
            <w:vAlign w:val="bottom"/>
          </w:tcPr>
          <w:p>
            <w:pPr>
              <w:spacing w:after="0"/>
              <w:rPr>
                <w:sz w:val="1"/>
                <w:szCs w:val="1"/>
                <w:color w:val="auto"/>
              </w:rPr>
            </w:pPr>
          </w:p>
        </w:tc>
      </w:tr>
      <w:tr>
        <w:trPr>
          <w:trHeight w:val="222"/>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asset-backed securities</w:t>
            </w:r>
          </w:p>
        </w:tc>
        <w:tc>
          <w:tcPr>
            <w:tcW w:w="3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96,926</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(3,014)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93,951</w:t>
            </w:r>
          </w:p>
        </w:tc>
        <w:tc>
          <w:tcPr>
            <w:tcW w:w="0" w:type="dxa"/>
            <w:vAlign w:val="bottom"/>
          </w:tcPr>
          <w:p>
            <w:pPr>
              <w:spacing w:after="0"/>
              <w:rPr>
                <w:sz w:val="1"/>
                <w:szCs w:val="1"/>
                <w:color w:val="auto"/>
              </w:rPr>
            </w:pPr>
          </w:p>
        </w:tc>
      </w:tr>
      <w:tr>
        <w:trPr>
          <w:trHeight w:val="215"/>
        </w:trPr>
        <w:tc>
          <w:tcPr>
            <w:tcW w:w="4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bonds</w:t>
            </w:r>
          </w:p>
        </w:tc>
        <w:tc>
          <w:tcPr>
            <w:tcW w:w="3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3,229,819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16,053</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(97,149)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3,148,723</w:t>
            </w:r>
          </w:p>
        </w:tc>
        <w:tc>
          <w:tcPr>
            <w:tcW w:w="0" w:type="dxa"/>
            <w:vAlign w:val="bottom"/>
          </w:tcPr>
          <w:p>
            <w:pPr>
              <w:spacing w:after="0"/>
              <w:rPr>
                <w:sz w:val="1"/>
                <w:szCs w:val="1"/>
                <w:color w:val="auto"/>
              </w:rPr>
            </w:pPr>
          </w:p>
        </w:tc>
      </w:tr>
      <w:tr>
        <w:trPr>
          <w:trHeight w:val="222"/>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Short-term investments</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25,384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25,384</w:t>
            </w:r>
          </w:p>
        </w:tc>
        <w:tc>
          <w:tcPr>
            <w:tcW w:w="0" w:type="dxa"/>
            <w:vAlign w:val="bottom"/>
          </w:tcPr>
          <w:p>
            <w:pPr>
              <w:spacing w:after="0"/>
              <w:rPr>
                <w:sz w:val="1"/>
                <w:szCs w:val="1"/>
                <w:color w:val="auto"/>
              </w:rPr>
            </w:pPr>
          </w:p>
        </w:tc>
      </w:tr>
      <w:tr>
        <w:trPr>
          <w:trHeight w:val="215"/>
        </w:trPr>
        <w:tc>
          <w:tcPr>
            <w:tcW w:w="4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investments</w:t>
            </w:r>
          </w:p>
        </w:tc>
        <w:tc>
          <w:tcPr>
            <w:tcW w:w="320" w:type="dxa"/>
            <w:vAlign w:val="bottom"/>
            <w:tcBorders>
              <w:top w:val="single" w:sz="8" w:color="auto"/>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3,255,203</w:t>
            </w:r>
          </w:p>
        </w:tc>
        <w:tc>
          <w:tcPr>
            <w:tcW w:w="12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16,053</w:t>
            </w:r>
          </w:p>
        </w:tc>
        <w:tc>
          <w:tcPr>
            <w:tcW w:w="10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(97,149)</w:t>
            </w:r>
          </w:p>
        </w:tc>
        <w:tc>
          <w:tcPr>
            <w:tcW w:w="10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3,174,107</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4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2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380" w:type="dxa"/>
            <w:vAlign w:val="bottom"/>
          </w:tcPr>
          <w:p>
            <w:pPr>
              <w:spacing w:after="0"/>
              <w:rPr>
                <w:sz w:val="24"/>
                <w:szCs w:val="24"/>
                <w:color w:val="auto"/>
              </w:rPr>
            </w:pPr>
          </w:p>
        </w:tc>
        <w:tc>
          <w:tcPr>
            <w:tcW w:w="2000" w:type="dxa"/>
            <w:vAlign w:val="bottom"/>
            <w:gridSpan w:val="3"/>
          </w:tcPr>
          <w:p>
            <w:pPr>
              <w:jc w:val="center"/>
              <w:ind w:left="678"/>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vMerge w:val="restart"/>
          </w:tcPr>
          <w:p>
            <w:pPr>
              <w:jc w:val="center"/>
              <w:ind w:right="316"/>
              <w:spacing w:after="0"/>
              <w:rPr>
                <w:sz w:val="20"/>
                <w:szCs w:val="20"/>
                <w:color w:val="auto"/>
              </w:rPr>
            </w:pPr>
            <w:r>
              <w:rPr>
                <w:rFonts w:ascii="Times New Roman" w:cs="Times New Roman" w:eastAsia="Times New Roman" w:hAnsi="Times New Roman"/>
                <w:sz w:val="14"/>
                <w:szCs w:val="14"/>
                <w:b w:val="1"/>
                <w:bCs w:val="1"/>
                <w:color w:val="auto"/>
                <w:w w:val="93"/>
              </w:rPr>
              <w:t>Fair</w:t>
            </w:r>
          </w:p>
        </w:tc>
        <w:tc>
          <w:tcPr>
            <w:tcW w:w="0" w:type="dxa"/>
            <w:vAlign w:val="bottom"/>
          </w:tcPr>
          <w:p>
            <w:pPr>
              <w:spacing w:after="0"/>
              <w:rPr>
                <w:sz w:val="1"/>
                <w:szCs w:val="1"/>
                <w:color w:val="auto"/>
              </w:rPr>
            </w:pPr>
          </w:p>
        </w:tc>
      </w:tr>
      <w:tr>
        <w:trPr>
          <w:trHeight w:val="23"/>
        </w:trPr>
        <w:tc>
          <w:tcPr>
            <w:tcW w:w="4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gridSpan w:val="2"/>
            <w:vMerge w:val="continue"/>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4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3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98"/>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0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316"/>
              <w:spacing w:after="0"/>
              <w:rPr>
                <w:sz w:val="20"/>
                <w:szCs w:val="20"/>
                <w:color w:val="auto"/>
              </w:rPr>
            </w:pPr>
            <w:r>
              <w:rPr>
                <w:rFonts w:ascii="Times New Roman" w:cs="Times New Roman" w:eastAsia="Times New Roman" w:hAnsi="Times New Roman"/>
                <w:sz w:val="14"/>
                <w:szCs w:val="14"/>
                <w:b w:val="1"/>
                <w:bCs w:val="1"/>
                <w:color w:val="auto"/>
                <w:w w:val="91"/>
              </w:rPr>
              <w:t>Value</w:t>
            </w:r>
          </w:p>
        </w:tc>
        <w:tc>
          <w:tcPr>
            <w:tcW w:w="0" w:type="dxa"/>
            <w:vAlign w:val="bottom"/>
          </w:tcPr>
          <w:p>
            <w:pPr>
              <w:spacing w:after="0"/>
              <w:rPr>
                <w:sz w:val="1"/>
                <w:szCs w:val="1"/>
                <w:color w:val="auto"/>
              </w:rPr>
            </w:pPr>
          </w:p>
        </w:tc>
      </w:tr>
      <w:tr>
        <w:trPr>
          <w:trHeight w:val="183"/>
        </w:trPr>
        <w:tc>
          <w:tcPr>
            <w:tcW w:w="4040" w:type="dxa"/>
            <w:vAlign w:val="bottom"/>
          </w:tcPr>
          <w:p>
            <w:pPr>
              <w:ind w:left="20"/>
              <w:spacing w:after="0" w:line="159" w:lineRule="exact"/>
              <w:rPr>
                <w:sz w:val="20"/>
                <w:szCs w:val="20"/>
                <w:color w:val="auto"/>
              </w:rPr>
            </w:pPr>
            <w:r>
              <w:rPr>
                <w:rFonts w:ascii="Times New Roman" w:cs="Times New Roman" w:eastAsia="Times New Roman" w:hAnsi="Times New Roman"/>
                <w:sz w:val="14"/>
                <w:szCs w:val="14"/>
                <w:b w:val="1"/>
                <w:bCs w:val="1"/>
                <w:color w:val="auto"/>
              </w:rPr>
              <w:t>As of December 31, 2025</w:t>
            </w:r>
          </w:p>
        </w:tc>
        <w:tc>
          <w:tcPr>
            <w:tcW w:w="3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0" w:type="dxa"/>
            <w:vAlign w:val="bottom"/>
            <w:gridSpan w:val="3"/>
          </w:tcPr>
          <w:p>
            <w:pPr>
              <w:jc w:val="center"/>
              <w:ind w:left="678"/>
              <w:spacing w:after="0"/>
              <w:rPr>
                <w:sz w:val="20"/>
                <w:szCs w:val="20"/>
                <w:color w:val="auto"/>
              </w:rPr>
            </w:pPr>
            <w:r>
              <w:rPr>
                <w:rFonts w:ascii="Times New Roman" w:cs="Times New Roman" w:eastAsia="Times New Roman" w:hAnsi="Times New Roman"/>
                <w:sz w:val="14"/>
                <w:szCs w:val="14"/>
                <w:i w:val="1"/>
                <w:iCs w:val="1"/>
                <w:color w:val="auto"/>
                <w:w w:val="98"/>
              </w:rPr>
              <w:t>(In Thousands)</w:t>
            </w: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4040" w:type="dxa"/>
            <w:vAlign w:val="bottom"/>
            <w:shd w:val="clear" w:color="auto" w:fill="CCEEFF"/>
          </w:tcPr>
          <w:p>
            <w:pPr>
              <w:ind w:left="20"/>
              <w:spacing w:after="0" w:line="170" w:lineRule="exact"/>
              <w:rPr>
                <w:sz w:val="20"/>
                <w:szCs w:val="20"/>
                <w:color w:val="auto"/>
              </w:rPr>
            </w:pPr>
            <w:r>
              <w:rPr>
                <w:rFonts w:ascii="Times New Roman" w:cs="Times New Roman" w:eastAsia="Times New Roman" w:hAnsi="Times New Roman"/>
                <w:sz w:val="17"/>
                <w:szCs w:val="17"/>
                <w:color w:val="auto"/>
              </w:rPr>
              <w:t>U.S. Treasury securities and obligations of U.S.</w:t>
            </w:r>
          </w:p>
        </w:tc>
        <w:tc>
          <w:tcPr>
            <w:tcW w:w="3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government agencies</w:t>
            </w: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306,168</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2,544</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373"/>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(1,684)</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307,028</w:t>
            </w:r>
          </w:p>
        </w:tc>
        <w:tc>
          <w:tcPr>
            <w:tcW w:w="0" w:type="dxa"/>
            <w:vAlign w:val="bottom"/>
          </w:tcPr>
          <w:p>
            <w:pPr>
              <w:spacing w:after="0"/>
              <w:rPr>
                <w:sz w:val="1"/>
                <w:szCs w:val="1"/>
                <w:color w:val="auto"/>
              </w:rPr>
            </w:pPr>
          </w:p>
        </w:tc>
      </w:tr>
      <w:tr>
        <w:trPr>
          <w:trHeight w:val="222"/>
        </w:trPr>
        <w:tc>
          <w:tcPr>
            <w:tcW w:w="4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Municipal debt securities</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635,396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3,052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(26,879)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611,569</w:t>
            </w:r>
          </w:p>
        </w:tc>
        <w:tc>
          <w:tcPr>
            <w:tcW w:w="0" w:type="dxa"/>
            <w:vAlign w:val="bottom"/>
          </w:tcPr>
          <w:p>
            <w:pPr>
              <w:spacing w:after="0"/>
              <w:rPr>
                <w:sz w:val="1"/>
                <w:szCs w:val="1"/>
                <w:color w:val="auto"/>
              </w:rPr>
            </w:pPr>
          </w:p>
        </w:tc>
      </w:tr>
      <w:tr>
        <w:trPr>
          <w:trHeight w:val="222"/>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Corporate debt securities</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2,047,122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27,504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(55,015)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2,019,611</w:t>
            </w:r>
          </w:p>
        </w:tc>
        <w:tc>
          <w:tcPr>
            <w:tcW w:w="0" w:type="dxa"/>
            <w:vAlign w:val="bottom"/>
          </w:tcPr>
          <w:p>
            <w:pPr>
              <w:spacing w:after="0"/>
              <w:rPr>
                <w:sz w:val="1"/>
                <w:szCs w:val="1"/>
                <w:color w:val="auto"/>
              </w:rPr>
            </w:pPr>
          </w:p>
        </w:tc>
      </w:tr>
      <w:tr>
        <w:trPr>
          <w:trHeight w:val="222"/>
        </w:trPr>
        <w:tc>
          <w:tcPr>
            <w:tcW w:w="4040" w:type="dxa"/>
            <w:vAlign w:val="bottom"/>
          </w:tcPr>
          <w:p>
            <w:pPr>
              <w:ind w:left="20"/>
              <w:spacing w:after="0" w:line="222" w:lineRule="exact"/>
              <w:rPr>
                <w:sz w:val="20"/>
                <w:szCs w:val="20"/>
                <w:color w:val="auto"/>
              </w:rPr>
            </w:pPr>
            <w:r>
              <w:rPr>
                <w:rFonts w:ascii="Times New Roman" w:cs="Times New Roman" w:eastAsia="Times New Roman" w:hAnsi="Times New Roman"/>
                <w:sz w:val="17"/>
                <w:szCs w:val="17"/>
                <w:color w:val="auto"/>
              </w:rPr>
              <w:t xml:space="preserve">U.S. agency mortgage-backed securities </w:t>
            </w:r>
            <w:r>
              <w:rPr>
                <w:rFonts w:ascii="Times New Roman" w:cs="Times New Roman" w:eastAsia="Times New Roman" w:hAnsi="Times New Roman"/>
                <w:sz w:val="22"/>
                <w:szCs w:val="22"/>
                <w:color w:val="auto"/>
                <w:vertAlign w:val="superscript"/>
              </w:rPr>
              <w:t>(1)</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42,109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42,071</w:t>
            </w:r>
          </w:p>
        </w:tc>
        <w:tc>
          <w:tcPr>
            <w:tcW w:w="0" w:type="dxa"/>
            <w:vAlign w:val="bottom"/>
          </w:tcPr>
          <w:p>
            <w:pPr>
              <w:spacing w:after="0"/>
              <w:rPr>
                <w:sz w:val="1"/>
                <w:szCs w:val="1"/>
                <w:color w:val="auto"/>
              </w:rPr>
            </w:pPr>
          </w:p>
        </w:tc>
      </w:tr>
      <w:tr>
        <w:trPr>
          <w:trHeight w:val="222"/>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asset-backed securities</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72,774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(2,649)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70,125</w:t>
            </w:r>
          </w:p>
        </w:tc>
        <w:tc>
          <w:tcPr>
            <w:tcW w:w="0" w:type="dxa"/>
            <w:vAlign w:val="bottom"/>
          </w:tcPr>
          <w:p>
            <w:pPr>
              <w:spacing w:after="0"/>
              <w:rPr>
                <w:sz w:val="1"/>
                <w:szCs w:val="1"/>
                <w:color w:val="auto"/>
              </w:rPr>
            </w:pPr>
          </w:p>
        </w:tc>
      </w:tr>
      <w:tr>
        <w:trPr>
          <w:trHeight w:val="215"/>
        </w:trPr>
        <w:tc>
          <w:tcPr>
            <w:tcW w:w="4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bonds</w:t>
            </w:r>
          </w:p>
        </w:tc>
        <w:tc>
          <w:tcPr>
            <w:tcW w:w="3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3,103,569</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33,110</w:t>
            </w:r>
          </w:p>
        </w:tc>
        <w:tc>
          <w:tcPr>
            <w:tcW w:w="10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(86,275)</w:t>
            </w: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3,050,404</w:t>
            </w:r>
          </w:p>
        </w:tc>
        <w:tc>
          <w:tcPr>
            <w:tcW w:w="0" w:type="dxa"/>
            <w:vAlign w:val="bottom"/>
          </w:tcPr>
          <w:p>
            <w:pPr>
              <w:spacing w:after="0"/>
              <w:rPr>
                <w:sz w:val="1"/>
                <w:szCs w:val="1"/>
                <w:color w:val="auto"/>
              </w:rPr>
            </w:pPr>
          </w:p>
        </w:tc>
      </w:tr>
      <w:tr>
        <w:trPr>
          <w:trHeight w:val="222"/>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Short-term investments</w:t>
            </w:r>
          </w:p>
        </w:tc>
        <w:tc>
          <w:tcPr>
            <w:tcW w:w="3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86,605</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86,619</w:t>
            </w:r>
          </w:p>
        </w:tc>
        <w:tc>
          <w:tcPr>
            <w:tcW w:w="0" w:type="dxa"/>
            <w:vAlign w:val="bottom"/>
          </w:tcPr>
          <w:p>
            <w:pPr>
              <w:spacing w:after="0"/>
              <w:rPr>
                <w:sz w:val="1"/>
                <w:szCs w:val="1"/>
                <w:color w:val="auto"/>
              </w:rPr>
            </w:pPr>
          </w:p>
        </w:tc>
      </w:tr>
      <w:tr>
        <w:trPr>
          <w:trHeight w:val="215"/>
        </w:trPr>
        <w:tc>
          <w:tcPr>
            <w:tcW w:w="4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investments</w:t>
            </w:r>
          </w:p>
        </w:tc>
        <w:tc>
          <w:tcPr>
            <w:tcW w:w="3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3,190,174</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33,125</w:t>
            </w:r>
          </w:p>
        </w:tc>
        <w:tc>
          <w:tcPr>
            <w:tcW w:w="100" w:type="dxa"/>
            <w:vAlign w:val="bottom"/>
          </w:tcPr>
          <w:p>
            <w:pPr>
              <w:spacing w:after="0"/>
              <w:rPr>
                <w:sz w:val="18"/>
                <w:szCs w:val="18"/>
                <w:color w:val="auto"/>
              </w:rPr>
            </w:pPr>
          </w:p>
        </w:tc>
        <w:tc>
          <w:tcPr>
            <w:tcW w:w="58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(86,276)</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3,137,023</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right="120" w:firstLine="5"/>
        <w:spacing w:after="0" w:line="284" w:lineRule="auto"/>
        <w:tabs>
          <w:tab w:leader="none" w:pos="302"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100% of our U.S. agency mortgage-backed securities at March 31, 2026 and December 31, 2025 are guaranteed by Ginnie Mae which has the full faith and credit of the U.S. federal government. * Amounts not identifiable due to rounding.</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CONDENSED CONSOLIDATED FINANCIAL STATEMENTS (UNAUDITED)</w:t>
      </w:r>
    </w:p>
    <w:p>
      <w:pPr>
        <w:spacing w:after="0" w:line="200" w:lineRule="exact"/>
        <w:rPr>
          <w:sz w:val="20"/>
          <w:szCs w:val="20"/>
          <w:color w:val="auto"/>
        </w:rPr>
      </w:pPr>
    </w:p>
    <w:p>
      <w:pPr>
        <w:spacing w:after="0" w:line="39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following table presents a breakdown of the fair value of our corporate debt securities by issuer industry group as of March 31, 2026 and</w:t>
      </w:r>
    </w:p>
    <w:p>
      <w:pPr>
        <w:spacing w:after="0" w:line="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December 31, 2025:</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520" w:type="dxa"/>
            <w:vAlign w:val="bottom"/>
          </w:tcPr>
          <w:p>
            <w:pPr>
              <w:spacing w:after="0"/>
              <w:rPr>
                <w:sz w:val="16"/>
                <w:szCs w:val="16"/>
                <w:color w:val="auto"/>
              </w:rPr>
            </w:pPr>
          </w:p>
        </w:tc>
        <w:tc>
          <w:tcPr>
            <w:tcW w:w="188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82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3"/>
        </w:trPr>
        <w:tc>
          <w:tcPr>
            <w:tcW w:w="752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15"/>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Financial</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41 %</w:t>
            </w: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39 %</w:t>
            </w:r>
          </w:p>
        </w:tc>
      </w:tr>
      <w:tr>
        <w:trPr>
          <w:trHeight w:val="222"/>
        </w:trPr>
        <w:tc>
          <w:tcPr>
            <w:tcW w:w="7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Consumer</w:t>
            </w:r>
          </w:p>
        </w:tc>
        <w:tc>
          <w:tcPr>
            <w:tcW w:w="178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27</w:t>
            </w:r>
          </w:p>
        </w:tc>
        <w:tc>
          <w:tcPr>
            <w:tcW w:w="100" w:type="dxa"/>
            <w:vAlign w:val="bottom"/>
          </w:tcPr>
          <w:p>
            <w:pPr>
              <w:spacing w:after="0"/>
              <w:rPr>
                <w:sz w:val="19"/>
                <w:szCs w:val="19"/>
                <w:color w:val="auto"/>
              </w:rPr>
            </w:pPr>
          </w:p>
        </w:tc>
        <w:tc>
          <w:tcPr>
            <w:tcW w:w="18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28</w:t>
            </w:r>
          </w:p>
        </w:tc>
      </w:tr>
      <w:tr>
        <w:trPr>
          <w:trHeight w:val="222"/>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Utilities</w:t>
            </w:r>
          </w:p>
        </w:tc>
        <w:tc>
          <w:tcPr>
            <w:tcW w:w="17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11</w:t>
            </w:r>
          </w:p>
        </w:tc>
      </w:tr>
      <w:tr>
        <w:trPr>
          <w:trHeight w:val="222"/>
        </w:trPr>
        <w:tc>
          <w:tcPr>
            <w:tcW w:w="7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Industrial</w:t>
            </w:r>
          </w:p>
        </w:tc>
        <w:tc>
          <w:tcPr>
            <w:tcW w:w="178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tcPr>
          <w:p>
            <w:pPr>
              <w:spacing w:after="0"/>
              <w:rPr>
                <w:sz w:val="19"/>
                <w:szCs w:val="19"/>
                <w:color w:val="auto"/>
              </w:rPr>
            </w:pPr>
          </w:p>
        </w:tc>
        <w:tc>
          <w:tcPr>
            <w:tcW w:w="18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9</w:t>
            </w:r>
          </w:p>
        </w:tc>
      </w:tr>
      <w:tr>
        <w:trPr>
          <w:trHeight w:val="222"/>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Technology</w:t>
            </w:r>
          </w:p>
        </w:tc>
        <w:tc>
          <w:tcPr>
            <w:tcW w:w="17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6</w:t>
            </w:r>
          </w:p>
        </w:tc>
      </w:tr>
      <w:tr>
        <w:trPr>
          <w:trHeight w:val="222"/>
        </w:trPr>
        <w:tc>
          <w:tcPr>
            <w:tcW w:w="7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Communications</w:t>
            </w:r>
          </w:p>
        </w:tc>
        <w:tc>
          <w:tcPr>
            <w:tcW w:w="178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Pr>
          <w:p>
            <w:pPr>
              <w:spacing w:after="0"/>
              <w:rPr>
                <w:sz w:val="19"/>
                <w:szCs w:val="19"/>
                <w:color w:val="auto"/>
              </w:rPr>
            </w:pPr>
          </w:p>
        </w:tc>
        <w:tc>
          <w:tcPr>
            <w:tcW w:w="18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6</w:t>
            </w:r>
          </w:p>
        </w:tc>
      </w:tr>
      <w:tr>
        <w:trPr>
          <w:trHeight w:val="222"/>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 Materials</w:t>
            </w:r>
          </w:p>
        </w:tc>
        <w:tc>
          <w:tcPr>
            <w:tcW w:w="178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1</w:t>
            </w:r>
          </w:p>
        </w:tc>
      </w:tr>
      <w:tr>
        <w:trPr>
          <w:trHeight w:val="215"/>
        </w:trPr>
        <w:tc>
          <w:tcPr>
            <w:tcW w:w="7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100" w:type="dxa"/>
            <w:vAlign w:val="bottom"/>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100 %</w:t>
            </w:r>
          </w:p>
        </w:tc>
      </w:tr>
      <w:tr>
        <w:trPr>
          <w:trHeight w:val="20"/>
        </w:trPr>
        <w:tc>
          <w:tcPr>
            <w:tcW w:w="75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30" w:lineRule="exact"/>
        <w:rPr>
          <w:sz w:val="20"/>
          <w:szCs w:val="20"/>
          <w:color w:val="auto"/>
        </w:rPr>
      </w:pPr>
    </w:p>
    <w:p>
      <w:pPr>
        <w:jc w:val="both"/>
        <w:ind w:left="120" w:firstLine="470"/>
        <w:spacing w:after="0" w:line="295" w:lineRule="auto"/>
        <w:rPr>
          <w:sz w:val="20"/>
          <w:szCs w:val="20"/>
          <w:color w:val="auto"/>
        </w:rPr>
      </w:pPr>
      <w:r>
        <w:rPr>
          <w:rFonts w:ascii="Times New Roman" w:cs="Times New Roman" w:eastAsia="Times New Roman" w:hAnsi="Times New Roman"/>
          <w:sz w:val="17"/>
          <w:szCs w:val="17"/>
          <w:color w:val="auto"/>
        </w:rPr>
        <w:t>As of both March 31, 2026 and December 31, 2025, approximately $5.4 million of our cash and investments were held in the form of U.S. Treasury securities on deposit with various state insurance departments to satisfy regulatory requirements.</w:t>
      </w:r>
    </w:p>
    <w:p>
      <w:pPr>
        <w:spacing w:after="0" w:line="94" w:lineRule="exact"/>
        <w:rPr>
          <w:sz w:val="20"/>
          <w:szCs w:val="20"/>
          <w:color w:val="auto"/>
        </w:rPr>
      </w:pPr>
    </w:p>
    <w:p>
      <w:pPr>
        <w:jc w:val="both"/>
        <w:ind w:left="120" w:firstLine="470"/>
        <w:spacing w:after="0" w:line="266" w:lineRule="auto"/>
        <w:rPr>
          <w:sz w:val="20"/>
          <w:szCs w:val="20"/>
          <w:color w:val="auto"/>
        </w:rPr>
      </w:pPr>
      <w:r>
        <w:rPr>
          <w:rFonts w:ascii="Times New Roman" w:cs="Times New Roman" w:eastAsia="Times New Roman" w:hAnsi="Times New Roman"/>
          <w:sz w:val="17"/>
          <w:szCs w:val="17"/>
          <w:color w:val="auto"/>
        </w:rPr>
        <w:t>We periodically recognize unsettled trade receivables or payables in connection with our investing activity. Unsettled trade receivables represent funds due but not yet received for the sale or maturity of investments at period end. Unsettled trade payables represent funds due but not yet paid for investments purchased at period end. “Accounts Payable and Accrued Expenses” on our condensed consolidated balance sheets included $17.3 million of unsettled trade payables related to the purchase of certain investment securities at March 31, 2026. No unsettled trade receivables were outstanding at March 31, 2026. No unsettled trade payables were outstanding at December 31, 2025. Unsettled trade receivables were immaterial at December 31, 2025.</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CONDENSED CONSOLIDATED FINANCIAL STATEMENTS (UNAUDITED)</w:t>
      </w:r>
    </w:p>
    <w:p>
      <w:pPr>
        <w:spacing w:after="0" w:line="200" w:lineRule="exact"/>
        <w:rPr>
          <w:sz w:val="20"/>
          <w:szCs w:val="20"/>
          <w:color w:val="auto"/>
        </w:rPr>
      </w:pPr>
    </w:p>
    <w:p>
      <w:pPr>
        <w:spacing w:after="0" w:line="39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i w:val="1"/>
          <w:iCs w:val="1"/>
          <w:color w:val="auto"/>
        </w:rPr>
        <w:t>Scheduled Maturities</w:t>
      </w:r>
    </w:p>
    <w:p>
      <w:pPr>
        <w:spacing w:after="0" w:line="172" w:lineRule="exact"/>
        <w:rPr>
          <w:sz w:val="20"/>
          <w:szCs w:val="20"/>
          <w:color w:val="auto"/>
        </w:rPr>
      </w:pPr>
    </w:p>
    <w:p>
      <w:pPr>
        <w:jc w:val="both"/>
        <w:ind w:firstLine="627"/>
        <w:spacing w:after="0" w:line="269" w:lineRule="auto"/>
        <w:rPr>
          <w:sz w:val="20"/>
          <w:szCs w:val="20"/>
          <w:color w:val="auto"/>
        </w:rPr>
      </w:pPr>
      <w:r>
        <w:rPr>
          <w:rFonts w:ascii="Times New Roman" w:cs="Times New Roman" w:eastAsia="Times New Roman" w:hAnsi="Times New Roman"/>
          <w:sz w:val="17"/>
          <w:szCs w:val="17"/>
          <w:color w:val="auto"/>
        </w:rPr>
        <w:t>The amortized cost and fair value of available-for-sale securities as of March 31, 2026 and December 31, 2025, by contractual maturity, are shown below. Expected maturities will differ from contractual maturities because issuers may have the right to call or prepay obligations with or without call or prepayment penalties. Because most U.S. agency mortgage-backed securities and other asset-backed securities provide for periodic payments throughout their lives, they are listed below in separate categories.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 of March 31, 2026</w:t>
            </w:r>
          </w:p>
        </w:tc>
        <w:tc>
          <w:tcPr>
            <w:tcW w:w="340" w:type="dxa"/>
            <w:vAlign w:val="bottom"/>
          </w:tcPr>
          <w:p>
            <w:pPr>
              <w:spacing w:after="0"/>
              <w:rPr>
                <w:sz w:val="13"/>
                <w:szCs w:val="13"/>
                <w:color w:val="auto"/>
              </w:rPr>
            </w:pPr>
          </w:p>
        </w:tc>
        <w:tc>
          <w:tcPr>
            <w:tcW w:w="15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7"/>
              </w:rPr>
              <w:t>Amortized</w:t>
            </w:r>
          </w:p>
        </w:tc>
        <w:tc>
          <w:tcPr>
            <w:tcW w:w="540" w:type="dxa"/>
            <w:vAlign w:val="bottom"/>
          </w:tcPr>
          <w:p>
            <w:pPr>
              <w:spacing w:after="0"/>
              <w:rPr>
                <w:sz w:val="13"/>
                <w:szCs w:val="13"/>
                <w:color w:val="auto"/>
              </w:rPr>
            </w:pPr>
          </w:p>
        </w:tc>
        <w:tc>
          <w:tcPr>
            <w:tcW w:w="1180" w:type="dxa"/>
            <w:vAlign w:val="bottom"/>
          </w:tcPr>
          <w:p>
            <w:pPr>
              <w:jc w:val="center"/>
              <w:ind w:right="457"/>
              <w:spacing w:after="0"/>
              <w:rPr>
                <w:sz w:val="20"/>
                <w:szCs w:val="20"/>
                <w:color w:val="auto"/>
              </w:rPr>
            </w:pPr>
            <w:r>
              <w:rPr>
                <w:rFonts w:ascii="Times New Roman" w:cs="Times New Roman" w:eastAsia="Times New Roman" w:hAnsi="Times New Roman"/>
                <w:sz w:val="14"/>
                <w:szCs w:val="14"/>
                <w:b w:val="1"/>
                <w:bCs w:val="1"/>
                <w:color w:val="auto"/>
                <w:w w:val="93"/>
              </w:rPr>
              <w:t>Fair</w:t>
            </w:r>
          </w:p>
        </w:tc>
        <w:tc>
          <w:tcPr>
            <w:tcW w:w="0" w:type="dxa"/>
            <w:vAlign w:val="bottom"/>
          </w:tcPr>
          <w:p>
            <w:pPr>
              <w:spacing w:after="0"/>
              <w:rPr>
                <w:sz w:val="1"/>
                <w:szCs w:val="1"/>
                <w:color w:val="auto"/>
              </w:rPr>
            </w:pPr>
          </w:p>
        </w:tc>
      </w:tr>
      <w:tr>
        <w:trPr>
          <w:trHeight w:val="189"/>
        </w:trPr>
        <w:tc>
          <w:tcPr>
            <w:tcW w:w="7680" w:type="dxa"/>
            <w:vAlign w:val="bottom"/>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5"/>
              </w:rPr>
              <w:t>Cost</w:t>
            </w:r>
          </w:p>
        </w:tc>
        <w:tc>
          <w:tcPr>
            <w:tcW w:w="5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457"/>
              <w:spacing w:after="0"/>
              <w:rPr>
                <w:sz w:val="20"/>
                <w:szCs w:val="20"/>
                <w:color w:val="auto"/>
              </w:rPr>
            </w:pPr>
            <w:r>
              <w:rPr>
                <w:rFonts w:ascii="Times New Roman" w:cs="Times New Roman" w:eastAsia="Times New Roman" w:hAnsi="Times New Roman"/>
                <w:sz w:val="14"/>
                <w:szCs w:val="14"/>
                <w:b w:val="1"/>
                <w:bCs w:val="1"/>
                <w:color w:val="auto"/>
                <w:w w:val="91"/>
              </w:rPr>
              <w:t>Value</w:t>
            </w:r>
          </w:p>
        </w:tc>
        <w:tc>
          <w:tcPr>
            <w:tcW w:w="0" w:type="dxa"/>
            <w:vAlign w:val="bottom"/>
          </w:tcPr>
          <w:p>
            <w:pPr>
              <w:spacing w:after="0"/>
              <w:rPr>
                <w:sz w:val="1"/>
                <w:szCs w:val="1"/>
                <w:color w:val="auto"/>
              </w:rPr>
            </w:pPr>
          </w:p>
        </w:tc>
      </w:tr>
      <w:tr>
        <w:trPr>
          <w:trHeight w:val="188"/>
        </w:trPr>
        <w:tc>
          <w:tcPr>
            <w:tcW w:w="7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40" w:type="dxa"/>
            <w:vAlign w:val="bottom"/>
            <w:gridSpan w:val="3"/>
          </w:tcPr>
          <w:p>
            <w:pPr>
              <w:jc w:val="right"/>
              <w:ind w:right="93"/>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Due in one year or less</w:t>
            </w:r>
          </w:p>
        </w:tc>
        <w:tc>
          <w:tcPr>
            <w:tcW w:w="3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266,378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264,645</w:t>
            </w:r>
          </w:p>
        </w:tc>
        <w:tc>
          <w:tcPr>
            <w:tcW w:w="0" w:type="dxa"/>
            <w:vAlign w:val="bottom"/>
          </w:tcPr>
          <w:p>
            <w:pPr>
              <w:spacing w:after="0"/>
              <w:rPr>
                <w:sz w:val="1"/>
                <w:szCs w:val="1"/>
                <w:color w:val="auto"/>
              </w:rPr>
            </w:pPr>
          </w:p>
        </w:tc>
      </w:tr>
      <w:tr>
        <w:trPr>
          <w:trHeight w:val="222"/>
        </w:trPr>
        <w:tc>
          <w:tcPr>
            <w:tcW w:w="7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Due after one through five years</w:t>
            </w: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1,672,647</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1,619,527</w:t>
            </w:r>
          </w:p>
        </w:tc>
        <w:tc>
          <w:tcPr>
            <w:tcW w:w="0" w:type="dxa"/>
            <w:vAlign w:val="bottom"/>
          </w:tcPr>
          <w:p>
            <w:pPr>
              <w:spacing w:after="0"/>
              <w:rPr>
                <w:sz w:val="1"/>
                <w:szCs w:val="1"/>
                <w:color w:val="auto"/>
              </w:rPr>
            </w:pPr>
          </w:p>
        </w:tc>
      </w:tr>
      <w:tr>
        <w:trPr>
          <w:trHeight w:val="222"/>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Due after five through ten years</w:t>
            </w: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1,110,252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1,088,729</w:t>
            </w:r>
          </w:p>
        </w:tc>
        <w:tc>
          <w:tcPr>
            <w:tcW w:w="0" w:type="dxa"/>
            <w:vAlign w:val="bottom"/>
          </w:tcPr>
          <w:p>
            <w:pPr>
              <w:spacing w:after="0"/>
              <w:rPr>
                <w:sz w:val="1"/>
                <w:szCs w:val="1"/>
                <w:color w:val="auto"/>
              </w:rPr>
            </w:pPr>
          </w:p>
        </w:tc>
      </w:tr>
      <w:tr>
        <w:trPr>
          <w:trHeight w:val="222"/>
        </w:trPr>
        <w:tc>
          <w:tcPr>
            <w:tcW w:w="7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Due after ten years</w:t>
            </w: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68,075</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66,679</w:t>
            </w:r>
          </w:p>
        </w:tc>
        <w:tc>
          <w:tcPr>
            <w:tcW w:w="0" w:type="dxa"/>
            <w:vAlign w:val="bottom"/>
          </w:tcPr>
          <w:p>
            <w:pPr>
              <w:spacing w:after="0"/>
              <w:rPr>
                <w:sz w:val="1"/>
                <w:szCs w:val="1"/>
                <w:color w:val="auto"/>
              </w:rPr>
            </w:pPr>
          </w:p>
        </w:tc>
      </w:tr>
      <w:tr>
        <w:trPr>
          <w:trHeight w:val="222"/>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U.S. agency mortgage-backed securities</w:t>
            </w: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40,925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40,576</w:t>
            </w:r>
          </w:p>
        </w:tc>
        <w:tc>
          <w:tcPr>
            <w:tcW w:w="0" w:type="dxa"/>
            <w:vAlign w:val="bottom"/>
          </w:tcPr>
          <w:p>
            <w:pPr>
              <w:spacing w:after="0"/>
              <w:rPr>
                <w:sz w:val="1"/>
                <w:szCs w:val="1"/>
                <w:color w:val="auto"/>
              </w:rPr>
            </w:pPr>
          </w:p>
        </w:tc>
      </w:tr>
      <w:tr>
        <w:trPr>
          <w:trHeight w:val="222"/>
        </w:trPr>
        <w:tc>
          <w:tcPr>
            <w:tcW w:w="7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asset-backed securities</w:t>
            </w:r>
          </w:p>
        </w:tc>
        <w:tc>
          <w:tcPr>
            <w:tcW w:w="3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96,926</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93,951</w:t>
            </w:r>
          </w:p>
        </w:tc>
        <w:tc>
          <w:tcPr>
            <w:tcW w:w="0" w:type="dxa"/>
            <w:vAlign w:val="bottom"/>
          </w:tcPr>
          <w:p>
            <w:pPr>
              <w:spacing w:after="0"/>
              <w:rPr>
                <w:sz w:val="1"/>
                <w:szCs w:val="1"/>
                <w:color w:val="auto"/>
              </w:rPr>
            </w:pPr>
          </w:p>
        </w:tc>
      </w:tr>
      <w:tr>
        <w:trPr>
          <w:trHeight w:val="240"/>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investments</w:t>
            </w:r>
          </w:p>
        </w:tc>
        <w:tc>
          <w:tcPr>
            <w:tcW w:w="3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3,255,203</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3,174,107</w:t>
            </w:r>
          </w:p>
        </w:tc>
        <w:tc>
          <w:tcPr>
            <w:tcW w:w="0" w:type="dxa"/>
            <w:vAlign w:val="bottom"/>
          </w:tcPr>
          <w:p>
            <w:pPr>
              <w:spacing w:after="0"/>
              <w:rPr>
                <w:sz w:val="1"/>
                <w:szCs w:val="1"/>
                <w:color w:val="auto"/>
              </w:rPr>
            </w:pP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7"/>
        </w:trPr>
        <w:tc>
          <w:tcPr>
            <w:tcW w:w="7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340" w:type="dxa"/>
            <w:vAlign w:val="bottom"/>
          </w:tcPr>
          <w:p>
            <w:pPr>
              <w:spacing w:after="0"/>
              <w:rPr>
                <w:sz w:val="24"/>
                <w:szCs w:val="24"/>
                <w:color w:val="auto"/>
              </w:rPr>
            </w:pPr>
          </w:p>
        </w:tc>
        <w:tc>
          <w:tcPr>
            <w:tcW w:w="15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7"/>
              </w:rPr>
              <w:t>Amortized</w:t>
            </w:r>
          </w:p>
        </w:tc>
        <w:tc>
          <w:tcPr>
            <w:tcW w:w="540" w:type="dxa"/>
            <w:vAlign w:val="bottom"/>
          </w:tcPr>
          <w:p>
            <w:pPr>
              <w:spacing w:after="0"/>
              <w:rPr>
                <w:sz w:val="24"/>
                <w:szCs w:val="24"/>
                <w:color w:val="auto"/>
              </w:rPr>
            </w:pPr>
          </w:p>
        </w:tc>
        <w:tc>
          <w:tcPr>
            <w:tcW w:w="1180" w:type="dxa"/>
            <w:vAlign w:val="bottom"/>
          </w:tcPr>
          <w:p>
            <w:pPr>
              <w:jc w:val="center"/>
              <w:ind w:right="457"/>
              <w:spacing w:after="0"/>
              <w:rPr>
                <w:sz w:val="20"/>
                <w:szCs w:val="20"/>
                <w:color w:val="auto"/>
              </w:rPr>
            </w:pPr>
            <w:r>
              <w:rPr>
                <w:rFonts w:ascii="Times New Roman" w:cs="Times New Roman" w:eastAsia="Times New Roman" w:hAnsi="Times New Roman"/>
                <w:sz w:val="14"/>
                <w:szCs w:val="14"/>
                <w:b w:val="1"/>
                <w:bCs w:val="1"/>
                <w:color w:val="auto"/>
                <w:w w:val="93"/>
              </w:rPr>
              <w:t>Fair</w:t>
            </w:r>
          </w:p>
        </w:tc>
        <w:tc>
          <w:tcPr>
            <w:tcW w:w="0" w:type="dxa"/>
            <w:vAlign w:val="bottom"/>
          </w:tcPr>
          <w:p>
            <w:pPr>
              <w:spacing w:after="0"/>
              <w:rPr>
                <w:sz w:val="1"/>
                <w:szCs w:val="1"/>
                <w:color w:val="auto"/>
              </w:rPr>
            </w:pPr>
          </w:p>
        </w:tc>
      </w:tr>
      <w:tr>
        <w:trPr>
          <w:trHeight w:val="190"/>
        </w:trPr>
        <w:tc>
          <w:tcPr>
            <w:tcW w:w="7680" w:type="dxa"/>
            <w:vAlign w:val="bottom"/>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5"/>
              </w:rPr>
              <w:t>Cost</w:t>
            </w:r>
          </w:p>
        </w:tc>
        <w:tc>
          <w:tcPr>
            <w:tcW w:w="5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457"/>
              <w:spacing w:after="0"/>
              <w:rPr>
                <w:sz w:val="20"/>
                <w:szCs w:val="20"/>
                <w:color w:val="auto"/>
              </w:rPr>
            </w:pPr>
            <w:r>
              <w:rPr>
                <w:rFonts w:ascii="Times New Roman" w:cs="Times New Roman" w:eastAsia="Times New Roman" w:hAnsi="Times New Roman"/>
                <w:sz w:val="14"/>
                <w:szCs w:val="14"/>
                <w:b w:val="1"/>
                <w:bCs w:val="1"/>
                <w:color w:val="auto"/>
                <w:w w:val="91"/>
              </w:rPr>
              <w:t>Value</w:t>
            </w:r>
          </w:p>
        </w:tc>
        <w:tc>
          <w:tcPr>
            <w:tcW w:w="0" w:type="dxa"/>
            <w:vAlign w:val="bottom"/>
          </w:tcPr>
          <w:p>
            <w:pPr>
              <w:spacing w:after="0"/>
              <w:rPr>
                <w:sz w:val="1"/>
                <w:szCs w:val="1"/>
                <w:color w:val="auto"/>
              </w:rPr>
            </w:pPr>
          </w:p>
        </w:tc>
      </w:tr>
      <w:tr>
        <w:trPr>
          <w:trHeight w:val="189"/>
        </w:trPr>
        <w:tc>
          <w:tcPr>
            <w:tcW w:w="7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40" w:type="dxa"/>
            <w:vAlign w:val="bottom"/>
            <w:gridSpan w:val="3"/>
          </w:tcPr>
          <w:p>
            <w:pPr>
              <w:jc w:val="right"/>
              <w:ind w:right="93"/>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Due in one year or less</w:t>
            </w:r>
          </w:p>
        </w:tc>
        <w:tc>
          <w:tcPr>
            <w:tcW w:w="3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292,846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292,232</w:t>
            </w:r>
          </w:p>
        </w:tc>
        <w:tc>
          <w:tcPr>
            <w:tcW w:w="0" w:type="dxa"/>
            <w:vAlign w:val="bottom"/>
          </w:tcPr>
          <w:p>
            <w:pPr>
              <w:spacing w:after="0"/>
              <w:rPr>
                <w:sz w:val="1"/>
                <w:szCs w:val="1"/>
                <w:color w:val="auto"/>
              </w:rPr>
            </w:pPr>
          </w:p>
        </w:tc>
      </w:tr>
      <w:tr>
        <w:trPr>
          <w:trHeight w:val="222"/>
        </w:trPr>
        <w:tc>
          <w:tcPr>
            <w:tcW w:w="7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Due after one through five years</w:t>
            </w: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1,713,613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1,672,123</w:t>
            </w:r>
          </w:p>
        </w:tc>
        <w:tc>
          <w:tcPr>
            <w:tcW w:w="0" w:type="dxa"/>
            <w:vAlign w:val="bottom"/>
          </w:tcPr>
          <w:p>
            <w:pPr>
              <w:spacing w:after="0"/>
              <w:rPr>
                <w:sz w:val="1"/>
                <w:szCs w:val="1"/>
                <w:color w:val="auto"/>
              </w:rPr>
            </w:pPr>
          </w:p>
        </w:tc>
      </w:tr>
      <w:tr>
        <w:trPr>
          <w:trHeight w:val="222"/>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Due after five through ten years</w:t>
            </w: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1,062,039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1,053,628</w:t>
            </w:r>
          </w:p>
        </w:tc>
        <w:tc>
          <w:tcPr>
            <w:tcW w:w="0" w:type="dxa"/>
            <w:vAlign w:val="bottom"/>
          </w:tcPr>
          <w:p>
            <w:pPr>
              <w:spacing w:after="0"/>
              <w:rPr>
                <w:sz w:val="1"/>
                <w:szCs w:val="1"/>
                <w:color w:val="auto"/>
              </w:rPr>
            </w:pPr>
          </w:p>
        </w:tc>
      </w:tr>
      <w:tr>
        <w:trPr>
          <w:trHeight w:val="222"/>
        </w:trPr>
        <w:tc>
          <w:tcPr>
            <w:tcW w:w="7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Due after ten years</w:t>
            </w: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6,793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6,844</w:t>
            </w:r>
          </w:p>
        </w:tc>
        <w:tc>
          <w:tcPr>
            <w:tcW w:w="0" w:type="dxa"/>
            <w:vAlign w:val="bottom"/>
          </w:tcPr>
          <w:p>
            <w:pPr>
              <w:spacing w:after="0"/>
              <w:rPr>
                <w:sz w:val="1"/>
                <w:szCs w:val="1"/>
                <w:color w:val="auto"/>
              </w:rPr>
            </w:pPr>
          </w:p>
        </w:tc>
      </w:tr>
      <w:tr>
        <w:trPr>
          <w:trHeight w:val="222"/>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U.S. agency mortgage-backed securities</w:t>
            </w: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42,109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42,071</w:t>
            </w:r>
          </w:p>
        </w:tc>
        <w:tc>
          <w:tcPr>
            <w:tcW w:w="0" w:type="dxa"/>
            <w:vAlign w:val="bottom"/>
          </w:tcPr>
          <w:p>
            <w:pPr>
              <w:spacing w:after="0"/>
              <w:rPr>
                <w:sz w:val="1"/>
                <w:szCs w:val="1"/>
                <w:color w:val="auto"/>
              </w:rPr>
            </w:pPr>
          </w:p>
        </w:tc>
      </w:tr>
      <w:tr>
        <w:trPr>
          <w:trHeight w:val="222"/>
        </w:trPr>
        <w:tc>
          <w:tcPr>
            <w:tcW w:w="7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asset-backed securities</w:t>
            </w:r>
          </w:p>
        </w:tc>
        <w:tc>
          <w:tcPr>
            <w:tcW w:w="3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72,774</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70,125</w:t>
            </w:r>
          </w:p>
        </w:tc>
        <w:tc>
          <w:tcPr>
            <w:tcW w:w="0" w:type="dxa"/>
            <w:vAlign w:val="bottom"/>
          </w:tcPr>
          <w:p>
            <w:pPr>
              <w:spacing w:after="0"/>
              <w:rPr>
                <w:sz w:val="1"/>
                <w:szCs w:val="1"/>
                <w:color w:val="auto"/>
              </w:rPr>
            </w:pPr>
          </w:p>
        </w:tc>
      </w:tr>
      <w:tr>
        <w:trPr>
          <w:trHeight w:val="240"/>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investments</w:t>
            </w:r>
          </w:p>
        </w:tc>
        <w:tc>
          <w:tcPr>
            <w:tcW w:w="3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3,190,174</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3,137,023</w:t>
            </w:r>
          </w:p>
        </w:tc>
        <w:tc>
          <w:tcPr>
            <w:tcW w:w="0" w:type="dxa"/>
            <w:vAlign w:val="bottom"/>
          </w:tcPr>
          <w:p>
            <w:pPr>
              <w:spacing w:after="0"/>
              <w:rPr>
                <w:sz w:val="1"/>
                <w:szCs w:val="1"/>
                <w:color w:val="auto"/>
              </w:rPr>
            </w:pP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i w:val="1"/>
          <w:iCs w:val="1"/>
          <w:color w:val="auto"/>
        </w:rPr>
        <w:t>Aging of Unrealized Losses</w:t>
      </w:r>
    </w:p>
    <w:p>
      <w:pPr>
        <w:spacing w:after="0" w:line="172" w:lineRule="exact"/>
        <w:rPr>
          <w:sz w:val="20"/>
          <w:szCs w:val="20"/>
          <w:color w:val="auto"/>
        </w:rPr>
      </w:pPr>
    </w:p>
    <w:p>
      <w:pPr>
        <w:jc w:val="both"/>
        <w:ind w:firstLine="627"/>
        <w:spacing w:after="0" w:line="269" w:lineRule="auto"/>
        <w:rPr>
          <w:sz w:val="20"/>
          <w:szCs w:val="20"/>
          <w:color w:val="auto"/>
        </w:rPr>
      </w:pPr>
      <w:r>
        <w:rPr>
          <w:rFonts w:ascii="Times New Roman" w:cs="Times New Roman" w:eastAsia="Times New Roman" w:hAnsi="Times New Roman"/>
          <w:sz w:val="17"/>
          <w:szCs w:val="17"/>
          <w:color w:val="auto"/>
        </w:rPr>
        <w:t>As of March 31, 2026, the investment portfolio had gross unrealized losses of $97.1 million, of which $87.3 million were associated with securities that had been in an unrealized loss position for a period of twelve months or longer. As of December 31, 2025, the investment portfolio had gross unrealized losses of $86.3 million, of which $84.3 million were associated with securities that had been in an unrealized loss position for a period of twelve months or longer. For those securities in an unrealized loss position, the length of time the securities were in such a position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340" w:type="dxa"/>
            <w:vAlign w:val="bottom"/>
          </w:tcPr>
          <w:p>
            <w:pPr>
              <w:spacing w:after="0"/>
              <w:rPr>
                <w:sz w:val="16"/>
                <w:szCs w:val="16"/>
                <w:color w:val="auto"/>
              </w:rPr>
            </w:pPr>
          </w:p>
        </w:tc>
        <w:tc>
          <w:tcPr>
            <w:tcW w:w="2900" w:type="dxa"/>
            <w:vAlign w:val="bottom"/>
            <w:gridSpan w:val="6"/>
          </w:tcPr>
          <w:p>
            <w:pPr>
              <w:ind w:left="620"/>
              <w:spacing w:after="0"/>
              <w:rPr>
                <w:sz w:val="20"/>
                <w:szCs w:val="20"/>
                <w:color w:val="auto"/>
              </w:rPr>
            </w:pPr>
            <w:r>
              <w:rPr>
                <w:rFonts w:ascii="Times New Roman" w:cs="Times New Roman" w:eastAsia="Times New Roman" w:hAnsi="Times New Roman"/>
                <w:sz w:val="14"/>
                <w:szCs w:val="14"/>
                <w:b w:val="1"/>
                <w:bCs w:val="1"/>
                <w:color w:val="auto"/>
              </w:rPr>
              <w:t>Less Than Twelve Months</w:t>
            </w:r>
          </w:p>
        </w:tc>
        <w:tc>
          <w:tcPr>
            <w:tcW w:w="3020" w:type="dxa"/>
            <w:vAlign w:val="bottom"/>
            <w:gridSpan w:val="6"/>
          </w:tcPr>
          <w:p>
            <w:pPr>
              <w:ind w:left="680"/>
              <w:spacing w:after="0"/>
              <w:rPr>
                <w:sz w:val="20"/>
                <w:szCs w:val="20"/>
                <w:color w:val="auto"/>
              </w:rPr>
            </w:pPr>
            <w:r>
              <w:rPr>
                <w:rFonts w:ascii="Times New Roman" w:cs="Times New Roman" w:eastAsia="Times New Roman" w:hAnsi="Times New Roman"/>
                <w:sz w:val="14"/>
                <w:szCs w:val="14"/>
                <w:b w:val="1"/>
                <w:bCs w:val="1"/>
                <w:color w:val="auto"/>
              </w:rPr>
              <w:t>Twelve Months or Greater</w:t>
            </w: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2340" w:type="dxa"/>
            <w:vAlign w:val="bottom"/>
          </w:tcPr>
          <w:p>
            <w:pPr>
              <w:spacing w:after="0"/>
              <w:rPr>
                <w:sz w:val="10"/>
                <w:szCs w:val="10"/>
                <w:color w:val="auto"/>
              </w:rPr>
            </w:pPr>
          </w:p>
        </w:tc>
        <w:tc>
          <w:tcPr>
            <w:tcW w:w="800" w:type="dxa"/>
            <w:vAlign w:val="bottom"/>
            <w:tcBorders>
              <w:top w:val="single" w:sz="8" w:color="auto"/>
            </w:tcBorders>
          </w:tcPr>
          <w:p>
            <w:pPr>
              <w:jc w:val="right"/>
              <w:ind w:right="198"/>
              <w:spacing w:after="0" w:line="125" w:lineRule="exact"/>
              <w:rPr>
                <w:sz w:val="20"/>
                <w:szCs w:val="20"/>
                <w:color w:val="auto"/>
              </w:rPr>
            </w:pPr>
            <w:r>
              <w:rPr>
                <w:rFonts w:ascii="Times New Roman" w:cs="Times New Roman" w:eastAsia="Times New Roman" w:hAnsi="Times New Roman"/>
                <w:sz w:val="14"/>
                <w:szCs w:val="14"/>
                <w:b w:val="1"/>
                <w:bCs w:val="1"/>
                <w:color w:val="auto"/>
              </w:rPr>
              <w:t># of</w:t>
            </w:r>
          </w:p>
        </w:tc>
        <w:tc>
          <w:tcPr>
            <w:tcW w:w="1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vMerge w:val="restart"/>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6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center"/>
              <w:ind w:right="57"/>
              <w:spacing w:after="0" w:line="125"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80" w:type="dxa"/>
            <w:vAlign w:val="bottom"/>
          </w:tcPr>
          <w:p>
            <w:pPr>
              <w:spacing w:after="0"/>
              <w:rPr>
                <w:sz w:val="10"/>
                <w:szCs w:val="10"/>
                <w:color w:val="auto"/>
              </w:rPr>
            </w:pPr>
          </w:p>
        </w:tc>
        <w:tc>
          <w:tcPr>
            <w:tcW w:w="820" w:type="dxa"/>
            <w:vAlign w:val="bottom"/>
            <w:tcBorders>
              <w:top w:val="single" w:sz="8" w:color="auto"/>
            </w:tcBorders>
          </w:tcPr>
          <w:p>
            <w:pPr>
              <w:jc w:val="right"/>
              <w:ind w:right="198"/>
              <w:spacing w:after="0" w:line="125" w:lineRule="exact"/>
              <w:rPr>
                <w:sz w:val="20"/>
                <w:szCs w:val="20"/>
                <w:color w:val="auto"/>
              </w:rPr>
            </w:pPr>
            <w:r>
              <w:rPr>
                <w:rFonts w:ascii="Times New Roman" w:cs="Times New Roman" w:eastAsia="Times New Roman" w:hAnsi="Times New Roman"/>
                <w:sz w:val="14"/>
                <w:szCs w:val="14"/>
                <w:b w:val="1"/>
                <w:bCs w:val="1"/>
                <w:color w:val="auto"/>
              </w:rPr>
              <w:t># of</w:t>
            </w:r>
          </w:p>
        </w:tc>
        <w:tc>
          <w:tcPr>
            <w:tcW w:w="1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vMerge w:val="restart"/>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center"/>
              <w:ind w:right="57"/>
              <w:spacing w:after="0" w:line="125" w:lineRule="exact"/>
              <w:rPr>
                <w:sz w:val="20"/>
                <w:szCs w:val="20"/>
                <w:color w:val="auto"/>
              </w:rPr>
            </w:pPr>
            <w:r>
              <w:rPr>
                <w:rFonts w:ascii="Times New Roman" w:cs="Times New Roman" w:eastAsia="Times New Roman" w:hAnsi="Times New Roman"/>
                <w:sz w:val="14"/>
                <w:szCs w:val="14"/>
                <w:b w:val="1"/>
                <w:bCs w:val="1"/>
                <w:color w:val="auto"/>
                <w:w w:val="97"/>
              </w:rPr>
              <w:t>Unrealized</w:t>
            </w:r>
          </w:p>
        </w:tc>
        <w:tc>
          <w:tcPr>
            <w:tcW w:w="100" w:type="dxa"/>
            <w:vAlign w:val="bottom"/>
          </w:tcPr>
          <w:p>
            <w:pPr>
              <w:spacing w:after="0"/>
              <w:rPr>
                <w:sz w:val="10"/>
                <w:szCs w:val="10"/>
                <w:color w:val="auto"/>
              </w:rPr>
            </w:pPr>
          </w:p>
        </w:tc>
        <w:tc>
          <w:tcPr>
            <w:tcW w:w="820" w:type="dxa"/>
            <w:vAlign w:val="bottom"/>
            <w:tcBorders>
              <w:top w:val="single" w:sz="8" w:color="auto"/>
            </w:tcBorders>
          </w:tcPr>
          <w:p>
            <w:pPr>
              <w:jc w:val="right"/>
              <w:ind w:right="217"/>
              <w:spacing w:after="0" w:line="125" w:lineRule="exact"/>
              <w:rPr>
                <w:sz w:val="20"/>
                <w:szCs w:val="20"/>
                <w:color w:val="auto"/>
              </w:rPr>
            </w:pPr>
            <w:r>
              <w:rPr>
                <w:rFonts w:ascii="Times New Roman" w:cs="Times New Roman" w:eastAsia="Times New Roman" w:hAnsi="Times New Roman"/>
                <w:sz w:val="14"/>
                <w:szCs w:val="14"/>
                <w:b w:val="1"/>
                <w:bCs w:val="1"/>
                <w:color w:val="auto"/>
              </w:rPr>
              <w:t># of</w:t>
            </w:r>
          </w:p>
        </w:tc>
        <w:tc>
          <w:tcPr>
            <w:tcW w:w="1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vMerge w:val="restart"/>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right"/>
              <w:ind w:right="137"/>
              <w:spacing w:after="0" w:line="125"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87"/>
        </w:trPr>
        <w:tc>
          <w:tcPr>
            <w:tcW w:w="2340" w:type="dxa"/>
            <w:vAlign w:val="bottom"/>
          </w:tcPr>
          <w:p>
            <w:pPr>
              <w:spacing w:after="0"/>
              <w:rPr>
                <w:sz w:val="16"/>
                <w:szCs w:val="16"/>
                <w:color w:val="auto"/>
              </w:rPr>
            </w:pPr>
          </w:p>
        </w:tc>
        <w:tc>
          <w:tcPr>
            <w:tcW w:w="8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8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82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190"/>
        </w:trPr>
        <w:tc>
          <w:tcPr>
            <w:tcW w:w="2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 of March 31, 2026</w:t>
            </w: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2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i w:val="1"/>
                <w:iCs w:val="1"/>
                <w:color w:val="auto"/>
                <w:w w:val="98"/>
              </w:rPr>
              <w:t>($ In Thousands)</w:t>
            </w: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3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7"/>
                <w:szCs w:val="17"/>
                <w:color w:val="auto"/>
              </w:rPr>
              <w:t>U.S. Treasury securities and</w:t>
            </w:r>
          </w:p>
        </w:tc>
        <w:tc>
          <w:tcPr>
            <w:tcW w:w="8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3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7"/>
                <w:szCs w:val="17"/>
                <w:color w:val="auto"/>
              </w:rPr>
              <w:t>obligations of U.S. government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194,270</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(3,804)</w:t>
            </w:r>
          </w:p>
        </w:tc>
        <w:tc>
          <w:tcPr>
            <w:tcW w:w="8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534</w:t>
            </w:r>
          </w:p>
        </w:tc>
        <w:tc>
          <w:tcPr>
            <w:tcW w:w="1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194,804</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(3,812)</w:t>
            </w:r>
          </w:p>
        </w:tc>
        <w:tc>
          <w:tcPr>
            <w:tcW w:w="0" w:type="dxa"/>
            <w:vAlign w:val="bottom"/>
          </w:tcPr>
          <w:p>
            <w:pPr>
              <w:spacing w:after="0"/>
              <w:rPr>
                <w:sz w:val="1"/>
                <w:szCs w:val="1"/>
                <w:color w:val="auto"/>
              </w:rPr>
            </w:pPr>
          </w:p>
        </w:tc>
      </w:tr>
      <w:tr>
        <w:trPr>
          <w:trHeight w:val="222"/>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agencies</w:t>
            </w:r>
          </w:p>
        </w:tc>
        <w:tc>
          <w:tcPr>
            <w:tcW w:w="800" w:type="dxa"/>
            <w:vAlign w:val="bottom"/>
            <w:vMerge w:val="continue"/>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Municipal debt securities</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9,386</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211</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462,436</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(27,650)</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213</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471,822</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(27,656)</w:t>
            </w:r>
          </w:p>
        </w:tc>
        <w:tc>
          <w:tcPr>
            <w:tcW w:w="0" w:type="dxa"/>
            <w:vAlign w:val="bottom"/>
          </w:tcPr>
          <w:p>
            <w:pPr>
              <w:spacing w:after="0"/>
              <w:rPr>
                <w:sz w:val="1"/>
                <w:szCs w:val="1"/>
                <w:color w:val="auto"/>
              </w:rPr>
            </w:pPr>
          </w:p>
        </w:tc>
      </w:tr>
      <w:tr>
        <w:trPr>
          <w:trHeight w:val="222"/>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Corporate debt securities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470,222</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(5,391)</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756,507</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(56,927)</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1,226,729</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(62,318)</w:t>
            </w:r>
          </w:p>
        </w:tc>
        <w:tc>
          <w:tcPr>
            <w:tcW w:w="0" w:type="dxa"/>
            <w:vAlign w:val="bottom"/>
          </w:tcPr>
          <w:p>
            <w:pPr>
              <w:spacing w:after="0"/>
              <w:rPr>
                <w:sz w:val="1"/>
                <w:szCs w:val="1"/>
                <w:color w:val="auto"/>
              </w:rPr>
            </w:pPr>
          </w:p>
        </w:tc>
      </w:tr>
      <w:tr>
        <w:trPr>
          <w:trHeight w:val="178"/>
        </w:trPr>
        <w:tc>
          <w:tcPr>
            <w:tcW w:w="2340" w:type="dxa"/>
            <w:vAlign w:val="bottom"/>
          </w:tcPr>
          <w:p>
            <w:pPr>
              <w:ind w:left="20"/>
              <w:spacing w:after="0" w:line="178" w:lineRule="exact"/>
              <w:rPr>
                <w:sz w:val="20"/>
                <w:szCs w:val="20"/>
                <w:color w:val="auto"/>
              </w:rPr>
            </w:pPr>
            <w:r>
              <w:rPr>
                <w:rFonts w:ascii="Times New Roman" w:cs="Times New Roman" w:eastAsia="Times New Roman" w:hAnsi="Times New Roman"/>
                <w:sz w:val="17"/>
                <w:szCs w:val="17"/>
                <w:color w:val="auto"/>
              </w:rPr>
              <w:t>U.S. agency mortgage-backed</w:t>
            </w: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2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securities</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40,576</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(349)</w:t>
            </w: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00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40,576</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(349)</w:t>
            </w:r>
          </w:p>
        </w:tc>
        <w:tc>
          <w:tcPr>
            <w:tcW w:w="0" w:type="dxa"/>
            <w:vAlign w:val="bottom"/>
          </w:tcPr>
          <w:p>
            <w:pPr>
              <w:spacing w:after="0"/>
              <w:rPr>
                <w:sz w:val="1"/>
                <w:szCs w:val="1"/>
                <w:color w:val="auto"/>
              </w:rPr>
            </w:pPr>
          </w:p>
        </w:tc>
      </w:tr>
      <w:tr>
        <w:trPr>
          <w:trHeight w:val="222"/>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asset-backed securities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65,553</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22,393</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(2,742)</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87,946</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(3,014)</w:t>
            </w:r>
          </w:p>
        </w:tc>
        <w:tc>
          <w:tcPr>
            <w:tcW w:w="0" w:type="dxa"/>
            <w:vAlign w:val="bottom"/>
          </w:tcPr>
          <w:p>
            <w:pPr>
              <w:spacing w:after="0"/>
              <w:rPr>
                <w:sz w:val="1"/>
                <w:szCs w:val="1"/>
                <w:color w:val="auto"/>
              </w:rPr>
            </w:pPr>
          </w:p>
        </w:tc>
      </w:tr>
      <w:tr>
        <w:trPr>
          <w:trHeight w:val="222"/>
        </w:trPr>
        <w:tc>
          <w:tcPr>
            <w:tcW w:w="2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Short-term investments</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24,998</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00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24,998</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0"/>
        </w:trPr>
        <w:tc>
          <w:tcPr>
            <w:tcW w:w="2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805,005</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(9,822)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375</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1,241,870</w:t>
            </w:r>
          </w:p>
        </w:tc>
        <w:tc>
          <w:tcPr>
            <w:tcW w:w="1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(87,327)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493</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2,046,875</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(97,149)</w:t>
            </w:r>
          </w:p>
        </w:tc>
        <w:tc>
          <w:tcPr>
            <w:tcW w:w="0" w:type="dxa"/>
            <w:vAlign w:val="bottom"/>
          </w:tcPr>
          <w:p>
            <w:pPr>
              <w:spacing w:after="0"/>
              <w:rPr>
                <w:sz w:val="1"/>
                <w:szCs w:val="1"/>
                <w:color w:val="auto"/>
              </w:rPr>
            </w:pPr>
          </w:p>
        </w:tc>
      </w:tr>
      <w:tr>
        <w:trPr>
          <w:trHeight w:val="20"/>
        </w:trPr>
        <w:tc>
          <w:tcPr>
            <w:tcW w:w="23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340" w:type="dxa"/>
            <w:vAlign w:val="bottom"/>
          </w:tcPr>
          <w:p>
            <w:pPr>
              <w:spacing w:after="0"/>
              <w:rPr>
                <w:sz w:val="16"/>
                <w:szCs w:val="16"/>
                <w:color w:val="auto"/>
              </w:rPr>
            </w:pPr>
          </w:p>
        </w:tc>
        <w:tc>
          <w:tcPr>
            <w:tcW w:w="2860" w:type="dxa"/>
            <w:vAlign w:val="bottom"/>
            <w:gridSpan w:val="6"/>
          </w:tcPr>
          <w:p>
            <w:pPr>
              <w:ind w:left="600"/>
              <w:spacing w:after="0"/>
              <w:rPr>
                <w:sz w:val="20"/>
                <w:szCs w:val="20"/>
                <w:color w:val="auto"/>
              </w:rPr>
            </w:pPr>
            <w:r>
              <w:rPr>
                <w:rFonts w:ascii="Times New Roman" w:cs="Times New Roman" w:eastAsia="Times New Roman" w:hAnsi="Times New Roman"/>
                <w:sz w:val="14"/>
                <w:szCs w:val="14"/>
                <w:b w:val="1"/>
                <w:bCs w:val="1"/>
                <w:color w:val="auto"/>
              </w:rPr>
              <w:t>Less Than Twelve Months</w:t>
            </w:r>
          </w:p>
        </w:tc>
        <w:tc>
          <w:tcPr>
            <w:tcW w:w="3060" w:type="dxa"/>
            <w:vAlign w:val="bottom"/>
            <w:gridSpan w:val="6"/>
          </w:tcPr>
          <w:p>
            <w:pPr>
              <w:ind w:left="680"/>
              <w:spacing w:after="0"/>
              <w:rPr>
                <w:sz w:val="20"/>
                <w:szCs w:val="20"/>
                <w:color w:val="auto"/>
              </w:rPr>
            </w:pPr>
            <w:r>
              <w:rPr>
                <w:rFonts w:ascii="Times New Roman" w:cs="Times New Roman" w:eastAsia="Times New Roman" w:hAnsi="Times New Roman"/>
                <w:sz w:val="14"/>
                <w:szCs w:val="14"/>
                <w:b w:val="1"/>
                <w:bCs w:val="1"/>
                <w:color w:val="auto"/>
              </w:rPr>
              <w:t>Twelve Months or Greater</w:t>
            </w: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2340" w:type="dxa"/>
            <w:vAlign w:val="bottom"/>
          </w:tcPr>
          <w:p>
            <w:pPr>
              <w:spacing w:after="0"/>
              <w:rPr>
                <w:sz w:val="10"/>
                <w:szCs w:val="10"/>
                <w:color w:val="auto"/>
              </w:rPr>
            </w:pPr>
          </w:p>
        </w:tc>
        <w:tc>
          <w:tcPr>
            <w:tcW w:w="820" w:type="dxa"/>
            <w:vAlign w:val="bottom"/>
            <w:tcBorders>
              <w:top w:val="single" w:sz="8" w:color="auto"/>
            </w:tcBorders>
          </w:tcPr>
          <w:p>
            <w:pPr>
              <w:jc w:val="right"/>
              <w:ind w:right="198"/>
              <w:spacing w:after="0" w:line="125" w:lineRule="exact"/>
              <w:rPr>
                <w:sz w:val="20"/>
                <w:szCs w:val="20"/>
                <w:color w:val="auto"/>
              </w:rPr>
            </w:pPr>
            <w:r>
              <w:rPr>
                <w:rFonts w:ascii="Times New Roman" w:cs="Times New Roman" w:eastAsia="Times New Roman" w:hAnsi="Times New Roman"/>
                <w:sz w:val="14"/>
                <w:szCs w:val="14"/>
                <w:b w:val="1"/>
                <w:bCs w:val="1"/>
                <w:color w:val="auto"/>
              </w:rPr>
              <w:t># of</w:t>
            </w:r>
          </w:p>
        </w:tc>
        <w:tc>
          <w:tcPr>
            <w:tcW w:w="16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vMerge w:val="restart"/>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6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center"/>
              <w:ind w:right="37"/>
              <w:spacing w:after="0" w:line="125" w:lineRule="exact"/>
              <w:rPr>
                <w:sz w:val="20"/>
                <w:szCs w:val="20"/>
                <w:color w:val="auto"/>
              </w:rPr>
            </w:pPr>
            <w:r>
              <w:rPr>
                <w:rFonts w:ascii="Times New Roman" w:cs="Times New Roman" w:eastAsia="Times New Roman" w:hAnsi="Times New Roman"/>
                <w:sz w:val="14"/>
                <w:szCs w:val="14"/>
                <w:b w:val="1"/>
                <w:bCs w:val="1"/>
                <w:color w:val="auto"/>
                <w:w w:val="97"/>
              </w:rPr>
              <w:t>Unrealized</w:t>
            </w:r>
          </w:p>
        </w:tc>
        <w:tc>
          <w:tcPr>
            <w:tcW w:w="100" w:type="dxa"/>
            <w:vAlign w:val="bottom"/>
          </w:tcPr>
          <w:p>
            <w:pPr>
              <w:spacing w:after="0"/>
              <w:rPr>
                <w:sz w:val="10"/>
                <w:szCs w:val="10"/>
                <w:color w:val="auto"/>
              </w:rPr>
            </w:pPr>
          </w:p>
        </w:tc>
        <w:tc>
          <w:tcPr>
            <w:tcW w:w="800" w:type="dxa"/>
            <w:vAlign w:val="bottom"/>
            <w:tcBorders>
              <w:top w:val="single" w:sz="8" w:color="auto"/>
            </w:tcBorders>
          </w:tcPr>
          <w:p>
            <w:pPr>
              <w:jc w:val="right"/>
              <w:ind w:right="198"/>
              <w:spacing w:after="0" w:line="125" w:lineRule="exact"/>
              <w:rPr>
                <w:sz w:val="20"/>
                <w:szCs w:val="20"/>
                <w:color w:val="auto"/>
              </w:rPr>
            </w:pPr>
            <w:r>
              <w:rPr>
                <w:rFonts w:ascii="Times New Roman" w:cs="Times New Roman" w:eastAsia="Times New Roman" w:hAnsi="Times New Roman"/>
                <w:sz w:val="14"/>
                <w:szCs w:val="14"/>
                <w:b w:val="1"/>
                <w:bCs w:val="1"/>
                <w:color w:val="auto"/>
              </w:rPr>
              <w:t># of</w:t>
            </w:r>
          </w:p>
        </w:tc>
        <w:tc>
          <w:tcPr>
            <w:tcW w:w="2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vMerge w:val="restart"/>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center"/>
              <w:ind w:right="57"/>
              <w:spacing w:after="0" w:line="125" w:lineRule="exact"/>
              <w:rPr>
                <w:sz w:val="20"/>
                <w:szCs w:val="20"/>
                <w:color w:val="auto"/>
              </w:rPr>
            </w:pPr>
            <w:r>
              <w:rPr>
                <w:rFonts w:ascii="Times New Roman" w:cs="Times New Roman" w:eastAsia="Times New Roman" w:hAnsi="Times New Roman"/>
                <w:sz w:val="14"/>
                <w:szCs w:val="14"/>
                <w:b w:val="1"/>
                <w:bCs w:val="1"/>
                <w:color w:val="auto"/>
                <w:w w:val="97"/>
              </w:rPr>
              <w:t>Unrealized</w:t>
            </w:r>
          </w:p>
        </w:tc>
        <w:tc>
          <w:tcPr>
            <w:tcW w:w="100" w:type="dxa"/>
            <w:vAlign w:val="bottom"/>
          </w:tcPr>
          <w:p>
            <w:pPr>
              <w:spacing w:after="0"/>
              <w:rPr>
                <w:sz w:val="10"/>
                <w:szCs w:val="10"/>
                <w:color w:val="auto"/>
              </w:rPr>
            </w:pPr>
          </w:p>
        </w:tc>
        <w:tc>
          <w:tcPr>
            <w:tcW w:w="820" w:type="dxa"/>
            <w:vAlign w:val="bottom"/>
            <w:tcBorders>
              <w:top w:val="single" w:sz="8" w:color="auto"/>
            </w:tcBorders>
          </w:tcPr>
          <w:p>
            <w:pPr>
              <w:jc w:val="right"/>
              <w:ind w:right="197"/>
              <w:spacing w:after="0" w:line="125" w:lineRule="exact"/>
              <w:rPr>
                <w:sz w:val="20"/>
                <w:szCs w:val="20"/>
                <w:color w:val="auto"/>
              </w:rPr>
            </w:pPr>
            <w:r>
              <w:rPr>
                <w:rFonts w:ascii="Times New Roman" w:cs="Times New Roman" w:eastAsia="Times New Roman" w:hAnsi="Times New Roman"/>
                <w:sz w:val="14"/>
                <w:szCs w:val="14"/>
                <w:b w:val="1"/>
                <w:bCs w:val="1"/>
                <w:color w:val="auto"/>
              </w:rPr>
              <w:t># of</w:t>
            </w:r>
          </w:p>
        </w:tc>
        <w:tc>
          <w:tcPr>
            <w:tcW w:w="2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vMerge w:val="restart"/>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right"/>
              <w:ind w:right="137"/>
              <w:spacing w:after="0" w:line="125"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87"/>
        </w:trPr>
        <w:tc>
          <w:tcPr>
            <w:tcW w:w="2340" w:type="dxa"/>
            <w:vAlign w:val="bottom"/>
          </w:tcPr>
          <w:p>
            <w:pPr>
              <w:spacing w:after="0"/>
              <w:rPr>
                <w:sz w:val="16"/>
                <w:szCs w:val="16"/>
                <w:color w:val="auto"/>
              </w:rPr>
            </w:pPr>
          </w:p>
        </w:tc>
        <w:tc>
          <w:tcPr>
            <w:tcW w:w="8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8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82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190"/>
        </w:trPr>
        <w:tc>
          <w:tcPr>
            <w:tcW w:w="2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60" w:type="dxa"/>
            <w:vAlign w:val="bottom"/>
            <w:gridSpan w:val="4"/>
          </w:tcPr>
          <w:p>
            <w:pPr>
              <w:ind w:left="54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3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7"/>
                <w:szCs w:val="17"/>
                <w:color w:val="auto"/>
              </w:rPr>
              <w:t>U.S. Treasury securities and</w:t>
            </w: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340" w:type="dxa"/>
            <w:vAlign w:val="bottom"/>
            <w:shd w:val="clear" w:color="auto" w:fill="CCEEFF"/>
          </w:tcPr>
          <w:p>
            <w:pPr>
              <w:ind w:left="20"/>
              <w:spacing w:after="0" w:line="178" w:lineRule="exact"/>
              <w:rPr>
                <w:sz w:val="20"/>
                <w:szCs w:val="20"/>
                <w:color w:val="auto"/>
              </w:rPr>
            </w:pPr>
            <w:r>
              <w:rPr>
                <w:rFonts w:ascii="Times New Roman" w:cs="Times New Roman" w:eastAsia="Times New Roman" w:hAnsi="Times New Roman"/>
                <w:sz w:val="17"/>
                <w:szCs w:val="17"/>
                <w:color w:val="auto"/>
              </w:rPr>
              <w:t>obligations of U.S. government</w:t>
            </w: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agencies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204,062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(1,673)</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206,055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(1,684)</w:t>
            </w:r>
          </w:p>
        </w:tc>
        <w:tc>
          <w:tcPr>
            <w:tcW w:w="0" w:type="dxa"/>
            <w:vAlign w:val="bottom"/>
          </w:tcPr>
          <w:p>
            <w:pPr>
              <w:spacing w:after="0"/>
              <w:rPr>
                <w:sz w:val="1"/>
                <w:szCs w:val="1"/>
                <w:color w:val="auto"/>
              </w:rPr>
            </w:pPr>
          </w:p>
        </w:tc>
      </w:tr>
      <w:tr>
        <w:trPr>
          <w:trHeight w:val="222"/>
        </w:trPr>
        <w:tc>
          <w:tcPr>
            <w:tcW w:w="2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Municipal debt securities</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215</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477,095</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(26,879)</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215</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477,095</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(26,879)</w:t>
            </w:r>
          </w:p>
        </w:tc>
        <w:tc>
          <w:tcPr>
            <w:tcW w:w="0" w:type="dxa"/>
            <w:vAlign w:val="bottom"/>
          </w:tcPr>
          <w:p>
            <w:pPr>
              <w:spacing w:after="0"/>
              <w:rPr>
                <w:sz w:val="1"/>
                <w:szCs w:val="1"/>
                <w:color w:val="auto"/>
              </w:rPr>
            </w:pPr>
          </w:p>
        </w:tc>
      </w:tr>
      <w:tr>
        <w:trPr>
          <w:trHeight w:val="222"/>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Corporate debt securities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43,546</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836,050</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(54,806)</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879,596</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(55,015)</w:t>
            </w:r>
          </w:p>
        </w:tc>
        <w:tc>
          <w:tcPr>
            <w:tcW w:w="0" w:type="dxa"/>
            <w:vAlign w:val="bottom"/>
          </w:tcPr>
          <w:p>
            <w:pPr>
              <w:spacing w:after="0"/>
              <w:rPr>
                <w:sz w:val="1"/>
                <w:szCs w:val="1"/>
                <w:color w:val="auto"/>
              </w:rPr>
            </w:pPr>
          </w:p>
        </w:tc>
      </w:tr>
      <w:tr>
        <w:trPr>
          <w:trHeight w:val="170"/>
        </w:trPr>
        <w:tc>
          <w:tcPr>
            <w:tcW w:w="2340" w:type="dxa"/>
            <w:vAlign w:val="bottom"/>
          </w:tcPr>
          <w:p>
            <w:pPr>
              <w:ind w:left="20"/>
              <w:spacing w:after="0" w:line="170" w:lineRule="exact"/>
              <w:rPr>
                <w:sz w:val="20"/>
                <w:szCs w:val="20"/>
                <w:color w:val="auto"/>
              </w:rPr>
            </w:pPr>
            <w:r>
              <w:rPr>
                <w:rFonts w:ascii="Times New Roman" w:cs="Times New Roman" w:eastAsia="Times New Roman" w:hAnsi="Times New Roman"/>
                <w:sz w:val="17"/>
                <w:szCs w:val="17"/>
                <w:color w:val="auto"/>
              </w:rPr>
              <w:t>U.S. agency mortgage-backed</w:t>
            </w: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2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securities</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27,109</w:t>
            </w: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100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27,109</w:t>
            </w: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0" w:type="dxa"/>
            <w:vAlign w:val="bottom"/>
          </w:tcPr>
          <w:p>
            <w:pPr>
              <w:spacing w:after="0"/>
              <w:rPr>
                <w:sz w:val="1"/>
                <w:szCs w:val="1"/>
                <w:color w:val="auto"/>
              </w:rPr>
            </w:pPr>
          </w:p>
        </w:tc>
      </w:tr>
      <w:tr>
        <w:trPr>
          <w:trHeight w:val="222"/>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asset-backed securities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33,836</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36,289</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(2,596)</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70,125</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(2,649)</w:t>
            </w:r>
          </w:p>
        </w:tc>
        <w:tc>
          <w:tcPr>
            <w:tcW w:w="0" w:type="dxa"/>
            <w:vAlign w:val="bottom"/>
          </w:tcPr>
          <w:p>
            <w:pPr>
              <w:spacing w:after="0"/>
              <w:rPr>
                <w:sz w:val="1"/>
                <w:szCs w:val="1"/>
                <w:color w:val="auto"/>
              </w:rPr>
            </w:pPr>
          </w:p>
        </w:tc>
      </w:tr>
      <w:tr>
        <w:trPr>
          <w:trHeight w:val="222"/>
        </w:trPr>
        <w:tc>
          <w:tcPr>
            <w:tcW w:w="2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Short-term investments</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24,778</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00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24,778</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40"/>
        </w:trPr>
        <w:tc>
          <w:tcPr>
            <w:tcW w:w="2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333,331</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1,351,427</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(84,292)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429</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1,684,758</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(86,276)</w:t>
            </w:r>
          </w:p>
        </w:tc>
        <w:tc>
          <w:tcPr>
            <w:tcW w:w="0" w:type="dxa"/>
            <w:vAlign w:val="bottom"/>
          </w:tcPr>
          <w:p>
            <w:pPr>
              <w:spacing w:after="0"/>
              <w:rPr>
                <w:sz w:val="1"/>
                <w:szCs w:val="1"/>
                <w:color w:val="auto"/>
              </w:rPr>
            </w:pPr>
          </w:p>
        </w:tc>
      </w:tr>
      <w:tr>
        <w:trPr>
          <w:trHeight w:val="20"/>
        </w:trPr>
        <w:tc>
          <w:tcPr>
            <w:tcW w:w="23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spacing w:after="0"/>
        <w:tabs>
          <w:tab w:leader="none" w:pos="18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3"/>
          <w:szCs w:val="13"/>
          <w:color w:val="auto"/>
        </w:rPr>
        <w:t>Amounts not identifiable due to rounding.</w:t>
      </w:r>
    </w:p>
    <w:p>
      <w:pPr>
        <w:spacing w:after="0" w:line="15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i w:val="1"/>
          <w:iCs w:val="1"/>
          <w:color w:val="auto"/>
        </w:rPr>
        <w:t>Allowance for Credit Losses</w:t>
      </w:r>
    </w:p>
    <w:p>
      <w:pPr>
        <w:spacing w:after="0" w:line="172" w:lineRule="exact"/>
        <w:rPr>
          <w:sz w:val="20"/>
          <w:szCs w:val="20"/>
          <w:color w:val="auto"/>
        </w:rPr>
      </w:pPr>
    </w:p>
    <w:p>
      <w:pPr>
        <w:jc w:val="both"/>
        <w:ind w:firstLine="627"/>
        <w:spacing w:after="0" w:line="295" w:lineRule="auto"/>
        <w:rPr>
          <w:sz w:val="20"/>
          <w:szCs w:val="20"/>
          <w:color w:val="auto"/>
        </w:rPr>
      </w:pPr>
      <w:r>
        <w:rPr>
          <w:rFonts w:ascii="Times New Roman" w:cs="Times New Roman" w:eastAsia="Times New Roman" w:hAnsi="Times New Roman"/>
          <w:sz w:val="17"/>
          <w:szCs w:val="17"/>
          <w:color w:val="auto"/>
        </w:rPr>
        <w:t>As of March 31, 2026 and December 31, 2025, we did not recognize an allowance for credit loss for any security in the investment portfolio and we did not record any provision for credit loss for investment securities during the three months ended March 31, 2026 or 2025.</w:t>
      </w:r>
    </w:p>
    <w:p>
      <w:pPr>
        <w:spacing w:after="0" w:line="94" w:lineRule="exact"/>
        <w:rPr>
          <w:sz w:val="20"/>
          <w:szCs w:val="20"/>
          <w:color w:val="auto"/>
        </w:rPr>
      </w:pPr>
    </w:p>
    <w:p>
      <w:pPr>
        <w:jc w:val="both"/>
        <w:ind w:firstLine="627"/>
        <w:spacing w:after="0" w:line="266" w:lineRule="auto"/>
        <w:rPr>
          <w:sz w:val="20"/>
          <w:szCs w:val="20"/>
          <w:color w:val="auto"/>
        </w:rPr>
      </w:pPr>
      <w:r>
        <w:rPr>
          <w:rFonts w:ascii="Times New Roman" w:cs="Times New Roman" w:eastAsia="Times New Roman" w:hAnsi="Times New Roman"/>
          <w:sz w:val="17"/>
          <w:szCs w:val="17"/>
          <w:color w:val="auto"/>
        </w:rPr>
        <w:t>We evaluated the securities in an unrealized loss position as of March 31, 2026, assessing their credit ratings as well as any adverse conditions specifically related to the security. Based upon our assessment of the amount and timing of cash flows to be collected over the remaining life of each instrument, we believe the unrealized losses as of March 31, 2026 are not indicative of the ultimate collectability of the current amortized cost of the securities. Rather, the unrealized losses on securities held as of March 31, 2026 were primarily driven by fluctuations in interest rates, and to a lesser extent, movements in credit spreads following the purchase of those securities.</w:t>
      </w:r>
    </w:p>
    <w:p>
      <w:pPr>
        <w:spacing w:after="0" w:line="1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i w:val="1"/>
          <w:iCs w:val="1"/>
          <w:color w:val="auto"/>
        </w:rPr>
        <w:t>Net Investment Income</w:t>
      </w:r>
    </w:p>
    <w:p>
      <w:pPr>
        <w:spacing w:after="0" w:line="17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following table presents the components of net investment income: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00" w:type="dxa"/>
            <w:vAlign w:val="bottom"/>
          </w:tcPr>
          <w:p>
            <w:pPr>
              <w:spacing w:after="0"/>
              <w:rPr>
                <w:sz w:val="16"/>
                <w:szCs w:val="16"/>
                <w:color w:val="auto"/>
              </w:rPr>
            </w:pPr>
          </w:p>
        </w:tc>
        <w:tc>
          <w:tcPr>
            <w:tcW w:w="3480" w:type="dxa"/>
            <w:vAlign w:val="bottom"/>
            <w:gridSpan w:val="4"/>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720" w:type="dxa"/>
            <w:vAlign w:val="bottom"/>
          </w:tcPr>
          <w:p>
            <w:pPr>
              <w:spacing w:after="0"/>
              <w:rPr>
                <w:sz w:val="16"/>
                <w:szCs w:val="16"/>
                <w:color w:val="auto"/>
              </w:rPr>
            </w:pPr>
          </w:p>
        </w:tc>
      </w:tr>
      <w:tr>
        <w:trPr>
          <w:trHeight w:val="23"/>
        </w:trPr>
        <w:tc>
          <w:tcPr>
            <w:tcW w:w="70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83"/>
        </w:trPr>
        <w:tc>
          <w:tcPr>
            <w:tcW w:w="7000" w:type="dxa"/>
            <w:vAlign w:val="bottom"/>
          </w:tcPr>
          <w:p>
            <w:pPr>
              <w:spacing w:after="0"/>
              <w:rPr>
                <w:sz w:val="15"/>
                <w:szCs w:val="15"/>
                <w:color w:val="auto"/>
              </w:rPr>
            </w:pPr>
          </w:p>
        </w:tc>
        <w:tc>
          <w:tcPr>
            <w:tcW w:w="134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2026</w:t>
            </w:r>
          </w:p>
        </w:tc>
        <w:tc>
          <w:tcPr>
            <w:tcW w:w="7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720" w:type="dxa"/>
            <w:vAlign w:val="bottom"/>
            <w:tcBorders>
              <w:bottom w:val="single" w:sz="8" w:color="auto"/>
            </w:tcBorders>
          </w:tcPr>
          <w:p>
            <w:pPr>
              <w:spacing w:after="0"/>
              <w:rPr>
                <w:sz w:val="15"/>
                <w:szCs w:val="15"/>
                <w:color w:val="auto"/>
              </w:rPr>
            </w:pPr>
          </w:p>
        </w:tc>
      </w:tr>
      <w:tr>
        <w:trPr>
          <w:trHeight w:val="189"/>
        </w:trPr>
        <w:tc>
          <w:tcPr>
            <w:tcW w:w="70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140" w:type="dxa"/>
            <w:vAlign w:val="bottom"/>
            <w:gridSpan w:val="3"/>
          </w:tcPr>
          <w:p>
            <w:pPr>
              <w:jc w:val="right"/>
              <w:ind w:right="879"/>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720" w:type="dxa"/>
            <w:vAlign w:val="bottom"/>
          </w:tcPr>
          <w:p>
            <w:pPr>
              <w:spacing w:after="0"/>
              <w:rPr>
                <w:sz w:val="16"/>
                <w:szCs w:val="16"/>
                <w:color w:val="auto"/>
              </w:rPr>
            </w:pPr>
          </w:p>
        </w:tc>
      </w:tr>
      <w:tr>
        <w:trPr>
          <w:trHeight w:val="228"/>
        </w:trPr>
        <w:tc>
          <w:tcPr>
            <w:tcW w:w="7000" w:type="dxa"/>
            <w:vAlign w:val="bottom"/>
            <w:shd w:val="clear" w:color="auto" w:fill="CCEEFF"/>
          </w:tcPr>
          <w:p>
            <w:pPr>
              <w:ind w:left="20"/>
              <w:spacing w:after="0" w:line="228" w:lineRule="exact"/>
              <w:rPr>
                <w:sz w:val="20"/>
                <w:szCs w:val="20"/>
                <w:color w:val="auto"/>
              </w:rPr>
            </w:pPr>
            <w:r>
              <w:rPr>
                <w:rFonts w:ascii="Times New Roman" w:cs="Times New Roman" w:eastAsia="Times New Roman" w:hAnsi="Times New Roman"/>
                <w:sz w:val="17"/>
                <w:szCs w:val="17"/>
                <w:color w:val="auto"/>
              </w:rPr>
              <w:t xml:space="preserve">Investment income </w:t>
            </w:r>
            <w:r>
              <w:rPr>
                <w:rFonts w:ascii="Times New Roman" w:cs="Times New Roman" w:eastAsia="Times New Roman" w:hAnsi="Times New Roman"/>
                <w:sz w:val="22"/>
                <w:szCs w:val="22"/>
                <w:color w:val="auto"/>
                <w:vertAlign w:val="superscript"/>
              </w:rPr>
              <w:t>(1)</w:t>
            </w:r>
          </w:p>
        </w:tc>
        <w:tc>
          <w:tcPr>
            <w:tcW w:w="1340" w:type="dxa"/>
            <w:vAlign w:val="bottom"/>
            <w:shd w:val="clear" w:color="auto" w:fill="CCEEFF"/>
          </w:tcPr>
          <w:p>
            <w:pPr>
              <w:jc w:val="right"/>
              <w:ind w:right="1162"/>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28,953</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39"/>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24,035</w:t>
            </w:r>
          </w:p>
        </w:tc>
      </w:tr>
      <w:tr>
        <w:trPr>
          <w:trHeight w:val="222"/>
        </w:trPr>
        <w:tc>
          <w:tcPr>
            <w:tcW w:w="7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Investment expenses</w:t>
            </w:r>
          </w:p>
        </w:tc>
        <w:tc>
          <w:tcPr>
            <w:tcW w:w="1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(349)</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(349)</w:t>
            </w:r>
          </w:p>
        </w:tc>
      </w:tr>
      <w:tr>
        <w:trPr>
          <w:trHeight w:val="240"/>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investment income</w:t>
            </w:r>
          </w:p>
        </w:tc>
        <w:tc>
          <w:tcPr>
            <w:tcW w:w="1340" w:type="dxa"/>
            <w:vAlign w:val="bottom"/>
            <w:tcBorders>
              <w:bottom w:val="single" w:sz="8" w:color="auto"/>
            </w:tcBorders>
            <w:shd w:val="clear" w:color="auto" w:fill="CCEEFF"/>
          </w:tcPr>
          <w:p>
            <w:pPr>
              <w:jc w:val="right"/>
              <w:ind w:right="1162"/>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28,604</w:t>
            </w:r>
          </w:p>
        </w:tc>
        <w:tc>
          <w:tcPr>
            <w:tcW w:w="1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ind w:right="1139"/>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23,686</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4"/>
          <w:szCs w:val="14"/>
          <w:color w:val="auto"/>
        </w:rPr>
        <w:t>(1)</w:t>
      </w:r>
      <w:r>
        <w:rPr>
          <w:sz w:val="20"/>
          <w:szCs w:val="20"/>
          <w:color w:val="auto"/>
        </w:rPr>
        <w:tab/>
      </w:r>
      <w:r>
        <w:rPr>
          <w:rFonts w:ascii="Times New Roman" w:cs="Times New Roman" w:eastAsia="Times New Roman" w:hAnsi="Times New Roman"/>
          <w:sz w:val="13"/>
          <w:szCs w:val="13"/>
          <w:color w:val="auto"/>
        </w:rPr>
        <w:t>Includes interest income recognized on cash and cash equivalents of $0.9 million during both the three months ended March 31, 2026 and 2025.</w:t>
      </w:r>
    </w:p>
    <w:p>
      <w:pPr>
        <w:spacing w:after="0" w:line="15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following table presents the components of net realized investment (losses) gains: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00" w:type="dxa"/>
            <w:vAlign w:val="bottom"/>
          </w:tcPr>
          <w:p>
            <w:pPr>
              <w:spacing w:after="0"/>
              <w:rPr>
                <w:sz w:val="16"/>
                <w:szCs w:val="16"/>
                <w:color w:val="auto"/>
              </w:rPr>
            </w:pPr>
          </w:p>
        </w:tc>
        <w:tc>
          <w:tcPr>
            <w:tcW w:w="3640" w:type="dxa"/>
            <w:vAlign w:val="bottom"/>
            <w:gridSpan w:val="4"/>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560" w:type="dxa"/>
            <w:vAlign w:val="bottom"/>
          </w:tcPr>
          <w:p>
            <w:pPr>
              <w:spacing w:after="0"/>
              <w:rPr>
                <w:sz w:val="16"/>
                <w:szCs w:val="16"/>
                <w:color w:val="auto"/>
              </w:rPr>
            </w:pPr>
          </w:p>
        </w:tc>
      </w:tr>
      <w:tr>
        <w:trPr>
          <w:trHeight w:val="23"/>
        </w:trPr>
        <w:tc>
          <w:tcPr>
            <w:tcW w:w="70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183"/>
        </w:trPr>
        <w:tc>
          <w:tcPr>
            <w:tcW w:w="7000" w:type="dxa"/>
            <w:vAlign w:val="bottom"/>
          </w:tcPr>
          <w:p>
            <w:pPr>
              <w:spacing w:after="0"/>
              <w:rPr>
                <w:sz w:val="15"/>
                <w:szCs w:val="15"/>
                <w:color w:val="auto"/>
              </w:rPr>
            </w:pPr>
          </w:p>
        </w:tc>
        <w:tc>
          <w:tcPr>
            <w:tcW w:w="134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2026</w:t>
            </w:r>
          </w:p>
        </w:tc>
        <w:tc>
          <w:tcPr>
            <w:tcW w:w="7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5"/>
                <w:szCs w:val="15"/>
                <w:color w:val="auto"/>
              </w:rPr>
            </w:pPr>
          </w:p>
        </w:tc>
      </w:tr>
      <w:tr>
        <w:trPr>
          <w:trHeight w:val="189"/>
        </w:trPr>
        <w:tc>
          <w:tcPr>
            <w:tcW w:w="70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300" w:type="dxa"/>
            <w:vAlign w:val="bottom"/>
            <w:gridSpan w:val="3"/>
          </w:tcPr>
          <w:p>
            <w:pPr>
              <w:jc w:val="right"/>
              <w:ind w:right="1039"/>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560" w:type="dxa"/>
            <w:vAlign w:val="bottom"/>
          </w:tcPr>
          <w:p>
            <w:pPr>
              <w:spacing w:after="0"/>
              <w:rPr>
                <w:sz w:val="16"/>
                <w:szCs w:val="16"/>
                <w:color w:val="auto"/>
              </w:rPr>
            </w:pPr>
          </w:p>
        </w:tc>
      </w:tr>
      <w:tr>
        <w:trPr>
          <w:trHeight w:val="228"/>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realized investment gains</w:t>
            </w:r>
          </w:p>
        </w:tc>
        <w:tc>
          <w:tcPr>
            <w:tcW w:w="1340" w:type="dxa"/>
            <w:vAlign w:val="bottom"/>
            <w:shd w:val="clear" w:color="auto" w:fill="CCEEFF"/>
          </w:tcPr>
          <w:p>
            <w:pPr>
              <w:jc w:val="right"/>
              <w:ind w:right="1162"/>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1,046</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299"/>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r>
      <w:tr>
        <w:trPr>
          <w:trHeight w:val="222"/>
        </w:trPr>
        <w:tc>
          <w:tcPr>
            <w:tcW w:w="7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Gross realized investment losses</w:t>
            </w:r>
          </w:p>
        </w:tc>
        <w:tc>
          <w:tcPr>
            <w:tcW w:w="1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(1,193)</w:t>
            </w:r>
          </w:p>
        </w:tc>
        <w:tc>
          <w:tcPr>
            <w:tcW w:w="12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40"/>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realized investment (losses) gains</w:t>
            </w:r>
          </w:p>
        </w:tc>
        <w:tc>
          <w:tcPr>
            <w:tcW w:w="1340" w:type="dxa"/>
            <w:vAlign w:val="bottom"/>
            <w:tcBorders>
              <w:bottom w:val="single" w:sz="8" w:color="auto"/>
            </w:tcBorders>
            <w:shd w:val="clear" w:color="auto" w:fill="CCEEFF"/>
          </w:tcPr>
          <w:p>
            <w:pPr>
              <w:jc w:val="right"/>
              <w:ind w:right="1162"/>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w:t>
            </w: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ind w:right="1299"/>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CONDENSED CONSOLIDATED FINANCIAL STATEMENTS (UNAUDITED)</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 Fair Value of Financial Instruments</w:t>
      </w:r>
    </w:p>
    <w:p>
      <w:pPr>
        <w:spacing w:after="0" w:line="17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following describes the valuation techniques used by us to determine the fair value of our financial instruments:</w:t>
      </w:r>
    </w:p>
    <w:p>
      <w:pPr>
        <w:spacing w:after="0" w:line="170" w:lineRule="exact"/>
        <w:rPr>
          <w:sz w:val="20"/>
          <w:szCs w:val="20"/>
          <w:color w:val="auto"/>
        </w:rPr>
      </w:pPr>
    </w:p>
    <w:p>
      <w:pPr>
        <w:jc w:val="both"/>
        <w:ind w:firstLine="627"/>
        <w:spacing w:after="0" w:line="276" w:lineRule="auto"/>
        <w:rPr>
          <w:sz w:val="20"/>
          <w:szCs w:val="20"/>
          <w:color w:val="auto"/>
        </w:rPr>
      </w:pPr>
      <w:r>
        <w:rPr>
          <w:rFonts w:ascii="Times New Roman" w:cs="Times New Roman" w:eastAsia="Times New Roman" w:hAnsi="Times New Roman"/>
          <w:sz w:val="17"/>
          <w:szCs w:val="17"/>
          <w:color w:val="auto"/>
        </w:rPr>
        <w:t>We established a fair value hierarchy by prioritizing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under this standard are described below:</w:t>
      </w:r>
    </w:p>
    <w:p>
      <w:pPr>
        <w:spacing w:after="0" w:line="110" w:lineRule="exact"/>
        <w:rPr>
          <w:sz w:val="20"/>
          <w:szCs w:val="20"/>
          <w:color w:val="auto"/>
        </w:rPr>
      </w:pPr>
    </w:p>
    <w:p>
      <w:pPr>
        <w:jc w:val="both"/>
        <w:ind w:left="640"/>
        <w:spacing w:after="0" w:line="295" w:lineRule="auto"/>
        <w:rPr>
          <w:sz w:val="20"/>
          <w:szCs w:val="20"/>
          <w:color w:val="auto"/>
        </w:rPr>
      </w:pPr>
      <w:r>
        <w:rPr>
          <w:rFonts w:ascii="Times New Roman" w:cs="Times New Roman" w:eastAsia="Times New Roman" w:hAnsi="Times New Roman"/>
          <w:sz w:val="17"/>
          <w:szCs w:val="17"/>
          <w:color w:val="auto"/>
        </w:rPr>
        <w:t>Level 1 – Fair value measurements based on quoted prices in active markets that we have the ability to access for identical assets or liabilities. Market price data generally is obtained from exchange or dealer markets. We do not adjust the quoted price for such instruments.</w:t>
      </w:r>
    </w:p>
    <w:p>
      <w:pPr>
        <w:spacing w:after="0" w:line="94" w:lineRule="exact"/>
        <w:rPr>
          <w:sz w:val="20"/>
          <w:szCs w:val="20"/>
          <w:color w:val="auto"/>
        </w:rPr>
      </w:pPr>
    </w:p>
    <w:p>
      <w:pPr>
        <w:jc w:val="both"/>
        <w:ind w:left="640"/>
        <w:spacing w:after="0" w:line="269" w:lineRule="auto"/>
        <w:rPr>
          <w:sz w:val="20"/>
          <w:szCs w:val="20"/>
          <w:color w:val="auto"/>
        </w:rPr>
      </w:pPr>
      <w:r>
        <w:rPr>
          <w:rFonts w:ascii="Times New Roman" w:cs="Times New Roman" w:eastAsia="Times New Roman" w:hAnsi="Times New Roman"/>
          <w:sz w:val="17"/>
          <w:szCs w:val="17"/>
          <w:color w:val="auto"/>
        </w:rPr>
        <w:t>Level 2 – Fair value measurements based on inputs other than quoted prices included in Level 1 that are observable for the asset or liability, either directly or indirectly. Level 2 inputs include quoted prices for similar assets and liabilities in active markets, quoted prices for identical or similar assets or liabilities in markets that are not active, and inputs other than quoted prices that are observable for the asset or liability, such as interest rates and yield curves that are observable at commonly quoted intervals.</w:t>
      </w:r>
    </w:p>
    <w:p>
      <w:pPr>
        <w:spacing w:after="0" w:line="117" w:lineRule="exact"/>
        <w:rPr>
          <w:sz w:val="20"/>
          <w:szCs w:val="20"/>
          <w:color w:val="auto"/>
        </w:rPr>
      </w:pPr>
    </w:p>
    <w:p>
      <w:pPr>
        <w:jc w:val="both"/>
        <w:ind w:left="640"/>
        <w:spacing w:after="0" w:line="269" w:lineRule="auto"/>
        <w:rPr>
          <w:sz w:val="20"/>
          <w:szCs w:val="20"/>
          <w:color w:val="auto"/>
        </w:rPr>
      </w:pPr>
      <w:r>
        <w:rPr>
          <w:rFonts w:ascii="Times New Roman" w:cs="Times New Roman" w:eastAsia="Times New Roman" w:hAnsi="Times New Roman"/>
          <w:sz w:val="17"/>
          <w:szCs w:val="17"/>
          <w:color w:val="auto"/>
        </w:rPr>
        <w:t>Level 3 – Fair value measurements based on valuation techniques that use significant inputs that are unobservable. Both observable and unobservable inputs may be used to determine the fair values of positions classified in Level 3. The circumstances for using these measurements include those in which there is little, if any, market activity for the asset or liability. Therefore, we must make certain assumptions, which require significant management judgment or estimation about the inputs a hypothetical market participant would use to value that asset or liability.</w:t>
      </w:r>
    </w:p>
    <w:p>
      <w:pPr>
        <w:spacing w:after="0" w:line="117" w:lineRule="exact"/>
        <w:rPr>
          <w:sz w:val="20"/>
          <w:szCs w:val="20"/>
          <w:color w:val="auto"/>
        </w:rPr>
      </w:pPr>
    </w:p>
    <w:p>
      <w:pPr>
        <w:jc w:val="both"/>
        <w:ind w:firstLine="627"/>
        <w:spacing w:after="0" w:line="295" w:lineRule="auto"/>
        <w:rPr>
          <w:sz w:val="20"/>
          <w:szCs w:val="20"/>
          <w:color w:val="auto"/>
        </w:rPr>
      </w:pPr>
      <w:r>
        <w:rPr>
          <w:rFonts w:ascii="Times New Roman" w:cs="Times New Roman" w:eastAsia="Times New Roman" w:hAnsi="Times New Roman"/>
          <w:sz w:val="17"/>
          <w:szCs w:val="17"/>
          <w:color w:val="auto"/>
        </w:rPr>
        <w:t>In certain cases, the inputs used to measure fair value may fall into different levels of the fair value hierarchy. In such cases, the level in the fair value hierarchy is determined based on the lowest level input that is significant to the fair value measurement in its entirety.</w:t>
      </w:r>
    </w:p>
    <w:p>
      <w:pPr>
        <w:spacing w:after="0" w:line="9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i w:val="1"/>
          <w:iCs w:val="1"/>
          <w:color w:val="auto"/>
        </w:rPr>
        <w:t>Assets Classified as Level 1 and Level 2</w:t>
      </w:r>
    </w:p>
    <w:p>
      <w:pPr>
        <w:spacing w:after="0" w:line="172" w:lineRule="exact"/>
        <w:rPr>
          <w:sz w:val="20"/>
          <w:szCs w:val="20"/>
          <w:color w:val="auto"/>
        </w:rPr>
      </w:pPr>
    </w:p>
    <w:p>
      <w:pPr>
        <w:jc w:val="both"/>
        <w:ind w:firstLine="627"/>
        <w:spacing w:after="0" w:line="261" w:lineRule="auto"/>
        <w:rPr>
          <w:sz w:val="20"/>
          <w:szCs w:val="20"/>
          <w:color w:val="auto"/>
        </w:rPr>
      </w:pPr>
      <w:r>
        <w:rPr>
          <w:rFonts w:ascii="Times New Roman" w:cs="Times New Roman" w:eastAsia="Times New Roman" w:hAnsi="Times New Roman"/>
          <w:sz w:val="17"/>
          <w:szCs w:val="17"/>
          <w:color w:val="auto"/>
        </w:rPr>
        <w:t>To determine the fair value of securities available-for-sale in Level 1 and Level 2 of the fair value hierarchy, independent pricing sources have been utilized. One price is provided per security based on observable market data. To ensure securities are appropriately classified in the fair value hierarchy, we review the pricing techniques and methodologies of the independent pricing sources and believe that their policies adequately consider market activity, either based on specific transactions for the issue valued or based on modeling of securities with similar credit quality, duration, yield and structure that were recently traded. A variety of inputs are utilized by the independent pricing sources including benchmark yields, reported trades, non-binding broker/dealer quotes, issuer spreads, two -sided markets, benchmark securities, bids, offers and reference data including data published in market research publications. Inputs may be weighted differently for any security, and not all inputs are used for each security evaluation. Market indicators, industry and economic events are also considered. This information is evaluated using a multidimensional pricing model. Quality controls are performed by the independent pricing sources throughout this process, which include reviewing tolerance reports, trading information and data changes, and directional moves compared to market moves. This model combines all inputs to arrive at a value assigned to each security. We have not made any adjustments to the prices obtained from the independent pricing sources.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CONDENSED CONSOLIDATED FINANCIAL STATEMENTS (UNAUDITED)</w:t>
      </w:r>
    </w:p>
    <w:p>
      <w:pPr>
        <w:spacing w:after="0" w:line="200" w:lineRule="exact"/>
        <w:rPr>
          <w:sz w:val="20"/>
          <w:szCs w:val="20"/>
          <w:color w:val="auto"/>
        </w:rPr>
      </w:pPr>
    </w:p>
    <w:p>
      <w:pPr>
        <w:spacing w:after="0" w:line="39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following tables present our financial instruments that are measured at fair value on a recurring basis by hierarchy level:</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9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Fair Value Measurements Using</w:t>
            </w:r>
          </w:p>
        </w:tc>
        <w:tc>
          <w:tcPr>
            <w:tcW w:w="4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404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520" w:type="dxa"/>
            <w:vAlign w:val="bottom"/>
            <w:tcBorders>
              <w:top w:val="single" w:sz="8" w:color="auto"/>
            </w:tcBorders>
          </w:tcPr>
          <w:p>
            <w:pPr>
              <w:jc w:val="center"/>
              <w:ind w:right="119"/>
              <w:spacing w:after="0" w:line="125"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1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620" w:type="dxa"/>
            <w:vAlign w:val="bottom"/>
            <w:tcBorders>
              <w:top w:val="single" w:sz="8" w:color="auto"/>
            </w:tcBorders>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42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tcPr>
          <w:p>
            <w:pPr>
              <w:jc w:val="center"/>
              <w:ind w:right="319"/>
              <w:spacing w:after="0" w:line="125" w:lineRule="exact"/>
              <w:rPr>
                <w:sz w:val="20"/>
                <w:szCs w:val="20"/>
                <w:color w:val="auto"/>
              </w:rPr>
            </w:pPr>
            <w:r>
              <w:rPr>
                <w:rFonts w:ascii="Times New Roman" w:cs="Times New Roman" w:eastAsia="Times New Roman" w:hAnsi="Times New Roman"/>
                <w:sz w:val="14"/>
                <w:szCs w:val="14"/>
                <w:b w:val="1"/>
                <w:bCs w:val="1"/>
                <w:color w:val="auto"/>
                <w:w w:val="99"/>
              </w:rPr>
              <w:t>Significant</w:t>
            </w: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4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tcPr>
          <w:p>
            <w:pPr>
              <w:jc w:val="center"/>
              <w:ind w:right="119"/>
              <w:spacing w:after="0" w:line="142" w:lineRule="exact"/>
              <w:rPr>
                <w:sz w:val="20"/>
                <w:szCs w:val="20"/>
                <w:color w:val="auto"/>
              </w:rPr>
            </w:pPr>
            <w:r>
              <w:rPr>
                <w:rFonts w:ascii="Times New Roman" w:cs="Times New Roman" w:eastAsia="Times New Roman" w:hAnsi="Times New Roman"/>
                <w:sz w:val="14"/>
                <w:szCs w:val="14"/>
                <w:b w:val="1"/>
                <w:bCs w:val="1"/>
                <w:color w:val="auto"/>
                <w:w w:val="98"/>
              </w:rPr>
              <w:t>Active Markets for</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1420" w:type="dxa"/>
            <w:vAlign w:val="bottom"/>
            <w:gridSpan w:val="2"/>
          </w:tcPr>
          <w:p>
            <w:pPr>
              <w:jc w:val="center"/>
              <w:ind w:right="520"/>
              <w:spacing w:after="0" w:line="142" w:lineRule="exact"/>
              <w:rPr>
                <w:sz w:val="20"/>
                <w:szCs w:val="20"/>
                <w:color w:val="auto"/>
              </w:rPr>
            </w:pPr>
            <w:r>
              <w:rPr>
                <w:rFonts w:ascii="Times New Roman" w:cs="Times New Roman" w:eastAsia="Times New Roman" w:hAnsi="Times New Roman"/>
                <w:sz w:val="14"/>
                <w:szCs w:val="14"/>
                <w:b w:val="1"/>
                <w:bCs w:val="1"/>
                <w:color w:val="auto"/>
                <w:w w:val="99"/>
              </w:rPr>
              <w:t>Unobservable</w:t>
            </w:r>
          </w:p>
        </w:tc>
        <w:tc>
          <w:tcPr>
            <w:tcW w:w="3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tcPr>
          <w:p>
            <w:pPr>
              <w:jc w:val="center"/>
              <w:ind w:right="119"/>
              <w:spacing w:after="0" w:line="144" w:lineRule="exact"/>
              <w:rPr>
                <w:sz w:val="20"/>
                <w:szCs w:val="20"/>
                <w:color w:val="auto"/>
              </w:rPr>
            </w:pPr>
            <w:r>
              <w:rPr>
                <w:rFonts w:ascii="Times New Roman" w:cs="Times New Roman" w:eastAsia="Times New Roman" w:hAnsi="Times New Roman"/>
                <w:sz w:val="14"/>
                <w:szCs w:val="14"/>
                <w:b w:val="1"/>
                <w:bCs w:val="1"/>
                <w:color w:val="auto"/>
                <w:w w:val="98"/>
              </w:rPr>
              <w:t>Identical Assets</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2"/>
          </w:tcPr>
          <w:p>
            <w:pPr>
              <w:jc w:val="center"/>
              <w:ind w:right="280"/>
              <w:spacing w:after="0" w:line="144" w:lineRule="exact"/>
              <w:rPr>
                <w:sz w:val="20"/>
                <w:szCs w:val="20"/>
                <w:color w:val="auto"/>
              </w:rPr>
            </w:pPr>
            <w:r>
              <w:rPr>
                <w:rFonts w:ascii="Times New Roman" w:cs="Times New Roman" w:eastAsia="Times New Roman" w:hAnsi="Times New Roman"/>
                <w:sz w:val="14"/>
                <w:szCs w:val="14"/>
                <w:b w:val="1"/>
                <w:bCs w:val="1"/>
                <w:color w:val="auto"/>
                <w:w w:val="99"/>
              </w:rPr>
              <w:t>Observable Inputs</w:t>
            </w:r>
          </w:p>
        </w:tc>
        <w:tc>
          <w:tcPr>
            <w:tcW w:w="420" w:type="dxa"/>
            <w:vAlign w:val="bottom"/>
          </w:tcPr>
          <w:p>
            <w:pPr>
              <w:spacing w:after="0"/>
              <w:rPr>
                <w:sz w:val="12"/>
                <w:szCs w:val="12"/>
                <w:color w:val="auto"/>
              </w:rPr>
            </w:pPr>
          </w:p>
        </w:tc>
        <w:tc>
          <w:tcPr>
            <w:tcW w:w="1420" w:type="dxa"/>
            <w:vAlign w:val="bottom"/>
            <w:gridSpan w:val="2"/>
          </w:tcPr>
          <w:p>
            <w:pPr>
              <w:jc w:val="center"/>
              <w:ind w:right="520"/>
              <w:spacing w:after="0" w:line="144" w:lineRule="exact"/>
              <w:rPr>
                <w:sz w:val="20"/>
                <w:szCs w:val="20"/>
                <w:color w:val="auto"/>
              </w:rPr>
            </w:pPr>
            <w:r>
              <w:rPr>
                <w:rFonts w:ascii="Times New Roman" w:cs="Times New Roman" w:eastAsia="Times New Roman" w:hAnsi="Times New Roman"/>
                <w:sz w:val="14"/>
                <w:szCs w:val="14"/>
                <w:b w:val="1"/>
                <w:bCs w:val="1"/>
                <w:color w:val="auto"/>
                <w:w w:val="97"/>
              </w:rPr>
              <w:t>Inputs</w:t>
            </w:r>
          </w:p>
        </w:tc>
        <w:tc>
          <w:tcPr>
            <w:tcW w:w="320" w:type="dxa"/>
            <w:vAlign w:val="bottom"/>
          </w:tcPr>
          <w:p>
            <w:pPr>
              <w:spacing w:after="0"/>
              <w:rPr>
                <w:sz w:val="12"/>
                <w:szCs w:val="12"/>
                <w:color w:val="auto"/>
              </w:rPr>
            </w:pPr>
          </w:p>
        </w:tc>
        <w:tc>
          <w:tcPr>
            <w:tcW w:w="1400" w:type="dxa"/>
            <w:vAlign w:val="bottom"/>
            <w:vMerge w:val="restart"/>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89"/>
        </w:trPr>
        <w:tc>
          <w:tcPr>
            <w:tcW w:w="40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w w:val="98"/>
              </w:rPr>
              <w:t>(Level 1)</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4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w w:val="98"/>
              </w:rPr>
              <w:t>(Level 3)</w:t>
            </w:r>
          </w:p>
        </w:tc>
        <w:tc>
          <w:tcPr>
            <w:tcW w:w="3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 of March 31, 2026</w:t>
            </w:r>
          </w:p>
        </w:tc>
        <w:tc>
          <w:tcPr>
            <w:tcW w:w="2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4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4040" w:type="dxa"/>
            <w:vAlign w:val="bottom"/>
            <w:shd w:val="clear" w:color="auto" w:fill="CCEEFF"/>
          </w:tcPr>
          <w:p>
            <w:pPr>
              <w:ind w:left="20"/>
              <w:spacing w:after="0" w:line="173" w:lineRule="exact"/>
              <w:rPr>
                <w:sz w:val="20"/>
                <w:szCs w:val="20"/>
                <w:color w:val="auto"/>
              </w:rPr>
            </w:pPr>
            <w:r>
              <w:rPr>
                <w:rFonts w:ascii="Times New Roman" w:cs="Times New Roman" w:eastAsia="Times New Roman" w:hAnsi="Times New Roman"/>
                <w:sz w:val="17"/>
                <w:szCs w:val="17"/>
                <w:color w:val="auto"/>
              </w:rPr>
              <w:t>U.S. Treasury securities and obligations of U.S.</w:t>
            </w:r>
          </w:p>
        </w:tc>
        <w:tc>
          <w:tcPr>
            <w:tcW w:w="2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government agencies</w:t>
            </w: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257,184</w:t>
            </w:r>
          </w:p>
        </w:tc>
        <w:tc>
          <w:tcPr>
            <w:tcW w:w="30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257,184</w:t>
            </w:r>
          </w:p>
        </w:tc>
        <w:tc>
          <w:tcPr>
            <w:tcW w:w="0" w:type="dxa"/>
            <w:vAlign w:val="bottom"/>
          </w:tcPr>
          <w:p>
            <w:pPr>
              <w:spacing w:after="0"/>
              <w:rPr>
                <w:sz w:val="1"/>
                <w:szCs w:val="1"/>
                <w:color w:val="auto"/>
              </w:rPr>
            </w:pPr>
          </w:p>
        </w:tc>
      </w:tr>
      <w:tr>
        <w:trPr>
          <w:trHeight w:val="222"/>
        </w:trPr>
        <w:tc>
          <w:tcPr>
            <w:tcW w:w="4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Municipal debt securities</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595,265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gridSpan w:val="2"/>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595,265</w:t>
            </w:r>
          </w:p>
        </w:tc>
        <w:tc>
          <w:tcPr>
            <w:tcW w:w="0" w:type="dxa"/>
            <w:vAlign w:val="bottom"/>
          </w:tcPr>
          <w:p>
            <w:pPr>
              <w:spacing w:after="0"/>
              <w:rPr>
                <w:sz w:val="1"/>
                <w:szCs w:val="1"/>
                <w:color w:val="auto"/>
              </w:rPr>
            </w:pPr>
          </w:p>
        </w:tc>
      </w:tr>
      <w:tr>
        <w:trPr>
          <w:trHeight w:val="222"/>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Corporate debt securities</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2,161,747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2,161,747</w:t>
            </w:r>
          </w:p>
        </w:tc>
        <w:tc>
          <w:tcPr>
            <w:tcW w:w="0" w:type="dxa"/>
            <w:vAlign w:val="bottom"/>
          </w:tcPr>
          <w:p>
            <w:pPr>
              <w:spacing w:after="0"/>
              <w:rPr>
                <w:sz w:val="1"/>
                <w:szCs w:val="1"/>
                <w:color w:val="auto"/>
              </w:rPr>
            </w:pPr>
          </w:p>
        </w:tc>
      </w:tr>
      <w:tr>
        <w:trPr>
          <w:trHeight w:val="222"/>
        </w:trPr>
        <w:tc>
          <w:tcPr>
            <w:tcW w:w="4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U.S. agency mortgage-backed securities</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40,576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gridSpan w:val="2"/>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40,576</w:t>
            </w:r>
          </w:p>
        </w:tc>
        <w:tc>
          <w:tcPr>
            <w:tcW w:w="0" w:type="dxa"/>
            <w:vAlign w:val="bottom"/>
          </w:tcPr>
          <w:p>
            <w:pPr>
              <w:spacing w:after="0"/>
              <w:rPr>
                <w:sz w:val="1"/>
                <w:szCs w:val="1"/>
                <w:color w:val="auto"/>
              </w:rPr>
            </w:pPr>
          </w:p>
        </w:tc>
      </w:tr>
      <w:tr>
        <w:trPr>
          <w:trHeight w:val="222"/>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asset-backed securities</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93,951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93,951</w:t>
            </w:r>
          </w:p>
        </w:tc>
        <w:tc>
          <w:tcPr>
            <w:tcW w:w="0" w:type="dxa"/>
            <w:vAlign w:val="bottom"/>
          </w:tcPr>
          <w:p>
            <w:pPr>
              <w:spacing w:after="0"/>
              <w:rPr>
                <w:sz w:val="1"/>
                <w:szCs w:val="1"/>
                <w:color w:val="auto"/>
              </w:rPr>
            </w:pPr>
          </w:p>
        </w:tc>
      </w:tr>
      <w:tr>
        <w:trPr>
          <w:trHeight w:val="222"/>
        </w:trPr>
        <w:tc>
          <w:tcPr>
            <w:tcW w:w="4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cash equivalents and short-term investments</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96,063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19"/>
                <w:szCs w:val="19"/>
                <w:color w:val="auto"/>
              </w:rPr>
            </w:pPr>
          </w:p>
        </w:tc>
        <w:tc>
          <w:tcPr>
            <w:tcW w:w="1420" w:type="dxa"/>
            <w:vAlign w:val="bottom"/>
            <w:gridSpan w:val="2"/>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96,063</w:t>
            </w:r>
          </w:p>
        </w:tc>
        <w:tc>
          <w:tcPr>
            <w:tcW w:w="0" w:type="dxa"/>
            <w:vAlign w:val="bottom"/>
          </w:tcPr>
          <w:p>
            <w:pPr>
              <w:spacing w:after="0"/>
              <w:rPr>
                <w:sz w:val="1"/>
                <w:szCs w:val="1"/>
                <w:color w:val="auto"/>
              </w:rPr>
            </w:pPr>
          </w:p>
        </w:tc>
      </w:tr>
      <w:tr>
        <w:trPr>
          <w:trHeight w:val="240"/>
        </w:trPr>
        <w:tc>
          <w:tcPr>
            <w:tcW w:w="4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20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353,247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2,891,539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top w:val="single" w:sz="8" w:color="auto"/>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3,244,786</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9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Fair Value Measurements Using</w:t>
            </w: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4"/>
        </w:trPr>
        <w:tc>
          <w:tcPr>
            <w:tcW w:w="404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520" w:type="dxa"/>
            <w:vAlign w:val="bottom"/>
            <w:tcBorders>
              <w:top w:val="single" w:sz="8" w:color="auto"/>
            </w:tcBorders>
          </w:tcPr>
          <w:p>
            <w:pPr>
              <w:jc w:val="center"/>
              <w:ind w:right="119"/>
              <w:spacing w:after="0" w:line="124"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1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620" w:type="dxa"/>
            <w:vAlign w:val="bottom"/>
            <w:tcBorders>
              <w:top w:val="single" w:sz="8" w:color="auto"/>
            </w:tcBorders>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42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tcPr>
          <w:p>
            <w:pPr>
              <w:jc w:val="center"/>
              <w:ind w:right="319"/>
              <w:spacing w:after="0" w:line="124" w:lineRule="exact"/>
              <w:rPr>
                <w:sz w:val="20"/>
                <w:szCs w:val="20"/>
                <w:color w:val="auto"/>
              </w:rPr>
            </w:pPr>
            <w:r>
              <w:rPr>
                <w:rFonts w:ascii="Times New Roman" w:cs="Times New Roman" w:eastAsia="Times New Roman" w:hAnsi="Times New Roman"/>
                <w:sz w:val="14"/>
                <w:szCs w:val="14"/>
                <w:b w:val="1"/>
                <w:bCs w:val="1"/>
                <w:color w:val="auto"/>
                <w:w w:val="99"/>
              </w:rPr>
              <w:t>Significant</w:t>
            </w: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4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tcPr>
          <w:p>
            <w:pPr>
              <w:jc w:val="center"/>
              <w:ind w:right="119"/>
              <w:spacing w:after="0" w:line="144" w:lineRule="exact"/>
              <w:rPr>
                <w:sz w:val="20"/>
                <w:szCs w:val="20"/>
                <w:color w:val="auto"/>
              </w:rPr>
            </w:pPr>
            <w:r>
              <w:rPr>
                <w:rFonts w:ascii="Times New Roman" w:cs="Times New Roman" w:eastAsia="Times New Roman" w:hAnsi="Times New Roman"/>
                <w:sz w:val="14"/>
                <w:szCs w:val="14"/>
                <w:b w:val="1"/>
                <w:bCs w:val="1"/>
                <w:color w:val="auto"/>
                <w:w w:val="98"/>
              </w:rPr>
              <w:t>Active Markets for</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1420" w:type="dxa"/>
            <w:vAlign w:val="bottom"/>
            <w:gridSpan w:val="2"/>
          </w:tcPr>
          <w:p>
            <w:pPr>
              <w:jc w:val="center"/>
              <w:ind w:right="520"/>
              <w:spacing w:after="0" w:line="144" w:lineRule="exact"/>
              <w:rPr>
                <w:sz w:val="20"/>
                <w:szCs w:val="20"/>
                <w:color w:val="auto"/>
              </w:rPr>
            </w:pPr>
            <w:r>
              <w:rPr>
                <w:rFonts w:ascii="Times New Roman" w:cs="Times New Roman" w:eastAsia="Times New Roman" w:hAnsi="Times New Roman"/>
                <w:sz w:val="14"/>
                <w:szCs w:val="14"/>
                <w:b w:val="1"/>
                <w:bCs w:val="1"/>
                <w:color w:val="auto"/>
                <w:w w:val="99"/>
              </w:rPr>
              <w:t>Unobservable</w:t>
            </w:r>
          </w:p>
        </w:tc>
        <w:tc>
          <w:tcPr>
            <w:tcW w:w="3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4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20" w:type="dxa"/>
            <w:vAlign w:val="bottom"/>
          </w:tcPr>
          <w:p>
            <w:pPr>
              <w:jc w:val="center"/>
              <w:ind w:right="119"/>
              <w:spacing w:after="0" w:line="133" w:lineRule="exact"/>
              <w:rPr>
                <w:sz w:val="20"/>
                <w:szCs w:val="20"/>
                <w:color w:val="auto"/>
              </w:rPr>
            </w:pPr>
            <w:r>
              <w:rPr>
                <w:rFonts w:ascii="Times New Roman" w:cs="Times New Roman" w:eastAsia="Times New Roman" w:hAnsi="Times New Roman"/>
                <w:sz w:val="14"/>
                <w:szCs w:val="14"/>
                <w:b w:val="1"/>
                <w:bCs w:val="1"/>
                <w:color w:val="auto"/>
                <w:w w:val="98"/>
              </w:rPr>
              <w:t>Identical Assets</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20" w:type="dxa"/>
            <w:vAlign w:val="bottom"/>
            <w:gridSpan w:val="2"/>
          </w:tcPr>
          <w:p>
            <w:pPr>
              <w:jc w:val="center"/>
              <w:ind w:right="280"/>
              <w:spacing w:after="0" w:line="133" w:lineRule="exact"/>
              <w:rPr>
                <w:sz w:val="20"/>
                <w:szCs w:val="20"/>
                <w:color w:val="auto"/>
              </w:rPr>
            </w:pPr>
            <w:r>
              <w:rPr>
                <w:rFonts w:ascii="Times New Roman" w:cs="Times New Roman" w:eastAsia="Times New Roman" w:hAnsi="Times New Roman"/>
                <w:sz w:val="14"/>
                <w:szCs w:val="14"/>
                <w:b w:val="1"/>
                <w:bCs w:val="1"/>
                <w:color w:val="auto"/>
                <w:w w:val="99"/>
              </w:rPr>
              <w:t>Observable Inputs</w:t>
            </w:r>
          </w:p>
        </w:tc>
        <w:tc>
          <w:tcPr>
            <w:tcW w:w="420" w:type="dxa"/>
            <w:vAlign w:val="bottom"/>
          </w:tcPr>
          <w:p>
            <w:pPr>
              <w:spacing w:after="0"/>
              <w:rPr>
                <w:sz w:val="11"/>
                <w:szCs w:val="11"/>
                <w:color w:val="auto"/>
              </w:rPr>
            </w:pPr>
          </w:p>
        </w:tc>
        <w:tc>
          <w:tcPr>
            <w:tcW w:w="1420" w:type="dxa"/>
            <w:vAlign w:val="bottom"/>
            <w:gridSpan w:val="2"/>
          </w:tcPr>
          <w:p>
            <w:pPr>
              <w:jc w:val="center"/>
              <w:ind w:right="520"/>
              <w:spacing w:after="0" w:line="133" w:lineRule="exact"/>
              <w:rPr>
                <w:sz w:val="20"/>
                <w:szCs w:val="20"/>
                <w:color w:val="auto"/>
              </w:rPr>
            </w:pPr>
            <w:r>
              <w:rPr>
                <w:rFonts w:ascii="Times New Roman" w:cs="Times New Roman" w:eastAsia="Times New Roman" w:hAnsi="Times New Roman"/>
                <w:sz w:val="14"/>
                <w:szCs w:val="14"/>
                <w:b w:val="1"/>
                <w:bCs w:val="1"/>
                <w:color w:val="auto"/>
                <w:w w:val="97"/>
              </w:rPr>
              <w:t>Inputs</w:t>
            </w:r>
          </w:p>
        </w:tc>
        <w:tc>
          <w:tcPr>
            <w:tcW w:w="320" w:type="dxa"/>
            <w:vAlign w:val="bottom"/>
          </w:tcPr>
          <w:p>
            <w:pPr>
              <w:spacing w:after="0"/>
              <w:rPr>
                <w:sz w:val="11"/>
                <w:szCs w:val="11"/>
                <w:color w:val="auto"/>
              </w:rPr>
            </w:pPr>
          </w:p>
        </w:tc>
        <w:tc>
          <w:tcPr>
            <w:tcW w:w="1400" w:type="dxa"/>
            <w:vAlign w:val="bottom"/>
            <w:vMerge w:val="restart"/>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84"/>
        </w:trPr>
        <w:tc>
          <w:tcPr>
            <w:tcW w:w="4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w w:val="98"/>
              </w:rPr>
              <w:t>(Level 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420" w:type="dxa"/>
            <w:vAlign w:val="bottom"/>
          </w:tcPr>
          <w:p>
            <w:pPr>
              <w:spacing w:after="0"/>
              <w:rPr>
                <w:sz w:val="16"/>
                <w:szCs w:val="16"/>
                <w:color w:val="auto"/>
              </w:rPr>
            </w:pPr>
          </w:p>
        </w:tc>
        <w:tc>
          <w:tcPr>
            <w:tcW w:w="142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w w:val="98"/>
              </w:rPr>
              <w:t>(Level 3)</w:t>
            </w:r>
          </w:p>
        </w:tc>
        <w:tc>
          <w:tcPr>
            <w:tcW w:w="32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As of December 31, 2025</w:t>
            </w: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3"/>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0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4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4040" w:type="dxa"/>
            <w:vAlign w:val="bottom"/>
            <w:shd w:val="clear" w:color="auto" w:fill="CCEEFF"/>
          </w:tcPr>
          <w:p>
            <w:pPr>
              <w:ind w:left="20"/>
              <w:spacing w:after="0" w:line="173" w:lineRule="exact"/>
              <w:rPr>
                <w:sz w:val="20"/>
                <w:szCs w:val="20"/>
                <w:color w:val="auto"/>
              </w:rPr>
            </w:pPr>
            <w:r>
              <w:rPr>
                <w:rFonts w:ascii="Times New Roman" w:cs="Times New Roman" w:eastAsia="Times New Roman" w:hAnsi="Times New Roman"/>
                <w:sz w:val="17"/>
                <w:szCs w:val="17"/>
                <w:color w:val="auto"/>
              </w:rPr>
              <w:t>U.S. Treasury securities and obligations of U.S.</w:t>
            </w:r>
          </w:p>
        </w:tc>
        <w:tc>
          <w:tcPr>
            <w:tcW w:w="2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government agencies</w:t>
            </w: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307,028</w:t>
            </w:r>
          </w:p>
        </w:tc>
        <w:tc>
          <w:tcPr>
            <w:tcW w:w="30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307,028</w:t>
            </w:r>
          </w:p>
        </w:tc>
        <w:tc>
          <w:tcPr>
            <w:tcW w:w="0" w:type="dxa"/>
            <w:vAlign w:val="bottom"/>
          </w:tcPr>
          <w:p>
            <w:pPr>
              <w:spacing w:after="0"/>
              <w:rPr>
                <w:sz w:val="1"/>
                <w:szCs w:val="1"/>
                <w:color w:val="auto"/>
              </w:rPr>
            </w:pPr>
          </w:p>
        </w:tc>
      </w:tr>
      <w:tr>
        <w:trPr>
          <w:trHeight w:val="222"/>
        </w:trPr>
        <w:tc>
          <w:tcPr>
            <w:tcW w:w="4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Municipal debt securities</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611,569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gridSpan w:val="2"/>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611,569</w:t>
            </w:r>
          </w:p>
        </w:tc>
        <w:tc>
          <w:tcPr>
            <w:tcW w:w="0" w:type="dxa"/>
            <w:vAlign w:val="bottom"/>
          </w:tcPr>
          <w:p>
            <w:pPr>
              <w:spacing w:after="0"/>
              <w:rPr>
                <w:sz w:val="1"/>
                <w:szCs w:val="1"/>
                <w:color w:val="auto"/>
              </w:rPr>
            </w:pPr>
          </w:p>
        </w:tc>
      </w:tr>
      <w:tr>
        <w:trPr>
          <w:trHeight w:val="222"/>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Corporate debt securities</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2,019,611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2,019,611</w:t>
            </w:r>
          </w:p>
        </w:tc>
        <w:tc>
          <w:tcPr>
            <w:tcW w:w="0" w:type="dxa"/>
            <w:vAlign w:val="bottom"/>
          </w:tcPr>
          <w:p>
            <w:pPr>
              <w:spacing w:after="0"/>
              <w:rPr>
                <w:sz w:val="1"/>
                <w:szCs w:val="1"/>
                <w:color w:val="auto"/>
              </w:rPr>
            </w:pPr>
          </w:p>
        </w:tc>
      </w:tr>
      <w:tr>
        <w:trPr>
          <w:trHeight w:val="222"/>
        </w:trPr>
        <w:tc>
          <w:tcPr>
            <w:tcW w:w="4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U.S. agency mortgage-backed securities</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42,071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gridSpan w:val="2"/>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42,071</w:t>
            </w:r>
          </w:p>
        </w:tc>
        <w:tc>
          <w:tcPr>
            <w:tcW w:w="0" w:type="dxa"/>
            <w:vAlign w:val="bottom"/>
          </w:tcPr>
          <w:p>
            <w:pPr>
              <w:spacing w:after="0"/>
              <w:rPr>
                <w:sz w:val="1"/>
                <w:szCs w:val="1"/>
                <w:color w:val="auto"/>
              </w:rPr>
            </w:pPr>
          </w:p>
        </w:tc>
      </w:tr>
      <w:tr>
        <w:trPr>
          <w:trHeight w:val="222"/>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asset-backed securities</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70,125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70,125</w:t>
            </w:r>
          </w:p>
        </w:tc>
        <w:tc>
          <w:tcPr>
            <w:tcW w:w="0" w:type="dxa"/>
            <w:vAlign w:val="bottom"/>
          </w:tcPr>
          <w:p>
            <w:pPr>
              <w:spacing w:after="0"/>
              <w:rPr>
                <w:sz w:val="1"/>
                <w:szCs w:val="1"/>
                <w:color w:val="auto"/>
              </w:rPr>
            </w:pPr>
          </w:p>
        </w:tc>
      </w:tr>
      <w:tr>
        <w:trPr>
          <w:trHeight w:val="222"/>
        </w:trPr>
        <w:tc>
          <w:tcPr>
            <w:tcW w:w="4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cash equivalents and short-term investments</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130,556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19"/>
                <w:szCs w:val="19"/>
                <w:color w:val="auto"/>
              </w:rPr>
            </w:pPr>
          </w:p>
        </w:tc>
        <w:tc>
          <w:tcPr>
            <w:tcW w:w="1420" w:type="dxa"/>
            <w:vAlign w:val="bottom"/>
            <w:gridSpan w:val="2"/>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130,556</w:t>
            </w:r>
          </w:p>
        </w:tc>
        <w:tc>
          <w:tcPr>
            <w:tcW w:w="0" w:type="dxa"/>
            <w:vAlign w:val="bottom"/>
          </w:tcPr>
          <w:p>
            <w:pPr>
              <w:spacing w:after="0"/>
              <w:rPr>
                <w:sz w:val="1"/>
                <w:szCs w:val="1"/>
                <w:color w:val="auto"/>
              </w:rPr>
            </w:pPr>
          </w:p>
        </w:tc>
      </w:tr>
      <w:tr>
        <w:trPr>
          <w:trHeight w:val="240"/>
        </w:trPr>
        <w:tc>
          <w:tcPr>
            <w:tcW w:w="4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20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437,584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2,743,376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top w:val="single" w:sz="8" w:color="auto"/>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3,180,960</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7" w:lineRule="exact"/>
        <w:rPr>
          <w:sz w:val="20"/>
          <w:szCs w:val="20"/>
          <w:color w:val="auto"/>
        </w:rPr>
      </w:pPr>
    </w:p>
    <w:p>
      <w:pPr>
        <w:jc w:val="both"/>
        <w:ind w:firstLine="627"/>
        <w:spacing w:after="0" w:line="295" w:lineRule="auto"/>
        <w:rPr>
          <w:sz w:val="20"/>
          <w:szCs w:val="20"/>
          <w:color w:val="auto"/>
        </w:rPr>
      </w:pPr>
      <w:r>
        <w:rPr>
          <w:rFonts w:ascii="Times New Roman" w:cs="Times New Roman" w:eastAsia="Times New Roman" w:hAnsi="Times New Roman"/>
          <w:sz w:val="17"/>
          <w:szCs w:val="17"/>
          <w:color w:val="auto"/>
        </w:rPr>
        <w:t>There were no transfers between Level 2 and Level 3 of the fair value hierarchy during the three months ended March 31, 2026 or the year ended December 31, 2025.</w:t>
      </w:r>
    </w:p>
    <w:p>
      <w:pPr>
        <w:spacing w:after="0" w:line="9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i w:val="1"/>
          <w:iCs w:val="1"/>
          <w:color w:val="auto"/>
        </w:rPr>
        <w:t>Financial Instruments Not Measured at Fair Value</w:t>
      </w:r>
    </w:p>
    <w:p>
      <w:pPr>
        <w:spacing w:after="0" w:line="172" w:lineRule="exact"/>
        <w:rPr>
          <w:sz w:val="20"/>
          <w:szCs w:val="20"/>
          <w:color w:val="auto"/>
        </w:rPr>
      </w:pPr>
    </w:p>
    <w:p>
      <w:pPr>
        <w:jc w:val="both"/>
        <w:ind w:firstLine="627"/>
        <w:spacing w:after="0" w:line="268" w:lineRule="auto"/>
        <w:rPr>
          <w:sz w:val="20"/>
          <w:szCs w:val="20"/>
          <w:color w:val="auto"/>
        </w:rPr>
      </w:pPr>
      <w:r>
        <w:rPr>
          <w:rFonts w:ascii="Times New Roman" w:cs="Times New Roman" w:eastAsia="Times New Roman" w:hAnsi="Times New Roman"/>
          <w:sz w:val="17"/>
          <w:szCs w:val="17"/>
          <w:color w:val="auto"/>
        </w:rPr>
        <w:t>On May 21, 2024, we issued $425 million aggregate principal amount of senior unsecured notes that mature on August 15, 2029 (the 2024 Notes). At March 31, 2026, the 2024 Notes were carried at an amortized cost of $417.5 million, net of unamortized debt issuance costs and an original issue discount totaling $7.5 million, and had a fair value of $436.2 million as assessed under our Level 2 hierarchy. At December 31, 2025, the 2024 Notes were carried at an amortized cost of $417.0 million, net of unamortized debt issuance costs and an original issue discount totaling $8.0 million, and had a fair value of $441.3 million.</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 Debt</w:t>
      </w:r>
    </w:p>
    <w:p>
      <w:pPr>
        <w:spacing w:after="0" w:line="17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i w:val="1"/>
          <w:iCs w:val="1"/>
          <w:color w:val="auto"/>
        </w:rPr>
        <w:t>Senior Unsecured Notes</w:t>
      </w:r>
    </w:p>
    <w:p>
      <w:pPr>
        <w:spacing w:after="0" w:line="172" w:lineRule="exact"/>
        <w:rPr>
          <w:sz w:val="20"/>
          <w:szCs w:val="20"/>
          <w:color w:val="auto"/>
        </w:rPr>
      </w:pPr>
    </w:p>
    <w:p>
      <w:pPr>
        <w:jc w:val="both"/>
        <w:ind w:firstLine="627"/>
        <w:spacing w:after="0" w:line="295" w:lineRule="auto"/>
        <w:rPr>
          <w:sz w:val="20"/>
          <w:szCs w:val="20"/>
          <w:color w:val="auto"/>
        </w:rPr>
      </w:pPr>
      <w:r>
        <w:rPr>
          <w:rFonts w:ascii="Times New Roman" w:cs="Times New Roman" w:eastAsia="Times New Roman" w:hAnsi="Times New Roman"/>
          <w:sz w:val="17"/>
          <w:szCs w:val="17"/>
          <w:color w:val="auto"/>
        </w:rPr>
        <w:t>At March 31, 2026, we had $425 million aggregate principal amount of senior unsecured notes outstanding. The 2024 Notes were issued pursuant to an indenture, dated May 21, 2024, and bear interest at a rate of 6.00%, payable semi-annually on February 15 and August 15.</w:t>
      </w:r>
    </w:p>
    <w:p>
      <w:pPr>
        <w:spacing w:after="0" w:line="94" w:lineRule="exact"/>
        <w:rPr>
          <w:sz w:val="20"/>
          <w:szCs w:val="20"/>
          <w:color w:val="auto"/>
        </w:rPr>
      </w:pPr>
    </w:p>
    <w:p>
      <w:pPr>
        <w:jc w:val="both"/>
        <w:ind w:firstLine="627"/>
        <w:spacing w:after="0" w:line="269" w:lineRule="auto"/>
        <w:rPr>
          <w:sz w:val="20"/>
          <w:szCs w:val="20"/>
          <w:color w:val="auto"/>
        </w:rPr>
      </w:pPr>
      <w:r>
        <w:rPr>
          <w:rFonts w:ascii="Times New Roman" w:cs="Times New Roman" w:eastAsia="Times New Roman" w:hAnsi="Times New Roman"/>
          <w:sz w:val="17"/>
          <w:szCs w:val="17"/>
          <w:color w:val="auto"/>
        </w:rPr>
        <w:t>The 2024 Notes mature on August 15, 2029. We may elect to redeem the 2024 Notes in whole or in part at any time prior to July 15, 2029 at a price equal to the greater of (1) the aggregate principal balance outstanding plus the present value of all future interest payments due through July 15, 2029, and (2) the aggregate principal balance due plus any accrued and unpaid interest. We may elect to redeem the 2024 Notes in whole or in part at any time on or after July 15, 2029 at a price equal to 100%</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 the aggregate principal amount of the 2024 Notes to be redeemed plus accrued and unpaid interest thereon</w:t>
      </w:r>
      <w:r>
        <w:rPr>
          <w:rFonts w:ascii="Times New Roman" w:cs="Times New Roman" w:eastAsia="Times New Roman" w:hAnsi="Times New Roman"/>
          <w:sz w:val="20"/>
          <w:szCs w:val="20"/>
          <w:color w:val="auto"/>
        </w:rPr>
        <w:t>.</w:t>
      </w:r>
    </w:p>
    <w:p>
      <w:pPr>
        <w:spacing w:after="0" w:line="171" w:lineRule="exact"/>
        <w:rPr>
          <w:sz w:val="20"/>
          <w:szCs w:val="20"/>
          <w:color w:val="auto"/>
        </w:rPr>
      </w:pPr>
    </w:p>
    <w:p>
      <w:pPr>
        <w:jc w:val="both"/>
        <w:ind w:firstLine="627"/>
        <w:spacing w:after="0" w:line="269" w:lineRule="auto"/>
        <w:rPr>
          <w:sz w:val="20"/>
          <w:szCs w:val="20"/>
          <w:color w:val="auto"/>
        </w:rPr>
      </w:pPr>
      <w:r>
        <w:rPr>
          <w:rFonts w:ascii="Times New Roman" w:cs="Times New Roman" w:eastAsia="Times New Roman" w:hAnsi="Times New Roman"/>
          <w:sz w:val="17"/>
          <w:szCs w:val="17"/>
          <w:color w:val="auto"/>
        </w:rPr>
        <w:t>In connection with the 2024 Notes offering, we recorded capitalized debt issuance costs and an original issue discount of $10.9 million. Such amount will be amortized over the contractual life of the 2024 Notes using the effective interest method and included in interest expense. The effective interest rate on the 2024 Notes is 6.583%. At March 31, 2026 and December 31, 2025, $7.5 million and $8.0 million, respectively, of unamortized debt issuance costs and original issue discount remained.</w:t>
      </w:r>
    </w:p>
    <w:p>
      <w:pPr>
        <w:spacing w:after="0" w:line="117" w:lineRule="exact"/>
        <w:rPr>
          <w:sz w:val="20"/>
          <w:szCs w:val="20"/>
          <w:color w:val="auto"/>
        </w:rPr>
      </w:pPr>
    </w:p>
    <w:p>
      <w:pPr>
        <w:jc w:val="both"/>
        <w:ind w:firstLine="627"/>
        <w:spacing w:after="0" w:line="295" w:lineRule="auto"/>
        <w:rPr>
          <w:sz w:val="20"/>
          <w:szCs w:val="20"/>
          <w:color w:val="auto"/>
        </w:rPr>
      </w:pPr>
      <w:r>
        <w:rPr>
          <w:rFonts w:ascii="Times New Roman" w:cs="Times New Roman" w:eastAsia="Times New Roman" w:hAnsi="Times New Roman"/>
          <w:sz w:val="17"/>
          <w:szCs w:val="17"/>
          <w:color w:val="auto"/>
        </w:rPr>
        <w:t xml:space="preserve">At March 31, 2026 and December 31, 2025, $3.3 million and $9.6 million, respectively, of accrued and unpaid interest on the 2024 Notes was included in </w:t>
      </w:r>
      <w:r>
        <w:rPr>
          <w:rFonts w:ascii="Times New Roman" w:cs="Times New Roman" w:eastAsia="Times New Roman" w:hAnsi="Times New Roman"/>
          <w:sz w:val="17"/>
          <w:szCs w:val="17"/>
          <w:i w:val="1"/>
          <w:iCs w:val="1"/>
          <w:color w:val="auto"/>
        </w:rPr>
        <w:t>“Accounts Payable and Accrued Expenses”</w:t>
      </w:r>
      <w:r>
        <w:rPr>
          <w:rFonts w:ascii="Times New Roman" w:cs="Times New Roman" w:eastAsia="Times New Roman" w:hAnsi="Times New Roman"/>
          <w:sz w:val="17"/>
          <w:szCs w:val="17"/>
          <w:color w:val="auto"/>
        </w:rPr>
        <w:t xml:space="preserve"> on our condensed consolidated balance sheets.</w:t>
      </w:r>
    </w:p>
    <w:p>
      <w:pPr>
        <w:spacing w:after="0" w:line="9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i w:val="1"/>
          <w:iCs w:val="1"/>
          <w:color w:val="auto"/>
        </w:rPr>
        <w:t>Revolving Credit Facility</w:t>
      </w:r>
    </w:p>
    <w:p>
      <w:pPr>
        <w:spacing w:after="0" w:line="172" w:lineRule="exact"/>
        <w:rPr>
          <w:sz w:val="20"/>
          <w:szCs w:val="20"/>
          <w:color w:val="auto"/>
        </w:rPr>
      </w:pPr>
    </w:p>
    <w:p>
      <w:pPr>
        <w:jc w:val="both"/>
        <w:ind w:firstLine="627"/>
        <w:spacing w:after="0" w:line="263" w:lineRule="auto"/>
        <w:rPr>
          <w:sz w:val="20"/>
          <w:szCs w:val="20"/>
          <w:color w:val="auto"/>
        </w:rPr>
      </w:pPr>
      <w:r>
        <w:rPr>
          <w:rFonts w:ascii="Times New Roman" w:cs="Times New Roman" w:eastAsia="Times New Roman" w:hAnsi="Times New Roman"/>
          <w:sz w:val="17"/>
          <w:szCs w:val="17"/>
          <w:color w:val="auto"/>
        </w:rPr>
        <w:t>On April 29, 2024, we entered into a new $250 million five-year unsecured revolving credit facility (the 2024 Revolving Credit Facility) to replace our then outstanding $250 million four-year secured revolving credit facility (the 2021 Revolving Credit Facility). The 2024 Revolving Credit Facility matures on May 21, 2029. Borrowings under the 2024 Revolving Credit Facility may be used for general corporate purposes, including to support growth, new business production and operations, and accrue interest at a variable rate equal to, at our discretion, (i) a Base Rate (as defined in the 2024 Revolving Credit Facility) subject to a floor of 1.00% per annum plus a margin of 0.375% to 1.875% per annum, or (ii) the Adjusted Term Secured Overnight Financing Rate (SOFR, as defined in the 2024 Revolving Credit Facility) plus a margin of 1.375% to 2.875% per annum, with the margin in each of (i) or (ii) based on our applicable corporate credit rating at the time. As of March 31, 2026 and December 31, 2025, no amounts were drawn under the 2024 Revolving Credit Facility.</w:t>
      </w:r>
    </w:p>
    <w:p>
      <w:pPr>
        <w:spacing w:after="0" w:line="121" w:lineRule="exact"/>
        <w:rPr>
          <w:sz w:val="20"/>
          <w:szCs w:val="20"/>
          <w:color w:val="auto"/>
        </w:rPr>
      </w:pPr>
    </w:p>
    <w:p>
      <w:pPr>
        <w:jc w:val="both"/>
        <w:ind w:firstLine="627"/>
        <w:spacing w:after="0" w:line="276" w:lineRule="auto"/>
        <w:rPr>
          <w:sz w:val="20"/>
          <w:szCs w:val="20"/>
          <w:color w:val="auto"/>
        </w:rPr>
      </w:pPr>
      <w:r>
        <w:rPr>
          <w:rFonts w:ascii="Times New Roman" w:cs="Times New Roman" w:eastAsia="Times New Roman" w:hAnsi="Times New Roman"/>
          <w:sz w:val="17"/>
          <w:szCs w:val="17"/>
          <w:color w:val="auto"/>
        </w:rPr>
        <w:t>Under the 2024 Revolving Credit Facility, we are required to pay a quarterly commitment fee on the average daily undrawn amount of 0.175% to 0.525%, based on the applicable corporate credit rating at the time. As of March 31, 2026, the applicable commitment fee was 0.175%. For the three months ended March 31, 2026 and 2025, we recorded $0.1 million of commitment fees in interest expense.</w:t>
      </w:r>
    </w:p>
    <w:p>
      <w:pPr>
        <w:spacing w:after="0" w:line="110" w:lineRule="exact"/>
        <w:rPr>
          <w:sz w:val="20"/>
          <w:szCs w:val="20"/>
          <w:color w:val="auto"/>
        </w:rPr>
      </w:pPr>
    </w:p>
    <w:p>
      <w:pPr>
        <w:jc w:val="both"/>
        <w:ind w:firstLine="627"/>
        <w:spacing w:after="0" w:line="266" w:lineRule="auto"/>
        <w:rPr>
          <w:sz w:val="20"/>
          <w:szCs w:val="20"/>
          <w:color w:val="auto"/>
        </w:rPr>
      </w:pPr>
      <w:r>
        <w:rPr>
          <w:rFonts w:ascii="Times New Roman" w:cs="Times New Roman" w:eastAsia="Times New Roman" w:hAnsi="Times New Roman"/>
          <w:sz w:val="17"/>
          <w:szCs w:val="17"/>
          <w:color w:val="auto"/>
        </w:rPr>
        <w:t xml:space="preserve">We incurred debt issuance costs of $2.1 million in connection with the 2024 Revolving Credit Facility and had $0.6 million of unamortized debt issuance costs associated with the 2021 Revolving Credit Facility remaining at the time of its replacement. Combined unamortized debt issuance costs are amortized through interest expense on a straight-line basis over the contractual life of the 2024 Revolving Credit Facility. At March 31, 2026 and December 31, 2025, remaining unamortized deferred debt issuance costs of $1.7 million and $1.8 million, respectively, were recorded in </w:t>
      </w:r>
      <w:r>
        <w:rPr>
          <w:rFonts w:ascii="Times New Roman" w:cs="Times New Roman" w:eastAsia="Times New Roman" w:hAnsi="Times New Roman"/>
          <w:sz w:val="17"/>
          <w:szCs w:val="17"/>
          <w:i w:val="1"/>
          <w:iCs w:val="1"/>
          <w:color w:val="auto"/>
        </w:rPr>
        <w:t>“Other Assets”</w:t>
      </w:r>
      <w:r>
        <w:rPr>
          <w:rFonts w:ascii="Times New Roman" w:cs="Times New Roman" w:eastAsia="Times New Roman" w:hAnsi="Times New Roman"/>
          <w:sz w:val="17"/>
          <w:szCs w:val="17"/>
          <w:color w:val="auto"/>
        </w:rPr>
        <w:t xml:space="preserve"> on our condensed consolidated balance sheets.</w:t>
      </w:r>
    </w:p>
    <w:p>
      <w:pPr>
        <w:spacing w:after="0" w:line="119" w:lineRule="exact"/>
        <w:rPr>
          <w:sz w:val="20"/>
          <w:szCs w:val="20"/>
          <w:color w:val="auto"/>
        </w:rPr>
      </w:pPr>
    </w:p>
    <w:p>
      <w:pPr>
        <w:jc w:val="both"/>
        <w:ind w:firstLine="627"/>
        <w:spacing w:after="0" w:line="276" w:lineRule="auto"/>
        <w:rPr>
          <w:sz w:val="20"/>
          <w:szCs w:val="20"/>
          <w:color w:val="auto"/>
        </w:rPr>
      </w:pPr>
      <w:r>
        <w:rPr>
          <w:rFonts w:ascii="Times New Roman" w:cs="Times New Roman" w:eastAsia="Times New Roman" w:hAnsi="Times New Roman"/>
          <w:sz w:val="17"/>
          <w:szCs w:val="17"/>
          <w:color w:val="auto"/>
        </w:rPr>
        <w:t>Under the 2024 Revolving Credit Facility we are subject to certain covenants, including a maximum debt-to-total capitalization ratio of 35%, a minimum consolidated net worth requirement (as defined therein), and a requirement to maintain compliance with the financial standards prescribed by the private mortgage insurer eligibility requirements (PMIERs). We were in compliance with all covenants at March 31, 2026.</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CONDENSED CONSOLIDATED FINANCIAL STATEMENTS (UNAUDITED)</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 Reinsurance</w:t>
      </w:r>
    </w:p>
    <w:p>
      <w:pPr>
        <w:spacing w:after="0" w:line="172" w:lineRule="exact"/>
        <w:rPr>
          <w:sz w:val="20"/>
          <w:szCs w:val="20"/>
          <w:color w:val="auto"/>
        </w:rPr>
      </w:pPr>
    </w:p>
    <w:p>
      <w:pPr>
        <w:jc w:val="both"/>
        <w:ind w:firstLine="627"/>
        <w:spacing w:after="0" w:line="276" w:lineRule="auto"/>
        <w:rPr>
          <w:sz w:val="20"/>
          <w:szCs w:val="20"/>
          <w:color w:val="auto"/>
        </w:rPr>
      </w:pPr>
      <w:r>
        <w:rPr>
          <w:rFonts w:ascii="Times New Roman" w:cs="Times New Roman" w:eastAsia="Times New Roman" w:hAnsi="Times New Roman"/>
          <w:sz w:val="17"/>
          <w:szCs w:val="17"/>
          <w:color w:val="auto"/>
        </w:rPr>
        <w:t>We enter into third-party reinsurance transactions to actively manage our risk, ensure compliance with PMIERs, state regulatory and other applicable capital requirements, (respectively, as defined therein), and support the growth of our business. The Wisconsin Office of the Commissioner of Insurance (Wisconsin OCI) has approved and the GSEs have indicated their non-objection to all such transactions (subject to certain conditions and ongoing review).</w:t>
      </w:r>
    </w:p>
    <w:p>
      <w:pPr>
        <w:spacing w:after="0" w:line="11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effect of our reinsurance agreements on premiums written and earned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00" w:type="dxa"/>
            <w:vAlign w:val="bottom"/>
          </w:tcPr>
          <w:p>
            <w:pPr>
              <w:spacing w:after="0"/>
              <w:rPr>
                <w:sz w:val="16"/>
                <w:szCs w:val="16"/>
                <w:color w:val="auto"/>
              </w:rPr>
            </w:pPr>
          </w:p>
        </w:tc>
        <w:tc>
          <w:tcPr>
            <w:tcW w:w="3440" w:type="dxa"/>
            <w:vAlign w:val="bottom"/>
            <w:gridSpan w:val="4"/>
          </w:tcPr>
          <w:p>
            <w:pPr>
              <w:jc w:val="center"/>
              <w:ind w:left="659"/>
              <w:spacing w:after="0"/>
              <w:rPr>
                <w:sz w:val="20"/>
                <w:szCs w:val="20"/>
                <w:color w:val="auto"/>
              </w:rPr>
            </w:pPr>
            <w:r>
              <w:rPr>
                <w:rFonts w:ascii="Times New Roman" w:cs="Times New Roman" w:eastAsia="Times New Roman" w:hAnsi="Times New Roman"/>
                <w:sz w:val="14"/>
                <w:szCs w:val="14"/>
                <w:b w:val="1"/>
                <w:bCs w:val="1"/>
                <w:color w:val="auto"/>
                <w:w w:val="99"/>
              </w:rPr>
              <w:t>For the three months ended March 31,</w:t>
            </w:r>
          </w:p>
        </w:tc>
        <w:tc>
          <w:tcPr>
            <w:tcW w:w="760" w:type="dxa"/>
            <w:vAlign w:val="bottom"/>
          </w:tcPr>
          <w:p>
            <w:pPr>
              <w:spacing w:after="0"/>
              <w:rPr>
                <w:sz w:val="16"/>
                <w:szCs w:val="16"/>
                <w:color w:val="auto"/>
              </w:rPr>
            </w:pPr>
          </w:p>
        </w:tc>
      </w:tr>
      <w:tr>
        <w:trPr>
          <w:trHeight w:val="23"/>
        </w:trPr>
        <w:tc>
          <w:tcPr>
            <w:tcW w:w="70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83"/>
        </w:trPr>
        <w:tc>
          <w:tcPr>
            <w:tcW w:w="7000" w:type="dxa"/>
            <w:vAlign w:val="bottom"/>
          </w:tcPr>
          <w:p>
            <w:pPr>
              <w:spacing w:after="0"/>
              <w:rPr>
                <w:sz w:val="15"/>
                <w:szCs w:val="15"/>
                <w:color w:val="auto"/>
              </w:rPr>
            </w:pPr>
          </w:p>
        </w:tc>
        <w:tc>
          <w:tcPr>
            <w:tcW w:w="12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2026</w:t>
            </w: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760" w:type="dxa"/>
            <w:vAlign w:val="bottom"/>
            <w:tcBorders>
              <w:bottom w:val="single" w:sz="8" w:color="auto"/>
            </w:tcBorders>
          </w:tcPr>
          <w:p>
            <w:pPr>
              <w:spacing w:after="0"/>
              <w:rPr>
                <w:sz w:val="15"/>
                <w:szCs w:val="15"/>
                <w:color w:val="auto"/>
              </w:rPr>
            </w:pPr>
          </w:p>
        </w:tc>
      </w:tr>
      <w:tr>
        <w:trPr>
          <w:trHeight w:val="189"/>
        </w:trPr>
        <w:tc>
          <w:tcPr>
            <w:tcW w:w="70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160" w:type="dxa"/>
            <w:vAlign w:val="bottom"/>
            <w:gridSpan w:val="3"/>
          </w:tcPr>
          <w:p>
            <w:pPr>
              <w:jc w:val="center"/>
              <w:ind w:right="436"/>
              <w:spacing w:after="0"/>
              <w:rPr>
                <w:sz w:val="20"/>
                <w:szCs w:val="20"/>
                <w:color w:val="auto"/>
              </w:rPr>
            </w:pPr>
            <w:r>
              <w:rPr>
                <w:rFonts w:ascii="Times New Roman" w:cs="Times New Roman" w:eastAsia="Times New Roman" w:hAnsi="Times New Roman"/>
                <w:sz w:val="14"/>
                <w:szCs w:val="14"/>
                <w:i w:val="1"/>
                <w:iCs w:val="1"/>
                <w:color w:val="auto"/>
                <w:w w:val="98"/>
              </w:rPr>
              <w:t>(In Thousands)</w:t>
            </w:r>
          </w:p>
        </w:tc>
        <w:tc>
          <w:tcPr>
            <w:tcW w:w="760" w:type="dxa"/>
            <w:vAlign w:val="bottom"/>
          </w:tcPr>
          <w:p>
            <w:pPr>
              <w:spacing w:after="0"/>
              <w:rPr>
                <w:sz w:val="16"/>
                <w:szCs w:val="16"/>
                <w:color w:val="auto"/>
              </w:rPr>
            </w:pPr>
          </w:p>
        </w:tc>
      </w:tr>
      <w:tr>
        <w:trPr>
          <w:trHeight w:val="228"/>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premiums written</w:t>
            </w:r>
          </w:p>
        </w:tc>
        <w:tc>
          <w:tcPr>
            <w:tcW w:w="12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22"/>
        </w:trPr>
        <w:tc>
          <w:tcPr>
            <w:tcW w:w="70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Direct</w:t>
            </w:r>
          </w:p>
        </w:tc>
        <w:tc>
          <w:tcPr>
            <w:tcW w:w="1280" w:type="dxa"/>
            <w:vAlign w:val="bottom"/>
          </w:tcPr>
          <w:p>
            <w:pPr>
              <w:jc w:val="right"/>
              <w:ind w:right="1099"/>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186,006</w:t>
            </w:r>
          </w:p>
        </w:tc>
        <w:tc>
          <w:tcPr>
            <w:tcW w:w="100" w:type="dxa"/>
            <w:vAlign w:val="bottom"/>
          </w:tcPr>
          <w:p>
            <w:pPr>
              <w:spacing w:after="0"/>
              <w:rPr>
                <w:sz w:val="19"/>
                <w:szCs w:val="19"/>
                <w:color w:val="auto"/>
              </w:rPr>
            </w:pPr>
          </w:p>
        </w:tc>
        <w:tc>
          <w:tcPr>
            <w:tcW w:w="1300" w:type="dxa"/>
            <w:vAlign w:val="bottom"/>
          </w:tcPr>
          <w:p>
            <w:pPr>
              <w:jc w:val="right"/>
              <w:ind w:right="1116"/>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174,415</w:t>
            </w:r>
          </w:p>
        </w:tc>
      </w:tr>
      <w:tr>
        <w:trPr>
          <w:trHeight w:val="222"/>
        </w:trPr>
        <w:tc>
          <w:tcPr>
            <w:tcW w:w="7000" w:type="dxa"/>
            <w:vAlign w:val="bottom"/>
            <w:shd w:val="clear" w:color="auto" w:fill="CCEEFF"/>
          </w:tcPr>
          <w:p>
            <w:pPr>
              <w:ind w:left="140"/>
              <w:spacing w:after="0" w:line="222" w:lineRule="exact"/>
              <w:rPr>
                <w:sz w:val="20"/>
                <w:szCs w:val="20"/>
                <w:color w:val="auto"/>
              </w:rPr>
            </w:pPr>
            <w:r>
              <w:rPr>
                <w:rFonts w:ascii="Times New Roman" w:cs="Times New Roman" w:eastAsia="Times New Roman" w:hAnsi="Times New Roman"/>
                <w:sz w:val="17"/>
                <w:szCs w:val="17"/>
                <w:color w:val="auto"/>
              </w:rPr>
              <w:t xml:space="preserve">Ceded </w:t>
            </w:r>
            <w:r>
              <w:rPr>
                <w:rFonts w:ascii="Times New Roman" w:cs="Times New Roman" w:eastAsia="Times New Roman" w:hAnsi="Times New Roman"/>
                <w:sz w:val="22"/>
                <w:szCs w:val="22"/>
                <w:color w:val="auto"/>
                <w:vertAlign w:val="superscript"/>
              </w:rPr>
              <w:t>(1)</w:t>
            </w:r>
          </w:p>
        </w:tc>
        <w:tc>
          <w:tcPr>
            <w:tcW w:w="12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(34,180)</w:t>
            </w:r>
          </w:p>
        </w:tc>
        <w:tc>
          <w:tcPr>
            <w:tcW w:w="10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(31,029)</w:t>
            </w:r>
          </w:p>
        </w:tc>
      </w:tr>
      <w:tr>
        <w:trPr>
          <w:trHeight w:val="215"/>
        </w:trPr>
        <w:tc>
          <w:tcPr>
            <w:tcW w:w="70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Net premiums written</w:t>
            </w:r>
          </w:p>
        </w:tc>
        <w:tc>
          <w:tcPr>
            <w:tcW w:w="1280" w:type="dxa"/>
            <w:vAlign w:val="bottom"/>
            <w:tcBorders>
              <w:bottom w:val="single" w:sz="8" w:color="auto"/>
            </w:tcBorders>
          </w:tcPr>
          <w:p>
            <w:pPr>
              <w:jc w:val="right"/>
              <w:ind w:right="1099"/>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151,826</w:t>
            </w:r>
          </w:p>
        </w:tc>
        <w:tc>
          <w:tcPr>
            <w:tcW w:w="100" w:type="dxa"/>
            <w:vAlign w:val="bottom"/>
          </w:tcPr>
          <w:p>
            <w:pPr>
              <w:spacing w:after="0"/>
              <w:rPr>
                <w:sz w:val="18"/>
                <w:szCs w:val="18"/>
                <w:color w:val="auto"/>
              </w:rPr>
            </w:pPr>
          </w:p>
        </w:tc>
        <w:tc>
          <w:tcPr>
            <w:tcW w:w="1300" w:type="dxa"/>
            <w:vAlign w:val="bottom"/>
            <w:tcBorders>
              <w:bottom w:val="single" w:sz="8" w:color="auto"/>
            </w:tcBorders>
          </w:tcPr>
          <w:p>
            <w:pPr>
              <w:jc w:val="right"/>
              <w:ind w:right="1116"/>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143,386</w:t>
            </w:r>
          </w:p>
        </w:tc>
      </w:tr>
      <w:tr>
        <w:trPr>
          <w:trHeight w:val="20"/>
        </w:trPr>
        <w:tc>
          <w:tcPr>
            <w:tcW w:w="700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28"/>
        </w:trPr>
        <w:tc>
          <w:tcPr>
            <w:tcW w:w="70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22"/>
        </w:trPr>
        <w:tc>
          <w:tcPr>
            <w:tcW w:w="7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premiums earned</w:t>
            </w:r>
          </w:p>
        </w:tc>
        <w:tc>
          <w:tcPr>
            <w:tcW w:w="1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2"/>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Direct</w:t>
            </w:r>
          </w:p>
        </w:tc>
        <w:tc>
          <w:tcPr>
            <w:tcW w:w="1280" w:type="dxa"/>
            <w:vAlign w:val="bottom"/>
            <w:shd w:val="clear" w:color="auto" w:fill="CCEEFF"/>
          </w:tcPr>
          <w:p>
            <w:pPr>
              <w:jc w:val="right"/>
              <w:ind w:right="1099"/>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188,986</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16"/>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180,456</w:t>
            </w:r>
          </w:p>
        </w:tc>
      </w:tr>
      <w:tr>
        <w:trPr>
          <w:trHeight w:val="222"/>
        </w:trPr>
        <w:tc>
          <w:tcPr>
            <w:tcW w:w="7000" w:type="dxa"/>
            <w:vAlign w:val="bottom"/>
            <w:tcBorders>
              <w:bottom w:val="single" w:sz="8" w:color="CCEEFF"/>
            </w:tcBorders>
          </w:tcPr>
          <w:p>
            <w:pPr>
              <w:ind w:left="140"/>
              <w:spacing w:after="0" w:line="222" w:lineRule="exact"/>
              <w:rPr>
                <w:sz w:val="20"/>
                <w:szCs w:val="20"/>
                <w:color w:val="auto"/>
              </w:rPr>
            </w:pPr>
            <w:r>
              <w:rPr>
                <w:rFonts w:ascii="Times New Roman" w:cs="Times New Roman" w:eastAsia="Times New Roman" w:hAnsi="Times New Roman"/>
                <w:sz w:val="17"/>
                <w:szCs w:val="17"/>
                <w:color w:val="auto"/>
              </w:rPr>
              <w:t xml:space="preserve">Ceded </w:t>
            </w:r>
            <w:r>
              <w:rPr>
                <w:rFonts w:ascii="Times New Roman" w:cs="Times New Roman" w:eastAsia="Times New Roman" w:hAnsi="Times New Roman"/>
                <w:sz w:val="22"/>
                <w:szCs w:val="22"/>
                <w:color w:val="auto"/>
                <w:vertAlign w:val="superscript"/>
              </w:rPr>
              <w:t>(1)</w:t>
            </w:r>
          </w:p>
        </w:tc>
        <w:tc>
          <w:tcPr>
            <w:tcW w:w="1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(34,180)</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(31,090)</w:t>
            </w:r>
          </w:p>
        </w:tc>
      </w:tr>
      <w:tr>
        <w:trPr>
          <w:trHeight w:val="240"/>
        </w:trPr>
        <w:tc>
          <w:tcPr>
            <w:tcW w:w="70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Net premiums earned</w:t>
            </w:r>
          </w:p>
        </w:tc>
        <w:tc>
          <w:tcPr>
            <w:tcW w:w="1280" w:type="dxa"/>
            <w:vAlign w:val="bottom"/>
            <w:tcBorders>
              <w:bottom w:val="single" w:sz="8" w:color="auto"/>
            </w:tcBorders>
            <w:shd w:val="clear" w:color="auto" w:fill="CCEEFF"/>
          </w:tcPr>
          <w:p>
            <w:pPr>
              <w:jc w:val="right"/>
              <w:ind w:right="1099"/>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154,806</w:t>
            </w: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ind w:right="1116"/>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149,366</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4"/>
          <w:szCs w:val="14"/>
          <w:color w:val="auto"/>
        </w:rPr>
        <w:t>(1)</w:t>
      </w:r>
      <w:r>
        <w:rPr>
          <w:sz w:val="20"/>
          <w:szCs w:val="20"/>
          <w:color w:val="auto"/>
        </w:rPr>
        <w:tab/>
      </w:r>
      <w:r>
        <w:rPr>
          <w:rFonts w:ascii="Times New Roman" w:cs="Times New Roman" w:eastAsia="Times New Roman" w:hAnsi="Times New Roman"/>
          <w:sz w:val="13"/>
          <w:szCs w:val="13"/>
          <w:color w:val="auto"/>
        </w:rPr>
        <w:t>Net of profit commission.</w:t>
      </w:r>
    </w:p>
    <w:p>
      <w:pPr>
        <w:spacing w:after="0" w:line="15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i w:val="1"/>
          <w:iCs w:val="1"/>
          <w:color w:val="auto"/>
        </w:rPr>
        <w:t>Quota Share Reinsurance</w:t>
      </w:r>
    </w:p>
    <w:p>
      <w:pPr>
        <w:spacing w:after="0" w:line="174" w:lineRule="exact"/>
        <w:rPr>
          <w:sz w:val="20"/>
          <w:szCs w:val="20"/>
          <w:color w:val="auto"/>
        </w:rPr>
      </w:pPr>
    </w:p>
    <w:p>
      <w:pPr>
        <w:jc w:val="both"/>
        <w:ind w:firstLine="627"/>
        <w:spacing w:after="0" w:line="269" w:lineRule="auto"/>
        <w:rPr>
          <w:sz w:val="20"/>
          <w:szCs w:val="20"/>
          <w:color w:val="auto"/>
        </w:rPr>
      </w:pPr>
      <w:r>
        <w:rPr>
          <w:rFonts w:ascii="Times New Roman" w:cs="Times New Roman" w:eastAsia="Times New Roman" w:hAnsi="Times New Roman"/>
          <w:sz w:val="17"/>
          <w:szCs w:val="17"/>
          <w:color w:val="auto"/>
        </w:rPr>
        <w:t>NMIC is party to nine quota share reinsurance treaties – the 2018 QSR Transaction, effective January 1, 2018, the 2020 QSR Transaction, effective April 1, 2020, the 2021 QSR Transaction, effective January 1, 2021, the 2022 QSR Transaction, effective October 1, 2021, the 2022 Seasoned QSR Transaction, effective July 1, 2022, the 2023 QSR Transaction, effective January 1, 2023, the 2024 QSR Transaction, effective January 1, 2024, the 2025 QSR Transaction, effective January 1, 2025, and the 2026 QSR Transaction, effective January 1, 2026 – which we refer to collectively as the QSR Transactions.</w:t>
      </w:r>
    </w:p>
    <w:p>
      <w:pPr>
        <w:spacing w:after="0" w:line="117" w:lineRule="exact"/>
        <w:rPr>
          <w:sz w:val="20"/>
          <w:szCs w:val="20"/>
          <w:color w:val="auto"/>
        </w:rPr>
      </w:pPr>
    </w:p>
    <w:p>
      <w:pPr>
        <w:jc w:val="both"/>
        <w:ind w:firstLine="627"/>
        <w:spacing w:after="0" w:line="276" w:lineRule="auto"/>
        <w:rPr>
          <w:sz w:val="20"/>
          <w:szCs w:val="20"/>
          <w:color w:val="auto"/>
        </w:rPr>
      </w:pPr>
      <w:r>
        <w:rPr>
          <w:rFonts w:ascii="Times New Roman" w:cs="Times New Roman" w:eastAsia="Times New Roman" w:hAnsi="Times New Roman"/>
          <w:sz w:val="17"/>
          <w:szCs w:val="17"/>
          <w:color w:val="auto"/>
        </w:rPr>
        <w:t>Under each of the QSR Transactions, NMIC cedes a proportional share of its risk on eligible policies to panels of third-party reinsurance providers in exchange for reimbursement of ceded claims and claim expenses on covered policies, a ceding commission and a profit commission (up to a contractually defined maximum) that varies directly and inversely with ceded claims.</w:t>
      </w:r>
    </w:p>
    <w:p>
      <w:pPr>
        <w:spacing w:after="0" w:line="110" w:lineRule="exact"/>
        <w:rPr>
          <w:sz w:val="20"/>
          <w:szCs w:val="20"/>
          <w:color w:val="auto"/>
        </w:rPr>
      </w:pPr>
    </w:p>
    <w:p>
      <w:pPr>
        <w:jc w:val="both"/>
        <w:ind w:firstLine="627"/>
        <w:spacing w:after="0" w:line="263" w:lineRule="auto"/>
        <w:rPr>
          <w:sz w:val="20"/>
          <w:szCs w:val="20"/>
          <w:color w:val="auto"/>
        </w:rPr>
      </w:pPr>
      <w:r>
        <w:rPr>
          <w:rFonts w:ascii="Times New Roman" w:cs="Times New Roman" w:eastAsia="Times New Roman" w:hAnsi="Times New Roman"/>
          <w:sz w:val="17"/>
          <w:szCs w:val="17"/>
          <w:color w:val="auto"/>
        </w:rPr>
        <w:t>NMIC holds optional termination rights which provide it with the discretion to terminate each QSR Transaction on or after a specified date. NMIC may also terminate any or all of the QSR Transactions without penalty if, due to a change in PMIERs requirements, it is no longer able to take full PMIERs asset credit for the RIF ceded under the respective agreements. Additionally, under the terms of the QSR Transactions, NMIC may elect to selectively terminate its engagement with individual reinsurers on a run-off basis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reinsurers continue providing coverage on all risk ceded prior to the termination date, with no new cessions going forward) or cut-off basis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the reinsurance arrangement is completely terminated with NMIC recapturing all previously ceded risk) under certain circumstances. Such selective termination rights arise when, among other reasons, a reinsurer experiences a deterioration in its capital position below a prescribed threshold and/or a reinsurer breaches (and fails to cure) its collateral posting obligations under the relevant agreement.</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Each of the third-party reinsurance providers that is party to the QSR Transactions has an insurer financial strength rating of A- or better by S&amp;P, A.M.</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Best or both.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CONDENSED CONSOLIDATED FINANCIAL STATEMENTS (UNAUDITED)</w:t>
      </w:r>
    </w:p>
    <w:p>
      <w:pPr>
        <w:spacing w:after="0" w:line="200" w:lineRule="exact"/>
        <w:rPr>
          <w:sz w:val="20"/>
          <w:szCs w:val="20"/>
          <w:color w:val="auto"/>
        </w:rPr>
      </w:pPr>
    </w:p>
    <w:p>
      <w:pPr>
        <w:spacing w:after="0" w:line="397" w:lineRule="exact"/>
        <w:rPr>
          <w:sz w:val="20"/>
          <w:szCs w:val="20"/>
          <w:color w:val="auto"/>
        </w:rPr>
      </w:pPr>
    </w:p>
    <w:p>
      <w:pPr>
        <w:ind w:firstLine="627"/>
        <w:spacing w:after="0" w:line="295" w:lineRule="auto"/>
        <w:rPr>
          <w:sz w:val="20"/>
          <w:szCs w:val="20"/>
          <w:color w:val="auto"/>
        </w:rPr>
      </w:pPr>
      <w:r>
        <w:rPr>
          <w:rFonts w:ascii="Times New Roman" w:cs="Times New Roman" w:eastAsia="Times New Roman" w:hAnsi="Times New Roman"/>
          <w:sz w:val="17"/>
          <w:szCs w:val="17"/>
          <w:color w:val="auto"/>
        </w:rPr>
        <w:t>The following table presents the inception date, covered production period, ceding commission and profit commission for each outstanding QSR Transaction. Current amounts are presented as of March 31, 2026.</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70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Inception Date</w:t>
            </w:r>
          </w:p>
        </w:tc>
        <w:tc>
          <w:tcPr>
            <w:tcW w:w="2620" w:type="dxa"/>
            <w:vAlign w:val="bottom"/>
            <w:gridSpan w:val="2"/>
          </w:tcPr>
          <w:p>
            <w:pPr>
              <w:ind w:left="660"/>
              <w:spacing w:after="0"/>
              <w:rPr>
                <w:sz w:val="20"/>
                <w:szCs w:val="20"/>
                <w:color w:val="auto"/>
              </w:rPr>
            </w:pPr>
            <w:r>
              <w:rPr>
                <w:rFonts w:ascii="Times New Roman" w:cs="Times New Roman" w:eastAsia="Times New Roman" w:hAnsi="Times New Roman"/>
                <w:sz w:val="14"/>
                <w:szCs w:val="14"/>
                <w:b w:val="1"/>
                <w:bCs w:val="1"/>
                <w:color w:val="auto"/>
              </w:rPr>
              <w:t>Covered Production</w:t>
            </w:r>
          </w:p>
        </w:tc>
        <w:tc>
          <w:tcPr>
            <w:tcW w:w="15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Ceding Percentage</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Ceding Commission</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Profit Commission</w:t>
            </w:r>
          </w:p>
        </w:tc>
        <w:tc>
          <w:tcPr>
            <w:tcW w:w="0" w:type="dxa"/>
            <w:vAlign w:val="bottom"/>
          </w:tcPr>
          <w:p>
            <w:pPr>
              <w:spacing w:after="0"/>
              <w:rPr>
                <w:sz w:val="1"/>
                <w:szCs w:val="1"/>
                <w:color w:val="auto"/>
              </w:rPr>
            </w:pPr>
          </w:p>
        </w:tc>
      </w:tr>
      <w:tr>
        <w:trPr>
          <w:trHeight w:val="23"/>
        </w:trPr>
        <w:tc>
          <w:tcPr>
            <w:tcW w:w="38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2018</w:t>
            </w:r>
          </w:p>
        </w:tc>
        <w:tc>
          <w:tcPr>
            <w:tcW w:w="19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QSR</w:t>
            </w:r>
          </w:p>
        </w:tc>
        <w:tc>
          <w:tcPr>
            <w:tcW w:w="17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5"/>
              </w:rPr>
              <w:t>1/1/2018</w:t>
            </w:r>
          </w:p>
        </w:tc>
        <w:tc>
          <w:tcPr>
            <w:tcW w:w="2540" w:type="dxa"/>
            <w:vAlign w:val="bottom"/>
            <w:shd w:val="clear" w:color="auto" w:fill="CCEEFF"/>
          </w:tcPr>
          <w:p>
            <w:pPr>
              <w:jc w:val="center"/>
              <w:spacing w:after="0" w:line="150" w:lineRule="exact"/>
              <w:rPr>
                <w:sz w:val="20"/>
                <w:szCs w:val="20"/>
                <w:color w:val="auto"/>
              </w:rPr>
            </w:pPr>
            <w:r>
              <w:rPr>
                <w:rFonts w:ascii="Times New Roman" w:cs="Times New Roman" w:eastAsia="Times New Roman" w:hAnsi="Times New Roman"/>
                <w:sz w:val="17"/>
                <w:szCs w:val="17"/>
                <w:color w:val="auto"/>
                <w:w w:val="96"/>
              </w:rPr>
              <w:t>1/1/2018 – 12/31/2018</w:t>
            </w:r>
          </w:p>
        </w:tc>
        <w:tc>
          <w:tcPr>
            <w:tcW w:w="80" w:type="dxa"/>
            <w:vAlign w:val="bottom"/>
            <w:shd w:val="clear" w:color="auto" w:fill="CCEEFF"/>
          </w:tcPr>
          <w:p>
            <w:pPr>
              <w:spacing w:after="0"/>
              <w:rPr>
                <w:sz w:val="13"/>
                <w:szCs w:val="13"/>
                <w:color w:val="auto"/>
              </w:rPr>
            </w:pPr>
          </w:p>
        </w:tc>
        <w:tc>
          <w:tcPr>
            <w:tcW w:w="1480" w:type="dxa"/>
            <w:vAlign w:val="bottom"/>
            <w:shd w:val="clear" w:color="auto" w:fill="CCEEFF"/>
          </w:tcPr>
          <w:p>
            <w:pPr>
              <w:jc w:val="center"/>
              <w:spacing w:after="0" w:line="150" w:lineRule="exact"/>
              <w:rPr>
                <w:sz w:val="20"/>
                <w:szCs w:val="20"/>
                <w:color w:val="auto"/>
              </w:rPr>
            </w:pPr>
            <w:r>
              <w:rPr>
                <w:rFonts w:ascii="Times New Roman" w:cs="Times New Roman" w:eastAsia="Times New Roman" w:hAnsi="Times New Roman"/>
                <w:sz w:val="17"/>
                <w:szCs w:val="17"/>
                <w:color w:val="auto"/>
                <w:w w:val="96"/>
              </w:rPr>
              <w:t>16%</w:t>
            </w:r>
          </w:p>
        </w:tc>
        <w:tc>
          <w:tcPr>
            <w:tcW w:w="100" w:type="dxa"/>
            <w:vAlign w:val="bottom"/>
            <w:shd w:val="clear" w:color="auto" w:fill="CCEEFF"/>
          </w:tcPr>
          <w:p>
            <w:pPr>
              <w:spacing w:after="0"/>
              <w:rPr>
                <w:sz w:val="13"/>
                <w:szCs w:val="13"/>
                <w:color w:val="auto"/>
              </w:rPr>
            </w:pPr>
          </w:p>
        </w:tc>
        <w:tc>
          <w:tcPr>
            <w:tcW w:w="14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42%</w:t>
            </w:r>
          </w:p>
        </w:tc>
        <w:tc>
          <w:tcPr>
            <w:tcW w:w="100" w:type="dxa"/>
            <w:vAlign w:val="bottom"/>
            <w:shd w:val="clear" w:color="auto" w:fill="CCEEFF"/>
          </w:tcPr>
          <w:p>
            <w:pPr>
              <w:spacing w:after="0"/>
              <w:rPr>
                <w:sz w:val="13"/>
                <w:szCs w:val="13"/>
                <w:color w:val="auto"/>
              </w:rPr>
            </w:pPr>
          </w:p>
        </w:tc>
        <w:tc>
          <w:tcPr>
            <w:tcW w:w="14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up to 45%</w:t>
            </w:r>
          </w:p>
        </w:tc>
        <w:tc>
          <w:tcPr>
            <w:tcW w:w="0" w:type="dxa"/>
            <w:vAlign w:val="bottom"/>
          </w:tcPr>
          <w:p>
            <w:pPr>
              <w:spacing w:after="0"/>
              <w:rPr>
                <w:sz w:val="1"/>
                <w:szCs w:val="1"/>
                <w:color w:val="auto"/>
              </w:rPr>
            </w:pPr>
          </w:p>
        </w:tc>
      </w:tr>
      <w:tr>
        <w:trPr>
          <w:trHeight w:val="222"/>
        </w:trPr>
        <w:tc>
          <w:tcPr>
            <w:tcW w:w="380" w:type="dxa"/>
            <w:vAlign w:val="bottom"/>
            <w:vMerge w:val="continue"/>
            <w:shd w:val="clear" w:color="auto" w:fill="CCEEFF"/>
          </w:tcPr>
          <w:p>
            <w:pPr>
              <w:spacing w:after="0"/>
              <w:rPr>
                <w:sz w:val="19"/>
                <w:szCs w:val="19"/>
                <w:color w:val="auto"/>
              </w:rPr>
            </w:pPr>
          </w:p>
        </w:tc>
        <w:tc>
          <w:tcPr>
            <w:tcW w:w="1900" w:type="dxa"/>
            <w:vAlign w:val="bottom"/>
            <w:vMerge w:val="continue"/>
            <w:shd w:val="clear" w:color="auto" w:fill="CCEEFF"/>
          </w:tcPr>
          <w:p>
            <w:pPr>
              <w:spacing w:after="0"/>
              <w:rPr>
                <w:sz w:val="19"/>
                <w:szCs w:val="19"/>
                <w:color w:val="auto"/>
              </w:rPr>
            </w:pPr>
          </w:p>
        </w:tc>
        <w:tc>
          <w:tcPr>
            <w:tcW w:w="1700" w:type="dxa"/>
            <w:vAlign w:val="bottom"/>
            <w:vMerge w:val="continue"/>
            <w:shd w:val="clear" w:color="auto" w:fill="CCEEFF"/>
          </w:tcPr>
          <w:p>
            <w:pPr>
              <w:spacing w:after="0"/>
              <w:rPr>
                <w:sz w:val="19"/>
                <w:szCs w:val="19"/>
                <w:color w:val="auto"/>
              </w:rPr>
            </w:pPr>
          </w:p>
        </w:tc>
        <w:tc>
          <w:tcPr>
            <w:tcW w:w="26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7"/>
                <w:szCs w:val="17"/>
                <w:color w:val="auto"/>
                <w:w w:val="96"/>
              </w:rPr>
              <w:t>1/1/2019 – 12/31/2019</w:t>
            </w:r>
          </w:p>
        </w:tc>
        <w:tc>
          <w:tcPr>
            <w:tcW w:w="1480" w:type="dxa"/>
            <w:vAlign w:val="bottom"/>
            <w:shd w:val="clear" w:color="auto" w:fill="CCEEFF"/>
          </w:tcPr>
          <w:p>
            <w:pPr>
              <w:jc w:val="center"/>
              <w:spacing w:after="0" w:line="222" w:lineRule="exact"/>
              <w:rPr>
                <w:sz w:val="20"/>
                <w:szCs w:val="20"/>
                <w:color w:val="auto"/>
              </w:rPr>
            </w:pPr>
            <w:r>
              <w:rPr>
                <w:rFonts w:ascii="Times New Roman" w:cs="Times New Roman" w:eastAsia="Times New Roman" w:hAnsi="Times New Roman"/>
                <w:sz w:val="25"/>
                <w:szCs w:val="25"/>
                <w:color w:val="auto"/>
                <w:vertAlign w:val="subscript"/>
              </w:rPr>
              <w:t>13%</w:t>
            </w:r>
            <w:r>
              <w:rPr>
                <w:rFonts w:ascii="Times New Roman" w:cs="Times New Roman" w:eastAsia="Times New Roman" w:hAnsi="Times New Roman"/>
                <w:sz w:val="9"/>
                <w:szCs w:val="9"/>
                <w:color w:val="auto"/>
              </w:rPr>
              <w:t xml:space="preserve"> (1)</w:t>
            </w:r>
          </w:p>
        </w:tc>
        <w:tc>
          <w:tcPr>
            <w:tcW w:w="100" w:type="dxa"/>
            <w:vAlign w:val="bottom"/>
            <w:shd w:val="clear" w:color="auto" w:fill="CCEEFF"/>
          </w:tcPr>
          <w:p>
            <w:pPr>
              <w:spacing w:after="0"/>
              <w:rPr>
                <w:sz w:val="19"/>
                <w:szCs w:val="19"/>
                <w:color w:val="auto"/>
              </w:rPr>
            </w:pPr>
          </w:p>
        </w:tc>
        <w:tc>
          <w:tcPr>
            <w:tcW w:w="14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2020</w:t>
            </w:r>
          </w:p>
        </w:tc>
        <w:tc>
          <w:tcPr>
            <w:tcW w:w="1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QSR</w:t>
            </w:r>
          </w:p>
        </w:tc>
        <w:tc>
          <w:tcPr>
            <w:tcW w:w="17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5"/>
              </w:rPr>
              <w:t>4/1/2020</w:t>
            </w:r>
          </w:p>
        </w:tc>
        <w:tc>
          <w:tcPr>
            <w:tcW w:w="262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6"/>
              </w:rPr>
              <w:t>4/1/2020 – 12/31/2020</w:t>
            </w: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21%</w:t>
            </w:r>
          </w:p>
        </w:tc>
        <w:tc>
          <w:tcPr>
            <w:tcW w:w="1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45%</w:t>
            </w:r>
          </w:p>
        </w:tc>
        <w:tc>
          <w:tcPr>
            <w:tcW w:w="1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up to 45%</w:t>
            </w:r>
          </w:p>
        </w:tc>
        <w:tc>
          <w:tcPr>
            <w:tcW w:w="0" w:type="dxa"/>
            <w:vAlign w:val="bottom"/>
          </w:tcPr>
          <w:p>
            <w:pPr>
              <w:spacing w:after="0"/>
              <w:rPr>
                <w:sz w:val="1"/>
                <w:szCs w:val="1"/>
                <w:color w:val="auto"/>
              </w:rPr>
            </w:pPr>
          </w:p>
        </w:tc>
      </w:tr>
      <w:tr>
        <w:trPr>
          <w:trHeight w:val="226"/>
        </w:trPr>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2021</w:t>
            </w:r>
          </w:p>
        </w:tc>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QSR</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5"/>
              </w:rPr>
              <w:t>1/1/2021</w:t>
            </w:r>
          </w:p>
        </w:tc>
        <w:tc>
          <w:tcPr>
            <w:tcW w:w="26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7"/>
                <w:szCs w:val="17"/>
                <w:color w:val="auto"/>
                <w:w w:val="96"/>
              </w:rPr>
              <w:t>1/1/2021 – 10/30/2021</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20%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35%</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up to 54%</w:t>
            </w:r>
          </w:p>
        </w:tc>
        <w:tc>
          <w:tcPr>
            <w:tcW w:w="0" w:type="dxa"/>
            <w:vAlign w:val="bottom"/>
          </w:tcPr>
          <w:p>
            <w:pPr>
              <w:spacing w:after="0"/>
              <w:rPr>
                <w:sz w:val="1"/>
                <w:szCs w:val="1"/>
                <w:color w:val="auto"/>
              </w:rPr>
            </w:pPr>
          </w:p>
        </w:tc>
      </w:tr>
      <w:tr>
        <w:trPr>
          <w:trHeight w:val="219"/>
        </w:trPr>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2022</w:t>
            </w:r>
          </w:p>
        </w:tc>
        <w:tc>
          <w:tcPr>
            <w:tcW w:w="1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QSR</w:t>
            </w:r>
          </w:p>
        </w:tc>
        <w:tc>
          <w:tcPr>
            <w:tcW w:w="17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10/1/2021</w:t>
            </w:r>
          </w:p>
        </w:tc>
        <w:tc>
          <w:tcPr>
            <w:tcW w:w="262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6"/>
              </w:rPr>
              <w:t>10/30/2021 – 12/31/2022</w:t>
            </w: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20%</w:t>
            </w:r>
          </w:p>
        </w:tc>
        <w:tc>
          <w:tcPr>
            <w:tcW w:w="1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20%</w:t>
            </w:r>
          </w:p>
        </w:tc>
        <w:tc>
          <w:tcPr>
            <w:tcW w:w="1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up to 68%</w:t>
            </w:r>
          </w:p>
        </w:tc>
        <w:tc>
          <w:tcPr>
            <w:tcW w:w="0" w:type="dxa"/>
            <w:vAlign w:val="bottom"/>
          </w:tcPr>
          <w:p>
            <w:pPr>
              <w:spacing w:after="0"/>
              <w:rPr>
                <w:sz w:val="1"/>
                <w:szCs w:val="1"/>
                <w:color w:val="auto"/>
              </w:rPr>
            </w:pPr>
          </w:p>
        </w:tc>
      </w:tr>
      <w:tr>
        <w:trPr>
          <w:trHeight w:val="165"/>
        </w:trPr>
        <w:tc>
          <w:tcPr>
            <w:tcW w:w="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2022</w:t>
            </w:r>
          </w:p>
        </w:tc>
        <w:tc>
          <w:tcPr>
            <w:tcW w:w="19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Seasoned QSR</w:t>
            </w:r>
          </w:p>
        </w:tc>
        <w:tc>
          <w:tcPr>
            <w:tcW w:w="17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5"/>
              </w:rPr>
              <w:t>7/1/2022</w:t>
            </w:r>
          </w:p>
        </w:tc>
        <w:tc>
          <w:tcPr>
            <w:tcW w:w="2620" w:type="dxa"/>
            <w:vAlign w:val="bottom"/>
            <w:gridSpan w:val="2"/>
            <w:shd w:val="clear" w:color="auto" w:fill="CCEEFF"/>
          </w:tcPr>
          <w:p>
            <w:pPr>
              <w:jc w:val="center"/>
              <w:ind w:right="120"/>
              <w:spacing w:after="0" w:line="165" w:lineRule="exact"/>
              <w:rPr>
                <w:sz w:val="20"/>
                <w:szCs w:val="20"/>
                <w:color w:val="auto"/>
              </w:rPr>
            </w:pPr>
            <w:r>
              <w:rPr>
                <w:rFonts w:ascii="Times New Roman" w:cs="Times New Roman" w:eastAsia="Times New Roman" w:hAnsi="Times New Roman"/>
                <w:sz w:val="17"/>
                <w:szCs w:val="17"/>
                <w:color w:val="auto"/>
                <w:w w:val="96"/>
              </w:rPr>
              <w:t>1/1/2013 – 12/31/2016</w:t>
            </w:r>
          </w:p>
        </w:tc>
        <w:tc>
          <w:tcPr>
            <w:tcW w:w="14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2"/>
              </w:rPr>
              <w:t xml:space="preserve">48% </w:t>
            </w:r>
            <w:r>
              <w:rPr>
                <w:rFonts w:ascii="Times New Roman" w:cs="Times New Roman" w:eastAsia="Times New Roman" w:hAnsi="Times New Roman"/>
                <w:sz w:val="21"/>
                <w:szCs w:val="21"/>
                <w:color w:val="auto"/>
                <w:w w:val="92"/>
                <w:vertAlign w:val="superscript"/>
              </w:rPr>
              <w:t>(2)</w:t>
            </w:r>
          </w:p>
        </w:tc>
        <w:tc>
          <w:tcPr>
            <w:tcW w:w="100" w:type="dxa"/>
            <w:vAlign w:val="bottom"/>
            <w:shd w:val="clear" w:color="auto" w:fill="CCEEFF"/>
          </w:tcPr>
          <w:p>
            <w:pPr>
              <w:spacing w:after="0"/>
              <w:rPr>
                <w:sz w:val="14"/>
                <w:szCs w:val="14"/>
                <w:color w:val="auto"/>
              </w:rPr>
            </w:pPr>
          </w:p>
        </w:tc>
        <w:tc>
          <w:tcPr>
            <w:tcW w:w="14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53%</w:t>
            </w:r>
          </w:p>
        </w:tc>
        <w:tc>
          <w:tcPr>
            <w:tcW w:w="100" w:type="dxa"/>
            <w:vAlign w:val="bottom"/>
            <w:shd w:val="clear" w:color="auto" w:fill="CCEEFF"/>
          </w:tcPr>
          <w:p>
            <w:pPr>
              <w:spacing w:after="0"/>
              <w:rPr>
                <w:sz w:val="14"/>
                <w:szCs w:val="14"/>
                <w:color w:val="auto"/>
              </w:rPr>
            </w:pPr>
          </w:p>
        </w:tc>
        <w:tc>
          <w:tcPr>
            <w:tcW w:w="14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up to 38%</w:t>
            </w:r>
          </w:p>
        </w:tc>
        <w:tc>
          <w:tcPr>
            <w:tcW w:w="0" w:type="dxa"/>
            <w:vAlign w:val="bottom"/>
          </w:tcPr>
          <w:p>
            <w:pPr>
              <w:spacing w:after="0"/>
              <w:rPr>
                <w:sz w:val="1"/>
                <w:szCs w:val="1"/>
                <w:color w:val="auto"/>
              </w:rPr>
            </w:pPr>
          </w:p>
        </w:tc>
      </w:tr>
      <w:tr>
        <w:trPr>
          <w:trHeight w:val="218"/>
        </w:trPr>
        <w:tc>
          <w:tcPr>
            <w:tcW w:w="380" w:type="dxa"/>
            <w:vAlign w:val="bottom"/>
            <w:vMerge w:val="continue"/>
            <w:shd w:val="clear" w:color="auto" w:fill="CCEEFF"/>
          </w:tcPr>
          <w:p>
            <w:pPr>
              <w:spacing w:after="0"/>
              <w:rPr>
                <w:sz w:val="18"/>
                <w:szCs w:val="18"/>
                <w:color w:val="auto"/>
              </w:rPr>
            </w:pPr>
          </w:p>
        </w:tc>
        <w:tc>
          <w:tcPr>
            <w:tcW w:w="1900" w:type="dxa"/>
            <w:vAlign w:val="bottom"/>
            <w:vMerge w:val="continue"/>
            <w:shd w:val="clear" w:color="auto" w:fill="CCEEFF"/>
          </w:tcPr>
          <w:p>
            <w:pPr>
              <w:spacing w:after="0"/>
              <w:rPr>
                <w:sz w:val="18"/>
                <w:szCs w:val="18"/>
                <w:color w:val="auto"/>
              </w:rPr>
            </w:pPr>
          </w:p>
        </w:tc>
        <w:tc>
          <w:tcPr>
            <w:tcW w:w="1700" w:type="dxa"/>
            <w:vAlign w:val="bottom"/>
            <w:vMerge w:val="continue"/>
            <w:shd w:val="clear" w:color="auto" w:fill="CCEEFF"/>
          </w:tcPr>
          <w:p>
            <w:pPr>
              <w:spacing w:after="0"/>
              <w:rPr>
                <w:sz w:val="18"/>
                <w:szCs w:val="18"/>
                <w:color w:val="auto"/>
              </w:rPr>
            </w:pPr>
          </w:p>
        </w:tc>
        <w:tc>
          <w:tcPr>
            <w:tcW w:w="26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7"/>
                <w:szCs w:val="17"/>
                <w:color w:val="auto"/>
                <w:w w:val="97"/>
              </w:rPr>
              <w:t>7/1/2019 –3/31/2020</w:t>
            </w:r>
          </w:p>
        </w:tc>
        <w:tc>
          <w:tcPr>
            <w:tcW w:w="14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2023</w:t>
            </w:r>
          </w:p>
        </w:tc>
        <w:tc>
          <w:tcPr>
            <w:tcW w:w="1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QSR</w:t>
            </w:r>
          </w:p>
        </w:tc>
        <w:tc>
          <w:tcPr>
            <w:tcW w:w="17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5"/>
              </w:rPr>
              <w:t>1/1/2023</w:t>
            </w:r>
          </w:p>
        </w:tc>
        <w:tc>
          <w:tcPr>
            <w:tcW w:w="262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6"/>
              </w:rPr>
              <w:t>1/1/2023 – 12/31/2023</w:t>
            </w: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20%</w:t>
            </w:r>
          </w:p>
        </w:tc>
        <w:tc>
          <w:tcPr>
            <w:tcW w:w="1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20%</w:t>
            </w:r>
          </w:p>
        </w:tc>
        <w:tc>
          <w:tcPr>
            <w:tcW w:w="1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up to 63%</w:t>
            </w:r>
          </w:p>
        </w:tc>
        <w:tc>
          <w:tcPr>
            <w:tcW w:w="0" w:type="dxa"/>
            <w:vAlign w:val="bottom"/>
          </w:tcPr>
          <w:p>
            <w:pPr>
              <w:spacing w:after="0"/>
              <w:rPr>
                <w:sz w:val="1"/>
                <w:szCs w:val="1"/>
                <w:color w:val="auto"/>
              </w:rPr>
            </w:pPr>
          </w:p>
        </w:tc>
      </w:tr>
      <w:tr>
        <w:trPr>
          <w:trHeight w:val="226"/>
        </w:trPr>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2024</w:t>
            </w:r>
          </w:p>
        </w:tc>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QSR</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5"/>
              </w:rPr>
              <w:t>1/1/2024</w:t>
            </w:r>
          </w:p>
        </w:tc>
        <w:tc>
          <w:tcPr>
            <w:tcW w:w="26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7"/>
                <w:szCs w:val="17"/>
                <w:color w:val="auto"/>
                <w:w w:val="96"/>
              </w:rPr>
              <w:t>1/1/2024 – 12/31/2024</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20%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20%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up to 56%</w:t>
            </w:r>
          </w:p>
        </w:tc>
        <w:tc>
          <w:tcPr>
            <w:tcW w:w="0" w:type="dxa"/>
            <w:vAlign w:val="bottom"/>
          </w:tcPr>
          <w:p>
            <w:pPr>
              <w:spacing w:after="0"/>
              <w:rPr>
                <w:sz w:val="1"/>
                <w:szCs w:val="1"/>
                <w:color w:val="auto"/>
              </w:rPr>
            </w:pPr>
          </w:p>
        </w:tc>
      </w:tr>
      <w:tr>
        <w:trPr>
          <w:trHeight w:val="219"/>
        </w:trPr>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2025</w:t>
            </w:r>
          </w:p>
        </w:tc>
        <w:tc>
          <w:tcPr>
            <w:tcW w:w="1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QSR</w:t>
            </w:r>
          </w:p>
        </w:tc>
        <w:tc>
          <w:tcPr>
            <w:tcW w:w="17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5"/>
              </w:rPr>
              <w:t>1/1/2025</w:t>
            </w:r>
          </w:p>
        </w:tc>
        <w:tc>
          <w:tcPr>
            <w:tcW w:w="262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6"/>
              </w:rPr>
              <w:t>1/1/2025 – 12/31/2025</w:t>
            </w: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20%</w:t>
            </w:r>
          </w:p>
        </w:tc>
        <w:tc>
          <w:tcPr>
            <w:tcW w:w="1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20%</w:t>
            </w:r>
          </w:p>
        </w:tc>
        <w:tc>
          <w:tcPr>
            <w:tcW w:w="1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up to 62%</w:t>
            </w:r>
          </w:p>
        </w:tc>
        <w:tc>
          <w:tcPr>
            <w:tcW w:w="0" w:type="dxa"/>
            <w:vAlign w:val="bottom"/>
          </w:tcPr>
          <w:p>
            <w:pPr>
              <w:spacing w:after="0"/>
              <w:rPr>
                <w:sz w:val="1"/>
                <w:szCs w:val="1"/>
                <w:color w:val="auto"/>
              </w:rPr>
            </w:pPr>
          </w:p>
        </w:tc>
      </w:tr>
      <w:tr>
        <w:trPr>
          <w:trHeight w:val="226"/>
        </w:trPr>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2026</w:t>
            </w:r>
          </w:p>
        </w:tc>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QSR</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5"/>
              </w:rPr>
              <w:t>1/1/2026</w:t>
            </w:r>
          </w:p>
        </w:tc>
        <w:tc>
          <w:tcPr>
            <w:tcW w:w="26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7"/>
                <w:szCs w:val="17"/>
                <w:color w:val="auto"/>
                <w:w w:val="96"/>
              </w:rPr>
              <w:t>1/1/2026 – 12/31/2026</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25%</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21%</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up to 61%</w:t>
            </w:r>
          </w:p>
        </w:tc>
        <w:tc>
          <w:tcPr>
            <w:tcW w:w="0" w:type="dxa"/>
            <w:vAlign w:val="bottom"/>
          </w:tcPr>
          <w:p>
            <w:pPr>
              <w:spacing w:after="0"/>
              <w:rPr>
                <w:sz w:val="1"/>
                <w:szCs w:val="1"/>
                <w:color w:val="auto"/>
              </w:rPr>
            </w:pPr>
          </w:p>
        </w:tc>
      </w:tr>
    </w:tbl>
    <w:p>
      <w:pPr>
        <w:spacing w:after="0" w:line="226" w:lineRule="exact"/>
        <w:rPr>
          <w:sz w:val="20"/>
          <w:szCs w:val="20"/>
          <w:color w:val="auto"/>
        </w:rPr>
      </w:pPr>
    </w:p>
    <w:p>
      <w:pPr>
        <w:ind w:left="300" w:hanging="295"/>
        <w:spacing w:after="0"/>
        <w:tabs>
          <w:tab w:leader="none" w:pos="30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Under the terms of the 2018 QSR Transaction, NMIC cedes premiums earned related to 16% of the risk on eligible policies written in 2018 and 13% of the risk on eligible policies written in 2019.</w:t>
      </w:r>
    </w:p>
    <w:p>
      <w:pPr>
        <w:spacing w:after="0" w:line="23" w:lineRule="exact"/>
        <w:rPr>
          <w:rFonts w:ascii="Times New Roman" w:cs="Times New Roman" w:eastAsia="Times New Roman" w:hAnsi="Times New Roman"/>
          <w:sz w:val="13"/>
          <w:szCs w:val="13"/>
          <w:color w:val="auto"/>
        </w:rPr>
      </w:pPr>
    </w:p>
    <w:p>
      <w:pPr>
        <w:ind w:left="320" w:hanging="315"/>
        <w:spacing w:after="0" w:line="260" w:lineRule="auto"/>
        <w:tabs>
          <w:tab w:leader="none" w:pos="319"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 the terms of the 2022 Seasoned QSR Transaction, NMIC cedes premiums earned related to 48% of the risk on eligible policies after the consideration of coverage provided under any other QSR Transaction.</w:t>
      </w:r>
    </w:p>
    <w:p>
      <w:pPr>
        <w:spacing w:after="0" w:line="136" w:lineRule="exact"/>
        <w:rPr>
          <w:sz w:val="20"/>
          <w:szCs w:val="20"/>
          <w:color w:val="auto"/>
        </w:rPr>
      </w:pPr>
    </w:p>
    <w:p>
      <w:pPr>
        <w:jc w:val="both"/>
        <w:ind w:firstLine="627"/>
        <w:spacing w:after="0" w:line="269" w:lineRule="auto"/>
        <w:rPr>
          <w:sz w:val="20"/>
          <w:szCs w:val="20"/>
          <w:color w:val="auto"/>
        </w:rPr>
      </w:pPr>
      <w:r>
        <w:rPr>
          <w:rFonts w:ascii="Times New Roman" w:cs="Times New Roman" w:eastAsia="Times New Roman" w:hAnsi="Times New Roman"/>
          <w:sz w:val="17"/>
          <w:szCs w:val="17"/>
          <w:color w:val="auto"/>
        </w:rPr>
        <w:t>NMIC has also entered into two additional quota share reinsurance treaties that will provide sequential coverage for mortgage insurance policies to be written in 2027 and 2028 (the 2027 QSR Transaction and 2028 QSR Transaction). Under the terms of the 2027 QSR Transaction, NMIC will cede premiums earned related to 35% of the risk on eligible policies written between January 1, 2027 and December 31, 2027. Under the terms of the 2028 QSR Transaction, NMIC will cede premiums earned related to 25% of the risk on eligible policies written between January 1, 2028 and December 31, 2028.</w:t>
      </w:r>
    </w:p>
    <w:p>
      <w:pPr>
        <w:spacing w:after="0" w:line="1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following table shows amounts related to the QSR Transactions: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860" w:type="dxa"/>
            <w:vAlign w:val="bottom"/>
            <w:gridSpan w:val="3"/>
          </w:tcPr>
          <w:p>
            <w:pPr>
              <w:jc w:val="center"/>
              <w:ind w:right="256"/>
              <w:spacing w:after="0"/>
              <w:rPr>
                <w:sz w:val="20"/>
                <w:szCs w:val="20"/>
                <w:color w:val="auto"/>
              </w:rPr>
            </w:pPr>
            <w:r>
              <w:rPr>
                <w:rFonts w:ascii="Times New Roman" w:cs="Times New Roman" w:eastAsia="Times New Roman" w:hAnsi="Times New Roman"/>
                <w:sz w:val="14"/>
                <w:szCs w:val="14"/>
                <w:b w:val="1"/>
                <w:bCs w:val="1"/>
                <w:color w:val="auto"/>
                <w:w w:val="99"/>
              </w:rPr>
              <w:t>As of and for the three months ended</w:t>
            </w:r>
          </w:p>
        </w:tc>
      </w:tr>
      <w:tr>
        <w:trPr>
          <w:trHeight w:val="23"/>
        </w:trPr>
        <w:tc>
          <w:tcPr>
            <w:tcW w:w="70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83"/>
        </w:trPr>
        <w:tc>
          <w:tcPr>
            <w:tcW w:w="70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54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March 31, 2025</w:t>
            </w:r>
          </w:p>
        </w:tc>
      </w:tr>
      <w:tr>
        <w:trPr>
          <w:trHeight w:val="189"/>
        </w:trPr>
        <w:tc>
          <w:tcPr>
            <w:tcW w:w="7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80" w:type="dxa"/>
            <w:vAlign w:val="bottom"/>
            <w:gridSpan w:val="2"/>
          </w:tcPr>
          <w:p>
            <w:pPr>
              <w:jc w:val="center"/>
              <w:ind w:left="1159"/>
              <w:spacing w:after="0"/>
              <w:rPr>
                <w:sz w:val="20"/>
                <w:szCs w:val="20"/>
                <w:color w:val="auto"/>
              </w:rPr>
            </w:pPr>
            <w:r>
              <w:rPr>
                <w:rFonts w:ascii="Times New Roman" w:cs="Times New Roman" w:eastAsia="Times New Roman" w:hAnsi="Times New Roman"/>
                <w:sz w:val="14"/>
                <w:szCs w:val="14"/>
                <w:i w:val="1"/>
                <w:iCs w:val="1"/>
                <w:color w:val="auto"/>
                <w:w w:val="98"/>
              </w:rPr>
              <w:t>(In Thousands)</w:t>
            </w:r>
          </w:p>
        </w:tc>
        <w:tc>
          <w:tcPr>
            <w:tcW w:w="1580" w:type="dxa"/>
            <w:vAlign w:val="bottom"/>
          </w:tcPr>
          <w:p>
            <w:pPr>
              <w:spacing w:after="0"/>
              <w:rPr>
                <w:sz w:val="16"/>
                <w:szCs w:val="16"/>
                <w:color w:val="auto"/>
              </w:rPr>
            </w:pPr>
          </w:p>
        </w:tc>
      </w:tr>
      <w:tr>
        <w:trPr>
          <w:trHeight w:val="228"/>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Ceded risk-in-force</w:t>
            </w:r>
          </w:p>
        </w:tc>
        <w:tc>
          <w:tcPr>
            <w:tcW w:w="3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7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12,189,562</w:t>
            </w:r>
          </w:p>
        </w:tc>
        <w:tc>
          <w:tcPr>
            <w:tcW w:w="540" w:type="dxa"/>
            <w:vAlign w:val="bottom"/>
            <w:shd w:val="clear" w:color="auto" w:fill="CCEEFF"/>
          </w:tcPr>
          <w:p>
            <w:pPr>
              <w:jc w:val="right"/>
              <w:ind w:right="293"/>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12,888,870</w:t>
            </w:r>
          </w:p>
        </w:tc>
      </w:tr>
      <w:tr>
        <w:trPr>
          <w:trHeight w:val="222"/>
        </w:trPr>
        <w:tc>
          <w:tcPr>
            <w:tcW w:w="7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Ceded premiums earned</w:t>
            </w:r>
          </w:p>
        </w:tc>
        <w:tc>
          <w:tcPr>
            <w:tcW w:w="3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(37,930)</w:t>
            </w:r>
          </w:p>
        </w:tc>
        <w:tc>
          <w:tcPr>
            <w:tcW w:w="5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(41,011)</w:t>
            </w:r>
          </w:p>
        </w:tc>
      </w:tr>
      <w:tr>
        <w:trPr>
          <w:trHeight w:val="222"/>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Ceded claims and claim expenses</w:t>
            </w:r>
          </w:p>
        </w:tc>
        <w:tc>
          <w:tcPr>
            <w:tcW w:w="34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4,890</w:t>
            </w:r>
          </w:p>
        </w:tc>
        <w:tc>
          <w:tcPr>
            <w:tcW w:w="5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523</w:t>
            </w:r>
          </w:p>
        </w:tc>
      </w:tr>
      <w:tr>
        <w:trPr>
          <w:trHeight w:val="222"/>
        </w:trPr>
        <w:tc>
          <w:tcPr>
            <w:tcW w:w="7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Ceding commission earned</w:t>
            </w:r>
          </w:p>
        </w:tc>
        <w:tc>
          <w:tcPr>
            <w:tcW w:w="340" w:type="dxa"/>
            <w:vAlign w:val="bottom"/>
          </w:tcPr>
          <w:p>
            <w:pPr>
              <w:spacing w:after="0"/>
              <w:rPr>
                <w:sz w:val="19"/>
                <w:szCs w:val="19"/>
                <w:color w:val="auto"/>
              </w:rPr>
            </w:pPr>
          </w:p>
        </w:tc>
        <w:tc>
          <w:tcPr>
            <w:tcW w:w="1740" w:type="dxa"/>
            <w:vAlign w:val="bottom"/>
          </w:tcPr>
          <w:p>
            <w:pPr>
              <w:jc w:val="right"/>
              <w:ind w:right="19"/>
              <w:spacing w:after="0"/>
              <w:rPr>
                <w:sz w:val="20"/>
                <w:szCs w:val="20"/>
                <w:color w:val="auto"/>
              </w:rPr>
            </w:pPr>
            <w:r>
              <w:rPr>
                <w:rFonts w:ascii="Times New Roman" w:cs="Times New Roman" w:eastAsia="Times New Roman" w:hAnsi="Times New Roman"/>
                <w:sz w:val="17"/>
                <w:szCs w:val="17"/>
                <w:color w:val="auto"/>
              </w:rPr>
              <w:t>10,205</w:t>
            </w:r>
          </w:p>
        </w:tc>
        <w:tc>
          <w:tcPr>
            <w:tcW w:w="5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9,768</w:t>
            </w:r>
          </w:p>
        </w:tc>
      </w:tr>
      <w:tr>
        <w:trPr>
          <w:trHeight w:val="222"/>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Profit commission</w:t>
            </w:r>
          </w:p>
        </w:tc>
        <w:tc>
          <w:tcPr>
            <w:tcW w:w="34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17,131</w:t>
            </w:r>
          </w:p>
        </w:tc>
        <w:tc>
          <w:tcPr>
            <w:tcW w:w="5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23,398</w:t>
            </w:r>
          </w:p>
        </w:tc>
      </w:tr>
    </w:tbl>
    <w:p>
      <w:pPr>
        <w:spacing w:after="0" w:line="230" w:lineRule="exact"/>
        <w:rPr>
          <w:sz w:val="20"/>
          <w:szCs w:val="20"/>
          <w:color w:val="auto"/>
        </w:rPr>
      </w:pPr>
    </w:p>
    <w:p>
      <w:pPr>
        <w:jc w:val="both"/>
        <w:ind w:firstLine="627"/>
        <w:spacing w:after="0" w:line="276" w:lineRule="auto"/>
        <w:rPr>
          <w:sz w:val="20"/>
          <w:szCs w:val="20"/>
          <w:color w:val="auto"/>
        </w:rPr>
      </w:pPr>
      <w:r>
        <w:rPr>
          <w:rFonts w:ascii="Times New Roman" w:cs="Times New Roman" w:eastAsia="Times New Roman" w:hAnsi="Times New Roman"/>
          <w:sz w:val="17"/>
          <w:szCs w:val="17"/>
          <w:color w:val="auto"/>
        </w:rPr>
        <w:t>NMIC had aggregate reinsurance recoverables related to the QSR Transactions of $39.7 million and $38.6 million as of March 31, 2026 and December 31, 2025, respectively. NMIC's reinsurance recoverable balance is supported by collateral trust accounts established and maintained by each reinsurer in accordance with the terms of the QSR Transactions and the PMIERs funding requirements for risk ceded to non-affiliated reinsurers.</w:t>
      </w:r>
    </w:p>
    <w:p>
      <w:pPr>
        <w:spacing w:after="0" w:line="110" w:lineRule="exact"/>
        <w:rPr>
          <w:sz w:val="20"/>
          <w:szCs w:val="20"/>
          <w:color w:val="auto"/>
        </w:rPr>
      </w:pPr>
    </w:p>
    <w:p>
      <w:pPr>
        <w:jc w:val="both"/>
        <w:ind w:firstLine="627"/>
        <w:spacing w:after="0" w:line="266" w:lineRule="auto"/>
        <w:rPr>
          <w:sz w:val="20"/>
          <w:szCs w:val="20"/>
          <w:color w:val="auto"/>
        </w:rPr>
      </w:pPr>
      <w:r>
        <w:rPr>
          <w:rFonts w:ascii="Times New Roman" w:cs="Times New Roman" w:eastAsia="Times New Roman" w:hAnsi="Times New Roman"/>
          <w:sz w:val="17"/>
          <w:szCs w:val="17"/>
          <w:color w:val="auto"/>
        </w:rPr>
        <w:t>We remain directly liable for all claim payments if we are unable to collect the recoverables due from our reinsurers and establish an allowance for expected credit loss against our reinsurance recoverable if we do not expect to recover amounts due from one or more of our reinsurance counterparties. Our reinsurance recoverable is reported net of such allowance, if any. We actively monitor the counterparty credit profiles of our reinsurers and each is required to partially collateralize its obligations under the terms of the QSR Transactions. The allowance for credit loss established against our reinsurance recoverable was deemed immaterial as of March 31, 2026 and December 31, 2025.</w:t>
      </w:r>
    </w:p>
    <w:p>
      <w:pPr>
        <w:spacing w:after="0" w:line="1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i w:val="1"/>
          <w:iCs w:val="1"/>
          <w:color w:val="auto"/>
        </w:rPr>
        <w:t>Excess-of-loss Reinsurance</w:t>
      </w:r>
    </w:p>
    <w:p>
      <w:pPr>
        <w:spacing w:after="0" w:line="17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i w:val="1"/>
          <w:iCs w:val="1"/>
          <w:color w:val="auto"/>
        </w:rPr>
        <w:t>Traditional Reinsurance</w:t>
      </w:r>
    </w:p>
    <w:p>
      <w:pPr>
        <w:spacing w:after="0" w:line="172" w:lineRule="exact"/>
        <w:rPr>
          <w:sz w:val="20"/>
          <w:szCs w:val="20"/>
          <w:color w:val="auto"/>
        </w:rPr>
      </w:pPr>
    </w:p>
    <w:p>
      <w:pPr>
        <w:jc w:val="both"/>
        <w:ind w:firstLine="627"/>
        <w:spacing w:after="0" w:line="276" w:lineRule="auto"/>
        <w:rPr>
          <w:sz w:val="20"/>
          <w:szCs w:val="20"/>
          <w:color w:val="auto"/>
        </w:rPr>
      </w:pPr>
      <w:r>
        <w:rPr>
          <w:rFonts w:ascii="Times New Roman" w:cs="Times New Roman" w:eastAsia="Times New Roman" w:hAnsi="Times New Roman"/>
          <w:sz w:val="17"/>
          <w:szCs w:val="17"/>
          <w:color w:val="auto"/>
        </w:rPr>
        <w:t>NMIC is party to eight excess-of-loss reinsurance agreements with broad panels of third-party reinsurers – the 2022-1 XOL Transaction, effective April 1, 2022, the 2022-2 XOL Transaction, effective July 1, 2022, the 2022-3 XOL Transaction, effective October 1, 2022, the 2023-1 XOL Transaction, effective January 1, 2023, the 2023-2 XOL Transaction, effective July 1,</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CONDENSED CONSOLIDATED FINANCIAL STATEMENTS (UNAUDITED)</w:t>
      </w:r>
    </w:p>
    <w:p>
      <w:pPr>
        <w:spacing w:after="0" w:line="200" w:lineRule="exact"/>
        <w:rPr>
          <w:sz w:val="20"/>
          <w:szCs w:val="20"/>
          <w:color w:val="auto"/>
        </w:rPr>
      </w:pPr>
    </w:p>
    <w:p>
      <w:pPr>
        <w:spacing w:after="0" w:line="39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2023, the 2024 XOL Transaction, effective January 1, 2024, the 2025 XOL Transaction, effective January 1, 2025, and the 2026-1 XOL Transaction, effective January 1, 2026 – which we refer to collectively as the XOL Transactions. Each XOL Transaction provides NMIC with aggregate excess-of-loss reinsurance coverage on a defined portfolio of mortgage insurance policies. Under each agreement, NMIC retains a first layer of aggregate loss exposure on covered policies and the reinsurers then provide second layer loss protection up to a defined reinsurance coverage amount. The reinsurance coverage amount of each XOL Transaction is set to approximate the PMIERs minimum required assets of its reference pool and decreases from its peak over a ten-year period in the event the PMIERs minimum required assets of the pool declines. NMIC retains losses in excess of the outstanding reinsurance coverage amount.</w:t>
      </w:r>
    </w:p>
    <w:p>
      <w:pPr>
        <w:spacing w:after="0" w:line="121" w:lineRule="exact"/>
        <w:rPr>
          <w:sz w:val="20"/>
          <w:szCs w:val="20"/>
          <w:color w:val="auto"/>
        </w:rPr>
      </w:pPr>
    </w:p>
    <w:p>
      <w:pPr>
        <w:jc w:val="both"/>
        <w:ind w:firstLine="627"/>
        <w:spacing w:after="0" w:line="266" w:lineRule="auto"/>
        <w:rPr>
          <w:sz w:val="20"/>
          <w:szCs w:val="20"/>
          <w:color w:val="auto"/>
        </w:rPr>
      </w:pPr>
      <w:r>
        <w:rPr>
          <w:rFonts w:ascii="Times New Roman" w:cs="Times New Roman" w:eastAsia="Times New Roman" w:hAnsi="Times New Roman"/>
          <w:sz w:val="17"/>
          <w:szCs w:val="17"/>
          <w:color w:val="auto"/>
        </w:rPr>
        <w:t>Under the terms of the XOL Transactions, NMIC makes risk premium payments to its third-party reinsurance providers for the outstanding reinsurance coverage amount and ceded aggregate premiums earned of $11.0 million and $10.2 million during the three months ended March 31, 2026 and 2025, respectively. NMIC applies claims paid on covered policies against its first layer aggregate retained loss exposure under each agreement. NMIC did not cede any incurred losses on covered policies under the XOL Transactions during the three months ended March 31, 2026 and 2025, as the aggregate first layer risk retention for each agreement was not exhausted during such periods.</w:t>
      </w:r>
    </w:p>
    <w:p>
      <w:pPr>
        <w:spacing w:after="0" w:line="119" w:lineRule="exact"/>
        <w:rPr>
          <w:sz w:val="20"/>
          <w:szCs w:val="20"/>
          <w:color w:val="auto"/>
        </w:rPr>
      </w:pPr>
    </w:p>
    <w:p>
      <w:pPr>
        <w:jc w:val="both"/>
        <w:ind w:firstLine="627"/>
        <w:spacing w:after="0" w:line="264" w:lineRule="auto"/>
        <w:rPr>
          <w:sz w:val="20"/>
          <w:szCs w:val="20"/>
          <w:color w:val="auto"/>
        </w:rPr>
      </w:pPr>
      <w:r>
        <w:rPr>
          <w:rFonts w:ascii="Times New Roman" w:cs="Times New Roman" w:eastAsia="Times New Roman" w:hAnsi="Times New Roman"/>
          <w:sz w:val="17"/>
          <w:szCs w:val="17"/>
          <w:color w:val="auto"/>
        </w:rPr>
        <w:t>NMIC holds optional termination rights which provide it with the discretion to terminate each XOL Transaction on or after a specified date. NMIC may also elect to terminate the XOL Transactions at any point if the outstanding reinsurance coverage amount amortizes to 10% or less of the reinsurance coverage amount provided at inception, or if it determines that it will no longer be able to take full PMIERs asset credit for the coverage. Additionally, under the terms of the treaties, NMIC may selectively terminate its engagement with individual reinsurers under certain circumstances. Such selective termination rights arise when, among other reasons, a reinsurer experiences a deterioration in its capital position below a prescribed threshold, and/or a reinsurer breaches (and fails to cure) its collateral posting obligation.</w:t>
      </w:r>
    </w:p>
    <w:p>
      <w:pPr>
        <w:spacing w:after="0" w:line="121" w:lineRule="exact"/>
        <w:rPr>
          <w:sz w:val="20"/>
          <w:szCs w:val="20"/>
          <w:color w:val="auto"/>
        </w:rPr>
      </w:pPr>
    </w:p>
    <w:p>
      <w:pPr>
        <w:jc w:val="both"/>
        <w:ind w:firstLine="627"/>
        <w:spacing w:after="0" w:line="295" w:lineRule="auto"/>
        <w:rPr>
          <w:sz w:val="20"/>
          <w:szCs w:val="20"/>
          <w:color w:val="auto"/>
        </w:rPr>
      </w:pPr>
      <w:r>
        <w:rPr>
          <w:rFonts w:ascii="Times New Roman" w:cs="Times New Roman" w:eastAsia="Times New Roman" w:hAnsi="Times New Roman"/>
          <w:sz w:val="17"/>
          <w:szCs w:val="17"/>
          <w:color w:val="auto"/>
        </w:rPr>
        <w:t>Each of the third-party reinsurance providers that is party to the XOL Transactions has an insurer financial strength rating of A- or better by S&amp;P Global Ratings (S&amp;P), A.M. Best Company Inc. (A.M. Best) or both.</w:t>
      </w:r>
    </w:p>
    <w:p>
      <w:pPr>
        <w:spacing w:after="0" w:line="94" w:lineRule="exact"/>
        <w:rPr>
          <w:sz w:val="20"/>
          <w:szCs w:val="20"/>
          <w:color w:val="auto"/>
        </w:rPr>
      </w:pPr>
    </w:p>
    <w:p>
      <w:pPr>
        <w:jc w:val="both"/>
        <w:ind w:firstLine="627"/>
        <w:spacing w:after="0" w:line="295" w:lineRule="auto"/>
        <w:rPr>
          <w:sz w:val="20"/>
          <w:szCs w:val="20"/>
          <w:color w:val="auto"/>
        </w:rPr>
      </w:pPr>
      <w:r>
        <w:rPr>
          <w:rFonts w:ascii="Times New Roman" w:cs="Times New Roman" w:eastAsia="Times New Roman" w:hAnsi="Times New Roman"/>
          <w:sz w:val="17"/>
          <w:szCs w:val="17"/>
          <w:color w:val="auto"/>
        </w:rPr>
        <w:t>The following table presents the inception date, covered production period, initial and current reinsurance coverage amount, and initial and current first layer retained aggregate loss under each outstanding XOL Transaction. Current amounts are presented as of March 31, 2026.</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Initial</w:t>
            </w:r>
          </w:p>
        </w:tc>
        <w:tc>
          <w:tcPr>
            <w:tcW w:w="120" w:type="dxa"/>
            <w:vAlign w:val="bottom"/>
          </w:tcPr>
          <w:p>
            <w:pPr>
              <w:spacing w:after="0"/>
              <w:rPr>
                <w:sz w:val="13"/>
                <w:szCs w:val="13"/>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Current</w:t>
            </w:r>
          </w:p>
        </w:tc>
        <w:tc>
          <w:tcPr>
            <w:tcW w:w="140" w:type="dxa"/>
            <w:vAlign w:val="bottom"/>
          </w:tcPr>
          <w:p>
            <w:pPr>
              <w:spacing w:after="0"/>
              <w:rPr>
                <w:sz w:val="13"/>
                <w:szCs w:val="13"/>
                <w:color w:val="auto"/>
              </w:rPr>
            </w:pPr>
          </w:p>
        </w:tc>
        <w:tc>
          <w:tcPr>
            <w:tcW w:w="13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Initial First Layer</w:t>
            </w:r>
          </w:p>
        </w:tc>
        <w:tc>
          <w:tcPr>
            <w:tcW w:w="100" w:type="dxa"/>
            <w:vAlign w:val="bottom"/>
          </w:tcPr>
          <w:p>
            <w:pPr>
              <w:spacing w:after="0"/>
              <w:rPr>
                <w:sz w:val="13"/>
                <w:szCs w:val="13"/>
                <w:color w:val="auto"/>
              </w:rPr>
            </w:pPr>
          </w:p>
        </w:tc>
        <w:tc>
          <w:tcPr>
            <w:tcW w:w="1320" w:type="dxa"/>
            <w:vAlign w:val="bottom"/>
            <w:vMerge w:val="restart"/>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w w:val="97"/>
              </w:rPr>
              <w:t>Current First Layer</w:t>
            </w:r>
          </w:p>
        </w:tc>
        <w:tc>
          <w:tcPr>
            <w:tcW w:w="0" w:type="dxa"/>
            <w:vAlign w:val="bottom"/>
          </w:tcPr>
          <w:p>
            <w:pPr>
              <w:spacing w:after="0"/>
              <w:rPr>
                <w:sz w:val="1"/>
                <w:szCs w:val="1"/>
                <w:color w:val="auto"/>
              </w:rPr>
            </w:pPr>
          </w:p>
        </w:tc>
      </w:tr>
      <w:tr>
        <w:trPr>
          <w:trHeight w:val="142"/>
        </w:trPr>
        <w:tc>
          <w:tcPr>
            <w:tcW w:w="1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 values in thousands)</w:t>
            </w:r>
          </w:p>
        </w:tc>
        <w:tc>
          <w:tcPr>
            <w:tcW w:w="1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Inception Date</w:t>
            </w:r>
          </w:p>
        </w:tc>
        <w:tc>
          <w:tcPr>
            <w:tcW w:w="246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Covered Production</w:t>
            </w:r>
          </w:p>
        </w:tc>
        <w:tc>
          <w:tcPr>
            <w:tcW w:w="140" w:type="dxa"/>
            <w:vAlign w:val="bottom"/>
          </w:tcPr>
          <w:p>
            <w:pPr>
              <w:spacing w:after="0"/>
              <w:rPr>
                <w:sz w:val="12"/>
                <w:szCs w:val="12"/>
                <w:color w:val="auto"/>
              </w:rPr>
            </w:pPr>
          </w:p>
        </w:tc>
        <w:tc>
          <w:tcPr>
            <w:tcW w:w="104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4"/>
                <w:szCs w:val="14"/>
                <w:b w:val="1"/>
                <w:bCs w:val="1"/>
                <w:color w:val="auto"/>
                <w:w w:val="99"/>
              </w:rPr>
              <w:t>Reinsurance</w:t>
            </w: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w w:val="99"/>
              </w:rPr>
              <w:t>Reinsurance</w:t>
            </w:r>
          </w:p>
        </w:tc>
        <w:tc>
          <w:tcPr>
            <w:tcW w:w="14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820" w:type="dxa"/>
            <w:vAlign w:val="bottom"/>
            <w:gridSpan w:val="2"/>
            <w:vMerge w:val="continue"/>
          </w:tcPr>
          <w:p>
            <w:pPr>
              <w:spacing w:after="0"/>
              <w:rPr>
                <w:sz w:val="17"/>
                <w:szCs w:val="17"/>
                <w:color w:val="auto"/>
              </w:rPr>
            </w:pPr>
          </w:p>
        </w:tc>
        <w:tc>
          <w:tcPr>
            <w:tcW w:w="1740" w:type="dxa"/>
            <w:vAlign w:val="bottom"/>
            <w:vMerge w:val="continue"/>
          </w:tcPr>
          <w:p>
            <w:pPr>
              <w:spacing w:after="0"/>
              <w:rPr>
                <w:sz w:val="17"/>
                <w:szCs w:val="17"/>
                <w:color w:val="auto"/>
              </w:rPr>
            </w:pPr>
          </w:p>
        </w:tc>
        <w:tc>
          <w:tcPr>
            <w:tcW w:w="24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Coverage</w:t>
            </w:r>
          </w:p>
        </w:tc>
        <w:tc>
          <w:tcPr>
            <w:tcW w:w="120" w:type="dxa"/>
            <w:vAlign w:val="bottom"/>
          </w:tcPr>
          <w:p>
            <w:pPr>
              <w:spacing w:after="0"/>
              <w:rPr>
                <w:sz w:val="17"/>
                <w:szCs w:val="17"/>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Coverage</w:t>
            </w:r>
          </w:p>
        </w:tc>
        <w:tc>
          <w:tcPr>
            <w:tcW w:w="140" w:type="dxa"/>
            <w:vAlign w:val="bottom"/>
          </w:tcPr>
          <w:p>
            <w:pPr>
              <w:spacing w:after="0"/>
              <w:rPr>
                <w:sz w:val="17"/>
                <w:szCs w:val="17"/>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Retained Loss</w:t>
            </w:r>
          </w:p>
        </w:tc>
        <w:tc>
          <w:tcPr>
            <w:tcW w:w="100" w:type="dxa"/>
            <w:vAlign w:val="bottom"/>
          </w:tcPr>
          <w:p>
            <w:pPr>
              <w:spacing w:after="0"/>
              <w:rPr>
                <w:sz w:val="17"/>
                <w:szCs w:val="17"/>
                <w:color w:val="auto"/>
              </w:rPr>
            </w:pPr>
          </w:p>
        </w:tc>
        <w:tc>
          <w:tcPr>
            <w:tcW w:w="1320" w:type="dxa"/>
            <w:vAlign w:val="bottom"/>
          </w:tcPr>
          <w:p>
            <w:pPr>
              <w:jc w:val="right"/>
              <w:ind w:right="136"/>
              <w:spacing w:after="0" w:line="196" w:lineRule="exact"/>
              <w:rPr>
                <w:sz w:val="20"/>
                <w:szCs w:val="20"/>
                <w:color w:val="auto"/>
              </w:rPr>
            </w:pPr>
            <w:r>
              <w:rPr>
                <w:rFonts w:ascii="Times New Roman" w:cs="Times New Roman" w:eastAsia="Times New Roman" w:hAnsi="Times New Roman"/>
                <w:sz w:val="14"/>
                <w:szCs w:val="14"/>
                <w:b w:val="1"/>
                <w:bCs w:val="1"/>
                <w:color w:val="auto"/>
              </w:rPr>
              <w:t xml:space="preserve">Retained Loss </w:t>
            </w:r>
            <w:r>
              <w:rPr>
                <w:rFonts w:ascii="Times New Roman" w:cs="Times New Roman" w:eastAsia="Times New Roman" w:hAnsi="Times New Roman"/>
                <w:sz w:val="18"/>
                <w:szCs w:val="18"/>
                <w:b w:val="1"/>
                <w:bCs w:val="1"/>
                <w:color w:val="auto"/>
                <w:vertAlign w:val="superscript"/>
              </w:rPr>
              <w:t>(1)</w:t>
            </w:r>
          </w:p>
        </w:tc>
        <w:tc>
          <w:tcPr>
            <w:tcW w:w="0" w:type="dxa"/>
            <w:vAlign w:val="bottom"/>
          </w:tcPr>
          <w:p>
            <w:pPr>
              <w:spacing w:after="0"/>
              <w:rPr>
                <w:sz w:val="1"/>
                <w:szCs w:val="1"/>
                <w:color w:val="auto"/>
              </w:rPr>
            </w:pPr>
          </w:p>
        </w:tc>
      </w:tr>
      <w:tr>
        <w:trPr>
          <w:trHeight w:val="215"/>
        </w:trPr>
        <w:tc>
          <w:tcPr>
            <w:tcW w:w="18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2022-1 XOL</w:t>
            </w:r>
          </w:p>
        </w:tc>
        <w:tc>
          <w:tcPr>
            <w:tcW w:w="1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April 1, 2022</w:t>
            </w:r>
          </w:p>
        </w:tc>
        <w:tc>
          <w:tcPr>
            <w:tcW w:w="23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10/1/2021 – 3/31/2022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289,741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137,567</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133,366</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128,264</w:t>
            </w:r>
          </w:p>
        </w:tc>
        <w:tc>
          <w:tcPr>
            <w:tcW w:w="0" w:type="dxa"/>
            <w:vAlign w:val="bottom"/>
          </w:tcPr>
          <w:p>
            <w:pPr>
              <w:spacing w:after="0"/>
              <w:rPr>
                <w:sz w:val="1"/>
                <w:szCs w:val="1"/>
                <w:color w:val="auto"/>
              </w:rPr>
            </w:pPr>
          </w:p>
        </w:tc>
      </w:tr>
      <w:tr>
        <w:trPr>
          <w:trHeight w:val="222"/>
        </w:trPr>
        <w:tc>
          <w:tcPr>
            <w:tcW w:w="18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2022-2 XOL</w:t>
            </w:r>
          </w:p>
        </w:tc>
        <w:tc>
          <w:tcPr>
            <w:tcW w:w="17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July 1, 2022</w:t>
            </w:r>
          </w:p>
        </w:tc>
        <w:tc>
          <w:tcPr>
            <w:tcW w:w="246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color w:val="auto"/>
              </w:rPr>
              <w:t>4/1/2022 – 6/30/2022</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154,306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109,595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78,906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72,011</w:t>
            </w:r>
          </w:p>
        </w:tc>
        <w:tc>
          <w:tcPr>
            <w:tcW w:w="0" w:type="dxa"/>
            <w:vAlign w:val="bottom"/>
          </w:tcPr>
          <w:p>
            <w:pPr>
              <w:spacing w:after="0"/>
              <w:rPr>
                <w:sz w:val="1"/>
                <w:szCs w:val="1"/>
                <w:color w:val="auto"/>
              </w:rPr>
            </w:pPr>
          </w:p>
        </w:tc>
      </w:tr>
      <w:tr>
        <w:trPr>
          <w:trHeight w:val="222"/>
        </w:trPr>
        <w:tc>
          <w:tcPr>
            <w:tcW w:w="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2022-3</w:t>
            </w:r>
          </w:p>
        </w:tc>
        <w:tc>
          <w:tcPr>
            <w:tcW w:w="1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XOL</w:t>
            </w: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October 1, 2022</w:t>
            </w:r>
          </w:p>
        </w:tc>
        <w:tc>
          <w:tcPr>
            <w:tcW w:w="246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7"/>
                <w:szCs w:val="17"/>
                <w:color w:val="auto"/>
              </w:rPr>
              <w:t>7/1/2022 – 9/30/2022</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96,779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70,905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106,265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100,303</w:t>
            </w:r>
          </w:p>
        </w:tc>
        <w:tc>
          <w:tcPr>
            <w:tcW w:w="0" w:type="dxa"/>
            <w:vAlign w:val="bottom"/>
          </w:tcPr>
          <w:p>
            <w:pPr>
              <w:spacing w:after="0"/>
              <w:rPr>
                <w:sz w:val="1"/>
                <w:szCs w:val="1"/>
                <w:color w:val="auto"/>
              </w:rPr>
            </w:pPr>
          </w:p>
        </w:tc>
      </w:tr>
      <w:tr>
        <w:trPr>
          <w:trHeight w:val="222"/>
        </w:trPr>
        <w:tc>
          <w:tcPr>
            <w:tcW w:w="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2023-1</w:t>
            </w:r>
          </w:p>
        </w:tc>
        <w:tc>
          <w:tcPr>
            <w:tcW w:w="1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XOL</w:t>
            </w:r>
          </w:p>
        </w:tc>
        <w:tc>
          <w:tcPr>
            <w:tcW w:w="17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January 1, 2023</w:t>
            </w:r>
          </w:p>
        </w:tc>
        <w:tc>
          <w:tcPr>
            <w:tcW w:w="246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color w:val="auto"/>
              </w:rPr>
              <w:t>10/1/2022 – 6/30/2023</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89,864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59,249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146,513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140,573</w:t>
            </w:r>
          </w:p>
        </w:tc>
        <w:tc>
          <w:tcPr>
            <w:tcW w:w="0" w:type="dxa"/>
            <w:vAlign w:val="bottom"/>
          </w:tcPr>
          <w:p>
            <w:pPr>
              <w:spacing w:after="0"/>
              <w:rPr>
                <w:sz w:val="1"/>
                <w:szCs w:val="1"/>
                <w:color w:val="auto"/>
              </w:rPr>
            </w:pPr>
          </w:p>
        </w:tc>
      </w:tr>
      <w:tr>
        <w:trPr>
          <w:trHeight w:val="222"/>
        </w:trPr>
        <w:tc>
          <w:tcPr>
            <w:tcW w:w="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2023-2</w:t>
            </w:r>
          </w:p>
        </w:tc>
        <w:tc>
          <w:tcPr>
            <w:tcW w:w="1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XOL</w:t>
            </w: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July 1, 2023</w:t>
            </w:r>
          </w:p>
        </w:tc>
        <w:tc>
          <w:tcPr>
            <w:tcW w:w="246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7"/>
                <w:szCs w:val="17"/>
                <w:color w:val="auto"/>
              </w:rPr>
              <w:t>7/1/2023 – 12/31/2023</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100,777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57,358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136,875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134,382</w:t>
            </w:r>
          </w:p>
        </w:tc>
        <w:tc>
          <w:tcPr>
            <w:tcW w:w="0" w:type="dxa"/>
            <w:vAlign w:val="bottom"/>
          </w:tcPr>
          <w:p>
            <w:pPr>
              <w:spacing w:after="0"/>
              <w:rPr>
                <w:sz w:val="1"/>
                <w:szCs w:val="1"/>
                <w:color w:val="auto"/>
              </w:rPr>
            </w:pPr>
          </w:p>
        </w:tc>
      </w:tr>
      <w:tr>
        <w:trPr>
          <w:trHeight w:val="222"/>
        </w:trPr>
        <w:tc>
          <w:tcPr>
            <w:tcW w:w="18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2024 XOL</w:t>
            </w:r>
          </w:p>
        </w:tc>
        <w:tc>
          <w:tcPr>
            <w:tcW w:w="17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January 1, 2024</w:t>
            </w:r>
          </w:p>
        </w:tc>
        <w:tc>
          <w:tcPr>
            <w:tcW w:w="246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color w:val="auto"/>
              </w:rPr>
              <w:t>1/1/2024 – 12/31/2024</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162,500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143,357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312,172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310,606</w:t>
            </w:r>
          </w:p>
        </w:tc>
        <w:tc>
          <w:tcPr>
            <w:tcW w:w="0" w:type="dxa"/>
            <w:vAlign w:val="bottom"/>
          </w:tcPr>
          <w:p>
            <w:pPr>
              <w:spacing w:after="0"/>
              <w:rPr>
                <w:sz w:val="1"/>
                <w:szCs w:val="1"/>
                <w:color w:val="auto"/>
              </w:rPr>
            </w:pPr>
          </w:p>
        </w:tc>
      </w:tr>
      <w:tr>
        <w:trPr>
          <w:trHeight w:val="222"/>
        </w:trPr>
        <w:tc>
          <w:tcPr>
            <w:tcW w:w="1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2025 XOL</w:t>
            </w: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January 1, 2025</w:t>
            </w:r>
          </w:p>
        </w:tc>
        <w:tc>
          <w:tcPr>
            <w:tcW w:w="246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7"/>
                <w:szCs w:val="17"/>
                <w:color w:val="auto"/>
              </w:rPr>
              <w:t>1/1/2025 – 12/31/2025</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283,849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275,896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321,331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321,331</w:t>
            </w:r>
          </w:p>
        </w:tc>
        <w:tc>
          <w:tcPr>
            <w:tcW w:w="0" w:type="dxa"/>
            <w:vAlign w:val="bottom"/>
          </w:tcPr>
          <w:p>
            <w:pPr>
              <w:spacing w:after="0"/>
              <w:rPr>
                <w:sz w:val="1"/>
                <w:szCs w:val="1"/>
                <w:color w:val="auto"/>
              </w:rPr>
            </w:pPr>
          </w:p>
        </w:tc>
      </w:tr>
      <w:tr>
        <w:trPr>
          <w:trHeight w:val="460"/>
        </w:trPr>
        <w:tc>
          <w:tcPr>
            <w:tcW w:w="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2026-1</w:t>
            </w:r>
          </w:p>
        </w:tc>
        <w:tc>
          <w:tcPr>
            <w:tcW w:w="1280" w:type="dxa"/>
            <w:vAlign w:val="bottom"/>
          </w:tcPr>
          <w:p>
            <w:pPr>
              <w:ind w:left="20"/>
              <w:spacing w:after="0"/>
              <w:rPr>
                <w:sz w:val="20"/>
                <w:szCs w:val="20"/>
                <w:color w:val="auto"/>
              </w:rPr>
            </w:pPr>
            <w:r>
              <w:rPr>
                <w:rFonts w:ascii="Times New Roman" w:cs="Times New Roman" w:eastAsia="Times New Roman" w:hAnsi="Times New Roman"/>
                <w:sz w:val="34"/>
                <w:szCs w:val="34"/>
                <w:color w:val="auto"/>
                <w:vertAlign w:val="subscript"/>
              </w:rPr>
              <w:t>XOL</w:t>
            </w:r>
            <w:r>
              <w:rPr>
                <w:rFonts w:ascii="Times New Roman" w:cs="Times New Roman" w:eastAsia="Times New Roman" w:hAnsi="Times New Roman"/>
                <w:sz w:val="11"/>
                <w:szCs w:val="11"/>
                <w:color w:val="auto"/>
              </w:rPr>
              <w:t>(2)</w:t>
            </w:r>
          </w:p>
        </w:tc>
        <w:tc>
          <w:tcPr>
            <w:tcW w:w="17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January 1, 2026</w:t>
            </w:r>
          </w:p>
        </w:tc>
        <w:tc>
          <w:tcPr>
            <w:tcW w:w="246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color w:val="auto"/>
              </w:rPr>
              <w:t>1/1/2026 – 12/31/2026</w:t>
            </w:r>
          </w:p>
        </w:tc>
        <w:tc>
          <w:tcPr>
            <w:tcW w:w="1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42,371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42,371</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76,881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76,881</w:t>
            </w:r>
          </w:p>
        </w:tc>
        <w:tc>
          <w:tcPr>
            <w:tcW w:w="0" w:type="dxa"/>
            <w:vAlign w:val="bottom"/>
          </w:tcPr>
          <w:p>
            <w:pPr>
              <w:spacing w:after="0"/>
              <w:rPr>
                <w:sz w:val="1"/>
                <w:szCs w:val="1"/>
                <w:color w:val="auto"/>
              </w:rPr>
            </w:pPr>
          </w:p>
        </w:tc>
      </w:tr>
    </w:tbl>
    <w:p>
      <w:pPr>
        <w:ind w:left="320" w:hanging="315"/>
        <w:spacing w:after="0" w:line="243" w:lineRule="auto"/>
        <w:tabs>
          <w:tab w:leader="none" w:pos="308"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NMIC applies claims paid on covered policies against its first layer aggregate retained loss exposure and cedes reserves for incurred claims and claim expenses to each applicable XOL Transaction and recognizes a reinsurance recoverable if such incurred claims and claim expenses exceed its current first layer retained loss.</w:t>
      </w:r>
    </w:p>
    <w:p>
      <w:pPr>
        <w:ind w:left="320" w:hanging="315"/>
        <w:spacing w:after="0" w:line="266" w:lineRule="auto"/>
        <w:tabs>
          <w:tab w:leader="none" w:pos="354"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initial reinsurance coverage, current reinsurance coverage, initial first layer retained loss and current first layer retained loss for the 2026-1 XOL Transaction will increase as incremental covered production is ceded under the transaction through December 31, 2026.</w:t>
      </w:r>
    </w:p>
    <w:p>
      <w:pPr>
        <w:spacing w:after="0" w:line="132" w:lineRule="exact"/>
        <w:rPr>
          <w:sz w:val="20"/>
          <w:szCs w:val="20"/>
          <w:color w:val="auto"/>
        </w:rPr>
      </w:pPr>
    </w:p>
    <w:p>
      <w:pPr>
        <w:jc w:val="both"/>
        <w:ind w:firstLine="627"/>
        <w:spacing w:after="0" w:line="259" w:lineRule="auto"/>
        <w:rPr>
          <w:sz w:val="20"/>
          <w:szCs w:val="20"/>
          <w:color w:val="auto"/>
        </w:rPr>
      </w:pPr>
      <w:r>
        <w:rPr>
          <w:rFonts w:ascii="Times New Roman" w:cs="Times New Roman" w:eastAsia="Times New Roman" w:hAnsi="Times New Roman"/>
          <w:sz w:val="17"/>
          <w:szCs w:val="17"/>
          <w:color w:val="auto"/>
        </w:rPr>
        <w:t>NMIC has also entered into two additional excess-of-loss reinsurance treaties that will incept and provide coverage in future periods. The 2026-2 XOL Transaction will incept on April 1, 2026 and provide $148 million of aggregate excess-of-loss coverage for mortgage insurance policies covered under the existing 2021-1 ILN Transaction, and the 2027 XOL Transaction will provide $125 million of aggregate excess-of-loss coverage for mortgage insurance policies to be written in 2027.</w:t>
      </w:r>
    </w:p>
    <w:p>
      <w:pPr>
        <w:spacing w:after="0" w:line="1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i w:val="1"/>
          <w:iCs w:val="1"/>
          <w:color w:val="auto"/>
        </w:rPr>
        <w:t>Insurance-Linked Notes</w:t>
      </w:r>
    </w:p>
    <w:p>
      <w:pPr>
        <w:spacing w:after="0" w:line="159" w:lineRule="exact"/>
        <w:rPr>
          <w:sz w:val="20"/>
          <w:szCs w:val="20"/>
          <w:color w:val="auto"/>
        </w:rPr>
      </w:pPr>
    </w:p>
    <w:p>
      <w:pPr>
        <w:jc w:val="both"/>
        <w:ind w:firstLine="627"/>
        <w:spacing w:after="0" w:line="295" w:lineRule="auto"/>
        <w:rPr>
          <w:sz w:val="20"/>
          <w:szCs w:val="20"/>
          <w:color w:val="auto"/>
        </w:rPr>
      </w:pPr>
      <w:r>
        <w:rPr>
          <w:rFonts w:ascii="Times New Roman" w:cs="Times New Roman" w:eastAsia="Times New Roman" w:hAnsi="Times New Roman"/>
          <w:sz w:val="17"/>
          <w:szCs w:val="17"/>
          <w:color w:val="auto"/>
        </w:rPr>
        <w:t>NMIC is a party to reinsurance agreements with Oaktown Re VI Ltd. and Oaktown Re VII Ltd. (special purpose reinsurance entities collectively referred to as the Oaktown Re Vehicles) effective April 27, 2021 and October 26, 2021,</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CONDENSED CONSOLIDATED FINANCIAL STATEMENTS (UNAUDITED)</w:t>
      </w:r>
    </w:p>
    <w:p>
      <w:pPr>
        <w:spacing w:after="0" w:line="200" w:lineRule="exact"/>
        <w:rPr>
          <w:sz w:val="20"/>
          <w:szCs w:val="20"/>
          <w:color w:val="auto"/>
        </w:rPr>
      </w:pPr>
    </w:p>
    <w:p>
      <w:pPr>
        <w:spacing w:after="0" w:line="397"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respectively. Each agreement provides NMIC with aggregate excess-of-loss reinsurance coverage on a defined portfolio of mortgage insurance policies. Under each agreement, NMIC retains a first layer of aggregate loss exposure on covered policies and the respective Oaktown Re Vehicle then provides second layer loss protection up to a defined reinsurance coverage amount. NMIC then retains losses in excess of the respective reinsurance coverage amounts.</w:t>
      </w:r>
    </w:p>
    <w:p>
      <w:pPr>
        <w:spacing w:after="0" w:line="110" w:lineRule="exact"/>
        <w:rPr>
          <w:sz w:val="20"/>
          <w:szCs w:val="20"/>
          <w:color w:val="auto"/>
        </w:rPr>
      </w:pPr>
    </w:p>
    <w:p>
      <w:pPr>
        <w:jc w:val="both"/>
        <w:ind w:firstLine="627"/>
        <w:spacing w:after="0" w:line="276" w:lineRule="auto"/>
        <w:rPr>
          <w:sz w:val="20"/>
          <w:szCs w:val="20"/>
          <w:color w:val="auto"/>
        </w:rPr>
      </w:pPr>
      <w:r>
        <w:rPr>
          <w:rFonts w:ascii="Times New Roman" w:cs="Times New Roman" w:eastAsia="Times New Roman" w:hAnsi="Times New Roman"/>
          <w:sz w:val="17"/>
          <w:szCs w:val="17"/>
          <w:color w:val="auto"/>
        </w:rPr>
        <w:t>NMIC makes risk premium payments to the Oaktown Re Vehicles for the applicable outstanding reinsurance coverage amount and pays an additional amount for anticipated operating expenses (capped at $250 thousand per year). NMIC ceded aggregate premiums to the Oaktown Re Vehicles of $2.4 million and $3.3 million during the three months ended March 31, 2026 and 2025, respectively.</w:t>
      </w:r>
    </w:p>
    <w:p>
      <w:pPr>
        <w:spacing w:after="0" w:line="110" w:lineRule="exact"/>
        <w:rPr>
          <w:sz w:val="20"/>
          <w:szCs w:val="20"/>
          <w:color w:val="auto"/>
        </w:rPr>
      </w:pPr>
    </w:p>
    <w:p>
      <w:pPr>
        <w:jc w:val="both"/>
        <w:ind w:firstLine="627"/>
        <w:spacing w:after="0" w:line="276" w:lineRule="auto"/>
        <w:rPr>
          <w:sz w:val="20"/>
          <w:szCs w:val="20"/>
          <w:color w:val="auto"/>
        </w:rPr>
      </w:pPr>
      <w:r>
        <w:rPr>
          <w:rFonts w:ascii="Times New Roman" w:cs="Times New Roman" w:eastAsia="Times New Roman" w:hAnsi="Times New Roman"/>
          <w:sz w:val="17"/>
          <w:szCs w:val="17"/>
          <w:color w:val="auto"/>
        </w:rPr>
        <w:t>NMIC applies claims paid on covered policies against its first layer aggregate retained loss exposure under each excess-of-loss agreement. NMIC did not cede any incurred losses on covered policies to the Oaktown Re Vehicles during the three months ended March 31, 2026 and 2025, as the aggregate first layer risk retention for each applicable agreement was not exhausted during such periods.</w:t>
      </w:r>
    </w:p>
    <w:p>
      <w:pPr>
        <w:spacing w:after="0" w:line="110" w:lineRule="exact"/>
        <w:rPr>
          <w:sz w:val="20"/>
          <w:szCs w:val="20"/>
          <w:color w:val="auto"/>
        </w:rPr>
      </w:pPr>
    </w:p>
    <w:p>
      <w:pPr>
        <w:jc w:val="both"/>
        <w:ind w:firstLine="627"/>
        <w:spacing w:after="0" w:line="264" w:lineRule="auto"/>
        <w:rPr>
          <w:sz w:val="20"/>
          <w:szCs w:val="20"/>
          <w:color w:val="auto"/>
        </w:rPr>
      </w:pPr>
      <w:r>
        <w:rPr>
          <w:rFonts w:ascii="Times New Roman" w:cs="Times New Roman" w:eastAsia="Times New Roman" w:hAnsi="Times New Roman"/>
          <w:sz w:val="17"/>
          <w:szCs w:val="17"/>
          <w:color w:val="auto"/>
        </w:rPr>
        <w:t>Under the terms of each excess-of-loss reinsurance agreement, the Oaktown Re Vehicles are required to fully collateralize their outstanding reinsurance coverage amount to NMIC with funds deposited into segregated reinsurance trusts. Such trust funds are required to be invested in short-term U.S. Treasury money market funds at all times. Each Oaktown Re Vehicle financed its respective collateral requirement through the issuance of mortgage insurance-linked notes to unaffiliated investors. Such insurance-linked notes mature 12.5 years from the inception date of their associated reinsurance agreement. We refer to NMIC’s reinsurance agreements with and the insurance-linked note issuances by Oaktown Re Vehicles individually as the 2021-1 ILN Transaction and 2021-2 ILN Transaction, and collectively as the ILN Transactions.</w:t>
      </w:r>
    </w:p>
    <w:p>
      <w:pPr>
        <w:spacing w:after="0" w:line="121" w:lineRule="exact"/>
        <w:rPr>
          <w:sz w:val="20"/>
          <w:szCs w:val="20"/>
          <w:color w:val="auto"/>
        </w:rPr>
      </w:pPr>
    </w:p>
    <w:p>
      <w:pPr>
        <w:jc w:val="both"/>
        <w:ind w:firstLine="627"/>
        <w:spacing w:after="0" w:line="265" w:lineRule="auto"/>
        <w:rPr>
          <w:sz w:val="20"/>
          <w:szCs w:val="20"/>
          <w:color w:val="auto"/>
        </w:rPr>
      </w:pPr>
      <w:r>
        <w:rPr>
          <w:rFonts w:ascii="Times New Roman" w:cs="Times New Roman" w:eastAsia="Times New Roman" w:hAnsi="Times New Roman"/>
          <w:sz w:val="17"/>
          <w:szCs w:val="17"/>
          <w:color w:val="auto"/>
        </w:rPr>
        <w:t>The respective reinsurance coverage amounts provided by the Oaktown Re Vehicles decrease over a 12.5-year period as the underlying insured mortgages are amortized or repaid, and/or the mortgage insurance coverage is canceled. As the reinsurance coverage decreases, a prescribed amount of collateral held in trust by the Oaktown Re Vehicles is distributed to ILN Transaction noteholders as amortization of the outstanding insurance-linked note principal balances. The outstanding reinsurance coverage amounts stop amortizing, and the distribution of collateral assets to ILN Transaction noteholders and amortization of insurance-linked note principal is suspended if certain credit enhancement or delinquency thresholds, as defined in each agreement, are triggered (each, a Lock-Out Event).</w:t>
      </w:r>
    </w:p>
    <w:p>
      <w:pPr>
        <w:spacing w:after="0" w:line="332" w:lineRule="exact"/>
        <w:rPr>
          <w:sz w:val="20"/>
          <w:szCs w:val="20"/>
          <w:color w:val="auto"/>
        </w:rPr>
      </w:pPr>
    </w:p>
    <w:p>
      <w:pPr>
        <w:jc w:val="both"/>
        <w:ind w:firstLine="627"/>
        <w:spacing w:after="0" w:line="265" w:lineRule="auto"/>
        <w:rPr>
          <w:sz w:val="20"/>
          <w:szCs w:val="20"/>
          <w:color w:val="auto"/>
        </w:rPr>
      </w:pPr>
      <w:r>
        <w:rPr>
          <w:rFonts w:ascii="Times New Roman" w:cs="Times New Roman" w:eastAsia="Times New Roman" w:hAnsi="Times New Roman"/>
          <w:sz w:val="17"/>
          <w:szCs w:val="17"/>
          <w:color w:val="auto"/>
        </w:rPr>
        <w:t>NMIC holds optional termination rights under each ILN Transaction, including, among others, an optional call feature which provides NMIC the discretion to terminate the transaction on or after a prescribed date, and a clean-up call if the outstanding reinsurance coverage amount amortizes to 10% or less of the reinsurance coverage amount at inception or if NMIC reasonably determines that changes to GSE or rating agency asset requirements would cause a material and adverse effect on the capital treatment afforded to NMIC under a given agreement. In addition, there are certain events that trigger mandatory termination of an agreement, including NMIC’s failure to pay premiums or consent to reductions in a trust account to make principal payments to noteholders, among others.</w:t>
      </w:r>
    </w:p>
    <w:p>
      <w:pPr>
        <w:spacing w:after="0" w:line="332" w:lineRule="exact"/>
        <w:rPr>
          <w:sz w:val="20"/>
          <w:szCs w:val="20"/>
          <w:color w:val="auto"/>
        </w:rPr>
      </w:pPr>
    </w:p>
    <w:p>
      <w:pPr>
        <w:jc w:val="both"/>
        <w:ind w:firstLine="627"/>
        <w:spacing w:after="0" w:line="295" w:lineRule="auto"/>
        <w:rPr>
          <w:sz w:val="20"/>
          <w:szCs w:val="20"/>
          <w:color w:val="auto"/>
        </w:rPr>
      </w:pPr>
      <w:r>
        <w:rPr>
          <w:rFonts w:ascii="Times New Roman" w:cs="Times New Roman" w:eastAsia="Times New Roman" w:hAnsi="Times New Roman"/>
          <w:sz w:val="17"/>
          <w:szCs w:val="17"/>
          <w:color w:val="auto"/>
        </w:rPr>
        <w:t>The following table presents the inception date, covered production period, initial and current reinsurance coverage amount, and initial and current first layer retained aggregate loss under each outstanding ILN Transaction. Current amounts are presented as of March 31, 2026.</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Initial</w:t>
            </w:r>
          </w:p>
        </w:tc>
        <w:tc>
          <w:tcPr>
            <w:tcW w:w="140" w:type="dxa"/>
            <w:vAlign w:val="bottom"/>
          </w:tcPr>
          <w:p>
            <w:pPr>
              <w:spacing w:after="0"/>
              <w:rPr>
                <w:sz w:val="13"/>
                <w:szCs w:val="13"/>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Current</w:t>
            </w:r>
          </w:p>
        </w:tc>
        <w:tc>
          <w:tcPr>
            <w:tcW w:w="120" w:type="dxa"/>
            <w:vAlign w:val="bottom"/>
          </w:tcPr>
          <w:p>
            <w:pPr>
              <w:spacing w:after="0"/>
              <w:rPr>
                <w:sz w:val="13"/>
                <w:szCs w:val="13"/>
                <w:color w:val="auto"/>
              </w:rPr>
            </w:pPr>
          </w:p>
        </w:tc>
        <w:tc>
          <w:tcPr>
            <w:tcW w:w="13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Initial First Layer</w:t>
            </w: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Current First Layer</w:t>
            </w:r>
          </w:p>
        </w:tc>
        <w:tc>
          <w:tcPr>
            <w:tcW w:w="0" w:type="dxa"/>
            <w:vAlign w:val="bottom"/>
          </w:tcPr>
          <w:p>
            <w:pPr>
              <w:spacing w:after="0"/>
              <w:rPr>
                <w:sz w:val="1"/>
                <w:szCs w:val="1"/>
                <w:color w:val="auto"/>
              </w:rPr>
            </w:pPr>
          </w:p>
        </w:tc>
      </w:tr>
      <w:tr>
        <w:trPr>
          <w:trHeight w:val="142"/>
        </w:trPr>
        <w:tc>
          <w:tcPr>
            <w:tcW w:w="1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3"/>
                <w:szCs w:val="13"/>
                <w:i w:val="1"/>
                <w:iCs w:val="1"/>
                <w:color w:val="auto"/>
              </w:rPr>
              <w:t>$ values in thousands)</w:t>
            </w:r>
          </w:p>
        </w:tc>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Inception Date</w:t>
            </w:r>
          </w:p>
        </w:tc>
        <w:tc>
          <w:tcPr>
            <w:tcW w:w="230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Covered Production</w:t>
            </w:r>
          </w:p>
        </w:tc>
        <w:tc>
          <w:tcPr>
            <w:tcW w:w="140" w:type="dxa"/>
            <w:vAlign w:val="bottom"/>
          </w:tcPr>
          <w:p>
            <w:pPr>
              <w:spacing w:after="0"/>
              <w:rPr>
                <w:sz w:val="12"/>
                <w:szCs w:val="12"/>
                <w:color w:val="auto"/>
              </w:rPr>
            </w:pPr>
          </w:p>
        </w:tc>
        <w:tc>
          <w:tcPr>
            <w:tcW w:w="104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4"/>
                <w:szCs w:val="14"/>
                <w:b w:val="1"/>
                <w:bCs w:val="1"/>
                <w:color w:val="auto"/>
                <w:w w:val="99"/>
              </w:rPr>
              <w:t>Reinsurance</w:t>
            </w:r>
          </w:p>
        </w:tc>
        <w:tc>
          <w:tcPr>
            <w:tcW w:w="140" w:type="dxa"/>
            <w:vAlign w:val="bottom"/>
          </w:tcPr>
          <w:p>
            <w:pPr>
              <w:spacing w:after="0"/>
              <w:rPr>
                <w:sz w:val="12"/>
                <w:szCs w:val="12"/>
                <w:color w:val="auto"/>
              </w:rPr>
            </w:pPr>
          </w:p>
        </w:tc>
        <w:tc>
          <w:tcPr>
            <w:tcW w:w="104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Reinsurance</w:t>
            </w:r>
          </w:p>
        </w:tc>
        <w:tc>
          <w:tcPr>
            <w:tcW w:w="1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840" w:type="dxa"/>
            <w:vAlign w:val="bottom"/>
            <w:gridSpan w:val="2"/>
            <w:vMerge w:val="continue"/>
          </w:tcPr>
          <w:p>
            <w:pPr>
              <w:spacing w:after="0"/>
              <w:rPr>
                <w:sz w:val="17"/>
                <w:szCs w:val="17"/>
                <w:color w:val="auto"/>
              </w:rPr>
            </w:pPr>
          </w:p>
        </w:tc>
        <w:tc>
          <w:tcPr>
            <w:tcW w:w="1580" w:type="dxa"/>
            <w:vAlign w:val="bottom"/>
            <w:vMerge w:val="continue"/>
          </w:tcPr>
          <w:p>
            <w:pPr>
              <w:spacing w:after="0"/>
              <w:rPr>
                <w:sz w:val="17"/>
                <w:szCs w:val="17"/>
                <w:color w:val="auto"/>
              </w:rPr>
            </w:pPr>
          </w:p>
        </w:tc>
        <w:tc>
          <w:tcPr>
            <w:tcW w:w="23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Coverage</w:t>
            </w:r>
          </w:p>
        </w:tc>
        <w:tc>
          <w:tcPr>
            <w:tcW w:w="14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Coverage</w:t>
            </w:r>
          </w:p>
        </w:tc>
        <w:tc>
          <w:tcPr>
            <w:tcW w:w="12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Retained Loss</w:t>
            </w:r>
          </w:p>
        </w:tc>
        <w:tc>
          <w:tcPr>
            <w:tcW w:w="140" w:type="dxa"/>
            <w:vAlign w:val="bottom"/>
          </w:tcPr>
          <w:p>
            <w:pPr>
              <w:spacing w:after="0"/>
              <w:rPr>
                <w:sz w:val="17"/>
                <w:szCs w:val="17"/>
                <w:color w:val="auto"/>
              </w:rPr>
            </w:pPr>
          </w:p>
        </w:tc>
        <w:tc>
          <w:tcPr>
            <w:tcW w:w="1160" w:type="dxa"/>
            <w:vAlign w:val="bottom"/>
          </w:tcPr>
          <w:p>
            <w:pPr>
              <w:jc w:val="right"/>
              <w:ind w:right="79"/>
              <w:spacing w:after="0" w:line="196" w:lineRule="exact"/>
              <w:rPr>
                <w:sz w:val="20"/>
                <w:szCs w:val="20"/>
                <w:color w:val="auto"/>
              </w:rPr>
            </w:pPr>
            <w:r>
              <w:rPr>
                <w:rFonts w:ascii="Times New Roman" w:cs="Times New Roman" w:eastAsia="Times New Roman" w:hAnsi="Times New Roman"/>
                <w:sz w:val="14"/>
                <w:szCs w:val="14"/>
                <w:b w:val="1"/>
                <w:bCs w:val="1"/>
                <w:color w:val="auto"/>
                <w:w w:val="96"/>
              </w:rPr>
              <w:t xml:space="preserve">Retained Loss </w:t>
            </w:r>
            <w:r>
              <w:rPr>
                <w:rFonts w:ascii="Times New Roman" w:cs="Times New Roman" w:eastAsia="Times New Roman" w:hAnsi="Times New Roman"/>
                <w:sz w:val="18"/>
                <w:szCs w:val="18"/>
                <w:b w:val="1"/>
                <w:bCs w:val="1"/>
                <w:color w:val="auto"/>
                <w:w w:val="96"/>
                <w:vertAlign w:val="superscript"/>
              </w:rPr>
              <w:t>(1)</w:t>
            </w:r>
          </w:p>
        </w:tc>
        <w:tc>
          <w:tcPr>
            <w:tcW w:w="0" w:type="dxa"/>
            <w:vAlign w:val="bottom"/>
          </w:tcPr>
          <w:p>
            <w:pPr>
              <w:spacing w:after="0"/>
              <w:rPr>
                <w:sz w:val="1"/>
                <w:szCs w:val="1"/>
                <w:color w:val="auto"/>
              </w:rPr>
            </w:pPr>
          </w:p>
        </w:tc>
      </w:tr>
      <w:tr>
        <w:trPr>
          <w:trHeight w:val="215"/>
        </w:trPr>
        <w:tc>
          <w:tcPr>
            <w:tcW w:w="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2021-1</w:t>
            </w:r>
          </w:p>
        </w:tc>
        <w:tc>
          <w:tcPr>
            <w:tcW w:w="1300" w:type="dxa"/>
            <w:vAlign w:val="bottom"/>
            <w:tcBorders>
              <w:top w:val="single" w:sz="8" w:color="CCEEFF"/>
            </w:tcBorders>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 xml:space="preserve">ILN </w:t>
            </w:r>
            <w:r>
              <w:rPr>
                <w:rFonts w:ascii="Times New Roman" w:cs="Times New Roman" w:eastAsia="Times New Roman" w:hAnsi="Times New Roman"/>
                <w:sz w:val="22"/>
                <w:szCs w:val="22"/>
                <w:color w:val="auto"/>
                <w:vertAlign w:val="superscript"/>
              </w:rPr>
              <w:t>(4)</w:t>
            </w:r>
          </w:p>
        </w:tc>
        <w:tc>
          <w:tcPr>
            <w:tcW w:w="1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April 27, 2021</w:t>
            </w:r>
          </w:p>
        </w:tc>
        <w:tc>
          <w:tcPr>
            <w:tcW w:w="2200" w:type="dxa"/>
            <w:vAlign w:val="bottom"/>
            <w:tcBorders>
              <w:top w:val="single" w:sz="8" w:color="auto"/>
            </w:tcBorders>
            <w:shd w:val="clear" w:color="auto" w:fill="CCEEFF"/>
          </w:tcPr>
          <w:p>
            <w:pPr>
              <w:jc w:val="center"/>
              <w:spacing w:after="0" w:line="216" w:lineRule="exact"/>
              <w:rPr>
                <w:sz w:val="20"/>
                <w:szCs w:val="20"/>
                <w:color w:val="auto"/>
              </w:rPr>
            </w:pPr>
            <w:r>
              <w:rPr>
                <w:rFonts w:ascii="Times New Roman" w:cs="Times New Roman" w:eastAsia="Times New Roman" w:hAnsi="Times New Roman"/>
                <w:sz w:val="17"/>
                <w:szCs w:val="17"/>
                <w:color w:val="auto"/>
                <w:w w:val="99"/>
              </w:rPr>
              <w:t xml:space="preserve">10/1/2020 – 3/31/2021 </w:t>
            </w:r>
            <w:r>
              <w:rPr>
                <w:rFonts w:ascii="Times New Roman" w:cs="Times New Roman" w:eastAsia="Times New Roman" w:hAnsi="Times New Roman"/>
                <w:sz w:val="22"/>
                <w:szCs w:val="22"/>
                <w:color w:val="auto"/>
                <w:w w:val="99"/>
                <w:vertAlign w:val="superscript"/>
              </w:rPr>
              <w:t>(2)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367,238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color w:val="auto"/>
              </w:rPr>
              <w:t>71,735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163,708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161,975</w:t>
            </w:r>
          </w:p>
        </w:tc>
        <w:tc>
          <w:tcPr>
            <w:tcW w:w="0" w:type="dxa"/>
            <w:vAlign w:val="bottom"/>
          </w:tcPr>
          <w:p>
            <w:pPr>
              <w:spacing w:after="0"/>
              <w:rPr>
                <w:sz w:val="1"/>
                <w:szCs w:val="1"/>
                <w:color w:val="auto"/>
              </w:rPr>
            </w:pPr>
          </w:p>
        </w:tc>
      </w:tr>
      <w:tr>
        <w:trPr>
          <w:trHeight w:val="298"/>
        </w:trPr>
        <w:tc>
          <w:tcPr>
            <w:tcW w:w="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2021-2</w:t>
            </w:r>
          </w:p>
        </w:tc>
        <w:tc>
          <w:tcPr>
            <w:tcW w:w="1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ILN</w:t>
            </w:r>
          </w:p>
        </w:tc>
        <w:tc>
          <w:tcPr>
            <w:tcW w:w="15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October 26, 2021</w:t>
            </w:r>
          </w:p>
        </w:tc>
        <w:tc>
          <w:tcPr>
            <w:tcW w:w="230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auto"/>
              </w:rPr>
              <w:t xml:space="preserve">4/1/2021 – 9/30/2021 </w:t>
            </w:r>
            <w:r>
              <w:rPr>
                <w:rFonts w:ascii="Times New Roman" w:cs="Times New Roman" w:eastAsia="Times New Roman" w:hAnsi="Times New Roman"/>
                <w:sz w:val="22"/>
                <w:szCs w:val="22"/>
                <w:color w:val="auto"/>
                <w:vertAlign w:val="superscript"/>
              </w:rPr>
              <w:t>(3)</w:t>
            </w:r>
          </w:p>
        </w:tc>
        <w:tc>
          <w:tcPr>
            <w:tcW w:w="1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363,596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7"/>
                <w:szCs w:val="17"/>
                <w:color w:val="auto"/>
              </w:rPr>
              <w:t>163,111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146,229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143,359</w:t>
            </w: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320" w:hanging="315"/>
        <w:spacing w:after="0" w:line="252" w:lineRule="auto"/>
        <w:tabs>
          <w:tab w:leader="none" w:pos="315"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NMIC applies claims paid on covered policies against its first layer aggregate retained loss exposure and cedes reserves for incurred claims and claim expenses to each applicable ILN Transaction and recognizes a reinsurance recoverable if such incurred claims and claim expenses exceed its current first layer retained loss.</w:t>
      </w:r>
    </w:p>
    <w:p>
      <w:pPr>
        <w:ind w:left="300" w:hanging="295"/>
        <w:spacing w:after="0"/>
        <w:tabs>
          <w:tab w:leader="none" w:pos="3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Approximately 1% of the production covered by the 2021-1 ILN Transaction has coverage reporting dates between July 1, 2019 and September 30, 2020.</w:t>
      </w:r>
    </w:p>
    <w:p>
      <w:pPr>
        <w:spacing w:after="0" w:line="8" w:lineRule="exact"/>
        <w:rPr>
          <w:rFonts w:ascii="Times New Roman" w:cs="Times New Roman" w:eastAsia="Times New Roman" w:hAnsi="Times New Roman"/>
          <w:sz w:val="14"/>
          <w:szCs w:val="14"/>
          <w:color w:val="auto"/>
        </w:rPr>
      </w:pPr>
    </w:p>
    <w:p>
      <w:pPr>
        <w:ind w:left="300" w:hanging="295"/>
        <w:spacing w:after="0"/>
        <w:tabs>
          <w:tab w:leader="none" w:pos="3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Approximately 2% of the production covered by the 2021-2 ILN Transaction has coverage reporting dates between July 1, 2019 and March 31, 2021.</w:t>
      </w:r>
    </w:p>
    <w:p>
      <w:pPr>
        <w:spacing w:after="0" w:line="8" w:lineRule="exact"/>
        <w:rPr>
          <w:rFonts w:ascii="Times New Roman" w:cs="Times New Roman" w:eastAsia="Times New Roman" w:hAnsi="Times New Roman"/>
          <w:sz w:val="14"/>
          <w:szCs w:val="14"/>
          <w:color w:val="auto"/>
        </w:rPr>
      </w:pPr>
    </w:p>
    <w:p>
      <w:pPr>
        <w:jc w:val="both"/>
        <w:ind w:left="320" w:hanging="315"/>
        <w:spacing w:after="0" w:line="250" w:lineRule="auto"/>
        <w:tabs>
          <w:tab w:leader="none" w:pos="328"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 April 27, 2026, NMIC exercised its optional call to terminate a reinsurance agreement with and the associated insurance-linked notes issued by Oaktown Re VI Ltd. In connection with the termination, NMIC's excess of loss reinsurance agreement with Oaktown Re VI Ltd. was commuted and the insurance-linked notes issued by Oaktown Re VI Ltd. were redeemed in full with a distribution of remaining collateral assets.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CONDENSED CONSOLIDATED FINANCIAL STATEMENTS (UNAUDITED)</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 Reserves for Insurance Claims and Claim Expenses</w:t>
      </w:r>
    </w:p>
    <w:p>
      <w:pPr>
        <w:spacing w:after="0" w:line="172" w:lineRule="exact"/>
        <w:rPr>
          <w:sz w:val="20"/>
          <w:szCs w:val="20"/>
          <w:color w:val="auto"/>
        </w:rPr>
      </w:pPr>
    </w:p>
    <w:p>
      <w:pPr>
        <w:jc w:val="both"/>
        <w:ind w:firstLine="627"/>
        <w:spacing w:after="0" w:line="272" w:lineRule="auto"/>
        <w:rPr>
          <w:sz w:val="20"/>
          <w:szCs w:val="20"/>
          <w:color w:val="auto"/>
        </w:rPr>
      </w:pPr>
      <w:r>
        <w:rPr>
          <w:rFonts w:ascii="Times New Roman" w:cs="Times New Roman" w:eastAsia="Times New Roman" w:hAnsi="Times New Roman"/>
          <w:sz w:val="17"/>
          <w:szCs w:val="17"/>
          <w:color w:val="auto"/>
        </w:rPr>
        <w:t>We hold gross reserves in an amount equal to the estimated liability for insurance claims and claim expenses related to defaults on insured mortgage loans. A loan is considered to be in “default” as of the payment date at which a borrower has missed the preceding two or more consecutive monthly payments. We establish reserves for loans that have been reported to us in default by servicers, referred to as case reserves, and additional loans that we estimate (based on</w:t>
      </w:r>
    </w:p>
    <w:p>
      <w:pPr>
        <w:spacing w:after="0" w:line="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actuarial review and other factors) to be in default that have not yet been reported to us by servicers, referred to as incurred but not reported (IBNR) reserves. We also establish reserves for claim expenses, which represent the estimated cost of the claim administration process, including legal and other fees, as well as other general expenses of administering the claim settlement process. As of March 31, 2026, we held gross reserves for insurance claims and claim expenses of $211.2 million. During the three months ended March 31, 2026, we paid 170 claims totaling $10.8 million, including 164 claims covered under the QSR Transactions representing $2.1 million of ceded claims and claim expenses.</w:t>
      </w:r>
    </w:p>
    <w:p>
      <w:pPr>
        <w:spacing w:after="0" w:line="119" w:lineRule="exact"/>
        <w:rPr>
          <w:sz w:val="20"/>
          <w:szCs w:val="20"/>
          <w:color w:val="auto"/>
        </w:rPr>
      </w:pPr>
    </w:p>
    <w:p>
      <w:pPr>
        <w:jc w:val="both"/>
        <w:ind w:firstLine="627"/>
        <w:spacing w:after="0" w:line="263" w:lineRule="auto"/>
        <w:rPr>
          <w:sz w:val="20"/>
          <w:szCs w:val="20"/>
          <w:color w:val="auto"/>
        </w:rPr>
      </w:pPr>
      <w:r>
        <w:rPr>
          <w:rFonts w:ascii="Times New Roman" w:cs="Times New Roman" w:eastAsia="Times New Roman" w:hAnsi="Times New Roman"/>
          <w:sz w:val="17"/>
          <w:szCs w:val="17"/>
          <w:color w:val="auto"/>
        </w:rPr>
        <w:t>We had 8,044 loans in default in our primary insured portfolio as of March 31, 2026, which represented a 1.17% default rate against 684,977 total policies in-force, and 7,661 loans in default in our primary insured portfolio as of December 31, 2025, which represented a 1.12% default rate against 684,058 total policies in-force. The size of the reserve we establish for each defaulted loan (and by extension our aggregate reserve for claims and claim expenses) reflects our best estimate of the future claim payment to be made for each individual loan in default. Our future claims exposure is a function of the number of defaulted loans that progress to claim payment (which we refer to as frequency) and the amount to be paid to settle such claims (which we refer to as severity). Our estimates of claims frequency and severity are not formulaic, rather they are broadly synthesized based on historical observed experience for similarly situated loans and assumptions about future macroeconomic factors.</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following table provides a reconciliation of the beginning and ending gross reserve balances for insurance claims and claim expenses: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700" w:type="dxa"/>
            <w:vAlign w:val="bottom"/>
          </w:tcPr>
          <w:p>
            <w:pPr>
              <w:spacing w:after="0"/>
              <w:rPr>
                <w:sz w:val="16"/>
                <w:szCs w:val="16"/>
                <w:color w:val="auto"/>
              </w:rPr>
            </w:pPr>
          </w:p>
        </w:tc>
        <w:tc>
          <w:tcPr>
            <w:tcW w:w="3540" w:type="dxa"/>
            <w:vAlign w:val="bottom"/>
            <w:gridSpan w:val="5"/>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r>
      <w:tr>
        <w:trPr>
          <w:trHeight w:val="23"/>
        </w:trPr>
        <w:tc>
          <w:tcPr>
            <w:tcW w:w="77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3"/>
        </w:trPr>
        <w:tc>
          <w:tcPr>
            <w:tcW w:w="7700" w:type="dxa"/>
            <w:vAlign w:val="bottom"/>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89"/>
        </w:trPr>
        <w:tc>
          <w:tcPr>
            <w:tcW w:w="77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20" w:type="dxa"/>
            <w:vAlign w:val="bottom"/>
            <w:gridSpan w:val="3"/>
          </w:tcPr>
          <w:p>
            <w:pPr>
              <w:jc w:val="right"/>
              <w:ind w:right="73"/>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180" w:type="dxa"/>
            <w:vAlign w:val="bottom"/>
          </w:tcPr>
          <w:p>
            <w:pPr>
              <w:spacing w:after="0"/>
              <w:rPr>
                <w:sz w:val="16"/>
                <w:szCs w:val="16"/>
                <w:color w:val="auto"/>
              </w:rPr>
            </w:pPr>
          </w:p>
        </w:tc>
      </w:tr>
      <w:tr>
        <w:trPr>
          <w:trHeight w:val="228"/>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Beginning balance</w:t>
            </w:r>
          </w:p>
        </w:tc>
        <w:tc>
          <w:tcPr>
            <w:tcW w:w="1040" w:type="dxa"/>
            <w:vAlign w:val="bottom"/>
            <w:shd w:val="clear" w:color="auto" w:fill="CCEEFF"/>
          </w:tcPr>
          <w:p>
            <w:pPr>
              <w:jc w:val="right"/>
              <w:ind w:right="862"/>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196,429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152,071</w:t>
            </w:r>
          </w:p>
        </w:tc>
      </w:tr>
      <w:tr>
        <w:trPr>
          <w:trHeight w:val="222"/>
        </w:trPr>
        <w:tc>
          <w:tcPr>
            <w:tcW w:w="7700" w:type="dxa"/>
            <w:vAlign w:val="bottom"/>
            <w:tcBorders>
              <w:bottom w:val="single" w:sz="8" w:color="CCEEFF"/>
            </w:tcBorders>
          </w:tcPr>
          <w:p>
            <w:pPr>
              <w:ind w:left="20"/>
              <w:spacing w:after="0" w:line="222" w:lineRule="exact"/>
              <w:rPr>
                <w:sz w:val="20"/>
                <w:szCs w:val="20"/>
                <w:color w:val="auto"/>
              </w:rPr>
            </w:pPr>
            <w:r>
              <w:rPr>
                <w:rFonts w:ascii="Times New Roman" w:cs="Times New Roman" w:eastAsia="Times New Roman" w:hAnsi="Times New Roman"/>
                <w:sz w:val="17"/>
                <w:szCs w:val="17"/>
                <w:color w:val="auto"/>
              </w:rPr>
              <w:t xml:space="preserve">Less reinsurance recoverables </w:t>
            </w:r>
            <w:r>
              <w:rPr>
                <w:rFonts w:ascii="Times New Roman" w:cs="Times New Roman" w:eastAsia="Times New Roman" w:hAnsi="Times New Roman"/>
                <w:sz w:val="22"/>
                <w:szCs w:val="22"/>
                <w:color w:val="auto"/>
                <w:vertAlign w:val="superscript"/>
              </w:rPr>
              <w:t>(1)</w:t>
            </w:r>
          </w:p>
        </w:tc>
        <w:tc>
          <w:tcPr>
            <w:tcW w:w="10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(38,577)</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(32,260)</w:t>
            </w:r>
          </w:p>
        </w:tc>
      </w:tr>
      <w:tr>
        <w:trPr>
          <w:trHeight w:val="215"/>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Beginning balance, net of reinsurance recoverables</w:t>
            </w:r>
          </w:p>
        </w:tc>
        <w:tc>
          <w:tcPr>
            <w:tcW w:w="10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157,852</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119,811</w:t>
            </w:r>
          </w:p>
        </w:tc>
      </w:tr>
      <w:tr>
        <w:trPr>
          <w:trHeight w:val="241"/>
        </w:trPr>
        <w:tc>
          <w:tcPr>
            <w:tcW w:w="77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22"/>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Add claims incurred:</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2"/>
        </w:trPr>
        <w:tc>
          <w:tcPr>
            <w:tcW w:w="77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Claims and claim expenses incurred:</w:t>
            </w:r>
          </w:p>
        </w:tc>
        <w:tc>
          <w:tcPr>
            <w:tcW w:w="10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2"/>
        </w:trPr>
        <w:tc>
          <w:tcPr>
            <w:tcW w:w="7700" w:type="dxa"/>
            <w:vAlign w:val="bottom"/>
            <w:shd w:val="clear" w:color="auto" w:fill="CCEEFF"/>
          </w:tcPr>
          <w:p>
            <w:pPr>
              <w:ind w:left="460"/>
              <w:spacing w:after="0" w:line="222" w:lineRule="exact"/>
              <w:rPr>
                <w:sz w:val="20"/>
                <w:szCs w:val="20"/>
                <w:color w:val="auto"/>
              </w:rPr>
            </w:pPr>
            <w:r>
              <w:rPr>
                <w:rFonts w:ascii="Times New Roman" w:cs="Times New Roman" w:eastAsia="Times New Roman" w:hAnsi="Times New Roman"/>
                <w:sz w:val="17"/>
                <w:szCs w:val="17"/>
                <w:color w:val="auto"/>
              </w:rPr>
              <w:t xml:space="preserve">Current year </w:t>
            </w:r>
            <w:r>
              <w:rPr>
                <w:rFonts w:ascii="Times New Roman" w:cs="Times New Roman" w:eastAsia="Times New Roman" w:hAnsi="Times New Roman"/>
                <w:sz w:val="22"/>
                <w:szCs w:val="22"/>
                <w:color w:val="auto"/>
                <w:vertAlign w:val="superscript"/>
              </w:rPr>
              <w:t>(2)</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47,150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34,559</w:t>
            </w:r>
          </w:p>
        </w:tc>
      </w:tr>
      <w:tr>
        <w:trPr>
          <w:trHeight w:val="222"/>
        </w:trPr>
        <w:tc>
          <w:tcPr>
            <w:tcW w:w="7700" w:type="dxa"/>
            <w:vAlign w:val="bottom"/>
            <w:tcBorders>
              <w:bottom w:val="single" w:sz="8" w:color="CCEEFF"/>
            </w:tcBorders>
          </w:tcPr>
          <w:p>
            <w:pPr>
              <w:ind w:left="460"/>
              <w:spacing w:after="0" w:line="222" w:lineRule="exact"/>
              <w:rPr>
                <w:sz w:val="20"/>
                <w:szCs w:val="20"/>
                <w:color w:val="auto"/>
              </w:rPr>
            </w:pPr>
            <w:r>
              <w:rPr>
                <w:rFonts w:ascii="Times New Roman" w:cs="Times New Roman" w:eastAsia="Times New Roman" w:hAnsi="Times New Roman"/>
                <w:sz w:val="17"/>
                <w:szCs w:val="17"/>
                <w:color w:val="auto"/>
              </w:rPr>
              <w:t xml:space="preserve">Prior years </w:t>
            </w:r>
            <w:r>
              <w:rPr>
                <w:rFonts w:ascii="Times New Roman" w:cs="Times New Roman" w:eastAsia="Times New Roman" w:hAnsi="Times New Roman"/>
                <w:sz w:val="22"/>
                <w:szCs w:val="22"/>
                <w:color w:val="auto"/>
                <w:vertAlign w:val="superscript"/>
              </w:rPr>
              <w:t>(3)</w:t>
            </w:r>
          </w:p>
        </w:tc>
        <w:tc>
          <w:tcPr>
            <w:tcW w:w="10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(26,489)</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(30,081)</w:t>
            </w:r>
          </w:p>
        </w:tc>
      </w:tr>
      <w:tr>
        <w:trPr>
          <w:trHeight w:val="215"/>
        </w:trPr>
        <w:tc>
          <w:tcPr>
            <w:tcW w:w="7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Total claims and claim expenses incurred</w:t>
            </w:r>
          </w:p>
        </w:tc>
        <w:tc>
          <w:tcPr>
            <w:tcW w:w="10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20,661</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4,478</w:t>
            </w:r>
          </w:p>
        </w:tc>
      </w:tr>
      <w:tr>
        <w:trPr>
          <w:trHeight w:val="124"/>
        </w:trPr>
        <w:tc>
          <w:tcPr>
            <w:tcW w:w="77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180" w:type="dxa"/>
            <w:vAlign w:val="bottom"/>
          </w:tcPr>
          <w:p>
            <w:pPr>
              <w:spacing w:after="0"/>
              <w:rPr>
                <w:sz w:val="10"/>
                <w:szCs w:val="10"/>
                <w:color w:val="auto"/>
              </w:rPr>
            </w:pPr>
          </w:p>
        </w:tc>
      </w:tr>
      <w:tr>
        <w:trPr>
          <w:trHeight w:val="222"/>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claims paid:</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2"/>
        </w:trPr>
        <w:tc>
          <w:tcPr>
            <w:tcW w:w="77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Claims and claim expenses paid:</w:t>
            </w:r>
          </w:p>
        </w:tc>
        <w:tc>
          <w:tcPr>
            <w:tcW w:w="10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2"/>
        </w:trPr>
        <w:tc>
          <w:tcPr>
            <w:tcW w:w="7700" w:type="dxa"/>
            <w:vAlign w:val="bottom"/>
            <w:shd w:val="clear" w:color="auto" w:fill="CCEEFF"/>
          </w:tcPr>
          <w:p>
            <w:pPr>
              <w:ind w:left="460"/>
              <w:spacing w:after="0" w:line="222" w:lineRule="exact"/>
              <w:rPr>
                <w:sz w:val="20"/>
                <w:szCs w:val="20"/>
                <w:color w:val="auto"/>
              </w:rPr>
            </w:pPr>
            <w:r>
              <w:rPr>
                <w:rFonts w:ascii="Times New Roman" w:cs="Times New Roman" w:eastAsia="Times New Roman" w:hAnsi="Times New Roman"/>
                <w:sz w:val="17"/>
                <w:szCs w:val="17"/>
                <w:color w:val="auto"/>
              </w:rPr>
              <w:t xml:space="preserve">Current year </w:t>
            </w:r>
            <w:r>
              <w:rPr>
                <w:rFonts w:ascii="Times New Roman" w:cs="Times New Roman" w:eastAsia="Times New Roman" w:hAnsi="Times New Roman"/>
                <w:sz w:val="22"/>
                <w:szCs w:val="22"/>
                <w:color w:val="auto"/>
                <w:vertAlign w:val="superscript"/>
              </w:rPr>
              <w:t>(2)</w:t>
            </w:r>
          </w:p>
        </w:tc>
        <w:tc>
          <w:tcPr>
            <w:tcW w:w="10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7700" w:type="dxa"/>
            <w:vAlign w:val="bottom"/>
          </w:tcPr>
          <w:p>
            <w:pPr>
              <w:ind w:left="460"/>
              <w:spacing w:after="0" w:line="222" w:lineRule="exact"/>
              <w:rPr>
                <w:sz w:val="20"/>
                <w:szCs w:val="20"/>
                <w:color w:val="auto"/>
              </w:rPr>
            </w:pPr>
            <w:r>
              <w:rPr>
                <w:rFonts w:ascii="Times New Roman" w:cs="Times New Roman" w:eastAsia="Times New Roman" w:hAnsi="Times New Roman"/>
                <w:sz w:val="17"/>
                <w:szCs w:val="17"/>
                <w:color w:val="auto"/>
              </w:rPr>
              <w:t xml:space="preserve">Prior years </w:t>
            </w:r>
            <w:r>
              <w:rPr>
                <w:rFonts w:ascii="Times New Roman" w:cs="Times New Roman" w:eastAsia="Times New Roman" w:hAnsi="Times New Roman"/>
                <w:sz w:val="22"/>
                <w:szCs w:val="22"/>
                <w:color w:val="auto"/>
                <w:vertAlign w:val="superscript"/>
              </w:rPr>
              <w:t>(3)</w:t>
            </w:r>
          </w:p>
        </w:tc>
        <w:tc>
          <w:tcPr>
            <w:tcW w:w="10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8,682</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4,076</w:t>
            </w:r>
          </w:p>
        </w:tc>
      </w:tr>
      <w:tr>
        <w:trPr>
          <w:trHeight w:val="222"/>
        </w:trPr>
        <w:tc>
          <w:tcPr>
            <w:tcW w:w="7700" w:type="dxa"/>
            <w:vAlign w:val="bottom"/>
            <w:shd w:val="clear" w:color="auto" w:fill="CCEEFF"/>
          </w:tcPr>
          <w:p>
            <w:pPr>
              <w:ind w:left="460"/>
              <w:spacing w:after="0" w:line="222" w:lineRule="exact"/>
              <w:rPr>
                <w:sz w:val="20"/>
                <w:szCs w:val="20"/>
                <w:color w:val="auto"/>
              </w:rPr>
            </w:pPr>
            <w:r>
              <w:rPr>
                <w:rFonts w:ascii="Times New Roman" w:cs="Times New Roman" w:eastAsia="Times New Roman" w:hAnsi="Times New Roman"/>
                <w:sz w:val="17"/>
                <w:szCs w:val="17"/>
                <w:color w:val="auto"/>
              </w:rPr>
              <w:t xml:space="preserve">Reinsurance terminations </w:t>
            </w:r>
            <w:r>
              <w:rPr>
                <w:rFonts w:ascii="Times New Roman" w:cs="Times New Roman" w:eastAsia="Times New Roman" w:hAnsi="Times New Roman"/>
                <w:sz w:val="22"/>
                <w:szCs w:val="22"/>
                <w:color w:val="auto"/>
                <w:vertAlign w:val="superscript"/>
              </w:rPr>
              <w:t>(4)</w:t>
            </w:r>
          </w:p>
        </w:tc>
        <w:tc>
          <w:tcPr>
            <w:tcW w:w="10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(1,670)</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w:t>
            </w:r>
          </w:p>
        </w:tc>
      </w:tr>
      <w:tr>
        <w:trPr>
          <w:trHeight w:val="215"/>
        </w:trPr>
        <w:tc>
          <w:tcPr>
            <w:tcW w:w="77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Total claims and claim expenses paid</w:t>
            </w:r>
          </w:p>
        </w:tc>
        <w:tc>
          <w:tcPr>
            <w:tcW w:w="10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7,012</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3,821</w:t>
            </w:r>
          </w:p>
        </w:tc>
      </w:tr>
      <w:tr>
        <w:trPr>
          <w:trHeight w:val="241"/>
        </w:trPr>
        <w:tc>
          <w:tcPr>
            <w:tcW w:w="77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22"/>
        </w:trPr>
        <w:tc>
          <w:tcPr>
            <w:tcW w:w="7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Reserve at end of period, net of reinsurance recoverables</w:t>
            </w:r>
          </w:p>
        </w:tc>
        <w:tc>
          <w:tcPr>
            <w:tcW w:w="10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171,501</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120,468</w:t>
            </w:r>
          </w:p>
        </w:tc>
      </w:tr>
      <w:tr>
        <w:trPr>
          <w:trHeight w:val="222"/>
        </w:trPr>
        <w:tc>
          <w:tcPr>
            <w:tcW w:w="7700" w:type="dxa"/>
            <w:vAlign w:val="bottom"/>
            <w:shd w:val="clear" w:color="auto" w:fill="CCEEFF"/>
          </w:tcPr>
          <w:p>
            <w:pPr>
              <w:ind w:left="20"/>
              <w:spacing w:after="0" w:line="222" w:lineRule="exact"/>
              <w:rPr>
                <w:sz w:val="20"/>
                <w:szCs w:val="20"/>
                <w:color w:val="auto"/>
              </w:rPr>
            </w:pPr>
            <w:r>
              <w:rPr>
                <w:rFonts w:ascii="Times New Roman" w:cs="Times New Roman" w:eastAsia="Times New Roman" w:hAnsi="Times New Roman"/>
                <w:sz w:val="17"/>
                <w:szCs w:val="17"/>
                <w:color w:val="auto"/>
              </w:rPr>
              <w:t xml:space="preserve">Add reinsurance recoverables </w:t>
            </w:r>
            <w:r>
              <w:rPr>
                <w:rFonts w:ascii="Times New Roman" w:cs="Times New Roman" w:eastAsia="Times New Roman" w:hAnsi="Times New Roman"/>
                <w:sz w:val="22"/>
                <w:szCs w:val="22"/>
                <w:color w:val="auto"/>
                <w:vertAlign w:val="superscript"/>
              </w:rPr>
              <w:t>(1)</w:t>
            </w:r>
          </w:p>
        </w:tc>
        <w:tc>
          <w:tcPr>
            <w:tcW w:w="10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39,703</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31,379</w:t>
            </w:r>
          </w:p>
        </w:tc>
      </w:tr>
      <w:tr>
        <w:trPr>
          <w:trHeight w:val="215"/>
        </w:trPr>
        <w:tc>
          <w:tcPr>
            <w:tcW w:w="7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Ending balance</w:t>
            </w:r>
          </w:p>
        </w:tc>
        <w:tc>
          <w:tcPr>
            <w:tcW w:w="1040" w:type="dxa"/>
            <w:vAlign w:val="bottom"/>
            <w:tcBorders>
              <w:bottom w:val="single" w:sz="8" w:color="auto"/>
            </w:tcBorders>
          </w:tcPr>
          <w:p>
            <w:pPr>
              <w:jc w:val="right"/>
              <w:ind w:right="862"/>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211,204</w:t>
            </w:r>
          </w:p>
        </w:tc>
        <w:tc>
          <w:tcPr>
            <w:tcW w:w="100" w:type="dxa"/>
            <w:vAlign w:val="bottom"/>
          </w:tcPr>
          <w:p>
            <w:pPr>
              <w:spacing w:after="0"/>
              <w:rPr>
                <w:sz w:val="18"/>
                <w:szCs w:val="18"/>
                <w:color w:val="auto"/>
              </w:rPr>
            </w:pPr>
          </w:p>
        </w:tc>
        <w:tc>
          <w:tcPr>
            <w:tcW w:w="5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151,847</w:t>
            </w:r>
          </w:p>
        </w:tc>
      </w:tr>
      <w:tr>
        <w:trPr>
          <w:trHeight w:val="20"/>
        </w:trPr>
        <w:tc>
          <w:tcPr>
            <w:tcW w:w="77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left="300" w:hanging="295"/>
        <w:spacing w:after="0"/>
        <w:tabs>
          <w:tab w:leader="none" w:pos="3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Related to ceded losses recoverable under the QSR Transactions. See Note 5, “</w:t>
      </w:r>
      <w:r>
        <w:rPr>
          <w:rFonts w:ascii="Times New Roman" w:cs="Times New Roman" w:eastAsia="Times New Roman" w:hAnsi="Times New Roman"/>
          <w:sz w:val="14"/>
          <w:szCs w:val="14"/>
          <w:i w:val="1"/>
          <w:iCs w:val="1"/>
          <w:color w:val="auto"/>
        </w:rPr>
        <w:t>Reinsurance”</w:t>
      </w:r>
      <w:r>
        <w:rPr>
          <w:rFonts w:ascii="Times New Roman" w:cs="Times New Roman" w:eastAsia="Times New Roman" w:hAnsi="Times New Roman"/>
          <w:sz w:val="14"/>
          <w:szCs w:val="14"/>
          <w:color w:val="auto"/>
        </w:rPr>
        <w:t xml:space="preserve"> for additional information.</w:t>
      </w:r>
    </w:p>
    <w:p>
      <w:pPr>
        <w:spacing w:after="0" w:line="23" w:lineRule="exact"/>
        <w:rPr>
          <w:rFonts w:ascii="Times New Roman" w:cs="Times New Roman" w:eastAsia="Times New Roman" w:hAnsi="Times New Roman"/>
          <w:sz w:val="14"/>
          <w:szCs w:val="14"/>
          <w:color w:val="auto"/>
        </w:rPr>
      </w:pPr>
    </w:p>
    <w:p>
      <w:pPr>
        <w:jc w:val="both"/>
        <w:ind w:left="320" w:hanging="315"/>
        <w:spacing w:after="0" w:line="278" w:lineRule="auto"/>
        <w:tabs>
          <w:tab w:leader="none" w:pos="334"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Related to insured loans with their most recent defaults occurring in the current year. For example, if a loan defaulted in a prior year and subsequently cured and later re-defaulted in the current year, the default would be included in the current year. Amounts are presented net of reinsurance and included $34.8 million attributed to net case reserves and $11.7 million attributed to net IBNR reserves for the three months ended March 31, 2026 and $25.9 million attributed to net case reserves and $8.1 million attributed to net IBNR reserves for the three months ended March 31, 2025.</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CONDENSED CONSOLIDATED FINANCIAL STATEMENTS (UNAUDITED)</w:t>
      </w:r>
    </w:p>
    <w:p>
      <w:pPr>
        <w:spacing w:after="0" w:line="200" w:lineRule="exact"/>
        <w:rPr>
          <w:sz w:val="20"/>
          <w:szCs w:val="20"/>
          <w:color w:val="auto"/>
        </w:rPr>
      </w:pPr>
    </w:p>
    <w:p>
      <w:pPr>
        <w:spacing w:after="0" w:line="393" w:lineRule="exact"/>
        <w:rPr>
          <w:sz w:val="20"/>
          <w:szCs w:val="20"/>
          <w:color w:val="auto"/>
        </w:rPr>
      </w:pPr>
    </w:p>
    <w:p>
      <w:pPr>
        <w:jc w:val="both"/>
        <w:ind w:left="320" w:hanging="315"/>
        <w:spacing w:after="0" w:line="254" w:lineRule="auto"/>
        <w:tabs>
          <w:tab w:leader="none" w:pos="3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Related to insured loans with defaults occurring in prior years, which have been continuously in default before the start of the current year. Amounts are presented net of reinsurance and included $15.2 million attributed to net case reserves and $10.8 million attributed to net IBNR reserves for the three months ended March 31, 2026 and $21.8 million attributed to net case reserves and $8.1 million attributed to net IBNR reserves for the three months ended March 31, 2025.</w:t>
      </w:r>
    </w:p>
    <w:p>
      <w:pPr>
        <w:spacing w:after="0" w:line="1" w:lineRule="exact"/>
        <w:rPr>
          <w:rFonts w:ascii="Times New Roman" w:cs="Times New Roman" w:eastAsia="Times New Roman" w:hAnsi="Times New Roman"/>
          <w:sz w:val="14"/>
          <w:szCs w:val="14"/>
          <w:color w:val="auto"/>
        </w:rPr>
      </w:pPr>
    </w:p>
    <w:p>
      <w:pPr>
        <w:ind w:left="300" w:hanging="295"/>
        <w:spacing w:after="0"/>
        <w:tabs>
          <w:tab w:leader="none" w:pos="3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settlement of reinsurance recoverables in conjunction with the termination or amendment of certain QSR Transactions.</w:t>
      </w:r>
    </w:p>
    <w:p>
      <w:pPr>
        <w:spacing w:after="0" w:line="232" w:lineRule="exact"/>
        <w:rPr>
          <w:sz w:val="20"/>
          <w:szCs w:val="20"/>
          <w:color w:val="auto"/>
        </w:rPr>
      </w:pPr>
    </w:p>
    <w:p>
      <w:pPr>
        <w:jc w:val="both"/>
        <w:ind w:firstLine="627"/>
        <w:spacing w:after="0" w:line="261" w:lineRule="auto"/>
        <w:rPr>
          <w:sz w:val="20"/>
          <w:szCs w:val="20"/>
          <w:color w:val="auto"/>
        </w:rPr>
      </w:pPr>
      <w:r>
        <w:rPr>
          <w:rFonts w:ascii="Times New Roman" w:cs="Times New Roman" w:eastAsia="Times New Roman" w:hAnsi="Times New Roman"/>
          <w:sz w:val="17"/>
          <w:szCs w:val="17"/>
          <w:color w:val="auto"/>
        </w:rPr>
        <w:t>The “claims incurred” section of the table above shows claims and claim expenses incurred on defaults occurring in current and prior years, including IBNR reserves, and is presented net of reinsurance. The amount of claims incurred relating to current year defaults increased during the three months ended March 31, 2026 compared to the three months ended March 31, 2025, primarily due to an increase in the total number of new delinquencies emerging during the period tied to the growth and natural seasoning of our portfolio, and an increase in the average case reserves established against newly defaulted loans. Our provision for claims and claim expenses during both the three months ended March 31, 2026 and 2025 benefited from favorable development on prior year defaults. We recognized $26.5 million and $30.1 million of favorable prior year development during the three months ended March 31, 2026 and 2025, respectively, primarily due to cure activity and ongoing analysis of recent loss development trends. We may increase or decrease our claim estimates and reserves as we learn additional information about individual defaulted loans, and continue to observe and analyze loss development trends in our portfolio. Gross reserves of $153.0 million related to prior year defaults remained as of March 31, 2026.</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 Earnings per Share (EPS)</w:t>
      </w:r>
    </w:p>
    <w:p>
      <w:pPr>
        <w:spacing w:after="0" w:line="172" w:lineRule="exact"/>
        <w:rPr>
          <w:sz w:val="20"/>
          <w:szCs w:val="20"/>
          <w:color w:val="auto"/>
        </w:rPr>
      </w:pPr>
    </w:p>
    <w:p>
      <w:pPr>
        <w:jc w:val="both"/>
        <w:ind w:firstLine="627"/>
        <w:spacing w:after="0" w:line="276" w:lineRule="auto"/>
        <w:rPr>
          <w:sz w:val="20"/>
          <w:szCs w:val="20"/>
          <w:color w:val="auto"/>
        </w:rPr>
      </w:pPr>
      <w:r>
        <w:rPr>
          <w:rFonts w:ascii="Times New Roman" w:cs="Times New Roman" w:eastAsia="Times New Roman" w:hAnsi="Times New Roman"/>
          <w:sz w:val="17"/>
          <w:szCs w:val="17"/>
          <w:color w:val="auto"/>
        </w:rPr>
        <w:t>Basic EPS is based on the weighted average number of shares of common stock outstanding. Diluted EPS is based on the weighted average number of shares of common stock outstanding and common stock equivalents that would be issuable upon the vesting of service-based and performance and service-based restricted stock units (RSUs), and the exercise of vested and unvested stock options.</w:t>
      </w:r>
    </w:p>
    <w:p>
      <w:pPr>
        <w:spacing w:after="0" w:line="110" w:lineRule="exact"/>
        <w:rPr>
          <w:sz w:val="20"/>
          <w:szCs w:val="20"/>
          <w:color w:val="auto"/>
        </w:rPr>
      </w:pPr>
    </w:p>
    <w:p>
      <w:pPr>
        <w:jc w:val="both"/>
        <w:ind w:firstLine="627"/>
        <w:spacing w:after="0" w:line="295" w:lineRule="auto"/>
        <w:rPr>
          <w:sz w:val="20"/>
          <w:szCs w:val="20"/>
          <w:color w:val="auto"/>
        </w:rPr>
      </w:pPr>
      <w:r>
        <w:rPr>
          <w:rFonts w:ascii="Times New Roman" w:cs="Times New Roman" w:eastAsia="Times New Roman" w:hAnsi="Times New Roman"/>
          <w:sz w:val="17"/>
          <w:szCs w:val="17"/>
          <w:color w:val="auto"/>
        </w:rPr>
        <w:t>The following table reconciles the net income and the weighted average shares of common stock outstanding used in the computations of basic and diluted EPS of common stock:</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00" w:type="dxa"/>
            <w:vAlign w:val="bottom"/>
          </w:tcPr>
          <w:p>
            <w:pPr>
              <w:spacing w:after="0"/>
              <w:rPr>
                <w:sz w:val="16"/>
                <w:szCs w:val="16"/>
                <w:color w:val="auto"/>
              </w:rPr>
            </w:pPr>
          </w:p>
        </w:tc>
        <w:tc>
          <w:tcPr>
            <w:tcW w:w="3440" w:type="dxa"/>
            <w:vAlign w:val="bottom"/>
            <w:gridSpan w:val="4"/>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760" w:type="dxa"/>
            <w:vAlign w:val="bottom"/>
          </w:tcPr>
          <w:p>
            <w:pPr>
              <w:spacing w:after="0"/>
              <w:rPr>
                <w:sz w:val="16"/>
                <w:szCs w:val="16"/>
                <w:color w:val="auto"/>
              </w:rPr>
            </w:pPr>
          </w:p>
        </w:tc>
      </w:tr>
      <w:tr>
        <w:trPr>
          <w:trHeight w:val="23"/>
        </w:trPr>
        <w:tc>
          <w:tcPr>
            <w:tcW w:w="70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83"/>
        </w:trPr>
        <w:tc>
          <w:tcPr>
            <w:tcW w:w="7000" w:type="dxa"/>
            <w:vAlign w:val="bottom"/>
          </w:tcPr>
          <w:p>
            <w:pPr>
              <w:spacing w:after="0"/>
              <w:rPr>
                <w:sz w:val="15"/>
                <w:szCs w:val="15"/>
                <w:color w:val="auto"/>
              </w:rPr>
            </w:pPr>
          </w:p>
        </w:tc>
        <w:tc>
          <w:tcPr>
            <w:tcW w:w="134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2026</w:t>
            </w:r>
          </w:p>
        </w:tc>
        <w:tc>
          <w:tcPr>
            <w:tcW w:w="7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760" w:type="dxa"/>
            <w:vAlign w:val="bottom"/>
            <w:tcBorders>
              <w:bottom w:val="single" w:sz="8" w:color="auto"/>
            </w:tcBorders>
          </w:tcPr>
          <w:p>
            <w:pPr>
              <w:spacing w:after="0"/>
              <w:rPr>
                <w:sz w:val="15"/>
                <w:szCs w:val="15"/>
                <w:color w:val="auto"/>
              </w:rPr>
            </w:pPr>
          </w:p>
        </w:tc>
      </w:tr>
      <w:tr>
        <w:trPr>
          <w:trHeight w:val="189"/>
        </w:trPr>
        <w:tc>
          <w:tcPr>
            <w:tcW w:w="7000" w:type="dxa"/>
            <w:vAlign w:val="bottom"/>
          </w:tcPr>
          <w:p>
            <w:pPr>
              <w:spacing w:after="0"/>
              <w:rPr>
                <w:sz w:val="16"/>
                <w:szCs w:val="16"/>
                <w:color w:val="auto"/>
              </w:rPr>
            </w:pPr>
          </w:p>
        </w:tc>
        <w:tc>
          <w:tcPr>
            <w:tcW w:w="3440" w:type="dxa"/>
            <w:vAlign w:val="bottom"/>
            <w:gridSpan w:val="4"/>
          </w:tcPr>
          <w:p>
            <w:pPr>
              <w:jc w:val="right"/>
              <w:ind w:right="97"/>
              <w:spacing w:after="0"/>
              <w:rPr>
                <w:sz w:val="20"/>
                <w:szCs w:val="20"/>
                <w:color w:val="auto"/>
              </w:rPr>
            </w:pPr>
            <w:r>
              <w:rPr>
                <w:rFonts w:ascii="Times New Roman" w:cs="Times New Roman" w:eastAsia="Times New Roman" w:hAnsi="Times New Roman"/>
                <w:sz w:val="14"/>
                <w:szCs w:val="14"/>
                <w:i w:val="1"/>
                <w:iCs w:val="1"/>
                <w:color w:val="auto"/>
              </w:rPr>
              <w:t>(In Thousands, except for per share data)</w:t>
            </w:r>
          </w:p>
        </w:tc>
        <w:tc>
          <w:tcPr>
            <w:tcW w:w="760" w:type="dxa"/>
            <w:vAlign w:val="bottom"/>
          </w:tcPr>
          <w:p>
            <w:pPr>
              <w:spacing w:after="0"/>
              <w:rPr>
                <w:sz w:val="16"/>
                <w:szCs w:val="16"/>
                <w:color w:val="auto"/>
              </w:rPr>
            </w:pPr>
          </w:p>
        </w:tc>
      </w:tr>
      <w:tr>
        <w:trPr>
          <w:trHeight w:val="228"/>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 basic and diluted</w:t>
            </w:r>
          </w:p>
        </w:tc>
        <w:tc>
          <w:tcPr>
            <w:tcW w:w="1340" w:type="dxa"/>
            <w:vAlign w:val="bottom"/>
            <w:shd w:val="clear" w:color="auto" w:fill="CCEEFF"/>
          </w:tcPr>
          <w:p>
            <w:pPr>
              <w:jc w:val="right"/>
              <w:ind w:right="1162"/>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99,330</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097"/>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102,559</w:t>
            </w:r>
          </w:p>
        </w:tc>
      </w:tr>
      <w:tr>
        <w:trPr>
          <w:trHeight w:val="261"/>
        </w:trPr>
        <w:tc>
          <w:tcPr>
            <w:tcW w:w="70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760" w:type="dxa"/>
            <w:vAlign w:val="bottom"/>
          </w:tcPr>
          <w:p>
            <w:pPr>
              <w:spacing w:after="0"/>
              <w:rPr>
                <w:sz w:val="22"/>
                <w:szCs w:val="22"/>
                <w:color w:val="auto"/>
              </w:rPr>
            </w:pPr>
          </w:p>
        </w:tc>
      </w:tr>
      <w:tr>
        <w:trPr>
          <w:trHeight w:val="222"/>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 weighted average shares outstanding</w:t>
            </w:r>
          </w:p>
        </w:tc>
        <w:tc>
          <w:tcPr>
            <w:tcW w:w="13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76,175</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78,407</w:t>
            </w:r>
          </w:p>
        </w:tc>
      </w:tr>
      <w:tr>
        <w:trPr>
          <w:trHeight w:val="222"/>
        </w:trPr>
        <w:tc>
          <w:tcPr>
            <w:tcW w:w="7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Dilutive effect of issuable shares</w:t>
            </w:r>
          </w:p>
        </w:tc>
        <w:tc>
          <w:tcPr>
            <w:tcW w:w="1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1,260</w:t>
            </w:r>
          </w:p>
        </w:tc>
        <w:tc>
          <w:tcPr>
            <w:tcW w:w="12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1,451</w:t>
            </w:r>
          </w:p>
        </w:tc>
      </w:tr>
      <w:tr>
        <w:trPr>
          <w:trHeight w:val="240"/>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Diluted weighted average shares outstanding</w:t>
            </w:r>
          </w:p>
        </w:tc>
        <w:tc>
          <w:tcPr>
            <w:tcW w:w="134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77,435</w:t>
            </w:r>
          </w:p>
        </w:tc>
        <w:tc>
          <w:tcPr>
            <w:tcW w:w="1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79,858</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208"/>
        </w:trPr>
        <w:tc>
          <w:tcPr>
            <w:tcW w:w="70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22"/>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Earnings per share</w:t>
            </w:r>
          </w:p>
        </w:tc>
        <w:tc>
          <w:tcPr>
            <w:tcW w:w="13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22"/>
        </w:trPr>
        <w:tc>
          <w:tcPr>
            <w:tcW w:w="700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Basic</w:t>
            </w:r>
          </w:p>
        </w:tc>
        <w:tc>
          <w:tcPr>
            <w:tcW w:w="1340" w:type="dxa"/>
            <w:vAlign w:val="bottom"/>
          </w:tcPr>
          <w:p>
            <w:pPr>
              <w:jc w:val="right"/>
              <w:ind w:right="1162"/>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w:t>
            </w:r>
          </w:p>
        </w:tc>
        <w:tc>
          <w:tcPr>
            <w:tcW w:w="120" w:type="dxa"/>
            <w:vAlign w:val="bottom"/>
          </w:tcPr>
          <w:p>
            <w:pPr>
              <w:spacing w:after="0"/>
              <w:rPr>
                <w:sz w:val="19"/>
                <w:szCs w:val="19"/>
                <w:color w:val="auto"/>
              </w:rPr>
            </w:pPr>
          </w:p>
        </w:tc>
        <w:tc>
          <w:tcPr>
            <w:tcW w:w="1280" w:type="dxa"/>
            <w:vAlign w:val="bottom"/>
          </w:tcPr>
          <w:p>
            <w:pPr>
              <w:jc w:val="right"/>
              <w:ind w:right="1097"/>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w:t>
            </w:r>
          </w:p>
        </w:tc>
      </w:tr>
      <w:tr>
        <w:trPr>
          <w:trHeight w:val="222"/>
        </w:trPr>
        <w:tc>
          <w:tcPr>
            <w:tcW w:w="7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Diluted</w:t>
            </w:r>
          </w:p>
        </w:tc>
        <w:tc>
          <w:tcPr>
            <w:tcW w:w="1340" w:type="dxa"/>
            <w:vAlign w:val="bottom"/>
            <w:shd w:val="clear" w:color="auto" w:fill="CCEEFF"/>
          </w:tcPr>
          <w:p>
            <w:pPr>
              <w:jc w:val="right"/>
              <w:ind w:right="1162"/>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097"/>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w:t>
            </w:r>
          </w:p>
        </w:tc>
      </w:tr>
      <w:tr>
        <w:trPr>
          <w:trHeight w:val="261"/>
        </w:trPr>
        <w:tc>
          <w:tcPr>
            <w:tcW w:w="70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760" w:type="dxa"/>
            <w:vAlign w:val="bottom"/>
          </w:tcPr>
          <w:p>
            <w:pPr>
              <w:spacing w:after="0"/>
              <w:rPr>
                <w:sz w:val="22"/>
                <w:szCs w:val="22"/>
                <w:color w:val="auto"/>
              </w:rPr>
            </w:pPr>
          </w:p>
        </w:tc>
      </w:tr>
      <w:tr>
        <w:trPr>
          <w:trHeight w:val="222"/>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Anti-dilutive shares</w:t>
            </w:r>
          </w:p>
        </w:tc>
        <w:tc>
          <w:tcPr>
            <w:tcW w:w="13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bl>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 Segment Reporting</w:t>
      </w:r>
    </w:p>
    <w:p>
      <w:pPr>
        <w:spacing w:after="0" w:line="172" w:lineRule="exact"/>
        <w:rPr>
          <w:sz w:val="20"/>
          <w:szCs w:val="20"/>
          <w:color w:val="auto"/>
        </w:rPr>
      </w:pPr>
    </w:p>
    <w:p>
      <w:pPr>
        <w:jc w:val="both"/>
        <w:ind w:firstLine="627"/>
        <w:spacing w:after="0" w:line="295" w:lineRule="auto"/>
        <w:rPr>
          <w:sz w:val="20"/>
          <w:szCs w:val="20"/>
          <w:color w:val="auto"/>
        </w:rPr>
      </w:pPr>
      <w:r>
        <w:rPr>
          <w:rFonts w:ascii="Times New Roman" w:cs="Times New Roman" w:eastAsia="Times New Roman" w:hAnsi="Times New Roman"/>
          <w:sz w:val="17"/>
          <w:szCs w:val="17"/>
          <w:color w:val="auto"/>
        </w:rPr>
        <w:t>We manage our business activities on a consolidated basis under a single reportable operating segment and our Chief Executive Officer (CEO) serves as our Chief Operating Decision Maker (CODM).</w:t>
      </w:r>
    </w:p>
    <w:p>
      <w:pPr>
        <w:spacing w:after="0" w:line="94" w:lineRule="exact"/>
        <w:rPr>
          <w:sz w:val="20"/>
          <w:szCs w:val="20"/>
          <w:color w:val="auto"/>
        </w:rPr>
      </w:pPr>
    </w:p>
    <w:p>
      <w:pPr>
        <w:jc w:val="both"/>
        <w:ind w:firstLine="627"/>
        <w:spacing w:after="0" w:line="269" w:lineRule="auto"/>
        <w:rPr>
          <w:sz w:val="20"/>
          <w:szCs w:val="20"/>
          <w:color w:val="auto"/>
        </w:rPr>
      </w:pPr>
      <w:r>
        <w:rPr>
          <w:rFonts w:ascii="Times New Roman" w:cs="Times New Roman" w:eastAsia="Times New Roman" w:hAnsi="Times New Roman"/>
          <w:sz w:val="17"/>
          <w:szCs w:val="17"/>
          <w:color w:val="auto"/>
        </w:rPr>
        <w:t>Our Mortgage Insurance segment provides private mortgage insurance and ancillary loan review services, and our CODM evaluates our performance and allocates resources based on our consolidated financial results, including consolidated revenue, expenses, net income, assets and shareholders' equity. Our CODM reviews consolidated net income to assess segment profit and loss, and also evaluates the broader set of metrics to gauge our financial performance and make strategic decisions, such as whether to reinvest profits in our Mortgage Insurance segment or return capital to shareholders.</w:t>
      </w:r>
    </w:p>
    <w:p>
      <w:pPr>
        <w:spacing w:after="0" w:line="117" w:lineRule="exact"/>
        <w:rPr>
          <w:sz w:val="20"/>
          <w:szCs w:val="20"/>
          <w:color w:val="auto"/>
        </w:rPr>
      </w:pPr>
    </w:p>
    <w:p>
      <w:pPr>
        <w:jc w:val="both"/>
        <w:ind w:firstLine="627"/>
        <w:spacing w:after="0" w:line="276" w:lineRule="auto"/>
        <w:rPr>
          <w:sz w:val="20"/>
          <w:szCs w:val="20"/>
          <w:color w:val="auto"/>
        </w:rPr>
      </w:pPr>
      <w:r>
        <w:rPr>
          <w:rFonts w:ascii="Times New Roman" w:cs="Times New Roman" w:eastAsia="Times New Roman" w:hAnsi="Times New Roman"/>
          <w:sz w:val="17"/>
          <w:szCs w:val="17"/>
          <w:color w:val="auto"/>
        </w:rPr>
        <w:t>The significant revenue and expense categories that are regularly reviewed by our CODM align with those presented on our condensed consolidated statements of operations and comprehensive income, and segment assets align with total assets as presented on our condensed consolidated balance sheets. The accounting policies governing our Mortgage Insurance segment are</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CONDENSED CONSOLIDATED FINANCIAL STATEMENTS (UNAUDITED)</w:t>
      </w:r>
    </w:p>
    <w:p>
      <w:pPr>
        <w:spacing w:after="0" w:line="200" w:lineRule="exact"/>
        <w:rPr>
          <w:sz w:val="20"/>
          <w:szCs w:val="20"/>
          <w:color w:val="auto"/>
        </w:rPr>
      </w:pPr>
    </w:p>
    <w:p>
      <w:pPr>
        <w:spacing w:after="0" w:line="395"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7"/>
          <w:szCs w:val="17"/>
          <w:color w:val="auto"/>
        </w:rPr>
        <w:t>the same as those described in Item 8, “</w:t>
      </w:r>
      <w:r>
        <w:rPr>
          <w:rFonts w:ascii="Times New Roman" w:cs="Times New Roman" w:eastAsia="Times New Roman" w:hAnsi="Times New Roman"/>
          <w:sz w:val="17"/>
          <w:szCs w:val="17"/>
          <w:i w:val="1"/>
          <w:iCs w:val="1"/>
          <w:color w:val="auto"/>
        </w:rPr>
        <w:t>Financial Statements and Supplementary Data - Notes to Consolidated Financial Statements - Note 2 - Summary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Accounting Principles” </w:t>
      </w:r>
      <w:r>
        <w:rPr>
          <w:rFonts w:ascii="Times New Roman" w:cs="Times New Roman" w:eastAsia="Times New Roman" w:hAnsi="Times New Roman"/>
          <w:sz w:val="17"/>
          <w:szCs w:val="17"/>
          <w:color w:val="auto"/>
        </w:rPr>
        <w:t>of our 2025 10-K.</w:t>
      </w:r>
    </w:p>
    <w:p>
      <w:pPr>
        <w:spacing w:after="0" w:line="90" w:lineRule="exact"/>
        <w:rPr>
          <w:sz w:val="20"/>
          <w:szCs w:val="20"/>
          <w:color w:val="auto"/>
        </w:rPr>
      </w:pPr>
    </w:p>
    <w:p>
      <w:pPr>
        <w:jc w:val="both"/>
        <w:ind w:firstLine="627"/>
        <w:spacing w:after="0" w:line="277" w:lineRule="auto"/>
        <w:rPr>
          <w:sz w:val="20"/>
          <w:szCs w:val="20"/>
          <w:color w:val="auto"/>
        </w:rPr>
      </w:pPr>
      <w:r>
        <w:rPr>
          <w:rFonts w:ascii="Times New Roman" w:cs="Times New Roman" w:eastAsia="Times New Roman" w:hAnsi="Times New Roman"/>
          <w:sz w:val="17"/>
          <w:szCs w:val="17"/>
          <w:color w:val="auto"/>
        </w:rPr>
        <w:t>Investment income, also referred to as interest revenue, is reported within “</w:t>
      </w:r>
      <w:r>
        <w:rPr>
          <w:rFonts w:ascii="Times New Roman" w:cs="Times New Roman" w:eastAsia="Times New Roman" w:hAnsi="Times New Roman"/>
          <w:sz w:val="17"/>
          <w:szCs w:val="17"/>
          <w:i w:val="1"/>
          <w:iCs w:val="1"/>
          <w:color w:val="auto"/>
        </w:rPr>
        <w:t>Net Investment Income</w:t>
      </w:r>
      <w:r>
        <w:rPr>
          <w:rFonts w:ascii="Times New Roman" w:cs="Times New Roman" w:eastAsia="Times New Roman" w:hAnsi="Times New Roman"/>
          <w:sz w:val="17"/>
          <w:szCs w:val="17"/>
          <w:color w:val="auto"/>
        </w:rPr>
        <w:t>” on our condensed consolidated statements of operations and was $29.0 million and $24.0 million for the three months ended March 31, 2026 and 2025, respectively</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Amortization and depreciation expense for software, equipment, and leasehold improvements was $2.5 million and $2.9 million for the three months ended March 31, 2026 and 2025, respectively.</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 Income Taxes</w:t>
      </w:r>
    </w:p>
    <w:p>
      <w:pPr>
        <w:spacing w:after="0" w:line="172" w:lineRule="exact"/>
        <w:rPr>
          <w:sz w:val="20"/>
          <w:szCs w:val="20"/>
          <w:color w:val="auto"/>
        </w:rPr>
      </w:pPr>
    </w:p>
    <w:p>
      <w:pPr>
        <w:jc w:val="both"/>
        <w:ind w:firstLine="627"/>
        <w:spacing w:after="0" w:line="264" w:lineRule="auto"/>
        <w:rPr>
          <w:sz w:val="20"/>
          <w:szCs w:val="20"/>
          <w:color w:val="auto"/>
        </w:rPr>
      </w:pPr>
      <w:r>
        <w:rPr>
          <w:rFonts w:ascii="Times New Roman" w:cs="Times New Roman" w:eastAsia="Times New Roman" w:hAnsi="Times New Roman"/>
          <w:sz w:val="17"/>
          <w:szCs w:val="17"/>
          <w:color w:val="auto"/>
        </w:rPr>
        <w:t>We are a U.S. taxpayer and are subject to a statutory U.S. federal corporate income tax rate of 21%. Taxable income is reported on our consolidated U.S. federal and various state income tax returns, filed by NMIH on behalf of itself and its subsidiaries. Our effective tax rate on pre-tax income was 20.5% and 21.9% for the three months ended March 31, 2026 and 2025, respectively. Our provision for income taxes for interim reporting periods is established based on our estimated annual effective tax rate for a given year. Our effective tax rate may fluctuate between interim periods due to the impact of discrete items not included in our estimated annual effective tax rate, including the tax effects associated with the vesting of RSUs and exercise of options. Such items are treated on a discrete basis in the reporting period in which they occur.</w:t>
      </w:r>
    </w:p>
    <w:p>
      <w:pPr>
        <w:spacing w:after="0" w:line="121" w:lineRule="exact"/>
        <w:rPr>
          <w:sz w:val="20"/>
          <w:szCs w:val="20"/>
          <w:color w:val="auto"/>
        </w:rPr>
      </w:pPr>
    </w:p>
    <w:p>
      <w:pPr>
        <w:jc w:val="both"/>
        <w:ind w:firstLine="627"/>
        <w:spacing w:after="0" w:line="266" w:lineRule="auto"/>
        <w:rPr>
          <w:sz w:val="20"/>
          <w:szCs w:val="20"/>
          <w:color w:val="auto"/>
        </w:rPr>
      </w:pPr>
      <w:r>
        <w:rPr>
          <w:rFonts w:ascii="Times New Roman" w:cs="Times New Roman" w:eastAsia="Times New Roman" w:hAnsi="Times New Roman"/>
          <w:sz w:val="17"/>
          <w:szCs w:val="17"/>
          <w:color w:val="auto"/>
        </w:rPr>
        <w:t xml:space="preserve">As a mortgage guaranty insurance company, we are eligible to claim a tax deduction for our statutory contingency reserve balance, subject to certain limitations outlined under IRC Section 832(e), and only to the extent we acquire tax and loss bonds in an amount equal to the tax benefit derived from the claimed deduction, which is our intent. As a result, our interim provision for income taxes for the three months ended March 31, 2026 and 2025 primarily represents a change in our net deferred tax liability. As of March 31, 2026 and December 31, 2025, we held $400.3 million of tax and loss bonds in </w:t>
      </w:r>
      <w:r>
        <w:rPr>
          <w:rFonts w:ascii="Times New Roman" w:cs="Times New Roman" w:eastAsia="Times New Roman" w:hAnsi="Times New Roman"/>
          <w:sz w:val="17"/>
          <w:szCs w:val="17"/>
          <w:i w:val="1"/>
          <w:iCs w:val="1"/>
          <w:color w:val="auto"/>
        </w:rPr>
        <w:t>“Prepaid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Federal Income Taxes” </w:t>
      </w:r>
      <w:r>
        <w:rPr>
          <w:rFonts w:ascii="Times New Roman" w:cs="Times New Roman" w:eastAsia="Times New Roman" w:hAnsi="Times New Roman"/>
          <w:sz w:val="17"/>
          <w:szCs w:val="17"/>
          <w:color w:val="auto"/>
        </w:rPr>
        <w:t>on our condensed consolidated balance sheets.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 Stockholders' Equity</w:t>
      </w:r>
    </w:p>
    <w:p>
      <w:pPr>
        <w:spacing w:after="0" w:line="172" w:lineRule="exact"/>
        <w:rPr>
          <w:sz w:val="20"/>
          <w:szCs w:val="20"/>
          <w:color w:val="auto"/>
        </w:rPr>
      </w:pPr>
    </w:p>
    <w:p>
      <w:pPr>
        <w:jc w:val="both"/>
        <w:ind w:firstLine="627"/>
        <w:spacing w:after="0" w:line="269" w:lineRule="auto"/>
        <w:rPr>
          <w:sz w:val="20"/>
          <w:szCs w:val="20"/>
          <w:color w:val="auto"/>
        </w:rPr>
      </w:pPr>
      <w:r>
        <w:rPr>
          <w:rFonts w:ascii="Times New Roman" w:cs="Times New Roman" w:eastAsia="Times New Roman" w:hAnsi="Times New Roman"/>
          <w:sz w:val="17"/>
          <w:szCs w:val="17"/>
          <w:color w:val="auto"/>
        </w:rPr>
        <w:t>During the three months ended March 31, 2026, we repurchased 0.7 million shares at an average price of $38.65 per share (excluding associated costs and applicable taxes). As of March 31, 2026, we had $198.2 million of repurchase authorization remaining through December 31, 2027. The authorization provides us with the flexibility, based on market and business conditions, stock price and other factors, to repurchase stock through open market purchases, privately negotiated transactions, or other means, including pursuant to Rule 10b5-1 trading plans.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11. Premiums Receivable, Net</w:t>
      </w:r>
    </w:p>
    <w:p>
      <w:pPr>
        <w:spacing w:after="0" w:line="251" w:lineRule="exact"/>
        <w:rPr>
          <w:sz w:val="20"/>
          <w:szCs w:val="20"/>
          <w:color w:val="auto"/>
        </w:rPr>
      </w:pPr>
    </w:p>
    <w:p>
      <w:pPr>
        <w:jc w:val="both"/>
        <w:ind w:firstLine="627"/>
        <w:spacing w:after="0" w:line="269" w:lineRule="auto"/>
        <w:rPr>
          <w:sz w:val="20"/>
          <w:szCs w:val="20"/>
          <w:color w:val="auto"/>
        </w:rPr>
      </w:pPr>
      <w:r>
        <w:rPr>
          <w:rFonts w:ascii="Times New Roman" w:cs="Times New Roman" w:eastAsia="Times New Roman" w:hAnsi="Times New Roman"/>
          <w:sz w:val="17"/>
          <w:szCs w:val="17"/>
          <w:color w:val="auto"/>
        </w:rPr>
        <w:t>Premiums receivable consists of premiums due on our mortgage insurance policies. If a mortgage insurance premium is unpaid for more than 120 days, the associated receivable is written off against earned premium and the related insurance policy is canceled. Premiums receivable may be written off prior to 120 days in the ordinary course of business for non-credit events including, but not limited to, the modification or refinancing of an underlying insured loan. We established a $1.4 million reserve for premium write-offs at both March 31, 2026 and December 31, 2025.</w:t>
      </w:r>
    </w:p>
    <w:p>
      <w:pPr>
        <w:spacing w:after="0" w:line="117" w:lineRule="exact"/>
        <w:rPr>
          <w:sz w:val="20"/>
          <w:szCs w:val="20"/>
          <w:color w:val="auto"/>
        </w:rPr>
      </w:pPr>
    </w:p>
    <w:p>
      <w:pPr>
        <w:jc w:val="both"/>
        <w:ind w:firstLine="627"/>
        <w:spacing w:after="0" w:line="269" w:lineRule="auto"/>
        <w:rPr>
          <w:sz w:val="20"/>
          <w:szCs w:val="20"/>
          <w:color w:val="auto"/>
        </w:rPr>
      </w:pPr>
      <w:r>
        <w:rPr>
          <w:rFonts w:ascii="Times New Roman" w:cs="Times New Roman" w:eastAsia="Times New Roman" w:hAnsi="Times New Roman"/>
          <w:sz w:val="17"/>
          <w:szCs w:val="17"/>
          <w:color w:val="auto"/>
        </w:rPr>
        <w:t>We separately recognize an allowance for credit losses for premiums receivable based on credit losses expected to arise over the life of the receivable. Due to the nature of our insurance policies (a necessary precondition for access to mortgage credit for covered borrowers) and the short duration of the related receivables, we do not typically experience credit losses against our premium receivables and the allowance for credit loss established on premium receivable was deemed immaterial at March 31, 2026 and December 31, 2025.</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12. Regulatory Information</w:t>
      </w:r>
    </w:p>
    <w:p>
      <w:pPr>
        <w:spacing w:after="0" w:line="17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i w:val="1"/>
          <w:iCs w:val="1"/>
          <w:color w:val="auto"/>
        </w:rPr>
        <w:t>Statutory Requirements</w:t>
      </w:r>
    </w:p>
    <w:p>
      <w:pPr>
        <w:spacing w:after="0" w:line="172" w:lineRule="exact"/>
        <w:rPr>
          <w:sz w:val="20"/>
          <w:szCs w:val="20"/>
          <w:color w:val="auto"/>
        </w:rPr>
      </w:pPr>
    </w:p>
    <w:p>
      <w:pPr>
        <w:jc w:val="both"/>
        <w:ind w:firstLine="627"/>
        <w:spacing w:after="0" w:line="266" w:lineRule="auto"/>
        <w:rPr>
          <w:sz w:val="20"/>
          <w:szCs w:val="20"/>
          <w:color w:val="auto"/>
        </w:rPr>
      </w:pPr>
      <w:r>
        <w:rPr>
          <w:rFonts w:ascii="Times New Roman" w:cs="Times New Roman" w:eastAsia="Times New Roman" w:hAnsi="Times New Roman"/>
          <w:sz w:val="17"/>
          <w:szCs w:val="17"/>
          <w:color w:val="auto"/>
        </w:rPr>
        <w:t>Our insurance subsidiaries, NMIC and Re One, file financial statements in conformity with statutory accounting principles (SAP) prescribed or permitted by the Wisconsin OCI, NMIC's principal regulator. Prescribed SAP includes state laws, regulations and general administrative rules, as well as a variety of publications of the National Association of Insurance Commissioners (NAIC). The Wisconsin OCI recognizes only statutory accounting practices prescribed or permitted by the state of Wisconsin for determining and reporting the financial condition and results of operations of an insurance company and for determining its solvency under Wisconsin insurance laws.</w:t>
      </w:r>
    </w:p>
    <w:p>
      <w:pPr>
        <w:spacing w:after="0" w:line="119" w:lineRule="exact"/>
        <w:rPr>
          <w:sz w:val="20"/>
          <w:szCs w:val="20"/>
          <w:color w:val="auto"/>
        </w:rPr>
      </w:pPr>
    </w:p>
    <w:p>
      <w:pPr>
        <w:jc w:val="both"/>
        <w:ind w:firstLine="627"/>
        <w:spacing w:after="0" w:line="295" w:lineRule="auto"/>
        <w:rPr>
          <w:sz w:val="20"/>
          <w:szCs w:val="20"/>
          <w:color w:val="auto"/>
        </w:rPr>
      </w:pPr>
      <w:r>
        <w:rPr>
          <w:rFonts w:ascii="Times New Roman" w:cs="Times New Roman" w:eastAsia="Times New Roman" w:hAnsi="Times New Roman"/>
          <w:sz w:val="17"/>
          <w:szCs w:val="17"/>
          <w:color w:val="auto"/>
        </w:rPr>
        <w:t>NMIC and Re One generated combined statutory net income of $32.8 million and $36.8 million for the three months ended March 31, 2026 and 2025, respectively.</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CONDENSED CONSOLIDATED FINANCIAL STATEMENTS (UNAUDITED)</w:t>
      </w:r>
    </w:p>
    <w:p>
      <w:pPr>
        <w:spacing w:after="0" w:line="200" w:lineRule="exact"/>
        <w:rPr>
          <w:sz w:val="20"/>
          <w:szCs w:val="20"/>
          <w:color w:val="auto"/>
        </w:rPr>
      </w:pPr>
    </w:p>
    <w:p>
      <w:pPr>
        <w:spacing w:after="0" w:line="397" w:lineRule="exact"/>
        <w:rPr>
          <w:sz w:val="20"/>
          <w:szCs w:val="20"/>
          <w:color w:val="auto"/>
        </w:rPr>
      </w:pPr>
    </w:p>
    <w:p>
      <w:pPr>
        <w:jc w:val="both"/>
        <w:ind w:firstLine="627"/>
        <w:spacing w:after="0" w:line="266" w:lineRule="auto"/>
        <w:rPr>
          <w:sz w:val="20"/>
          <w:szCs w:val="20"/>
          <w:color w:val="auto"/>
        </w:rPr>
      </w:pPr>
      <w:r>
        <w:rPr>
          <w:rFonts w:ascii="Times New Roman" w:cs="Times New Roman" w:eastAsia="Times New Roman" w:hAnsi="Times New Roman"/>
          <w:sz w:val="17"/>
          <w:szCs w:val="17"/>
          <w:color w:val="auto"/>
        </w:rPr>
        <w:t>The Wisconsin OCI has imposed a prescribed accounting practice for the treatment of statutory contingency reserves that differs from the treatment promulgated by the NAIC. Under Wisconsin OCI's prescribed practice mortgage guaranty insurers are required to reflect changes in their contingency reserves through statutory income. Such approach contrasts with the NAIC's treatment, which records changes to contingency reserves directly to unassigned funds. As a Wisconsin-domiciled insurer, NMIC's statutory net income reflects an expense associated with the change in its contingency reserve. While such treatment impacts NMIC's statutory net income, it does not have an effect on NMIC's statutory capital position.</w:t>
      </w:r>
    </w:p>
    <w:p>
      <w:pPr>
        <w:spacing w:after="0" w:line="119" w:lineRule="exact"/>
        <w:rPr>
          <w:sz w:val="20"/>
          <w:szCs w:val="20"/>
          <w:color w:val="auto"/>
        </w:rPr>
      </w:pPr>
    </w:p>
    <w:p>
      <w:pPr>
        <w:jc w:val="both"/>
        <w:ind w:firstLine="627"/>
        <w:spacing w:after="0" w:line="295" w:lineRule="auto"/>
        <w:rPr>
          <w:sz w:val="20"/>
          <w:szCs w:val="20"/>
          <w:color w:val="auto"/>
        </w:rPr>
      </w:pPr>
      <w:r>
        <w:rPr>
          <w:rFonts w:ascii="Times New Roman" w:cs="Times New Roman" w:eastAsia="Times New Roman" w:hAnsi="Times New Roman"/>
          <w:sz w:val="17"/>
          <w:szCs w:val="17"/>
          <w:color w:val="auto"/>
        </w:rPr>
        <w:t>The following table presents NMIC's statutory surplus, contingency reserve, statutory capital and risk-to-capital (RTC) ratio as of March 31, 2026 and December 31, 2025.</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0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20" w:type="dxa"/>
            <w:vAlign w:val="bottom"/>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3"/>
        </w:trPr>
        <w:tc>
          <w:tcPr>
            <w:tcW w:w="600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183"/>
        </w:trPr>
        <w:tc>
          <w:tcPr>
            <w:tcW w:w="60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420" w:type="dxa"/>
            <w:vAlign w:val="bottom"/>
            <w:gridSpan w:val="3"/>
          </w:tcPr>
          <w:p>
            <w:pPr>
              <w:jc w:val="right"/>
              <w:ind w:right="93"/>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20" w:type="dxa"/>
            <w:vAlign w:val="bottom"/>
          </w:tcPr>
          <w:p>
            <w:pPr>
              <w:spacing w:after="0"/>
              <w:rPr>
                <w:sz w:val="15"/>
                <w:szCs w:val="15"/>
                <w:color w:val="auto"/>
              </w:rPr>
            </w:pPr>
          </w:p>
        </w:tc>
      </w:tr>
      <w:tr>
        <w:trPr>
          <w:trHeight w:val="228"/>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Statutory surplus</w:t>
            </w:r>
          </w:p>
        </w:tc>
        <w:tc>
          <w:tcPr>
            <w:tcW w:w="1800" w:type="dxa"/>
            <w:vAlign w:val="bottom"/>
            <w:shd w:val="clear" w:color="auto" w:fill="CCEEFF"/>
          </w:tcPr>
          <w:p>
            <w:pPr>
              <w:jc w:val="right"/>
              <w:ind w:right="1619"/>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1,042,766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3"/>
              <w:spacing w:after="0"/>
              <w:rPr>
                <w:sz w:val="20"/>
                <w:szCs w:val="20"/>
                <w:color w:val="auto"/>
              </w:rPr>
            </w:pPr>
            <w:r>
              <w:rPr>
                <w:rFonts w:ascii="Times New Roman" w:cs="Times New Roman" w:eastAsia="Times New Roman" w:hAnsi="Times New Roman"/>
                <w:sz w:val="17"/>
                <w:szCs w:val="17"/>
                <w:color w:val="auto"/>
                <w:w w:val="93"/>
              </w:rPr>
              <w: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1,010,274</w:t>
            </w:r>
          </w:p>
        </w:tc>
      </w:tr>
      <w:tr>
        <w:trPr>
          <w:trHeight w:val="222"/>
        </w:trPr>
        <w:tc>
          <w:tcPr>
            <w:tcW w:w="6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Contingency reserve</w:t>
            </w:r>
          </w:p>
        </w:tc>
        <w:tc>
          <w:tcPr>
            <w:tcW w:w="18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2,328,669</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2,245,272</w:t>
            </w:r>
          </w:p>
        </w:tc>
      </w:tr>
      <w:tr>
        <w:trPr>
          <w:trHeight w:val="240"/>
        </w:trPr>
        <w:tc>
          <w:tcPr>
            <w:tcW w:w="6000" w:type="dxa"/>
            <w:vAlign w:val="bottom"/>
            <w:tcBorders>
              <w:bottom w:val="single" w:sz="8" w:color="CCEEFF"/>
            </w:tcBorders>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 xml:space="preserve">Statutory capital </w:t>
            </w:r>
            <w:r>
              <w:rPr>
                <w:rFonts w:ascii="Times New Roman" w:cs="Times New Roman" w:eastAsia="Times New Roman" w:hAnsi="Times New Roman"/>
                <w:sz w:val="22"/>
                <w:szCs w:val="22"/>
                <w:color w:val="auto"/>
                <w:vertAlign w:val="superscript"/>
              </w:rPr>
              <w:t>(1)</w:t>
            </w:r>
          </w:p>
        </w:tc>
        <w:tc>
          <w:tcPr>
            <w:tcW w:w="1800" w:type="dxa"/>
            <w:vAlign w:val="bottom"/>
            <w:tcBorders>
              <w:bottom w:val="single" w:sz="8" w:color="auto"/>
            </w:tcBorders>
            <w:shd w:val="clear" w:color="auto" w:fill="CCEEFF"/>
          </w:tcPr>
          <w:p>
            <w:pPr>
              <w:jc w:val="right"/>
              <w:ind w:right="1619"/>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3,371,435</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3"/>
              <w:spacing w:after="0"/>
              <w:rPr>
                <w:sz w:val="20"/>
                <w:szCs w:val="20"/>
                <w:color w:val="auto"/>
              </w:rPr>
            </w:pPr>
            <w:r>
              <w:rPr>
                <w:rFonts w:ascii="Times New Roman" w:cs="Times New Roman" w:eastAsia="Times New Roman" w:hAnsi="Times New Roman"/>
                <w:sz w:val="17"/>
                <w:szCs w:val="17"/>
                <w:color w:val="auto"/>
                <w:w w:val="93"/>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3,255,546</w:t>
            </w: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r>
      <w:tr>
        <w:trPr>
          <w:trHeight w:val="155"/>
        </w:trPr>
        <w:tc>
          <w:tcPr>
            <w:tcW w:w="60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20" w:type="dxa"/>
            <w:vAlign w:val="bottom"/>
          </w:tcPr>
          <w:p>
            <w:pPr>
              <w:spacing w:after="0"/>
              <w:rPr>
                <w:sz w:val="13"/>
                <w:szCs w:val="13"/>
                <w:color w:val="auto"/>
              </w:rPr>
            </w:pPr>
          </w:p>
        </w:tc>
      </w:tr>
      <w:tr>
        <w:trPr>
          <w:trHeight w:val="222"/>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Risk-to-capital</w:t>
            </w:r>
          </w:p>
        </w:tc>
        <w:tc>
          <w:tcPr>
            <w:tcW w:w="18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13.0:1</w:t>
            </w:r>
          </w:p>
        </w:tc>
      </w:tr>
    </w:tbl>
    <w:p>
      <w:pPr>
        <w:spacing w:after="0" w:line="226"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4"/>
          <w:szCs w:val="14"/>
          <w:color w:val="auto"/>
        </w:rPr>
        <w:t>(1)</w:t>
      </w:r>
      <w:r>
        <w:rPr>
          <w:sz w:val="20"/>
          <w:szCs w:val="20"/>
          <w:color w:val="auto"/>
        </w:rPr>
        <w:tab/>
      </w:r>
      <w:r>
        <w:rPr>
          <w:rFonts w:ascii="Times New Roman" w:cs="Times New Roman" w:eastAsia="Times New Roman" w:hAnsi="Times New Roman"/>
          <w:sz w:val="13"/>
          <w:szCs w:val="13"/>
          <w:color w:val="auto"/>
        </w:rPr>
        <w:t>Represents the total of the statutory surplus and contingency reserve.</w:t>
      </w:r>
    </w:p>
    <w:p>
      <w:pPr>
        <w:spacing w:after="0" w:line="15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Re One had $2.1 million of statutory capital at both March 31, 2026 and December 31, 2025.</w:t>
      </w:r>
    </w:p>
    <w:p>
      <w:pPr>
        <w:spacing w:after="0" w:line="170" w:lineRule="exact"/>
        <w:rPr>
          <w:sz w:val="20"/>
          <w:szCs w:val="20"/>
          <w:color w:val="auto"/>
        </w:rPr>
      </w:pPr>
    </w:p>
    <w:p>
      <w:pPr>
        <w:jc w:val="both"/>
        <w:ind w:firstLine="627"/>
        <w:spacing w:after="0" w:line="295" w:lineRule="auto"/>
        <w:rPr>
          <w:sz w:val="20"/>
          <w:szCs w:val="20"/>
          <w:color w:val="auto"/>
        </w:rPr>
      </w:pPr>
      <w:r>
        <w:rPr>
          <w:rFonts w:ascii="Times New Roman" w:cs="Times New Roman" w:eastAsia="Times New Roman" w:hAnsi="Times New Roman"/>
          <w:sz w:val="17"/>
          <w:szCs w:val="17"/>
          <w:color w:val="auto"/>
        </w:rPr>
        <w:t>NMIH is not subject to any limitations on its ability to pay dividends except those generally applicable to corporations that are incorporated in Delaware. Delaware law provides that dividends are only payable out of a corporation's capital surplus or, subject to certain limitations, recent net profits.</w:t>
      </w:r>
    </w:p>
    <w:p>
      <w:pPr>
        <w:spacing w:after="0" w:line="94" w:lineRule="exact"/>
        <w:rPr>
          <w:sz w:val="20"/>
          <w:szCs w:val="20"/>
          <w:color w:val="auto"/>
        </w:rPr>
      </w:pPr>
    </w:p>
    <w:p>
      <w:pPr>
        <w:jc w:val="both"/>
        <w:ind w:firstLine="627"/>
        <w:spacing w:after="0" w:line="308" w:lineRule="auto"/>
        <w:rPr>
          <w:sz w:val="20"/>
          <w:szCs w:val="20"/>
          <w:color w:val="auto"/>
        </w:rPr>
      </w:pPr>
      <w:r>
        <w:rPr>
          <w:rFonts w:ascii="Times New Roman" w:cs="Times New Roman" w:eastAsia="Times New Roman" w:hAnsi="Times New Roman"/>
          <w:sz w:val="17"/>
          <w:szCs w:val="17"/>
          <w:color w:val="auto"/>
        </w:rPr>
        <w:t>NMIC and Re One are subject to certain rules and regulations prescribed by jurisdictions in which they are authorized to operate and the GSEs that may restrict their ability to pay dividends to NMIH. NMIC has the capacity to pay $101.0 million of aggregate ordinary dividends to NMIH during the twelve-month period ending December 31, 2026.</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b w:val="1"/>
          <w:bCs w:val="1"/>
          <w:color w:val="auto"/>
        </w:rPr>
        <w:t>Item 2. Management's Discussion and Analysis of Financial Condition and Results of Operations</w:t>
      </w:r>
    </w:p>
    <w:p>
      <w:pPr>
        <w:spacing w:after="0" w:line="170" w:lineRule="exact"/>
        <w:rPr>
          <w:sz w:val="20"/>
          <w:szCs w:val="20"/>
          <w:color w:val="auto"/>
        </w:rPr>
      </w:pPr>
    </w:p>
    <w:p>
      <w:pPr>
        <w:jc w:val="both"/>
        <w:ind w:firstLine="200"/>
        <w:spacing w:after="0" w:line="263" w:lineRule="auto"/>
        <w:rPr>
          <w:sz w:val="20"/>
          <w:szCs w:val="20"/>
          <w:color w:val="auto"/>
        </w:rPr>
      </w:pPr>
      <w:r>
        <w:rPr>
          <w:rFonts w:ascii="Times New Roman" w:cs="Times New Roman" w:eastAsia="Times New Roman" w:hAnsi="Times New Roman"/>
          <w:sz w:val="17"/>
          <w:szCs w:val="17"/>
          <w:i w:val="1"/>
          <w:iCs w:val="1"/>
          <w:color w:val="auto"/>
        </w:rPr>
        <w:t>The following analysis should be read in conjunction with our unaudited condensed consolidated financial statements and the notes thereto included in this report and our audited financial statements, notes thereto and “Management's Discussion and Analysis of Financial Condition and Results of Operations” included in our 2025 10-K, as well as the “Glossary of Abbreviations and Acronyms” above, for a more complete understanding of our financial position and results of operations. In addition, investors should review the “Cautionary Note Regarding Forward-Looking Statements” above and the “Risk Factors” detailed in Part II, Item 1A of this report and in Part I, Item 1A of our 2025 10-K, as subsequently updated in other reports we file with the SEC, for a discussion of those risks and uncertainties that have the potential to affect our business, financial condition, results of operations, cash flows or prospects in a material and adverse manner. Our results of operations for interim periods are not necessarily indicative of results to be expected for a full fiscal year or for any other period.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72" w:lineRule="exact"/>
        <w:rPr>
          <w:sz w:val="20"/>
          <w:szCs w:val="20"/>
          <w:color w:val="auto"/>
        </w:rPr>
      </w:pPr>
    </w:p>
    <w:p>
      <w:pPr>
        <w:jc w:val="both"/>
        <w:ind w:firstLine="627"/>
        <w:spacing w:after="0" w:line="266" w:lineRule="auto"/>
        <w:rPr>
          <w:sz w:val="20"/>
          <w:szCs w:val="20"/>
          <w:color w:val="auto"/>
        </w:rPr>
      </w:pPr>
      <w:r>
        <w:rPr>
          <w:rFonts w:ascii="Times New Roman" w:cs="Times New Roman" w:eastAsia="Times New Roman" w:hAnsi="Times New Roman"/>
          <w:sz w:val="17"/>
          <w:szCs w:val="17"/>
          <w:color w:val="auto"/>
        </w:rPr>
        <w:t>We provide private MI through our primary insurance subsidiary, NMIC. NMIC is wholly-owned, domiciled in Wisconsin and principally regulated by the Wisconsin OCI. NMIC is approved as an MI provider by the GSEs and is licensed to write coverage in all 50 states and D.C. Our subsidiary, NMIS, provides outsourced loan review services to mortgage loan originators and our subsidiary, Re One, historically provided reinsurance coverage to NMIC in accordance with certain statutory risk retention requirements. Such requirements have been repealed and the reinsurance coverage provided by Re One to NMIC has been commuted. Re One remains a wholly-owned, licensed insurance subsidiary; however, it does not currently have active insurance exposures.</w:t>
      </w:r>
    </w:p>
    <w:p>
      <w:pPr>
        <w:spacing w:after="0" w:line="119" w:lineRule="exact"/>
        <w:rPr>
          <w:sz w:val="20"/>
          <w:szCs w:val="20"/>
          <w:color w:val="auto"/>
        </w:rPr>
      </w:pPr>
    </w:p>
    <w:p>
      <w:pPr>
        <w:jc w:val="both"/>
        <w:ind w:firstLine="627"/>
        <w:spacing w:after="0" w:line="266" w:lineRule="auto"/>
        <w:rPr>
          <w:sz w:val="20"/>
          <w:szCs w:val="20"/>
          <w:color w:val="auto"/>
        </w:rPr>
      </w:pPr>
      <w:r>
        <w:rPr>
          <w:rFonts w:ascii="Times New Roman" w:cs="Times New Roman" w:eastAsia="Times New Roman" w:hAnsi="Times New Roman"/>
          <w:sz w:val="17"/>
          <w:szCs w:val="17"/>
          <w:color w:val="auto"/>
        </w:rPr>
        <w:t>MI protects lenders and investors from default-related losses on a portion of the unpaid principal balance of a covered mortgage. MI plays a critical role in the U.S. housing market by mitigating mortgage credit risk and facilitating the secondary market sale of high-LTV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xml:space="preserve"> above 80%) residential loans to the GSEs, who are otherwise restricted by their charters from purchasing or guaranteeing high-LTV mortgages that are not covered by certain credit protections. Such credit protection and secondary market sales allow lenders to increase their capacity for mortgage commitments and expand financing access to existing and prospective homeowners.</w:t>
      </w:r>
    </w:p>
    <w:p>
      <w:pPr>
        <w:spacing w:after="0" w:line="119" w:lineRule="exact"/>
        <w:rPr>
          <w:sz w:val="20"/>
          <w:szCs w:val="20"/>
          <w:color w:val="auto"/>
        </w:rPr>
      </w:pPr>
    </w:p>
    <w:p>
      <w:pPr>
        <w:jc w:val="both"/>
        <w:ind w:firstLine="627"/>
        <w:spacing w:after="0" w:line="266" w:lineRule="auto"/>
        <w:rPr>
          <w:sz w:val="20"/>
          <w:szCs w:val="20"/>
          <w:color w:val="auto"/>
        </w:rPr>
      </w:pPr>
      <w:r>
        <w:rPr>
          <w:rFonts w:ascii="Times New Roman" w:cs="Times New Roman" w:eastAsia="Times New Roman" w:hAnsi="Times New Roman"/>
          <w:sz w:val="17"/>
          <w:szCs w:val="17"/>
          <w:color w:val="auto"/>
        </w:rPr>
        <w:t>NMIH, a Delaware corporation, was incorporated in May 2011, and we began start-up operations in 2012 and wrote our first MI policy in 2013. Since formation, we have sought to establish customer relationships with a broad group of mortgage lenders and build a diversified, high-quality insured portfolio. As of March 31, 2026, we had issued master policies with 2,209 customers, including national and regional mortgage banks, money center banks, credit unions, community banks, builder-owned mortgage lenders, internet-sourced lenders and other non-bank lenders. As of March 31, 2026, we had $222.3 billion of primary IIF and $59.5 billion of primary RIF.</w:t>
      </w:r>
    </w:p>
    <w:p>
      <w:pPr>
        <w:spacing w:after="0" w:line="119" w:lineRule="exact"/>
        <w:rPr>
          <w:sz w:val="20"/>
          <w:szCs w:val="20"/>
          <w:color w:val="auto"/>
        </w:rPr>
      </w:pPr>
    </w:p>
    <w:p>
      <w:pPr>
        <w:jc w:val="both"/>
        <w:ind w:firstLine="627"/>
        <w:spacing w:after="0" w:line="248" w:lineRule="auto"/>
        <w:rPr>
          <w:sz w:val="20"/>
          <w:szCs w:val="20"/>
          <w:color w:val="auto"/>
        </w:rPr>
      </w:pPr>
      <w:r>
        <w:rPr>
          <w:rFonts w:ascii="Times New Roman" w:cs="Times New Roman" w:eastAsia="Times New Roman" w:hAnsi="Times New Roman"/>
          <w:sz w:val="17"/>
          <w:szCs w:val="17"/>
          <w:color w:val="auto"/>
        </w:rPr>
        <w:t>We believe that our success in acquiring a large and diverse group of lender customers and growing a portfolio of high-quality IIF traces to our founding principles, whereby we aim to help qualified individuals achieve their homeownership goals, ensure that we remain a strong and credible counter-party, deliver a high-quality customer service experience, establish a differentiated risk management approach that emphasizes the individual underwriting review or validation of the vast majority of the loans we insure, utilizing our proprietary Rate GPS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pricing platform to dynamically evaluate risk and price our policies, and foster a culture of collaboration and excellence that helps us attract and retain experienced industry leaders.</w:t>
      </w:r>
    </w:p>
    <w:p>
      <w:pPr>
        <w:spacing w:after="0" w:line="133" w:lineRule="exact"/>
        <w:rPr>
          <w:sz w:val="20"/>
          <w:szCs w:val="20"/>
          <w:color w:val="auto"/>
        </w:rPr>
      </w:pPr>
    </w:p>
    <w:p>
      <w:pPr>
        <w:jc w:val="both"/>
        <w:ind w:firstLine="627"/>
        <w:spacing w:after="0" w:line="276" w:lineRule="auto"/>
        <w:rPr>
          <w:sz w:val="20"/>
          <w:szCs w:val="20"/>
          <w:color w:val="auto"/>
        </w:rPr>
      </w:pPr>
      <w:r>
        <w:rPr>
          <w:rFonts w:ascii="Times New Roman" w:cs="Times New Roman" w:eastAsia="Times New Roman" w:hAnsi="Times New Roman"/>
          <w:sz w:val="17"/>
          <w:szCs w:val="17"/>
          <w:color w:val="auto"/>
        </w:rPr>
        <w:t>Our strategy is to continue to build on our position in the private MI market, expand our customer base and grow our insured portfolio of high-quality residential loans by focusing on long-term customer relationships, disciplined and proactive risk selection and pricing, fair and transparent claim payment practices, responsive customer service, and financial strength and profitability.</w:t>
      </w:r>
    </w:p>
    <w:p>
      <w:pPr>
        <w:spacing w:after="0" w:line="110" w:lineRule="exact"/>
        <w:rPr>
          <w:sz w:val="20"/>
          <w:szCs w:val="20"/>
          <w:color w:val="auto"/>
        </w:rPr>
      </w:pPr>
    </w:p>
    <w:p>
      <w:pPr>
        <w:jc w:val="both"/>
        <w:ind w:firstLine="627"/>
        <w:spacing w:after="0" w:line="276" w:lineRule="auto"/>
        <w:rPr>
          <w:sz w:val="20"/>
          <w:szCs w:val="20"/>
          <w:color w:val="auto"/>
        </w:rPr>
      </w:pPr>
      <w:r>
        <w:rPr>
          <w:rFonts w:ascii="Times New Roman" w:cs="Times New Roman" w:eastAsia="Times New Roman" w:hAnsi="Times New Roman"/>
          <w:sz w:val="17"/>
          <w:szCs w:val="17"/>
          <w:color w:val="auto"/>
        </w:rPr>
        <w:t xml:space="preserve">Our common stock trades on the Nasdaq under the symbol “NMIH.” Our headquarters is located in Emeryville, California. As of March 31, 2026, we had 225 employees. Our corporate website is located at </w:t>
      </w:r>
      <w:r>
        <w:rPr>
          <w:rFonts w:ascii="Times New Roman" w:cs="Times New Roman" w:eastAsia="Times New Roman" w:hAnsi="Times New Roman"/>
          <w:sz w:val="17"/>
          <w:szCs w:val="17"/>
          <w:i w:val="1"/>
          <w:iCs w:val="1"/>
          <w:color w:val="auto"/>
        </w:rPr>
        <w:t>www.nationalmi.com</w:t>
      </w:r>
      <w:r>
        <w:rPr>
          <w:rFonts w:ascii="Times New Roman" w:cs="Times New Roman" w:eastAsia="Times New Roman" w:hAnsi="Times New Roman"/>
          <w:sz w:val="17"/>
          <w:szCs w:val="17"/>
          <w:color w:val="auto"/>
        </w:rPr>
        <w:t>. Our website and the information contained on or accessible through our website are not incorporated by reference into this report.</w:t>
      </w:r>
    </w:p>
    <w:p>
      <w:pPr>
        <w:spacing w:after="0" w:line="110" w:lineRule="exact"/>
        <w:rPr>
          <w:sz w:val="20"/>
          <w:szCs w:val="20"/>
          <w:color w:val="auto"/>
        </w:rPr>
      </w:pPr>
    </w:p>
    <w:p>
      <w:pPr>
        <w:jc w:val="both"/>
        <w:ind w:firstLine="627"/>
        <w:spacing w:after="0" w:line="295" w:lineRule="auto"/>
        <w:rPr>
          <w:sz w:val="20"/>
          <w:szCs w:val="20"/>
          <w:color w:val="auto"/>
        </w:rPr>
      </w:pPr>
      <w:r>
        <w:rPr>
          <w:rFonts w:ascii="Times New Roman" w:cs="Times New Roman" w:eastAsia="Times New Roman" w:hAnsi="Times New Roman"/>
          <w:sz w:val="17"/>
          <w:szCs w:val="17"/>
          <w:color w:val="auto"/>
        </w:rPr>
        <w:t>We discuss below our results of operations for the periods presented, as well as the conditions and trends that have impacted or are expected to impact our business, including new insurance writings, the composition of our insurance portfolio and other factors that we expect to impact our results.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27" w:name="page28"/>
    <w:bookmarkEnd w:id="27"/>
    <w:p>
      <w:pPr>
        <w:jc w:val="center"/>
        <w:ind w:right="7780"/>
        <w:spacing w:after="0"/>
        <w:rPr>
          <w:sz w:val="20"/>
          <w:szCs w:val="20"/>
          <w:color w:val="auto"/>
        </w:rPr>
      </w:pPr>
      <w:r>
        <w:rPr>
          <w:rFonts w:ascii="Times New Roman" w:cs="Times New Roman" w:eastAsia="Times New Roman" w:hAnsi="Times New Roman"/>
          <w:sz w:val="17"/>
          <w:szCs w:val="17"/>
          <w:b w:val="1"/>
          <w:bCs w:val="1"/>
          <w:color w:val="auto"/>
        </w:rPr>
        <w:t>Conditions and Trends Affecting Our Business</w:t>
      </w:r>
    </w:p>
    <w:p>
      <w:pPr>
        <w:spacing w:after="0" w:line="168" w:lineRule="exact"/>
        <w:rPr>
          <w:sz w:val="20"/>
          <w:szCs w:val="20"/>
          <w:color w:val="auto"/>
        </w:rPr>
      </w:pPr>
    </w:p>
    <w:p>
      <w:pPr>
        <w:jc w:val="center"/>
        <w:ind w:right="7780"/>
        <w:spacing w:after="0"/>
        <w:rPr>
          <w:sz w:val="20"/>
          <w:szCs w:val="20"/>
          <w:color w:val="auto"/>
        </w:rPr>
      </w:pPr>
      <w:r>
        <w:rPr>
          <w:rFonts w:ascii="Times New Roman" w:cs="Times New Roman" w:eastAsia="Times New Roman" w:hAnsi="Times New Roman"/>
          <w:sz w:val="17"/>
          <w:szCs w:val="17"/>
          <w:b w:val="1"/>
          <w:bCs w:val="1"/>
          <w:i w:val="1"/>
          <w:iCs w:val="1"/>
          <w:color w:val="auto"/>
        </w:rPr>
        <w:t>Macroeconomic Developments</w:t>
      </w:r>
    </w:p>
    <w:p>
      <w:pPr>
        <w:spacing w:after="0" w:line="174" w:lineRule="exact"/>
        <w:rPr>
          <w:sz w:val="20"/>
          <w:szCs w:val="20"/>
          <w:color w:val="auto"/>
        </w:rPr>
      </w:pPr>
    </w:p>
    <w:p>
      <w:pPr>
        <w:jc w:val="both"/>
        <w:ind w:firstLine="627"/>
        <w:spacing w:after="0" w:line="269" w:lineRule="auto"/>
        <w:rPr>
          <w:sz w:val="20"/>
          <w:szCs w:val="20"/>
          <w:color w:val="auto"/>
        </w:rPr>
      </w:pPr>
      <w:r>
        <w:rPr>
          <w:rFonts w:ascii="Times New Roman" w:cs="Times New Roman" w:eastAsia="Times New Roman" w:hAnsi="Times New Roman"/>
          <w:sz w:val="17"/>
          <w:szCs w:val="17"/>
          <w:color w:val="auto"/>
        </w:rPr>
        <w:t>Macroeconomic factors, including persistent inflation, elevated interest rates, flagging consumer confidence and increasing jobless claims could have a pronounced impact on the housing market, the mortgage insurance industry and our business in future periods. A marked decline in housing demand, a significant and protracted decrease in house prices or a sustained increase in unemployment could reduce the pace of new business activity in the private mortgage insurance market and negatively impact our future NIW volume, or contribute to an increase in our future default and claim experience.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Key Factors Affecting Our Results</w:t>
      </w:r>
    </w:p>
    <w:p>
      <w:pPr>
        <w:spacing w:after="0" w:line="16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i w:val="1"/>
          <w:iCs w:val="1"/>
          <w:color w:val="auto"/>
        </w:rPr>
        <w:t>New Insurance Written, Insurance-In-Force and Risk-In-Force</w:t>
      </w:r>
    </w:p>
    <w:p>
      <w:pPr>
        <w:spacing w:after="0" w:line="174" w:lineRule="exact"/>
        <w:rPr>
          <w:sz w:val="20"/>
          <w:szCs w:val="20"/>
          <w:color w:val="auto"/>
        </w:rPr>
      </w:pPr>
    </w:p>
    <w:p>
      <w:pPr>
        <w:jc w:val="both"/>
        <w:ind w:firstLine="627"/>
        <w:spacing w:after="0" w:line="261" w:lineRule="auto"/>
        <w:rPr>
          <w:sz w:val="20"/>
          <w:szCs w:val="20"/>
          <w:color w:val="auto"/>
        </w:rPr>
      </w:pPr>
      <w:r>
        <w:rPr>
          <w:rFonts w:ascii="Times New Roman" w:cs="Times New Roman" w:eastAsia="Times New Roman" w:hAnsi="Times New Roman"/>
          <w:sz w:val="17"/>
          <w:szCs w:val="17"/>
          <w:color w:val="auto"/>
        </w:rPr>
        <w:t>NIW is the aggregate unpaid principal balance of mortgages underpinning new policies written during a given period. Our NIW is affected by the overall size of the mortgage origination market and the volume of high-LTV mortgage originations. Our NIW is also affected by the percentage of such high-LTV originations covered by private versus government MI or other alternative credit enhancement structures and our share of the private MI market. NIW, together with persistency, drives our IIF. IIF is the aggregate unpaid principal balance of the mortgages we insure, as reported to us by servicers at a given date, and represents the sum total of NIW from all prior periods less principal payments on insured mortgages and policy cancellations (including for prepayment, nonpayment of premiums, coverage rescission and claim payments). RIF is related to IIF and represents the aggregate amount of coverage we provide on all outstanding policies at a given date. RIF is calculated as the sum total of the coverage percentage of each individual policy in our portfolio applied to the unpaid principal balance of such insured mortgage. RIF is affected by IIF and the LTV profile of our insured mortgages, with lower LTV loans generally having a lower coverage percentage and higher LTV loans having a higher coverage percentage. Gross RIF represents RIF before consideration of reinsurance. Net RIF is gross RIF net of ceded reinsurance.</w:t>
      </w:r>
    </w:p>
    <w:p>
      <w:pPr>
        <w:spacing w:after="0" w:line="3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i w:val="1"/>
          <w:iCs w:val="1"/>
          <w:color w:val="auto"/>
        </w:rPr>
        <w:t>Net Premiums Written and Net Premiums Earned</w:t>
      </w:r>
    </w:p>
    <w:p>
      <w:pPr>
        <w:spacing w:after="0" w:line="174" w:lineRule="exact"/>
        <w:rPr>
          <w:sz w:val="20"/>
          <w:szCs w:val="20"/>
          <w:color w:val="auto"/>
        </w:rPr>
      </w:pPr>
    </w:p>
    <w:p>
      <w:pPr>
        <w:jc w:val="both"/>
        <w:ind w:firstLine="627"/>
        <w:spacing w:after="0" w:line="230" w:lineRule="auto"/>
        <w:rPr>
          <w:sz w:val="20"/>
          <w:szCs w:val="20"/>
          <w:color w:val="auto"/>
        </w:rPr>
      </w:pPr>
      <w:r>
        <w:rPr>
          <w:rFonts w:ascii="Times New Roman" w:cs="Times New Roman" w:eastAsia="Times New Roman" w:hAnsi="Times New Roman"/>
          <w:sz w:val="17"/>
          <w:szCs w:val="17"/>
          <w:color w:val="auto"/>
        </w:rPr>
        <w:t>We set our premium rates on individual policies based on the risk characteristics of the underlying mortgage loans and borrowers, and in accordance with our filed rates and applicable rating rules. We primarily price our policies through a proprietary risk-based pricing platform, which we refer to as Rate GPS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22"/>
          <w:szCs w:val="22"/>
          <w:color w:val="auto"/>
          <w:vertAlign w:val="subscript"/>
        </w:rPr>
        <w:t>.</w:t>
      </w:r>
      <w:r>
        <w:rPr>
          <w:rFonts w:ascii="Times New Roman" w:cs="Times New Roman" w:eastAsia="Times New Roman" w:hAnsi="Times New Roman"/>
          <w:sz w:val="17"/>
          <w:szCs w:val="17"/>
          <w:color w:val="auto"/>
        </w:rPr>
        <w:t xml:space="preserve"> Rate GPS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considers a broad range of individual and layered risk variables, including borrower credit, loan-level, product and lender attributes, as well as market and geographic factors, and provides us with the ability to set and charge premium rates commensurate with the underlying risk of each loan that we insure. We also offer a rate card pricing option to a limited number of lender customers when required for business process reasons. We believe that the utilization of Rate GPS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provides us with a more granular and analytical approach to evaluating and pricing risk, and that this approach enhances our ability to continue building a high-quality mortgage insurance portfolio and delivering attractive risk-adjusted returns.</w:t>
      </w:r>
    </w:p>
    <w:p>
      <w:pPr>
        <w:spacing w:after="0" w:line="144" w:lineRule="exact"/>
        <w:rPr>
          <w:sz w:val="20"/>
          <w:szCs w:val="20"/>
          <w:color w:val="auto"/>
        </w:rPr>
      </w:pPr>
    </w:p>
    <w:p>
      <w:pPr>
        <w:jc w:val="both"/>
        <w:ind w:firstLine="627"/>
        <w:spacing w:after="0" w:line="276" w:lineRule="auto"/>
        <w:rPr>
          <w:sz w:val="20"/>
          <w:szCs w:val="20"/>
          <w:color w:val="auto"/>
        </w:rPr>
      </w:pPr>
      <w:r>
        <w:rPr>
          <w:rFonts w:ascii="Times New Roman" w:cs="Times New Roman" w:eastAsia="Times New Roman" w:hAnsi="Times New Roman"/>
          <w:sz w:val="17"/>
          <w:szCs w:val="17"/>
          <w:color w:val="auto"/>
        </w:rPr>
        <w:t>Premiums are generally fixed for the duration of our coverage of the underlying loans. Net premiums written are equal to gross premiums written minus ceded premiums written under our reinsurance arrangements, less premium refunds and premium write-offs. As a result, net premiums written are generally influenced by:</w:t>
      </w:r>
    </w:p>
    <w:p>
      <w:pPr>
        <w:spacing w:after="0" w:line="110" w:lineRule="exact"/>
        <w:rPr>
          <w:sz w:val="20"/>
          <w:szCs w:val="20"/>
          <w:color w:val="auto"/>
        </w:rPr>
      </w:pPr>
    </w:p>
    <w:p>
      <w:pPr>
        <w:ind w:left="940" w:hanging="308"/>
        <w:spacing w:after="0"/>
        <w:tabs>
          <w:tab w:leader="none" w:pos="9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NIW;</w:t>
      </w:r>
    </w:p>
    <w:p>
      <w:pPr>
        <w:spacing w:after="0" w:line="170" w:lineRule="exact"/>
        <w:rPr>
          <w:rFonts w:ascii="Times New Roman" w:cs="Times New Roman" w:eastAsia="Times New Roman" w:hAnsi="Times New Roman"/>
          <w:sz w:val="17"/>
          <w:szCs w:val="17"/>
          <w:color w:val="auto"/>
        </w:rPr>
      </w:pPr>
    </w:p>
    <w:p>
      <w:pPr>
        <w:ind w:left="940" w:hanging="308"/>
        <w:spacing w:after="0"/>
        <w:tabs>
          <w:tab w:leader="none" w:pos="9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premium rates and the mix of premium payment type, which are either single, monthly or annual premiums, as described below;</w:t>
      </w:r>
    </w:p>
    <w:p>
      <w:pPr>
        <w:spacing w:after="0" w:line="170" w:lineRule="exact"/>
        <w:rPr>
          <w:rFonts w:ascii="Times New Roman" w:cs="Times New Roman" w:eastAsia="Times New Roman" w:hAnsi="Times New Roman"/>
          <w:sz w:val="17"/>
          <w:szCs w:val="17"/>
          <w:color w:val="auto"/>
        </w:rPr>
      </w:pPr>
    </w:p>
    <w:p>
      <w:pPr>
        <w:jc w:val="both"/>
        <w:ind w:left="940" w:hanging="308"/>
        <w:spacing w:after="0" w:line="276" w:lineRule="auto"/>
        <w:tabs>
          <w:tab w:leader="none" w:pos="93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cancellation rates of our insurance policies, which are impacted by payments or prepayments on mortgages, refinancings (which are affected by prevailing mortgage interest rates as compared to interest rates on loans underpinning our in force policies), levels of claim payments and home prices; and</w:t>
      </w:r>
    </w:p>
    <w:p>
      <w:pPr>
        <w:spacing w:after="0" w:line="109" w:lineRule="exact"/>
        <w:rPr>
          <w:rFonts w:ascii="Times New Roman" w:cs="Times New Roman" w:eastAsia="Times New Roman" w:hAnsi="Times New Roman"/>
          <w:sz w:val="17"/>
          <w:szCs w:val="17"/>
          <w:color w:val="auto"/>
        </w:rPr>
      </w:pPr>
    </w:p>
    <w:p>
      <w:pPr>
        <w:ind w:left="940" w:hanging="308"/>
        <w:spacing w:after="0"/>
        <w:tabs>
          <w:tab w:leader="none" w:pos="9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cession of premiums under third-party reinsurance arrangements.</w:t>
      </w:r>
    </w:p>
    <w:p>
      <w:pPr>
        <w:spacing w:after="0" w:line="170" w:lineRule="exact"/>
        <w:rPr>
          <w:sz w:val="20"/>
          <w:szCs w:val="20"/>
          <w:color w:val="auto"/>
        </w:rPr>
      </w:pPr>
    </w:p>
    <w:p>
      <w:pPr>
        <w:jc w:val="both"/>
        <w:ind w:firstLine="627"/>
        <w:spacing w:after="0" w:line="266" w:lineRule="auto"/>
        <w:rPr>
          <w:sz w:val="20"/>
          <w:szCs w:val="20"/>
          <w:color w:val="auto"/>
        </w:rPr>
      </w:pPr>
      <w:r>
        <w:rPr>
          <w:rFonts w:ascii="Times New Roman" w:cs="Times New Roman" w:eastAsia="Times New Roman" w:hAnsi="Times New Roman"/>
          <w:sz w:val="17"/>
          <w:szCs w:val="17"/>
          <w:color w:val="auto"/>
        </w:rPr>
        <w:t>Premiums are paid either by the borrower (BPMI) or the lender (LPMI) in a single payment at origination (single premium), on a monthly installment basis (monthly premium) or on an annual installment basis (annual premium). Our net premiums written will differ from our net premiums earned due to policy payment type. For single premiums, we receive a single premium payment at origination, which is earned over the estimated life of the policy. Substantially all of our single premium policies in force as of March 31, 2026 were non-refundable under most cancellation scenarios. If non-refundable single premium policies are canceled, we immediately recognize the remaining unearned premium balances as earned premium revenue. Monthly</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color w:val="auto"/>
        </w:rPr>
        <w:t>premiums are recognized in the month billed and when the coverage is effective. Annual premiums are earned on a straight-line basis over the year of coverage.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Substantially all of our policies provide for either single or monthly premiums.</w:t>
      </w:r>
    </w:p>
    <w:p>
      <w:pPr>
        <w:spacing w:after="0" w:line="152" w:lineRule="exact"/>
        <w:rPr>
          <w:sz w:val="20"/>
          <w:szCs w:val="20"/>
          <w:color w:val="auto"/>
        </w:rPr>
      </w:pPr>
    </w:p>
    <w:p>
      <w:pPr>
        <w:jc w:val="both"/>
        <w:ind w:firstLine="627"/>
        <w:spacing w:after="0" w:line="261" w:lineRule="auto"/>
        <w:rPr>
          <w:sz w:val="20"/>
          <w:szCs w:val="20"/>
          <w:color w:val="auto"/>
        </w:rPr>
      </w:pPr>
      <w:r>
        <w:rPr>
          <w:rFonts w:ascii="Times New Roman" w:cs="Times New Roman" w:eastAsia="Times New Roman" w:hAnsi="Times New Roman"/>
          <w:sz w:val="17"/>
          <w:szCs w:val="17"/>
          <w:color w:val="auto"/>
        </w:rPr>
        <w:t>The percentage of IIF that remains on our books after any twelve-month period is defined as our persistency rate. Because our insurance premiums are earned over the life of a policy, higher persistency rates can have a significant impact on our net premiums earned and profitability. Generally, faster speeds of mortgage prepayment lead to lower persistency. Prepayment speeds and the relative mix of business between single and monthly premium policies also impact our profitability. Our premium rates include certain assumptions regarding repayment or prepayment speeds of the mortgages underlying our policies. Because premiums are paid at origination on single premium policies and our single premium policies are generally non-refundable on cancellation, assuming all other factors remain constant, if single premium loans are prepaid earlier than expected, our profitability on these loans is likely to increase and, if loans are repaid slower than expected, our profitability on these loans is likely to decrease. By contrast, if monthly premium loans are repaid earlier than anticipated, we do not earn any more premium with respect to those loans and, unless we replace the repaid monthly premium loan with a new loan at the same premium rate or higher, our revenue is likely to decline.</w:t>
      </w:r>
    </w:p>
    <w:p>
      <w:pPr>
        <w:spacing w:after="0" w:line="20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i w:val="1"/>
          <w:iCs w:val="1"/>
          <w:color w:val="auto"/>
        </w:rPr>
        <w:t>Effect of Reinsurance on Our Results</w:t>
      </w:r>
    </w:p>
    <w:p>
      <w:pPr>
        <w:spacing w:after="0" w:line="174" w:lineRule="exact"/>
        <w:rPr>
          <w:sz w:val="20"/>
          <w:szCs w:val="20"/>
          <w:color w:val="auto"/>
        </w:rPr>
      </w:pPr>
    </w:p>
    <w:p>
      <w:pPr>
        <w:jc w:val="both"/>
        <w:ind w:firstLine="627"/>
        <w:spacing w:after="0" w:line="261" w:lineRule="auto"/>
        <w:rPr>
          <w:sz w:val="20"/>
          <w:szCs w:val="20"/>
          <w:color w:val="auto"/>
        </w:rPr>
      </w:pPr>
      <w:r>
        <w:rPr>
          <w:rFonts w:ascii="Times New Roman" w:cs="Times New Roman" w:eastAsia="Times New Roman" w:hAnsi="Times New Roman"/>
          <w:sz w:val="17"/>
          <w:szCs w:val="17"/>
          <w:color w:val="auto"/>
        </w:rPr>
        <w:t>We utilize third-party reinsurance to actively manage our risk, ensure compliance with PMIERs, state regulatory and other applicable capital requirements, and support the growth of our business. We currently have both quota share and excess-of-loss reinsurance agreements in place, which impact our results of operations and regulatory capital and PMIERs asset positions. Under a quota share reinsurance agreement, the reinsurer receives a premium in exchange for covering an agreed-upon portion of incurred losses. Such a quota share arrangement reduces premiums written and earned and also reduces RIF, providing capital relief to the ceding insurance company and reducing incurred claims in accordance with the terms of the reinsurance agreement. In addition, reinsurers typically pay ceding commissions as part of quota share transactions, which offset the ceding company's acquisition and underwriting expenses. Certain quota share agreements include profit commissions that are earned based on loss performance and serve to reduce ceded premiums. Under an excess-of-loss agreement, the ceding insurer is typically responsible for losses up to an agreed-upon threshold and the reinsurer then provides coverage in excess of such threshold up to a maximum agreed-upon limit. We expect to continue to evaluate reinsurance opportunities in the normal course of business.</w:t>
      </w:r>
    </w:p>
    <w:p>
      <w:pPr>
        <w:spacing w:after="0" w:line="123" w:lineRule="exact"/>
        <w:rPr>
          <w:sz w:val="20"/>
          <w:szCs w:val="20"/>
          <w:color w:val="auto"/>
        </w:rPr>
      </w:pPr>
    </w:p>
    <w:p>
      <w:pPr>
        <w:jc w:val="both"/>
        <w:ind w:firstLine="627"/>
        <w:spacing w:after="0" w:line="298" w:lineRule="auto"/>
        <w:rPr>
          <w:sz w:val="20"/>
          <w:szCs w:val="20"/>
          <w:color w:val="auto"/>
        </w:rPr>
      </w:pPr>
      <w:r>
        <w:rPr>
          <w:rFonts w:ascii="Times New Roman" w:cs="Times New Roman" w:eastAsia="Times New Roman" w:hAnsi="Times New Roman"/>
          <w:sz w:val="17"/>
          <w:szCs w:val="17"/>
          <w:color w:val="auto"/>
        </w:rPr>
        <w:t>See Item 1, “</w:t>
      </w:r>
      <w:r>
        <w:rPr>
          <w:rFonts w:ascii="Times New Roman" w:cs="Times New Roman" w:eastAsia="Times New Roman" w:hAnsi="Times New Roman"/>
          <w:sz w:val="17"/>
          <w:szCs w:val="17"/>
          <w:i w:val="1"/>
          <w:iCs w:val="1"/>
          <w:color w:val="auto"/>
        </w:rPr>
        <w:t>Financial Statements - Notes to Condensed Consolidated Financial Statements - Note 5, Reinsurance”</w:t>
      </w:r>
      <w:r>
        <w:rPr>
          <w:rFonts w:ascii="Times New Roman" w:cs="Times New Roman" w:eastAsia="Times New Roman" w:hAnsi="Times New Roman"/>
          <w:sz w:val="17"/>
          <w:szCs w:val="17"/>
          <w:color w:val="auto"/>
        </w:rPr>
        <w:t xml:space="preserve"> for further discussion of these third-party reinsurance arrangements.</w:t>
      </w:r>
    </w:p>
    <w:p>
      <w:pPr>
        <w:spacing w:after="0" w:line="8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i w:val="1"/>
          <w:iCs w:val="1"/>
          <w:color w:val="auto"/>
        </w:rPr>
        <w:t>Portfolio Data</w:t>
      </w:r>
    </w:p>
    <w:p>
      <w:pPr>
        <w:spacing w:after="0" w:line="174" w:lineRule="exact"/>
        <w:rPr>
          <w:sz w:val="20"/>
          <w:szCs w:val="20"/>
          <w:color w:val="auto"/>
        </w:rPr>
      </w:pPr>
    </w:p>
    <w:p>
      <w:pPr>
        <w:jc w:val="both"/>
        <w:ind w:firstLine="627"/>
        <w:spacing w:after="0" w:line="295" w:lineRule="auto"/>
        <w:rPr>
          <w:sz w:val="20"/>
          <w:szCs w:val="20"/>
          <w:color w:val="auto"/>
        </w:rPr>
      </w:pPr>
      <w:r>
        <w:rPr>
          <w:rFonts w:ascii="Times New Roman" w:cs="Times New Roman" w:eastAsia="Times New Roman" w:hAnsi="Times New Roman"/>
          <w:sz w:val="17"/>
          <w:szCs w:val="17"/>
          <w:color w:val="auto"/>
        </w:rPr>
        <w:t>The following table presents NIW and primary IIF as of the dates and for the periods indicated. Unless otherwise noted, the tables below do not include the effects of our third-party reinsurance arrangements described above.</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NIW and primary IIF</w:t>
            </w: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2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As of and for the three months ended</w:t>
            </w:r>
          </w:p>
        </w:tc>
        <w:tc>
          <w:tcPr>
            <w:tcW w:w="4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3"/>
        </w:trPr>
        <w:tc>
          <w:tcPr>
            <w:tcW w:w="57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gridSpan w:val="5"/>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83"/>
        </w:trPr>
        <w:tc>
          <w:tcPr>
            <w:tcW w:w="5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50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400" w:type="dxa"/>
            <w:vAlign w:val="bottom"/>
          </w:tcPr>
          <w:p>
            <w:pPr>
              <w:spacing w:after="0"/>
              <w:rPr>
                <w:sz w:val="15"/>
                <w:szCs w:val="15"/>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820" w:type="dxa"/>
            <w:vAlign w:val="bottom"/>
          </w:tcPr>
          <w:p>
            <w:pPr>
              <w:spacing w:after="0"/>
              <w:rPr>
                <w:sz w:val="15"/>
                <w:szCs w:val="15"/>
                <w:color w:val="auto"/>
              </w:rPr>
            </w:pPr>
          </w:p>
        </w:tc>
      </w:tr>
      <w:tr>
        <w:trPr>
          <w:trHeight w:val="189"/>
        </w:trPr>
        <w:tc>
          <w:tcPr>
            <w:tcW w:w="5760" w:type="dxa"/>
            <w:vAlign w:val="bottom"/>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NIW</w:t>
            </w:r>
          </w:p>
        </w:tc>
        <w:tc>
          <w:tcPr>
            <w:tcW w:w="16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IIF</w:t>
            </w:r>
          </w:p>
        </w:tc>
        <w:tc>
          <w:tcPr>
            <w:tcW w:w="120" w:type="dxa"/>
            <w:vAlign w:val="bottom"/>
            <w:tcBorders>
              <w:bottom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NIW</w:t>
            </w:r>
          </w:p>
        </w:tc>
        <w:tc>
          <w:tcPr>
            <w:tcW w:w="48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IIF</w:t>
            </w:r>
          </w:p>
        </w:tc>
      </w:tr>
      <w:tr>
        <w:trPr>
          <w:trHeight w:val="189"/>
        </w:trPr>
        <w:tc>
          <w:tcPr>
            <w:tcW w:w="5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gridSpan w:val="3"/>
          </w:tcPr>
          <w:p>
            <w:pPr>
              <w:jc w:val="right"/>
              <w:ind w:right="13"/>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28"/>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Monthly</w:t>
            </w: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11,935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206,025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9,049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193,856</w:t>
            </w:r>
          </w:p>
        </w:tc>
      </w:tr>
      <w:tr>
        <w:trPr>
          <w:trHeight w:val="222"/>
        </w:trPr>
        <w:tc>
          <w:tcPr>
            <w:tcW w:w="5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Single</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16,293</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172</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17,452</w:t>
            </w:r>
          </w:p>
        </w:tc>
      </w:tr>
      <w:tr>
        <w:trPr>
          <w:trHeight w:val="240"/>
        </w:trPr>
        <w:tc>
          <w:tcPr>
            <w:tcW w:w="5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12,259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222,318</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9,221</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73"/>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211,308</w:t>
            </w: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jc w:val="both"/>
        <w:ind w:firstLine="627"/>
        <w:spacing w:after="0" w:line="276" w:lineRule="auto"/>
        <w:rPr>
          <w:sz w:val="20"/>
          <w:szCs w:val="20"/>
          <w:color w:val="auto"/>
        </w:rPr>
      </w:pPr>
      <w:r>
        <w:rPr>
          <w:rFonts w:ascii="Times New Roman" w:cs="Times New Roman" w:eastAsia="Times New Roman" w:hAnsi="Times New Roman"/>
          <w:sz w:val="17"/>
          <w:szCs w:val="17"/>
          <w:color w:val="auto"/>
        </w:rPr>
        <w:t>NIW increased 33% during the three months ended March 31, 2026 compared to the three months ended March 31, 2025, primarily due to growth in our customer franchise and market presence tied to the increased penetration of existing customer accounts and new customer activations, as well as an increase in the size of the total mortgage insurance market.</w:t>
      </w:r>
    </w:p>
    <w:p>
      <w:pPr>
        <w:spacing w:after="0" w:line="110" w:lineRule="exact"/>
        <w:rPr>
          <w:sz w:val="20"/>
          <w:szCs w:val="20"/>
          <w:color w:val="auto"/>
        </w:rPr>
      </w:pPr>
    </w:p>
    <w:p>
      <w:pPr>
        <w:jc w:val="both"/>
        <w:ind w:firstLine="627"/>
        <w:spacing w:after="0" w:line="295" w:lineRule="auto"/>
        <w:rPr>
          <w:sz w:val="20"/>
          <w:szCs w:val="20"/>
          <w:color w:val="auto"/>
        </w:rPr>
      </w:pPr>
      <w:r>
        <w:rPr>
          <w:rFonts w:ascii="Times New Roman" w:cs="Times New Roman" w:eastAsia="Times New Roman" w:hAnsi="Times New Roman"/>
          <w:sz w:val="17"/>
          <w:szCs w:val="17"/>
          <w:color w:val="auto"/>
        </w:rPr>
        <w:t>Primary IIF increased 5% at March 31, 2026 compared to March 31, 2025, primarily due to the NIW generated between such measurement dates, partially offset by the run-off of in-force policies. Our persistency rate was 82.2% at March 31, 2026 compared to 84.3% at March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54" w:right="339" w:bottom="1440" w:gutter="0" w:footer="0" w:header="0"/>
        </w:sectPr>
      </w:pPr>
    </w:p>
    <w:bookmarkStart w:id="29" w:name="page30"/>
    <w:bookmarkEnd w:id="29"/>
    <w:p>
      <w:pPr>
        <w:ind w:left="640"/>
        <w:spacing w:after="0"/>
        <w:rPr>
          <w:sz w:val="20"/>
          <w:szCs w:val="20"/>
          <w:color w:val="auto"/>
        </w:rPr>
      </w:pPr>
      <w:r>
        <w:rPr>
          <w:rFonts w:ascii="Times New Roman" w:cs="Times New Roman" w:eastAsia="Times New Roman" w:hAnsi="Times New Roman"/>
          <w:sz w:val="17"/>
          <w:szCs w:val="17"/>
          <w:color w:val="auto"/>
        </w:rPr>
        <w:t>The following table presents net premiums written and earned for the periods indicated: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premiums written and earned</w:t>
            </w:r>
          </w:p>
        </w:tc>
        <w:tc>
          <w:tcPr>
            <w:tcW w:w="320" w:type="dxa"/>
            <w:vAlign w:val="bottom"/>
          </w:tcPr>
          <w:p>
            <w:pPr>
              <w:spacing w:after="0"/>
              <w:rPr>
                <w:sz w:val="16"/>
                <w:szCs w:val="16"/>
                <w:color w:val="auto"/>
              </w:rPr>
            </w:pPr>
          </w:p>
        </w:tc>
        <w:tc>
          <w:tcPr>
            <w:tcW w:w="3020" w:type="dxa"/>
            <w:vAlign w:val="bottom"/>
            <w:gridSpan w:val="3"/>
          </w:tcPr>
          <w:p>
            <w:pPr>
              <w:jc w:val="center"/>
              <w:ind w:right="239"/>
              <w:spacing w:after="0"/>
              <w:rPr>
                <w:sz w:val="20"/>
                <w:szCs w:val="20"/>
                <w:color w:val="auto"/>
              </w:rPr>
            </w:pPr>
            <w:r>
              <w:rPr>
                <w:rFonts w:ascii="Times New Roman" w:cs="Times New Roman" w:eastAsia="Times New Roman" w:hAnsi="Times New Roman"/>
                <w:sz w:val="14"/>
                <w:szCs w:val="14"/>
                <w:b w:val="1"/>
                <w:bCs w:val="1"/>
                <w:color w:val="auto"/>
                <w:w w:val="99"/>
              </w:rPr>
              <w:t>For the three months ended March 31,</w:t>
            </w:r>
          </w:p>
        </w:tc>
      </w:tr>
      <w:tr>
        <w:trPr>
          <w:trHeight w:val="23"/>
        </w:trPr>
        <w:tc>
          <w:tcPr>
            <w:tcW w:w="79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3"/>
        </w:trPr>
        <w:tc>
          <w:tcPr>
            <w:tcW w:w="79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23"/>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89"/>
        </w:trPr>
        <w:tc>
          <w:tcPr>
            <w:tcW w:w="7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20" w:type="dxa"/>
            <w:vAlign w:val="bottom"/>
            <w:gridSpan w:val="2"/>
          </w:tcPr>
          <w:p>
            <w:pPr>
              <w:jc w:val="center"/>
              <w:ind w:left="703"/>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100" w:type="dxa"/>
            <w:vAlign w:val="bottom"/>
          </w:tcPr>
          <w:p>
            <w:pPr>
              <w:spacing w:after="0"/>
              <w:rPr>
                <w:sz w:val="16"/>
                <w:szCs w:val="16"/>
                <w:color w:val="auto"/>
              </w:rPr>
            </w:pPr>
          </w:p>
        </w:tc>
      </w:tr>
      <w:tr>
        <w:trPr>
          <w:trHeight w:val="228"/>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premiums written</w:t>
            </w: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7"/>
                <w:szCs w:val="17"/>
                <w:color w:val="auto"/>
              </w:rPr>
              <w:t>151,826</w:t>
            </w:r>
          </w:p>
        </w:tc>
        <w:tc>
          <w:tcPr>
            <w:tcW w:w="600" w:type="dxa"/>
            <w:vAlign w:val="bottom"/>
            <w:shd w:val="clear" w:color="auto" w:fill="CCEEFF"/>
          </w:tcPr>
          <w:p>
            <w:pPr>
              <w:jc w:val="right"/>
              <w:ind w:right="333"/>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143,386</w:t>
            </w:r>
          </w:p>
        </w:tc>
      </w:tr>
      <w:tr>
        <w:trPr>
          <w:trHeight w:val="227"/>
        </w:trPr>
        <w:tc>
          <w:tcPr>
            <w:tcW w:w="7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premiums earned</w:t>
            </w:r>
          </w:p>
        </w:tc>
        <w:tc>
          <w:tcPr>
            <w:tcW w:w="320" w:type="dxa"/>
            <w:vAlign w:val="bottom"/>
          </w:tcPr>
          <w:p>
            <w:pPr>
              <w:spacing w:after="0"/>
              <w:rPr>
                <w:sz w:val="19"/>
                <w:szCs w:val="19"/>
                <w:color w:val="auto"/>
              </w:rPr>
            </w:pPr>
          </w:p>
        </w:tc>
        <w:tc>
          <w:tcPr>
            <w:tcW w:w="1320" w:type="dxa"/>
            <w:vAlign w:val="bottom"/>
          </w:tcPr>
          <w:p>
            <w:pPr>
              <w:jc w:val="right"/>
              <w:ind w:right="23"/>
              <w:spacing w:after="0"/>
              <w:rPr>
                <w:sz w:val="20"/>
                <w:szCs w:val="20"/>
                <w:color w:val="auto"/>
              </w:rPr>
            </w:pPr>
            <w:r>
              <w:rPr>
                <w:rFonts w:ascii="Times New Roman" w:cs="Times New Roman" w:eastAsia="Times New Roman" w:hAnsi="Times New Roman"/>
                <w:sz w:val="17"/>
                <w:szCs w:val="17"/>
                <w:color w:val="auto"/>
              </w:rPr>
              <w:t>154,806</w:t>
            </w:r>
          </w:p>
        </w:tc>
        <w:tc>
          <w:tcPr>
            <w:tcW w:w="6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149,366</w:t>
            </w:r>
          </w:p>
        </w:tc>
      </w:tr>
    </w:tbl>
    <w:p>
      <w:pPr>
        <w:spacing w:after="0" w:line="225" w:lineRule="exact"/>
        <w:rPr>
          <w:sz w:val="20"/>
          <w:szCs w:val="20"/>
          <w:color w:val="auto"/>
        </w:rPr>
      </w:pPr>
    </w:p>
    <w:p>
      <w:pPr>
        <w:jc w:val="both"/>
        <w:ind w:firstLine="627"/>
        <w:spacing w:after="0" w:line="266" w:lineRule="auto"/>
        <w:rPr>
          <w:sz w:val="20"/>
          <w:szCs w:val="20"/>
          <w:color w:val="auto"/>
        </w:rPr>
      </w:pPr>
      <w:r>
        <w:rPr>
          <w:rFonts w:ascii="Times New Roman" w:cs="Times New Roman" w:eastAsia="Times New Roman" w:hAnsi="Times New Roman"/>
          <w:sz w:val="17"/>
          <w:szCs w:val="17"/>
          <w:color w:val="auto"/>
        </w:rPr>
        <w:t>Net premiums written increased 6% during the three months ended March 31, 2026 compared to the three months ended March 31, 2025. Net premiums earned increased 4% during the three months ended March 31, 2026 compared to the three months ended March 31, 2025. The growth in net premiums written and earned was primarily driven by growth in our monthly IIF and direct monthly pay premium receipts, partially offset by the impact of ceded premiums written and earned under our third-party reinsurance transactions. The growth in net premiums earned was further impacted by a reduction in the contribution of earnings from single premium policies.</w:t>
      </w:r>
    </w:p>
    <w:p>
      <w:pPr>
        <w:spacing w:after="0" w:line="1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i w:val="1"/>
          <w:iCs w:val="1"/>
          <w:color w:val="auto"/>
        </w:rPr>
        <w:t>Portfolio Statistics</w:t>
      </w:r>
    </w:p>
    <w:p>
      <w:pPr>
        <w:spacing w:after="0" w:line="174" w:lineRule="exact"/>
        <w:rPr>
          <w:sz w:val="20"/>
          <w:szCs w:val="20"/>
          <w:color w:val="auto"/>
        </w:rPr>
      </w:pPr>
    </w:p>
    <w:p>
      <w:pPr>
        <w:jc w:val="both"/>
        <w:ind w:firstLine="627"/>
        <w:spacing w:after="0" w:line="295" w:lineRule="auto"/>
        <w:rPr>
          <w:sz w:val="20"/>
          <w:szCs w:val="20"/>
          <w:color w:val="auto"/>
        </w:rPr>
      </w:pPr>
      <w:r>
        <w:rPr>
          <w:rFonts w:ascii="Times New Roman" w:cs="Times New Roman" w:eastAsia="Times New Roman" w:hAnsi="Times New Roman"/>
          <w:sz w:val="17"/>
          <w:szCs w:val="17"/>
          <w:color w:val="auto"/>
        </w:rPr>
        <w:t>Unless otherwise noted, the portfolio statistics tables presented below do not include the effects of our third-party reinsurance arrangements described above. The table below highlights trends in our primary portfolio as of the dates and for the periods indicated.</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Primary portfolio trends</w:t>
            </w: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740" w:type="dxa"/>
            <w:vAlign w:val="bottom"/>
            <w:gridSpan w:val="5"/>
          </w:tcPr>
          <w:p>
            <w:pPr>
              <w:jc w:val="center"/>
              <w:ind w:right="274"/>
              <w:spacing w:after="0"/>
              <w:rPr>
                <w:sz w:val="20"/>
                <w:szCs w:val="20"/>
                <w:color w:val="auto"/>
              </w:rPr>
            </w:pPr>
            <w:r>
              <w:rPr>
                <w:rFonts w:ascii="Times New Roman" w:cs="Times New Roman" w:eastAsia="Times New Roman" w:hAnsi="Times New Roman"/>
                <w:sz w:val="14"/>
                <w:szCs w:val="14"/>
                <w:b w:val="1"/>
                <w:bCs w:val="1"/>
                <w:color w:val="auto"/>
                <w:w w:val="99"/>
              </w:rPr>
              <w:t>As of and for the three months ended</w:t>
            </w: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
        </w:trPr>
        <w:tc>
          <w:tcPr>
            <w:tcW w:w="45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3"/>
        </w:trPr>
        <w:tc>
          <w:tcPr>
            <w:tcW w:w="45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360" w:type="dxa"/>
            <w:vAlign w:val="bottom"/>
            <w:tcBorders>
              <w:bottom w:val="single" w:sz="8" w:color="auto"/>
            </w:tcBorders>
            <w:gridSpan w:val="2"/>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3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March 31, 2025</w:t>
            </w:r>
          </w:p>
        </w:tc>
      </w:tr>
      <w:tr>
        <w:trPr>
          <w:trHeight w:val="189"/>
        </w:trPr>
        <w:tc>
          <w:tcPr>
            <w:tcW w:w="4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740" w:type="dxa"/>
            <w:vAlign w:val="bottom"/>
            <w:gridSpan w:val="5"/>
          </w:tcPr>
          <w:p>
            <w:pPr>
              <w:jc w:val="center"/>
              <w:ind w:right="274"/>
              <w:spacing w:after="0"/>
              <w:rPr>
                <w:sz w:val="20"/>
                <w:szCs w:val="20"/>
                <w:color w:val="auto"/>
              </w:rPr>
            </w:pPr>
            <w:r>
              <w:rPr>
                <w:rFonts w:ascii="Times New Roman" w:cs="Times New Roman" w:eastAsia="Times New Roman" w:hAnsi="Times New Roman"/>
                <w:sz w:val="14"/>
                <w:szCs w:val="14"/>
                <w:i w:val="1"/>
                <w:iCs w:val="1"/>
                <w:color w:val="auto"/>
                <w:w w:val="98"/>
              </w:rPr>
              <w:t>($ Values In Millions, except as noted below)</w:t>
            </w: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28"/>
        </w:trPr>
        <w:tc>
          <w:tcPr>
            <w:tcW w:w="4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New insurance written</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12,259</w:t>
            </w:r>
          </w:p>
        </w:tc>
        <w:tc>
          <w:tcPr>
            <w:tcW w:w="3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14,203</w:t>
            </w:r>
          </w:p>
        </w:tc>
        <w:tc>
          <w:tcPr>
            <w:tcW w:w="3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rPr>
              <w:t>13,012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12,464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9,221</w:t>
            </w:r>
          </w:p>
        </w:tc>
      </w:tr>
      <w:tr>
        <w:trPr>
          <w:trHeight w:val="222"/>
        </w:trPr>
        <w:tc>
          <w:tcPr>
            <w:tcW w:w="454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Percentage of monthly premium</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97 %</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97 %</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98 %</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98 %</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98 %</w:t>
            </w:r>
          </w:p>
        </w:tc>
      </w:tr>
      <w:tr>
        <w:trPr>
          <w:trHeight w:val="222"/>
        </w:trPr>
        <w:tc>
          <w:tcPr>
            <w:tcW w:w="45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Percentage of single premium</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3 %</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3 %</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2 %</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2 %</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2 %</w:t>
            </w:r>
          </w:p>
        </w:tc>
      </w:tr>
      <w:tr>
        <w:trPr>
          <w:trHeight w:val="222"/>
        </w:trPr>
        <w:tc>
          <w:tcPr>
            <w:tcW w:w="45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New risk written</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3,124</w:t>
            </w:r>
          </w:p>
        </w:tc>
        <w:tc>
          <w:tcPr>
            <w:tcW w:w="34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3,631</w:t>
            </w:r>
          </w:p>
        </w:tc>
        <w:tc>
          <w:tcPr>
            <w:tcW w:w="34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3,399</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3,260</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2,428</w:t>
            </w:r>
          </w:p>
        </w:tc>
      </w:tr>
      <w:tr>
        <w:trPr>
          <w:trHeight w:val="222"/>
        </w:trPr>
        <w:tc>
          <w:tcPr>
            <w:tcW w:w="4540" w:type="dxa"/>
            <w:vAlign w:val="bottom"/>
            <w:shd w:val="clear" w:color="auto" w:fill="CCEEFF"/>
          </w:tcPr>
          <w:p>
            <w:pPr>
              <w:ind w:left="220"/>
              <w:spacing w:after="0" w:line="222" w:lineRule="exact"/>
              <w:rPr>
                <w:sz w:val="20"/>
                <w:szCs w:val="20"/>
                <w:color w:val="auto"/>
              </w:rPr>
            </w:pPr>
            <w:r>
              <w:rPr>
                <w:rFonts w:ascii="Times New Roman" w:cs="Times New Roman" w:eastAsia="Times New Roman" w:hAnsi="Times New Roman"/>
                <w:sz w:val="17"/>
                <w:szCs w:val="17"/>
                <w:color w:val="auto"/>
              </w:rPr>
              <w:t xml:space="preserve">Insurance-in-force </w:t>
            </w:r>
            <w:r>
              <w:rPr>
                <w:rFonts w:ascii="Times New Roman" w:cs="Times New Roman" w:eastAsia="Times New Roman" w:hAnsi="Times New Roman"/>
                <w:sz w:val="22"/>
                <w:szCs w:val="22"/>
                <w:color w:val="auto"/>
                <w:vertAlign w:val="superscript"/>
              </w:rPr>
              <w:t>(1)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222,318</w:t>
            </w:r>
          </w:p>
        </w:tc>
        <w:tc>
          <w:tcPr>
            <w:tcW w:w="3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221,448</w:t>
            </w:r>
          </w:p>
        </w:tc>
        <w:tc>
          <w:tcPr>
            <w:tcW w:w="3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rPr>
              <w:t>218,376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214,653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211,308</w:t>
            </w:r>
          </w:p>
        </w:tc>
      </w:tr>
      <w:tr>
        <w:trPr>
          <w:trHeight w:val="222"/>
        </w:trPr>
        <w:tc>
          <w:tcPr>
            <w:tcW w:w="454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Percentage of monthly premium</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93 %</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93 %</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92 %</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92 %</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92 %</w:t>
            </w:r>
          </w:p>
        </w:tc>
      </w:tr>
      <w:tr>
        <w:trPr>
          <w:trHeight w:val="222"/>
        </w:trPr>
        <w:tc>
          <w:tcPr>
            <w:tcW w:w="45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Percentage of single premium</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7 %</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7 %</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8 %</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8 %</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8 %</w:t>
            </w:r>
          </w:p>
        </w:tc>
      </w:tr>
      <w:tr>
        <w:trPr>
          <w:trHeight w:val="222"/>
        </w:trPr>
        <w:tc>
          <w:tcPr>
            <w:tcW w:w="4540" w:type="dxa"/>
            <w:vAlign w:val="bottom"/>
          </w:tcPr>
          <w:p>
            <w:pPr>
              <w:ind w:left="220"/>
              <w:spacing w:after="0" w:line="222" w:lineRule="exact"/>
              <w:rPr>
                <w:sz w:val="20"/>
                <w:szCs w:val="20"/>
                <w:color w:val="auto"/>
              </w:rPr>
            </w:pPr>
            <w:r>
              <w:rPr>
                <w:rFonts w:ascii="Times New Roman" w:cs="Times New Roman" w:eastAsia="Times New Roman" w:hAnsi="Times New Roman"/>
                <w:sz w:val="17"/>
                <w:szCs w:val="17"/>
                <w:color w:val="auto"/>
              </w:rPr>
              <w:t xml:space="preserve">Risk-in-force </w:t>
            </w:r>
            <w:r>
              <w:rPr>
                <w:rFonts w:ascii="Times New Roman" w:cs="Times New Roman" w:eastAsia="Times New Roman" w:hAnsi="Times New Roman"/>
                <w:sz w:val="22"/>
                <w:szCs w:val="22"/>
                <w:color w:val="auto"/>
                <w:vertAlign w:val="superscript"/>
              </w:rPr>
              <w:t>(1)</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59,517</w:t>
            </w:r>
          </w:p>
        </w:tc>
        <w:tc>
          <w:tcPr>
            <w:tcW w:w="34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59,313</w:t>
            </w:r>
          </w:p>
        </w:tc>
        <w:tc>
          <w:tcPr>
            <w:tcW w:w="34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58,538</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57,496</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56,515</w:t>
            </w:r>
          </w:p>
        </w:tc>
      </w:tr>
      <w:tr>
        <w:trPr>
          <w:trHeight w:val="222"/>
        </w:trPr>
        <w:tc>
          <w:tcPr>
            <w:tcW w:w="4540" w:type="dxa"/>
            <w:vAlign w:val="bottom"/>
            <w:shd w:val="clear" w:color="auto" w:fill="CCEEFF"/>
          </w:tcPr>
          <w:p>
            <w:pPr>
              <w:ind w:left="220"/>
              <w:spacing w:after="0" w:line="222" w:lineRule="exact"/>
              <w:rPr>
                <w:sz w:val="20"/>
                <w:szCs w:val="20"/>
                <w:color w:val="auto"/>
              </w:rPr>
            </w:pPr>
            <w:r>
              <w:rPr>
                <w:rFonts w:ascii="Times New Roman" w:cs="Times New Roman" w:eastAsia="Times New Roman" w:hAnsi="Times New Roman"/>
                <w:sz w:val="17"/>
                <w:szCs w:val="17"/>
                <w:color w:val="auto"/>
              </w:rPr>
              <w:t xml:space="preserve">Policies in force (count) </w:t>
            </w:r>
            <w:r>
              <w:rPr>
                <w:rFonts w:ascii="Times New Roman" w:cs="Times New Roman" w:eastAsia="Times New Roman" w:hAnsi="Times New Roman"/>
                <w:sz w:val="22"/>
                <w:szCs w:val="22"/>
                <w:color w:val="auto"/>
                <w:vertAlign w:val="superscript"/>
              </w:rPr>
              <w:t>(1)</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684,977</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684,058</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rPr>
              <w:t>677,010</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668,638</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661,490</w:t>
            </w:r>
          </w:p>
        </w:tc>
      </w:tr>
      <w:tr>
        <w:trPr>
          <w:trHeight w:val="235"/>
        </w:trPr>
        <w:tc>
          <w:tcPr>
            <w:tcW w:w="4540" w:type="dxa"/>
            <w:vAlign w:val="bottom"/>
          </w:tcPr>
          <w:p>
            <w:pPr>
              <w:ind w:left="220"/>
              <w:spacing w:after="0" w:line="236" w:lineRule="exact"/>
              <w:rPr>
                <w:sz w:val="20"/>
                <w:szCs w:val="20"/>
                <w:color w:val="auto"/>
              </w:rPr>
            </w:pPr>
            <w:r>
              <w:rPr>
                <w:rFonts w:ascii="Times New Roman" w:cs="Times New Roman" w:eastAsia="Times New Roman" w:hAnsi="Times New Roman"/>
                <w:sz w:val="17"/>
                <w:szCs w:val="17"/>
                <w:color w:val="auto"/>
              </w:rPr>
              <w:t xml:space="preserve">Average loan size </w:t>
            </w:r>
            <w:r>
              <w:rPr>
                <w:rFonts w:ascii="Times New Roman" w:cs="Times New Roman" w:eastAsia="Times New Roman" w:hAnsi="Times New Roman"/>
                <w:sz w:val="13"/>
                <w:szCs w:val="13"/>
                <w:i w:val="1"/>
                <w:iCs w:val="1"/>
                <w:color w:val="auto"/>
              </w:rPr>
              <w:t>($ value in thousands)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22"/>
                <w:szCs w:val="22"/>
                <w:color w:val="auto"/>
                <w:vertAlign w:val="superscript"/>
              </w:rPr>
              <w:t>(1)</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325</w:t>
            </w:r>
          </w:p>
        </w:tc>
        <w:tc>
          <w:tcPr>
            <w:tcW w:w="34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324</w:t>
            </w:r>
          </w:p>
        </w:tc>
        <w:tc>
          <w:tcPr>
            <w:tcW w:w="34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323</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321</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319</w:t>
            </w:r>
          </w:p>
        </w:tc>
      </w:tr>
      <w:tr>
        <w:trPr>
          <w:trHeight w:val="222"/>
        </w:trPr>
        <w:tc>
          <w:tcPr>
            <w:tcW w:w="4540" w:type="dxa"/>
            <w:vAlign w:val="bottom"/>
            <w:shd w:val="clear" w:color="auto" w:fill="CCEEFF"/>
          </w:tcPr>
          <w:p>
            <w:pPr>
              <w:ind w:left="220"/>
              <w:spacing w:after="0" w:line="222" w:lineRule="exact"/>
              <w:rPr>
                <w:sz w:val="20"/>
                <w:szCs w:val="20"/>
                <w:color w:val="auto"/>
              </w:rPr>
            </w:pPr>
            <w:r>
              <w:rPr>
                <w:rFonts w:ascii="Times New Roman" w:cs="Times New Roman" w:eastAsia="Times New Roman" w:hAnsi="Times New Roman"/>
                <w:sz w:val="17"/>
                <w:szCs w:val="17"/>
                <w:color w:val="auto"/>
              </w:rPr>
              <w:t xml:space="preserve">Coverage percentage </w:t>
            </w:r>
            <w:r>
              <w:rPr>
                <w:rFonts w:ascii="Times New Roman" w:cs="Times New Roman" w:eastAsia="Times New Roman" w:hAnsi="Times New Roman"/>
                <w:sz w:val="22"/>
                <w:szCs w:val="22"/>
                <w:color w:val="auto"/>
                <w:vertAlign w:val="superscript"/>
              </w:rPr>
              <w:t>(2)</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26.8 %</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26.8 %</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26.8 %</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26.8 %</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26.7 %</w:t>
            </w:r>
          </w:p>
        </w:tc>
      </w:tr>
      <w:tr>
        <w:trPr>
          <w:trHeight w:val="222"/>
        </w:trPr>
        <w:tc>
          <w:tcPr>
            <w:tcW w:w="4540" w:type="dxa"/>
            <w:vAlign w:val="bottom"/>
          </w:tcPr>
          <w:p>
            <w:pPr>
              <w:ind w:left="220"/>
              <w:spacing w:after="0" w:line="222" w:lineRule="exact"/>
              <w:rPr>
                <w:sz w:val="20"/>
                <w:szCs w:val="20"/>
                <w:color w:val="auto"/>
              </w:rPr>
            </w:pPr>
            <w:r>
              <w:rPr>
                <w:rFonts w:ascii="Times New Roman" w:cs="Times New Roman" w:eastAsia="Times New Roman" w:hAnsi="Times New Roman"/>
                <w:sz w:val="17"/>
                <w:szCs w:val="17"/>
                <w:color w:val="auto"/>
              </w:rPr>
              <w:t xml:space="preserve">Loans in default (count) </w:t>
            </w:r>
            <w:r>
              <w:rPr>
                <w:rFonts w:ascii="Times New Roman" w:cs="Times New Roman" w:eastAsia="Times New Roman" w:hAnsi="Times New Roman"/>
                <w:sz w:val="22"/>
                <w:szCs w:val="22"/>
                <w:color w:val="auto"/>
                <w:vertAlign w:val="superscript"/>
              </w:rPr>
              <w:t>(1)</w:t>
            </w:r>
          </w:p>
        </w:tc>
        <w:tc>
          <w:tcPr>
            <w:tcW w:w="140" w:type="dxa"/>
            <w:vAlign w:val="bottom"/>
          </w:tcPr>
          <w:p>
            <w:pPr>
              <w:spacing w:after="0"/>
              <w:rPr>
                <w:sz w:val="19"/>
                <w:szCs w:val="19"/>
                <w:color w:val="auto"/>
              </w:rPr>
            </w:pPr>
          </w:p>
        </w:tc>
        <w:tc>
          <w:tcPr>
            <w:tcW w:w="118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8,044</w:t>
            </w:r>
          </w:p>
        </w:tc>
        <w:tc>
          <w:tcPr>
            <w:tcW w:w="340" w:type="dxa"/>
            <w:vAlign w:val="bottom"/>
          </w:tcPr>
          <w:p>
            <w:pPr>
              <w:spacing w:after="0"/>
              <w:rPr>
                <w:sz w:val="19"/>
                <w:szCs w:val="19"/>
                <w:color w:val="auto"/>
              </w:rPr>
            </w:pPr>
          </w:p>
        </w:tc>
        <w:tc>
          <w:tcPr>
            <w:tcW w:w="102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7,661</w:t>
            </w:r>
          </w:p>
        </w:tc>
        <w:tc>
          <w:tcPr>
            <w:tcW w:w="340" w:type="dxa"/>
            <w:vAlign w:val="bottom"/>
          </w:tcPr>
          <w:p>
            <w:pPr>
              <w:spacing w:after="0"/>
              <w:rPr>
                <w:sz w:val="19"/>
                <w:szCs w:val="19"/>
                <w:color w:val="auto"/>
              </w:rPr>
            </w:pPr>
          </w:p>
        </w:tc>
        <w:tc>
          <w:tcPr>
            <w:tcW w:w="102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7,093</w:t>
            </w:r>
          </w:p>
        </w:tc>
        <w:tc>
          <w:tcPr>
            <w:tcW w:w="200" w:type="dxa"/>
            <w:vAlign w:val="bottom"/>
          </w:tcPr>
          <w:p>
            <w:pPr>
              <w:spacing w:after="0"/>
              <w:rPr>
                <w:sz w:val="19"/>
                <w:szCs w:val="19"/>
                <w:color w:val="auto"/>
              </w:rPr>
            </w:pPr>
          </w:p>
        </w:tc>
        <w:tc>
          <w:tcPr>
            <w:tcW w:w="11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6,709</w:t>
            </w:r>
          </w:p>
        </w:tc>
        <w:tc>
          <w:tcPr>
            <w:tcW w:w="180" w:type="dxa"/>
            <w:vAlign w:val="bottom"/>
          </w:tcPr>
          <w:p>
            <w:pPr>
              <w:spacing w:after="0"/>
              <w:rPr>
                <w:sz w:val="19"/>
                <w:szCs w:val="19"/>
                <w:color w:val="auto"/>
              </w:rPr>
            </w:pPr>
          </w:p>
        </w:tc>
        <w:tc>
          <w:tcPr>
            <w:tcW w:w="11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6,859</w:t>
            </w:r>
          </w:p>
        </w:tc>
      </w:tr>
      <w:tr>
        <w:trPr>
          <w:trHeight w:val="222"/>
        </w:trPr>
        <w:tc>
          <w:tcPr>
            <w:tcW w:w="4540" w:type="dxa"/>
            <w:vAlign w:val="bottom"/>
            <w:shd w:val="clear" w:color="auto" w:fill="CCEEFF"/>
          </w:tcPr>
          <w:p>
            <w:pPr>
              <w:ind w:left="220"/>
              <w:spacing w:after="0" w:line="222" w:lineRule="exact"/>
              <w:rPr>
                <w:sz w:val="20"/>
                <w:szCs w:val="20"/>
                <w:color w:val="auto"/>
              </w:rPr>
            </w:pPr>
            <w:r>
              <w:rPr>
                <w:rFonts w:ascii="Times New Roman" w:cs="Times New Roman" w:eastAsia="Times New Roman" w:hAnsi="Times New Roman"/>
                <w:sz w:val="17"/>
                <w:szCs w:val="17"/>
                <w:color w:val="auto"/>
              </w:rPr>
              <w:t xml:space="preserve">Default rate </w:t>
            </w:r>
            <w:r>
              <w:rPr>
                <w:rFonts w:ascii="Times New Roman" w:cs="Times New Roman" w:eastAsia="Times New Roman" w:hAnsi="Times New Roman"/>
                <w:sz w:val="22"/>
                <w:szCs w:val="22"/>
                <w:color w:val="auto"/>
                <w:vertAlign w:val="superscript"/>
              </w:rPr>
              <w:t>(1)</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1.17 %</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1.12 %</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1.05 %</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1.04 %</w:t>
            </w:r>
          </w:p>
        </w:tc>
      </w:tr>
      <w:tr>
        <w:trPr>
          <w:trHeight w:val="222"/>
        </w:trPr>
        <w:tc>
          <w:tcPr>
            <w:tcW w:w="4540" w:type="dxa"/>
            <w:vAlign w:val="bottom"/>
          </w:tcPr>
          <w:p>
            <w:pPr>
              <w:ind w:left="220"/>
              <w:spacing w:after="0" w:line="222" w:lineRule="exact"/>
              <w:rPr>
                <w:sz w:val="20"/>
                <w:szCs w:val="20"/>
                <w:color w:val="auto"/>
              </w:rPr>
            </w:pPr>
            <w:r>
              <w:rPr>
                <w:rFonts w:ascii="Times New Roman" w:cs="Times New Roman" w:eastAsia="Times New Roman" w:hAnsi="Times New Roman"/>
                <w:sz w:val="17"/>
                <w:szCs w:val="17"/>
                <w:color w:val="auto"/>
              </w:rPr>
              <w:t xml:space="preserve">Risk-in-force on defaulted loans </w:t>
            </w:r>
            <w:r>
              <w:rPr>
                <w:rFonts w:ascii="Times New Roman" w:cs="Times New Roman" w:eastAsia="Times New Roman" w:hAnsi="Times New Roman"/>
                <w:sz w:val="22"/>
                <w:szCs w:val="22"/>
                <w:color w:val="auto"/>
                <w:vertAlign w:val="superscript"/>
              </w:rPr>
              <w:t>(1)</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701</w:t>
            </w:r>
          </w:p>
        </w:tc>
        <w:tc>
          <w:tcPr>
            <w:tcW w:w="34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656</w:t>
            </w:r>
          </w:p>
        </w:tc>
        <w:tc>
          <w:tcPr>
            <w:tcW w:w="34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600</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569</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567</w:t>
            </w:r>
          </w:p>
        </w:tc>
      </w:tr>
      <w:tr>
        <w:trPr>
          <w:trHeight w:val="222"/>
        </w:trPr>
        <w:tc>
          <w:tcPr>
            <w:tcW w:w="4540" w:type="dxa"/>
            <w:vAlign w:val="bottom"/>
            <w:shd w:val="clear" w:color="auto" w:fill="CCEEFF"/>
          </w:tcPr>
          <w:p>
            <w:pPr>
              <w:ind w:left="220"/>
              <w:spacing w:after="0" w:line="222" w:lineRule="exact"/>
              <w:rPr>
                <w:sz w:val="20"/>
                <w:szCs w:val="20"/>
                <w:color w:val="auto"/>
              </w:rPr>
            </w:pPr>
            <w:r>
              <w:rPr>
                <w:rFonts w:ascii="Times New Roman" w:cs="Times New Roman" w:eastAsia="Times New Roman" w:hAnsi="Times New Roman"/>
                <w:sz w:val="17"/>
                <w:szCs w:val="17"/>
                <w:color w:val="auto"/>
              </w:rPr>
              <w:t xml:space="preserve">Average net premium yield </w:t>
            </w:r>
            <w:r>
              <w:rPr>
                <w:rFonts w:ascii="Times New Roman" w:cs="Times New Roman" w:eastAsia="Times New Roman" w:hAnsi="Times New Roman"/>
                <w:sz w:val="22"/>
                <w:szCs w:val="22"/>
                <w:color w:val="auto"/>
                <w:vertAlign w:val="superscript"/>
              </w:rPr>
              <w:t>(3)</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0.28 %</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0.28 %</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0.28 %</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0.28 %</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0.28 %</w:t>
            </w:r>
          </w:p>
        </w:tc>
      </w:tr>
      <w:tr>
        <w:trPr>
          <w:trHeight w:val="222"/>
        </w:trPr>
        <w:tc>
          <w:tcPr>
            <w:tcW w:w="45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Earnings from cancellations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0.6</w:t>
            </w:r>
          </w:p>
        </w:tc>
        <w:tc>
          <w:tcPr>
            <w:tcW w:w="34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0.8</w:t>
            </w:r>
          </w:p>
        </w:tc>
        <w:tc>
          <w:tcPr>
            <w:tcW w:w="34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0.7</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0.7</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0.6</w:t>
            </w:r>
          </w:p>
        </w:tc>
      </w:tr>
      <w:tr>
        <w:trPr>
          <w:trHeight w:val="222"/>
        </w:trPr>
        <w:tc>
          <w:tcPr>
            <w:tcW w:w="4540" w:type="dxa"/>
            <w:vAlign w:val="bottom"/>
            <w:shd w:val="clear" w:color="auto" w:fill="CCEEFF"/>
          </w:tcPr>
          <w:p>
            <w:pPr>
              <w:ind w:left="220"/>
              <w:spacing w:after="0" w:line="222" w:lineRule="exact"/>
              <w:rPr>
                <w:sz w:val="20"/>
                <w:szCs w:val="20"/>
                <w:color w:val="auto"/>
              </w:rPr>
            </w:pPr>
            <w:r>
              <w:rPr>
                <w:rFonts w:ascii="Times New Roman" w:cs="Times New Roman" w:eastAsia="Times New Roman" w:hAnsi="Times New Roman"/>
                <w:sz w:val="17"/>
                <w:szCs w:val="17"/>
                <w:color w:val="auto"/>
              </w:rPr>
              <w:t xml:space="preserve">Annual persistency </w:t>
            </w:r>
            <w:r>
              <w:rPr>
                <w:rFonts w:ascii="Times New Roman" w:cs="Times New Roman" w:eastAsia="Times New Roman" w:hAnsi="Times New Roman"/>
                <w:sz w:val="22"/>
                <w:szCs w:val="22"/>
                <w:color w:val="auto"/>
                <w:vertAlign w:val="superscript"/>
              </w:rPr>
              <w:t>(4)</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82.2 %</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83.4 %</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83.9 %</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84.1 %</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84.3 %</w:t>
            </w:r>
          </w:p>
        </w:tc>
      </w:tr>
      <w:tr>
        <w:trPr>
          <w:trHeight w:val="298"/>
        </w:trPr>
        <w:tc>
          <w:tcPr>
            <w:tcW w:w="45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 xml:space="preserve">Quarterly run-off </w:t>
            </w:r>
            <w:r>
              <w:rPr>
                <w:rFonts w:ascii="Times New Roman" w:cs="Times New Roman" w:eastAsia="Times New Roman" w:hAnsi="Times New Roman"/>
                <w:sz w:val="22"/>
                <w:szCs w:val="22"/>
                <w:color w:val="auto"/>
                <w:vertAlign w:val="superscript"/>
              </w:rPr>
              <w:t>(5)</w:t>
            </w:r>
          </w:p>
        </w:tc>
        <w:tc>
          <w:tcPr>
            <w:tcW w:w="1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5.1 %</w:t>
            </w: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5.1 %</w:t>
            </w: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4.3 %</w:t>
            </w:r>
          </w:p>
        </w:tc>
        <w:tc>
          <w:tcPr>
            <w:tcW w:w="2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4.3 %</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3.9 %</w:t>
            </w:r>
          </w:p>
        </w:tc>
      </w:tr>
    </w:tbl>
    <w:p>
      <w:pPr>
        <w:spacing w:after="0" w:line="137" w:lineRule="exact"/>
        <w:rPr>
          <w:sz w:val="20"/>
          <w:szCs w:val="20"/>
          <w:color w:val="auto"/>
        </w:rPr>
      </w:pPr>
    </w:p>
    <w:p>
      <w:pPr>
        <w:ind w:left="300" w:hanging="295"/>
        <w:spacing w:after="0"/>
        <w:tabs>
          <w:tab w:leader="none" w:pos="3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Reported as of the end of the period.</w:t>
      </w:r>
    </w:p>
    <w:p>
      <w:pPr>
        <w:spacing w:after="0" w:line="21" w:lineRule="exact"/>
        <w:rPr>
          <w:rFonts w:ascii="Times New Roman" w:cs="Times New Roman" w:eastAsia="Times New Roman" w:hAnsi="Times New Roman"/>
          <w:sz w:val="14"/>
          <w:szCs w:val="14"/>
          <w:color w:val="auto"/>
        </w:rPr>
      </w:pPr>
    </w:p>
    <w:p>
      <w:pPr>
        <w:ind w:left="300" w:hanging="295"/>
        <w:spacing w:after="0"/>
        <w:tabs>
          <w:tab w:leader="none" w:pos="3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Calculated as end of period RIF divided by end of period IIF.</w:t>
      </w:r>
    </w:p>
    <w:p>
      <w:pPr>
        <w:spacing w:after="0" w:line="8" w:lineRule="exact"/>
        <w:rPr>
          <w:rFonts w:ascii="Times New Roman" w:cs="Times New Roman" w:eastAsia="Times New Roman" w:hAnsi="Times New Roman"/>
          <w:sz w:val="14"/>
          <w:szCs w:val="14"/>
          <w:color w:val="auto"/>
        </w:rPr>
      </w:pPr>
    </w:p>
    <w:p>
      <w:pPr>
        <w:ind w:left="300" w:hanging="295"/>
        <w:spacing w:after="0"/>
        <w:tabs>
          <w:tab w:leader="none" w:pos="3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Calculated as net premiums earned divided by average primary IIF for the period, annualized.</w:t>
      </w:r>
    </w:p>
    <w:p>
      <w:pPr>
        <w:spacing w:after="0" w:line="8" w:lineRule="exact"/>
        <w:rPr>
          <w:rFonts w:ascii="Times New Roman" w:cs="Times New Roman" w:eastAsia="Times New Roman" w:hAnsi="Times New Roman"/>
          <w:sz w:val="14"/>
          <w:szCs w:val="14"/>
          <w:color w:val="auto"/>
        </w:rPr>
      </w:pPr>
    </w:p>
    <w:p>
      <w:pPr>
        <w:ind w:left="300" w:hanging="295"/>
        <w:spacing w:after="0"/>
        <w:tabs>
          <w:tab w:leader="none" w:pos="3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Defined as the percentage of IIF that remains on our books after a given twelve-month period.</w:t>
      </w:r>
    </w:p>
    <w:p>
      <w:pPr>
        <w:spacing w:after="0" w:line="8" w:lineRule="exact"/>
        <w:rPr>
          <w:rFonts w:ascii="Times New Roman" w:cs="Times New Roman" w:eastAsia="Times New Roman" w:hAnsi="Times New Roman"/>
          <w:sz w:val="14"/>
          <w:szCs w:val="14"/>
          <w:color w:val="auto"/>
        </w:rPr>
      </w:pPr>
    </w:p>
    <w:p>
      <w:pPr>
        <w:ind w:left="300" w:hanging="295"/>
        <w:spacing w:after="0"/>
        <w:tabs>
          <w:tab w:leader="none" w:pos="3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Defined as the percentage of IIF that is no longer on our books after a given three-month period.</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30" w:name="page31"/>
    <w:bookmarkEnd w:id="30"/>
    <w:p>
      <w:pPr>
        <w:ind w:left="640"/>
        <w:spacing w:after="0"/>
        <w:rPr>
          <w:sz w:val="20"/>
          <w:szCs w:val="20"/>
          <w:color w:val="auto"/>
        </w:rPr>
      </w:pPr>
      <w:r>
        <w:rPr>
          <w:rFonts w:ascii="Times New Roman" w:cs="Times New Roman" w:eastAsia="Times New Roman" w:hAnsi="Times New Roman"/>
          <w:sz w:val="17"/>
          <w:szCs w:val="17"/>
          <w:color w:val="auto"/>
        </w:rPr>
        <w:t>The table below presents a summary of the change in total primary IIF for the dates and periods indicated.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Primary IIF</w:t>
            </w:r>
          </w:p>
        </w:tc>
        <w:tc>
          <w:tcPr>
            <w:tcW w:w="260" w:type="dxa"/>
            <w:vAlign w:val="bottom"/>
          </w:tcPr>
          <w:p>
            <w:pPr>
              <w:spacing w:after="0"/>
              <w:rPr>
                <w:sz w:val="16"/>
                <w:szCs w:val="16"/>
                <w:color w:val="auto"/>
              </w:rPr>
            </w:pPr>
          </w:p>
        </w:tc>
        <w:tc>
          <w:tcPr>
            <w:tcW w:w="3480" w:type="dxa"/>
            <w:vAlign w:val="bottom"/>
            <w:gridSpan w:val="4"/>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As of and for the three months ended March 31,</w:t>
            </w:r>
          </w:p>
        </w:tc>
      </w:tr>
      <w:tr>
        <w:trPr>
          <w:trHeight w:val="23"/>
        </w:trPr>
        <w:tc>
          <w:tcPr>
            <w:tcW w:w="72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83"/>
        </w:trPr>
        <w:tc>
          <w:tcPr>
            <w:tcW w:w="72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89"/>
        </w:trPr>
        <w:tc>
          <w:tcPr>
            <w:tcW w:w="7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0" w:type="dxa"/>
            <w:vAlign w:val="bottom"/>
            <w:gridSpan w:val="3"/>
          </w:tcPr>
          <w:p>
            <w:pPr>
              <w:jc w:val="right"/>
              <w:ind w:right="153"/>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280" w:type="dxa"/>
            <w:vAlign w:val="bottom"/>
          </w:tcPr>
          <w:p>
            <w:pPr>
              <w:spacing w:after="0"/>
              <w:rPr>
                <w:sz w:val="16"/>
                <w:szCs w:val="16"/>
                <w:color w:val="auto"/>
              </w:rPr>
            </w:pPr>
          </w:p>
        </w:tc>
      </w:tr>
      <w:tr>
        <w:trPr>
          <w:trHeight w:val="228"/>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IIF, beginning of period</w:t>
            </w: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221,448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210,183</w:t>
            </w:r>
          </w:p>
        </w:tc>
      </w:tr>
      <w:tr>
        <w:trPr>
          <w:trHeight w:val="222"/>
        </w:trPr>
        <w:tc>
          <w:tcPr>
            <w:tcW w:w="72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NIW</w:t>
            </w:r>
          </w:p>
        </w:tc>
        <w:tc>
          <w:tcPr>
            <w:tcW w:w="2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12,259</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9,221</w:t>
            </w:r>
          </w:p>
        </w:tc>
      </w:tr>
      <w:tr>
        <w:trPr>
          <w:trHeight w:val="222"/>
        </w:trPr>
        <w:tc>
          <w:tcPr>
            <w:tcW w:w="7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Cancellations, principal repayments and other reductions</w:t>
            </w:r>
          </w:p>
        </w:tc>
        <w:tc>
          <w:tcPr>
            <w:tcW w:w="2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(11,389)</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(8,096)</w:t>
            </w:r>
          </w:p>
        </w:tc>
      </w:tr>
      <w:tr>
        <w:trPr>
          <w:trHeight w:val="215"/>
        </w:trPr>
        <w:tc>
          <w:tcPr>
            <w:tcW w:w="7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IIF, end of period</w:t>
            </w:r>
          </w:p>
        </w:tc>
        <w:tc>
          <w:tcPr>
            <w:tcW w:w="2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222,318</w:t>
            </w:r>
          </w:p>
        </w:tc>
        <w:tc>
          <w:tcPr>
            <w:tcW w:w="100" w:type="dxa"/>
            <w:vAlign w:val="bottom"/>
          </w:tcPr>
          <w:p>
            <w:pPr>
              <w:spacing w:after="0"/>
              <w:rPr>
                <w:sz w:val="18"/>
                <w:szCs w:val="18"/>
                <w:color w:val="auto"/>
              </w:rPr>
            </w:pPr>
          </w:p>
        </w:tc>
        <w:tc>
          <w:tcPr>
            <w:tcW w:w="5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211,308</w:t>
            </w:r>
          </w:p>
        </w:tc>
      </w:tr>
      <w:tr>
        <w:trPr>
          <w:trHeight w:val="20"/>
        </w:trPr>
        <w:tc>
          <w:tcPr>
            <w:tcW w:w="7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30" w:lineRule="exact"/>
        <w:rPr>
          <w:sz w:val="20"/>
          <w:szCs w:val="20"/>
          <w:color w:val="auto"/>
        </w:rPr>
      </w:pPr>
    </w:p>
    <w:p>
      <w:pPr>
        <w:jc w:val="both"/>
        <w:ind w:firstLine="627"/>
        <w:spacing w:after="0" w:line="266" w:lineRule="auto"/>
        <w:rPr>
          <w:sz w:val="20"/>
          <w:szCs w:val="20"/>
          <w:color w:val="auto"/>
        </w:rPr>
      </w:pPr>
      <w:r>
        <w:rPr>
          <w:rFonts w:ascii="Times New Roman" w:cs="Times New Roman" w:eastAsia="Times New Roman" w:hAnsi="Times New Roman"/>
          <w:sz w:val="17"/>
          <w:szCs w:val="17"/>
          <w:color w:val="auto"/>
        </w:rPr>
        <w:t>We consider a “book” to be a collective pool of policies insured during a particular period, normally a calendar year. In general, the majority of underwriting profit, calculated as earned premium revenue minus claims and underwriting and operating expenses, generated by a particular book year emerges in the years immediately following origination. This pattern generally occurs because relatively few of the claims that a book will ultimately experience typically occur in the first few years following origination, when premium revenue is highest, while subsequent years are affected by declining premium revenues, as the number of insured loans decreases (primarily due to loan prepayments), and by increasing losses.</w:t>
      </w:r>
    </w:p>
    <w:p>
      <w:pPr>
        <w:spacing w:after="0" w:line="1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table below presents a summary of our primary IIF and RIF by book year as of the dates indicated.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Primary IIF and RIF</w:t>
            </w:r>
          </w:p>
        </w:tc>
        <w:tc>
          <w:tcPr>
            <w:tcW w:w="4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940" w:type="dxa"/>
            <w:vAlign w:val="bottom"/>
            <w:gridSpan w:val="3"/>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3"/>
        </w:trPr>
        <w:tc>
          <w:tcPr>
            <w:tcW w:w="41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3"/>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3"/>
        </w:trPr>
        <w:tc>
          <w:tcPr>
            <w:tcW w:w="418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3"/>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60" w:type="dxa"/>
            <w:vAlign w:val="bottom"/>
            <w:tcBorders>
              <w:bottom w:val="single" w:sz="8" w:color="auto"/>
            </w:tcBorders>
          </w:tcPr>
          <w:p>
            <w:pPr>
              <w:spacing w:after="0"/>
              <w:rPr>
                <w:sz w:val="15"/>
                <w:szCs w:val="15"/>
                <w:color w:val="auto"/>
              </w:rPr>
            </w:pPr>
          </w:p>
        </w:tc>
      </w:tr>
      <w:tr>
        <w:trPr>
          <w:trHeight w:val="188"/>
        </w:trPr>
        <w:tc>
          <w:tcPr>
            <w:tcW w:w="41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IIF</w:t>
            </w: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38"/>
              <w:spacing w:after="0"/>
              <w:rPr>
                <w:sz w:val="20"/>
                <w:szCs w:val="20"/>
                <w:color w:val="auto"/>
              </w:rPr>
            </w:pPr>
            <w:r>
              <w:rPr>
                <w:rFonts w:ascii="Times New Roman" w:cs="Times New Roman" w:eastAsia="Times New Roman" w:hAnsi="Times New Roman"/>
                <w:sz w:val="14"/>
                <w:szCs w:val="14"/>
                <w:b w:val="1"/>
                <w:bCs w:val="1"/>
                <w:color w:val="auto"/>
              </w:rPr>
              <w:t>RIF</w:t>
            </w: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IIF</w:t>
            </w: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RIF</w:t>
            </w:r>
          </w:p>
        </w:tc>
      </w:tr>
      <w:tr>
        <w:trPr>
          <w:trHeight w:val="193"/>
        </w:trPr>
        <w:tc>
          <w:tcPr>
            <w:tcW w:w="4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Book year</w:t>
            </w:r>
          </w:p>
        </w:tc>
        <w:tc>
          <w:tcPr>
            <w:tcW w:w="4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940" w:type="dxa"/>
            <w:vAlign w:val="bottom"/>
            <w:gridSpan w:val="3"/>
          </w:tcPr>
          <w:p>
            <w:pPr>
              <w:jc w:val="right"/>
              <w:ind w:right="193"/>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25"/>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42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12,189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3,106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4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4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43,833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11,412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9,152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2,409</w:t>
            </w:r>
          </w:p>
        </w:tc>
      </w:tr>
      <w:tr>
        <w:trPr>
          <w:trHeight w:val="222"/>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4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35,260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9,394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42,379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11,242</w:t>
            </w:r>
          </w:p>
        </w:tc>
      </w:tr>
      <w:tr>
        <w:trPr>
          <w:trHeight w:val="222"/>
        </w:trPr>
        <w:tc>
          <w:tcPr>
            <w:tcW w:w="4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2023</w:t>
            </w:r>
          </w:p>
        </w:tc>
        <w:tc>
          <w:tcPr>
            <w:tcW w:w="4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27,059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7,168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33,286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8,789</w:t>
            </w:r>
          </w:p>
        </w:tc>
      </w:tr>
      <w:tr>
        <w:trPr>
          <w:trHeight w:val="222"/>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2022</w:t>
            </w:r>
          </w:p>
        </w:tc>
        <w:tc>
          <w:tcPr>
            <w:tcW w:w="4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40,061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10,834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46,203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12,356</w:t>
            </w:r>
          </w:p>
        </w:tc>
      </w:tr>
      <w:tr>
        <w:trPr>
          <w:trHeight w:val="222"/>
        </w:trPr>
        <w:tc>
          <w:tcPr>
            <w:tcW w:w="4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2021 and before</w:t>
            </w:r>
          </w:p>
        </w:tc>
        <w:tc>
          <w:tcPr>
            <w:tcW w:w="4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63,916</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17,603</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80,288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21,719</w:t>
            </w:r>
          </w:p>
        </w:tc>
      </w:tr>
      <w:tr>
        <w:trPr>
          <w:trHeight w:val="240"/>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42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222,318</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59,517</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9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211,308</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56,515</w:t>
            </w: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17" w:lineRule="exact"/>
        <w:rPr>
          <w:sz w:val="20"/>
          <w:szCs w:val="20"/>
          <w:color w:val="auto"/>
        </w:rPr>
      </w:pPr>
    </w:p>
    <w:p>
      <w:pPr>
        <w:jc w:val="both"/>
        <w:ind w:firstLine="627"/>
        <w:spacing w:after="0" w:line="263" w:lineRule="auto"/>
        <w:rPr>
          <w:sz w:val="20"/>
          <w:szCs w:val="20"/>
          <w:color w:val="auto"/>
        </w:rPr>
      </w:pPr>
      <w:r>
        <w:rPr>
          <w:rFonts w:ascii="Times New Roman" w:cs="Times New Roman" w:eastAsia="Times New Roman" w:hAnsi="Times New Roman"/>
          <w:sz w:val="17"/>
          <w:szCs w:val="17"/>
          <w:color w:val="auto"/>
        </w:rPr>
        <w:t>We utilize certain risk principles that form the basis of how we underwrite and originate NIW. We have established prudential underwriting standards and loan-level eligibility matrices which prescribe the maximum LTV, minimum borrower FICO score, maximum borrower DTI ratio, maximum loan size, property type, loan type, loan term and occupancy status of loans that we will insure and memorialized these standards and eligibility matrices in our Underwriting Guideline Manual that is publicly available on our website. Our underwriting standards and eligibility criteria are designed to limit the layering of risk in a single insurance policy. “Layered risk” refers to the accumulation of borrower, loan and property risk. For example, we have higher credit score and lower maximum allowed LTV requirements for investor-owned properties, compared to owner-occupied properties. We monitor the concentrations of various risk attributes in our insurance portfolio, which may change over time, in part, as a result of regional conditions or public policy shifts.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31" w:name="page32"/>
    <w:bookmarkEnd w:id="31"/>
    <w:p>
      <w:pPr>
        <w:ind w:firstLine="627"/>
        <w:spacing w:after="0" w:line="295" w:lineRule="auto"/>
        <w:rPr>
          <w:sz w:val="20"/>
          <w:szCs w:val="20"/>
          <w:color w:val="auto"/>
        </w:rPr>
      </w:pPr>
      <w:r>
        <w:rPr>
          <w:rFonts w:ascii="Times New Roman" w:cs="Times New Roman" w:eastAsia="Times New Roman" w:hAnsi="Times New Roman"/>
          <w:sz w:val="17"/>
          <w:szCs w:val="17"/>
          <w:color w:val="auto"/>
        </w:rPr>
        <w:t>The tables below present our NIW by FICO, LTV and purchase/refinance mix for the periods indicated. We calculate the LTV of a loan as the percentage of the original loan amount to the original purchase value of the property securing the loan.</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NIW by FICO</w:t>
            </w:r>
          </w:p>
        </w:tc>
        <w:tc>
          <w:tcPr>
            <w:tcW w:w="340" w:type="dxa"/>
            <w:vAlign w:val="bottom"/>
          </w:tcPr>
          <w:p>
            <w:pPr>
              <w:spacing w:after="0"/>
              <w:rPr>
                <w:sz w:val="16"/>
                <w:szCs w:val="16"/>
                <w:color w:val="auto"/>
              </w:rPr>
            </w:pPr>
          </w:p>
        </w:tc>
        <w:tc>
          <w:tcPr>
            <w:tcW w:w="3080" w:type="dxa"/>
            <w:vAlign w:val="bottom"/>
            <w:gridSpan w:val="4"/>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r>
      <w:tr>
        <w:trPr>
          <w:trHeight w:val="23"/>
        </w:trPr>
        <w:tc>
          <w:tcPr>
            <w:tcW w:w="78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3"/>
        </w:trPr>
        <w:tc>
          <w:tcPr>
            <w:tcW w:w="78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1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89"/>
        </w:trPr>
        <w:tc>
          <w:tcPr>
            <w:tcW w:w="7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20" w:type="dxa"/>
            <w:vAlign w:val="bottom"/>
            <w:gridSpan w:val="3"/>
          </w:tcPr>
          <w:p>
            <w:pPr>
              <w:jc w:val="right"/>
              <w:ind w:right="113"/>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160" w:type="dxa"/>
            <w:vAlign w:val="bottom"/>
          </w:tcPr>
          <w:p>
            <w:pPr>
              <w:spacing w:after="0"/>
              <w:rPr>
                <w:sz w:val="16"/>
                <w:szCs w:val="16"/>
                <w:color w:val="auto"/>
              </w:rPr>
            </w:pPr>
          </w:p>
        </w:tc>
      </w:tr>
      <w:tr>
        <w:trPr>
          <w:trHeight w:val="228"/>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&gt;= 760</w:t>
            </w:r>
          </w:p>
        </w:tc>
        <w:tc>
          <w:tcPr>
            <w:tcW w:w="3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7,237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4,971</w:t>
            </w:r>
          </w:p>
        </w:tc>
      </w:tr>
      <w:tr>
        <w:trPr>
          <w:trHeight w:val="222"/>
        </w:trPr>
        <w:tc>
          <w:tcPr>
            <w:tcW w:w="78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740-759</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1,753</w:t>
            </w:r>
          </w:p>
        </w:tc>
      </w:tr>
      <w:tr>
        <w:trPr>
          <w:trHeight w:val="222"/>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720-739</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1,177</w:t>
            </w:r>
          </w:p>
        </w:tc>
      </w:tr>
      <w:tr>
        <w:trPr>
          <w:trHeight w:val="222"/>
        </w:trPr>
        <w:tc>
          <w:tcPr>
            <w:tcW w:w="78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700-719</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665</w:t>
            </w:r>
          </w:p>
        </w:tc>
      </w:tr>
      <w:tr>
        <w:trPr>
          <w:trHeight w:val="222"/>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680-699</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413</w:t>
            </w:r>
          </w:p>
        </w:tc>
      </w:tr>
      <w:tr>
        <w:trPr>
          <w:trHeight w:val="222"/>
        </w:trPr>
        <w:tc>
          <w:tcPr>
            <w:tcW w:w="78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&lt;=679</w:t>
            </w: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311</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242</w:t>
            </w:r>
          </w:p>
        </w:tc>
      </w:tr>
      <w:tr>
        <w:trPr>
          <w:trHeight w:val="215"/>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12,259</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31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9,221</w:t>
            </w:r>
          </w:p>
        </w:tc>
      </w:tr>
      <w:tr>
        <w:trPr>
          <w:trHeight w:val="215"/>
        </w:trPr>
        <w:tc>
          <w:tcPr>
            <w:tcW w:w="7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 average FICO</w:t>
            </w: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762</w:t>
            </w: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758</w:t>
            </w:r>
          </w:p>
        </w:tc>
      </w:tr>
      <w:tr>
        <w:trPr>
          <w:trHeight w:val="20"/>
        </w:trPr>
        <w:tc>
          <w:tcPr>
            <w:tcW w:w="78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NIW by LTV</w:t>
            </w:r>
          </w:p>
        </w:tc>
        <w:tc>
          <w:tcPr>
            <w:tcW w:w="400" w:type="dxa"/>
            <w:vAlign w:val="bottom"/>
          </w:tcPr>
          <w:p>
            <w:pPr>
              <w:spacing w:after="0"/>
              <w:rPr>
                <w:sz w:val="16"/>
                <w:szCs w:val="16"/>
                <w:color w:val="auto"/>
              </w:rPr>
            </w:pPr>
          </w:p>
        </w:tc>
        <w:tc>
          <w:tcPr>
            <w:tcW w:w="3260" w:type="dxa"/>
            <w:vAlign w:val="bottom"/>
            <w:gridSpan w:val="4"/>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r>
      <w:tr>
        <w:trPr>
          <w:trHeight w:val="23"/>
        </w:trPr>
        <w:tc>
          <w:tcPr>
            <w:tcW w:w="75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3"/>
        </w:trPr>
        <w:tc>
          <w:tcPr>
            <w:tcW w:w="758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89"/>
        </w:trPr>
        <w:tc>
          <w:tcPr>
            <w:tcW w:w="75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20" w:type="dxa"/>
            <w:vAlign w:val="bottom"/>
            <w:gridSpan w:val="3"/>
          </w:tcPr>
          <w:p>
            <w:pPr>
              <w:jc w:val="right"/>
              <w:ind w:right="153"/>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240" w:type="dxa"/>
            <w:vAlign w:val="bottom"/>
          </w:tcPr>
          <w:p>
            <w:pPr>
              <w:spacing w:after="0"/>
              <w:rPr>
                <w:sz w:val="16"/>
                <w:szCs w:val="16"/>
                <w:color w:val="auto"/>
              </w:rPr>
            </w:pPr>
          </w:p>
        </w:tc>
      </w:tr>
      <w:tr>
        <w:trPr>
          <w:trHeight w:val="228"/>
        </w:trPr>
        <w:tc>
          <w:tcPr>
            <w:tcW w:w="7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95.01% and above</w:t>
            </w:r>
          </w:p>
        </w:tc>
        <w:tc>
          <w:tcPr>
            <w:tcW w:w="40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7"/>
                <w:szCs w:val="17"/>
                <w:color w:val="auto"/>
              </w:rPr>
              <w:t>1,506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3"/>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1,147</w:t>
            </w:r>
          </w:p>
        </w:tc>
      </w:tr>
      <w:tr>
        <w:trPr>
          <w:trHeight w:val="222"/>
        </w:trPr>
        <w:tc>
          <w:tcPr>
            <w:tcW w:w="75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90.01% to 95.00%</w:t>
            </w:r>
          </w:p>
        </w:tc>
        <w:tc>
          <w:tcPr>
            <w:tcW w:w="400" w:type="dxa"/>
            <w:vAlign w:val="bottom"/>
          </w:tcPr>
          <w:p>
            <w:pPr>
              <w:spacing w:after="0"/>
              <w:rPr>
                <w:sz w:val="19"/>
                <w:szCs w:val="19"/>
                <w:color w:val="auto"/>
              </w:rPr>
            </w:pPr>
          </w:p>
        </w:tc>
        <w:tc>
          <w:tcPr>
            <w:tcW w:w="1380" w:type="dxa"/>
            <w:vAlign w:val="bottom"/>
          </w:tcPr>
          <w:p>
            <w:pPr>
              <w:jc w:val="right"/>
              <w:ind w:right="139"/>
              <w:spacing w:after="0"/>
              <w:rPr>
                <w:sz w:val="20"/>
                <w:szCs w:val="20"/>
                <w:color w:val="auto"/>
              </w:rPr>
            </w:pPr>
            <w:r>
              <w:rPr>
                <w:rFonts w:ascii="Times New Roman" w:cs="Times New Roman" w:eastAsia="Times New Roman" w:hAnsi="Times New Roman"/>
                <w:sz w:val="17"/>
                <w:szCs w:val="17"/>
                <w:color w:val="auto"/>
              </w:rPr>
              <w:t>4,982</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4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4,274</w:t>
            </w:r>
          </w:p>
        </w:tc>
      </w:tr>
      <w:tr>
        <w:trPr>
          <w:trHeight w:val="222"/>
        </w:trPr>
        <w:tc>
          <w:tcPr>
            <w:tcW w:w="7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85.01% to 90.00%</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7"/>
                <w:szCs w:val="17"/>
                <w:color w:val="auto"/>
              </w:rPr>
              <w:t>3,840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2,751</w:t>
            </w:r>
          </w:p>
        </w:tc>
      </w:tr>
      <w:tr>
        <w:trPr>
          <w:trHeight w:val="222"/>
        </w:trPr>
        <w:tc>
          <w:tcPr>
            <w:tcW w:w="75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85.00% and below</w:t>
            </w: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7"/>
                <w:szCs w:val="17"/>
                <w:color w:val="auto"/>
              </w:rPr>
              <w:t>1,931</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rPr>
              <w:t>1,049</w:t>
            </w:r>
          </w:p>
        </w:tc>
      </w:tr>
      <w:tr>
        <w:trPr>
          <w:trHeight w:val="215"/>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40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7"/>
                <w:szCs w:val="17"/>
                <w:color w:val="auto"/>
              </w:rPr>
              <w:t>12,259</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333"/>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9,221</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 average LTV</w:t>
            </w:r>
          </w:p>
        </w:tc>
        <w:tc>
          <w:tcPr>
            <w:tcW w:w="2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91.4 %</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92.2 %</w:t>
            </w:r>
          </w:p>
        </w:tc>
      </w:tr>
      <w:tr>
        <w:trPr>
          <w:trHeight w:val="20"/>
        </w:trPr>
        <w:tc>
          <w:tcPr>
            <w:tcW w:w="7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426"/>
        </w:trPr>
        <w:tc>
          <w:tcPr>
            <w:tcW w:w="7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NIW by purchase/refinance mix</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100" w:type="dxa"/>
            <w:vAlign w:val="bottom"/>
            <w:gridSpan w:val="6"/>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r>
      <w:tr>
        <w:trPr>
          <w:trHeight w:val="23"/>
        </w:trPr>
        <w:tc>
          <w:tcPr>
            <w:tcW w:w="7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83"/>
        </w:trPr>
        <w:tc>
          <w:tcPr>
            <w:tcW w:w="7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5"/>
                <w:szCs w:val="15"/>
                <w:color w:val="auto"/>
              </w:rPr>
            </w:pPr>
          </w:p>
        </w:tc>
      </w:tr>
      <w:tr>
        <w:trPr>
          <w:trHeight w:val="189"/>
        </w:trPr>
        <w:tc>
          <w:tcPr>
            <w:tcW w:w="7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20" w:type="dxa"/>
            <w:vAlign w:val="bottom"/>
            <w:gridSpan w:val="4"/>
          </w:tcPr>
          <w:p>
            <w:pPr>
              <w:jc w:val="right"/>
              <w:ind w:right="113"/>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28"/>
        </w:trPr>
        <w:tc>
          <w:tcPr>
            <w:tcW w:w="7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Purchase</w:t>
            </w:r>
          </w:p>
        </w:tc>
        <w:tc>
          <w:tcPr>
            <w:tcW w:w="560" w:type="dxa"/>
            <w:vAlign w:val="bottom"/>
            <w:gridSpan w:val="2"/>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9,367</w:t>
            </w:r>
          </w:p>
        </w:tc>
        <w:tc>
          <w:tcPr>
            <w:tcW w:w="600" w:type="dxa"/>
            <w:vAlign w:val="bottom"/>
            <w:gridSpan w:val="2"/>
            <w:shd w:val="clear" w:color="auto" w:fill="CCEEFF"/>
          </w:tcPr>
          <w:p>
            <w:pPr>
              <w:jc w:val="right"/>
              <w:ind w:right="313"/>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8,822</w:t>
            </w:r>
          </w:p>
        </w:tc>
        <w:tc>
          <w:tcPr>
            <w:tcW w:w="20" w:type="dxa"/>
            <w:vAlign w:val="bottom"/>
          </w:tcPr>
          <w:p>
            <w:pPr>
              <w:spacing w:after="0"/>
              <w:rPr>
                <w:sz w:val="19"/>
                <w:szCs w:val="19"/>
                <w:color w:val="auto"/>
              </w:rPr>
            </w:pPr>
          </w:p>
        </w:tc>
      </w:tr>
      <w:tr>
        <w:trPr>
          <w:trHeight w:val="222"/>
        </w:trPr>
        <w:tc>
          <w:tcPr>
            <w:tcW w:w="75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Refinance</w:t>
            </w:r>
          </w:p>
        </w:tc>
        <w:tc>
          <w:tcPr>
            <w:tcW w:w="2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2,892</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399</w:t>
            </w:r>
          </w:p>
        </w:tc>
        <w:tc>
          <w:tcPr>
            <w:tcW w:w="20" w:type="dxa"/>
            <w:vAlign w:val="bottom"/>
          </w:tcPr>
          <w:p>
            <w:pPr>
              <w:spacing w:after="0"/>
              <w:rPr>
                <w:sz w:val="19"/>
                <w:szCs w:val="19"/>
                <w:color w:val="auto"/>
              </w:rPr>
            </w:pPr>
          </w:p>
        </w:tc>
      </w:tr>
      <w:tr>
        <w:trPr>
          <w:trHeight w:val="240"/>
        </w:trPr>
        <w:tc>
          <w:tcPr>
            <w:tcW w:w="7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12,259</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9,221</w:t>
            </w:r>
          </w:p>
        </w:tc>
        <w:tc>
          <w:tcPr>
            <w:tcW w:w="20" w:type="dxa"/>
            <w:vAlign w:val="bottom"/>
          </w:tcPr>
          <w:p>
            <w:pPr>
              <w:spacing w:after="0"/>
              <w:rPr>
                <w:sz w:val="20"/>
                <w:szCs w:val="20"/>
                <w:color w:val="auto"/>
              </w:rPr>
            </w:pP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tables below present our total primary IIF and RIF by FICO and LTV, and total primary RIF by loan type as of the dates indicated.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Primary IIF by FICO</w:t>
            </w:r>
          </w:p>
        </w:tc>
        <w:tc>
          <w:tcPr>
            <w:tcW w:w="5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940" w:type="dxa"/>
            <w:vAlign w:val="bottom"/>
            <w:gridSpan w:val="3"/>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23"/>
        </w:trPr>
        <w:tc>
          <w:tcPr>
            <w:tcW w:w="41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3"/>
          </w:tcPr>
          <w:p>
            <w:pPr>
              <w:spacing w:after="0"/>
              <w:rPr>
                <w:sz w:val="2"/>
                <w:szCs w:val="2"/>
                <w:color w:val="auto"/>
              </w:rPr>
            </w:pPr>
          </w:p>
        </w:tc>
      </w:tr>
      <w:tr>
        <w:trPr>
          <w:trHeight w:val="183"/>
        </w:trPr>
        <w:tc>
          <w:tcPr>
            <w:tcW w:w="418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3"/>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3"/>
          </w:tcPr>
          <w:p>
            <w:pPr>
              <w:jc w:val="right"/>
              <w:ind w:right="1513"/>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189"/>
        </w:trPr>
        <w:tc>
          <w:tcPr>
            <w:tcW w:w="4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940" w:type="dxa"/>
            <w:vAlign w:val="bottom"/>
            <w:gridSpan w:val="3"/>
          </w:tcPr>
          <w:p>
            <w:pPr>
              <w:jc w:val="right"/>
              <w:ind w:right="113"/>
              <w:spacing w:after="0"/>
              <w:rPr>
                <w:sz w:val="20"/>
                <w:szCs w:val="20"/>
                <w:color w:val="auto"/>
              </w:rPr>
            </w:pPr>
            <w:r>
              <w:rPr>
                <w:rFonts w:ascii="Times New Roman" w:cs="Times New Roman" w:eastAsia="Times New Roman" w:hAnsi="Times New Roman"/>
                <w:sz w:val="14"/>
                <w:szCs w:val="14"/>
                <w:i w:val="1"/>
                <w:iCs w:val="1"/>
                <w:color w:val="auto"/>
              </w:rPr>
              <w:t>($ Values In Millions)</w:t>
            </w: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228"/>
        </w:trPr>
        <w:tc>
          <w:tcPr>
            <w:tcW w:w="4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&gt;= 760</w:t>
            </w:r>
          </w:p>
        </w:tc>
        <w:tc>
          <w:tcPr>
            <w:tcW w:w="54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112,057</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50 %</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73"/>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106,004</w:t>
            </w:r>
          </w:p>
        </w:tc>
        <w:tc>
          <w:tcPr>
            <w:tcW w:w="1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50 %</w:t>
            </w:r>
          </w:p>
        </w:tc>
      </w:tr>
      <w:tr>
        <w:trPr>
          <w:trHeight w:val="222"/>
        </w:trPr>
        <w:tc>
          <w:tcPr>
            <w:tcW w:w="41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740-759</w:t>
            </w:r>
          </w:p>
        </w:tc>
        <w:tc>
          <w:tcPr>
            <w:tcW w:w="5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40,270</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6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18</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37,716</w:t>
            </w:r>
          </w:p>
        </w:tc>
        <w:tc>
          <w:tcPr>
            <w:tcW w:w="1900" w:type="dxa"/>
            <w:vAlign w:val="bottom"/>
            <w:gridSpan w:val="3"/>
          </w:tcPr>
          <w:p>
            <w:pPr>
              <w:jc w:val="right"/>
              <w:ind w:right="113"/>
              <w:spacing w:after="0"/>
              <w:rPr>
                <w:sz w:val="20"/>
                <w:szCs w:val="20"/>
                <w:color w:val="auto"/>
              </w:rPr>
            </w:pPr>
            <w:r>
              <w:rPr>
                <w:rFonts w:ascii="Times New Roman" w:cs="Times New Roman" w:eastAsia="Times New Roman" w:hAnsi="Times New Roman"/>
                <w:sz w:val="17"/>
                <w:szCs w:val="17"/>
                <w:color w:val="auto"/>
              </w:rPr>
              <w:t>18</w:t>
            </w:r>
          </w:p>
        </w:tc>
      </w:tr>
      <w:tr>
        <w:trPr>
          <w:trHeight w:val="222"/>
        </w:trPr>
        <w:tc>
          <w:tcPr>
            <w:tcW w:w="4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720-739</w:t>
            </w: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30,551</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14</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29,430</w:t>
            </w:r>
          </w:p>
        </w:tc>
        <w:tc>
          <w:tcPr>
            <w:tcW w:w="1900" w:type="dxa"/>
            <w:vAlign w:val="bottom"/>
            <w:gridSpan w:val="3"/>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14</w:t>
            </w:r>
          </w:p>
        </w:tc>
      </w:tr>
      <w:tr>
        <w:trPr>
          <w:trHeight w:val="222"/>
        </w:trPr>
        <w:tc>
          <w:tcPr>
            <w:tcW w:w="41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700-719</w:t>
            </w:r>
          </w:p>
        </w:tc>
        <w:tc>
          <w:tcPr>
            <w:tcW w:w="5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20,349</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6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9</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19,737</w:t>
            </w:r>
          </w:p>
        </w:tc>
        <w:tc>
          <w:tcPr>
            <w:tcW w:w="1900" w:type="dxa"/>
            <w:vAlign w:val="bottom"/>
            <w:gridSpan w:val="3"/>
          </w:tcPr>
          <w:p>
            <w:pPr>
              <w:jc w:val="right"/>
              <w:ind w:right="113"/>
              <w:spacing w:after="0"/>
              <w:rPr>
                <w:sz w:val="20"/>
                <w:szCs w:val="20"/>
                <w:color w:val="auto"/>
              </w:rPr>
            </w:pPr>
            <w:r>
              <w:rPr>
                <w:rFonts w:ascii="Times New Roman" w:cs="Times New Roman" w:eastAsia="Times New Roman" w:hAnsi="Times New Roman"/>
                <w:sz w:val="17"/>
                <w:szCs w:val="17"/>
                <w:color w:val="auto"/>
              </w:rPr>
              <w:t>9</w:t>
            </w:r>
          </w:p>
        </w:tc>
      </w:tr>
      <w:tr>
        <w:trPr>
          <w:trHeight w:val="222"/>
        </w:trPr>
        <w:tc>
          <w:tcPr>
            <w:tcW w:w="4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680-699</w:t>
            </w: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13,271</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13,324</w:t>
            </w:r>
          </w:p>
        </w:tc>
        <w:tc>
          <w:tcPr>
            <w:tcW w:w="1900" w:type="dxa"/>
            <w:vAlign w:val="bottom"/>
            <w:gridSpan w:val="3"/>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6</w:t>
            </w:r>
          </w:p>
        </w:tc>
      </w:tr>
      <w:tr>
        <w:trPr>
          <w:trHeight w:val="222"/>
        </w:trPr>
        <w:tc>
          <w:tcPr>
            <w:tcW w:w="41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&lt;=679</w:t>
            </w:r>
          </w:p>
        </w:tc>
        <w:tc>
          <w:tcPr>
            <w:tcW w:w="5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5,820</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6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5,097</w:t>
            </w:r>
          </w:p>
        </w:tc>
        <w:tc>
          <w:tcPr>
            <w:tcW w:w="1900" w:type="dxa"/>
            <w:vAlign w:val="bottom"/>
            <w:gridSpan w:val="3"/>
          </w:tcPr>
          <w:p>
            <w:pPr>
              <w:jc w:val="right"/>
              <w:ind w:right="113"/>
              <w:spacing w:after="0"/>
              <w:rPr>
                <w:sz w:val="20"/>
                <w:szCs w:val="20"/>
                <w:color w:val="auto"/>
              </w:rPr>
            </w:pPr>
            <w:r>
              <w:rPr>
                <w:rFonts w:ascii="Times New Roman" w:cs="Times New Roman" w:eastAsia="Times New Roman" w:hAnsi="Times New Roman"/>
                <w:sz w:val="17"/>
                <w:szCs w:val="17"/>
                <w:color w:val="auto"/>
              </w:rPr>
              <w:t>3</w:t>
            </w:r>
          </w:p>
        </w:tc>
      </w:tr>
      <w:tr>
        <w:trPr>
          <w:trHeight w:val="240"/>
        </w:trPr>
        <w:tc>
          <w:tcPr>
            <w:tcW w:w="4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540" w:type="dxa"/>
            <w:vAlign w:val="bottom"/>
            <w:tcBorders>
              <w:top w:val="single" w:sz="8" w:color="auto"/>
              <w:bottom w:val="single" w:sz="8" w:color="auto"/>
            </w:tcBorders>
            <w:shd w:val="clear" w:color="auto" w:fill="CCEEFF"/>
          </w:tcPr>
          <w:p>
            <w:pPr>
              <w:jc w:val="right"/>
              <w:ind w:right="35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222,318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680" w:type="dxa"/>
            <w:vAlign w:val="bottom"/>
            <w:tcBorders>
              <w:top w:val="single" w:sz="8" w:color="auto"/>
              <w:bottom w:val="single" w:sz="8" w:color="auto"/>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ind w:right="573"/>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211,308</w:t>
            </w: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84"/>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Primary RIF by FICO</w:t>
            </w:r>
          </w:p>
        </w:tc>
        <w:tc>
          <w:tcPr>
            <w:tcW w:w="5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60" w:type="dxa"/>
            <w:vAlign w:val="bottom"/>
            <w:gridSpan w:val="4"/>
          </w:tcPr>
          <w:p>
            <w:pPr>
              <w:jc w:val="center"/>
              <w:ind w:left="117"/>
              <w:spacing w:after="0"/>
              <w:rPr>
                <w:sz w:val="20"/>
                <w:szCs w:val="20"/>
                <w:color w:val="auto"/>
              </w:rPr>
            </w:pPr>
            <w:r>
              <w:rPr>
                <w:rFonts w:ascii="Times New Roman" w:cs="Times New Roman" w:eastAsia="Times New Roman" w:hAnsi="Times New Roman"/>
                <w:sz w:val="14"/>
                <w:szCs w:val="14"/>
                <w:b w:val="1"/>
                <w:bCs w:val="1"/>
                <w:color w:val="auto"/>
                <w:w w:val="98"/>
              </w:rPr>
              <w:t>As of March 31,</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3"/>
        </w:trPr>
        <w:tc>
          <w:tcPr>
            <w:tcW w:w="41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83"/>
        </w:trPr>
        <w:tc>
          <w:tcPr>
            <w:tcW w:w="418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3"/>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2026</w:t>
            </w:r>
          </w:p>
        </w:tc>
        <w:tc>
          <w:tcPr>
            <w:tcW w:w="9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5"/>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20" w:type="dxa"/>
            <w:vAlign w:val="bottom"/>
            <w:tcBorders>
              <w:bottom w:val="single" w:sz="8" w:color="auto"/>
            </w:tcBorders>
          </w:tcPr>
          <w:p>
            <w:pPr>
              <w:spacing w:after="0"/>
              <w:rPr>
                <w:sz w:val="15"/>
                <w:szCs w:val="15"/>
                <w:color w:val="auto"/>
              </w:rPr>
            </w:pPr>
          </w:p>
        </w:tc>
      </w:tr>
      <w:tr>
        <w:trPr>
          <w:trHeight w:val="189"/>
        </w:trPr>
        <w:tc>
          <w:tcPr>
            <w:tcW w:w="4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60" w:type="dxa"/>
            <w:vAlign w:val="bottom"/>
            <w:gridSpan w:val="4"/>
          </w:tcPr>
          <w:p>
            <w:pPr>
              <w:jc w:val="center"/>
              <w:ind w:left="117"/>
              <w:spacing w:after="0"/>
              <w:rPr>
                <w:sz w:val="20"/>
                <w:szCs w:val="20"/>
                <w:color w:val="auto"/>
              </w:rPr>
            </w:pPr>
            <w:r>
              <w:rPr>
                <w:rFonts w:ascii="Times New Roman" w:cs="Times New Roman" w:eastAsia="Times New Roman" w:hAnsi="Times New Roman"/>
                <w:sz w:val="14"/>
                <w:szCs w:val="14"/>
                <w:i w:val="1"/>
                <w:iCs w:val="1"/>
                <w:color w:val="auto"/>
                <w:w w:val="98"/>
              </w:rPr>
              <w:t>($ Values In Millions)</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28"/>
        </w:trPr>
        <w:tc>
          <w:tcPr>
            <w:tcW w:w="4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&gt;= 760</w:t>
            </w:r>
          </w:p>
        </w:tc>
        <w:tc>
          <w:tcPr>
            <w:tcW w:w="54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29,675</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50 %</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95"/>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28,117</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50 %</w:t>
            </w:r>
          </w:p>
        </w:tc>
      </w:tr>
      <w:tr>
        <w:trPr>
          <w:trHeight w:val="222"/>
        </w:trPr>
        <w:tc>
          <w:tcPr>
            <w:tcW w:w="41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740-759</w:t>
            </w:r>
          </w:p>
        </w:tc>
        <w:tc>
          <w:tcPr>
            <w:tcW w:w="5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10,854</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10,132</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18</w:t>
            </w:r>
          </w:p>
        </w:tc>
      </w:tr>
      <w:tr>
        <w:trPr>
          <w:trHeight w:val="222"/>
        </w:trPr>
        <w:tc>
          <w:tcPr>
            <w:tcW w:w="4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720-739</w:t>
            </w: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8,293</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7,966</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14</w:t>
            </w:r>
          </w:p>
        </w:tc>
      </w:tr>
      <w:tr>
        <w:trPr>
          <w:trHeight w:val="222"/>
        </w:trPr>
        <w:tc>
          <w:tcPr>
            <w:tcW w:w="41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700-719</w:t>
            </w:r>
          </w:p>
        </w:tc>
        <w:tc>
          <w:tcPr>
            <w:tcW w:w="5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5,590</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5,384</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10</w:t>
            </w:r>
          </w:p>
        </w:tc>
      </w:tr>
      <w:tr>
        <w:trPr>
          <w:trHeight w:val="222"/>
        </w:trPr>
        <w:tc>
          <w:tcPr>
            <w:tcW w:w="4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680-699</w:t>
            </w: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3,628</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3,610</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6</w:t>
            </w:r>
          </w:p>
        </w:tc>
      </w:tr>
      <w:tr>
        <w:trPr>
          <w:trHeight w:val="222"/>
        </w:trPr>
        <w:tc>
          <w:tcPr>
            <w:tcW w:w="41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&lt;=679</w:t>
            </w:r>
          </w:p>
        </w:tc>
        <w:tc>
          <w:tcPr>
            <w:tcW w:w="5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1,477</w:t>
            </w: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1,306</w:t>
            </w: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2</w:t>
            </w:r>
          </w:p>
        </w:tc>
      </w:tr>
      <w:tr>
        <w:trPr>
          <w:trHeight w:val="240"/>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540" w:type="dxa"/>
            <w:vAlign w:val="bottom"/>
            <w:tcBorders>
              <w:bottom w:val="single" w:sz="8" w:color="auto"/>
            </w:tcBorders>
            <w:shd w:val="clear" w:color="auto" w:fill="CCEEFF"/>
          </w:tcPr>
          <w:p>
            <w:pPr>
              <w:jc w:val="right"/>
              <w:ind w:right="35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59,517</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695"/>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56,515</w:t>
            </w:r>
          </w:p>
        </w:tc>
        <w:tc>
          <w:tcPr>
            <w:tcW w:w="80" w:type="dxa"/>
            <w:vAlign w:val="bottom"/>
            <w:tcBorders>
              <w:bottom w:val="single" w:sz="8" w:color="auto"/>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393"/>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Primary IIF by LTV</w:t>
            </w:r>
          </w:p>
        </w:tc>
        <w:tc>
          <w:tcPr>
            <w:tcW w:w="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60" w:type="dxa"/>
            <w:vAlign w:val="bottom"/>
            <w:gridSpan w:val="4"/>
          </w:tcPr>
          <w:p>
            <w:pPr>
              <w:jc w:val="center"/>
              <w:ind w:left="117"/>
              <w:spacing w:after="0"/>
              <w:rPr>
                <w:sz w:val="20"/>
                <w:szCs w:val="20"/>
                <w:color w:val="auto"/>
              </w:rPr>
            </w:pPr>
            <w:r>
              <w:rPr>
                <w:rFonts w:ascii="Times New Roman" w:cs="Times New Roman" w:eastAsia="Times New Roman" w:hAnsi="Times New Roman"/>
                <w:sz w:val="14"/>
                <w:szCs w:val="14"/>
                <w:b w:val="1"/>
                <w:bCs w:val="1"/>
                <w:color w:val="auto"/>
                <w:w w:val="98"/>
              </w:rPr>
              <w:t>As of March 31,</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3"/>
        </w:trPr>
        <w:tc>
          <w:tcPr>
            <w:tcW w:w="41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83"/>
        </w:trPr>
        <w:tc>
          <w:tcPr>
            <w:tcW w:w="418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3"/>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2026</w:t>
            </w:r>
          </w:p>
        </w:tc>
        <w:tc>
          <w:tcPr>
            <w:tcW w:w="9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5"/>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20" w:type="dxa"/>
            <w:vAlign w:val="bottom"/>
            <w:tcBorders>
              <w:bottom w:val="single" w:sz="8" w:color="auto"/>
            </w:tcBorders>
          </w:tcPr>
          <w:p>
            <w:pPr>
              <w:spacing w:after="0"/>
              <w:rPr>
                <w:sz w:val="15"/>
                <w:szCs w:val="15"/>
                <w:color w:val="auto"/>
              </w:rPr>
            </w:pPr>
          </w:p>
        </w:tc>
      </w:tr>
      <w:tr>
        <w:trPr>
          <w:trHeight w:val="189"/>
        </w:trPr>
        <w:tc>
          <w:tcPr>
            <w:tcW w:w="4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60" w:type="dxa"/>
            <w:vAlign w:val="bottom"/>
            <w:gridSpan w:val="4"/>
          </w:tcPr>
          <w:p>
            <w:pPr>
              <w:jc w:val="center"/>
              <w:ind w:left="117"/>
              <w:spacing w:after="0"/>
              <w:rPr>
                <w:sz w:val="20"/>
                <w:szCs w:val="20"/>
                <w:color w:val="auto"/>
              </w:rPr>
            </w:pPr>
            <w:r>
              <w:rPr>
                <w:rFonts w:ascii="Times New Roman" w:cs="Times New Roman" w:eastAsia="Times New Roman" w:hAnsi="Times New Roman"/>
                <w:sz w:val="14"/>
                <w:szCs w:val="14"/>
                <w:i w:val="1"/>
                <w:iCs w:val="1"/>
                <w:color w:val="auto"/>
                <w:w w:val="98"/>
              </w:rPr>
              <w:t>($ Values In Millions)</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28"/>
        </w:trPr>
        <w:tc>
          <w:tcPr>
            <w:tcW w:w="4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95.01% and above</w:t>
            </w:r>
          </w:p>
        </w:tc>
        <w:tc>
          <w:tcPr>
            <w:tcW w:w="54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27,419</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12 %</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95"/>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24,167</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12 %</w:t>
            </w:r>
          </w:p>
        </w:tc>
      </w:tr>
      <w:tr>
        <w:trPr>
          <w:trHeight w:val="222"/>
        </w:trPr>
        <w:tc>
          <w:tcPr>
            <w:tcW w:w="41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90.01% to 95.00%</w:t>
            </w:r>
          </w:p>
        </w:tc>
        <w:tc>
          <w:tcPr>
            <w:tcW w:w="5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109,554</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104,312</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49</w:t>
            </w:r>
          </w:p>
        </w:tc>
      </w:tr>
      <w:tr>
        <w:trPr>
          <w:trHeight w:val="222"/>
        </w:trPr>
        <w:tc>
          <w:tcPr>
            <w:tcW w:w="4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85.01% to 90.00%</w:t>
            </w: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65,693</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64,298</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30</w:t>
            </w:r>
          </w:p>
        </w:tc>
      </w:tr>
      <w:tr>
        <w:trPr>
          <w:trHeight w:val="222"/>
        </w:trPr>
        <w:tc>
          <w:tcPr>
            <w:tcW w:w="41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85.00% and below</w:t>
            </w:r>
          </w:p>
        </w:tc>
        <w:tc>
          <w:tcPr>
            <w:tcW w:w="5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19,652</w:t>
            </w: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18,531</w:t>
            </w: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9</w:t>
            </w:r>
          </w:p>
        </w:tc>
      </w:tr>
      <w:tr>
        <w:trPr>
          <w:trHeight w:val="240"/>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540" w:type="dxa"/>
            <w:vAlign w:val="bottom"/>
            <w:tcBorders>
              <w:bottom w:val="single" w:sz="8" w:color="auto"/>
            </w:tcBorders>
            <w:shd w:val="clear" w:color="auto" w:fill="CCEEFF"/>
          </w:tcPr>
          <w:p>
            <w:pPr>
              <w:jc w:val="right"/>
              <w:ind w:right="35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222,318</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695"/>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211,308</w:t>
            </w:r>
          </w:p>
        </w:tc>
        <w:tc>
          <w:tcPr>
            <w:tcW w:w="80" w:type="dxa"/>
            <w:vAlign w:val="bottom"/>
            <w:tcBorders>
              <w:bottom w:val="single" w:sz="8" w:color="auto"/>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380"/>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Primary RIF by LTV</w:t>
            </w:r>
          </w:p>
        </w:tc>
        <w:tc>
          <w:tcPr>
            <w:tcW w:w="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60" w:type="dxa"/>
            <w:vAlign w:val="bottom"/>
            <w:gridSpan w:val="4"/>
          </w:tcPr>
          <w:p>
            <w:pPr>
              <w:jc w:val="center"/>
              <w:ind w:left="117"/>
              <w:spacing w:after="0"/>
              <w:rPr>
                <w:sz w:val="20"/>
                <w:szCs w:val="20"/>
                <w:color w:val="auto"/>
              </w:rPr>
            </w:pPr>
            <w:r>
              <w:rPr>
                <w:rFonts w:ascii="Times New Roman" w:cs="Times New Roman" w:eastAsia="Times New Roman" w:hAnsi="Times New Roman"/>
                <w:sz w:val="14"/>
                <w:szCs w:val="14"/>
                <w:b w:val="1"/>
                <w:bCs w:val="1"/>
                <w:color w:val="auto"/>
                <w:w w:val="98"/>
              </w:rPr>
              <w:t>As of March 31,</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3"/>
        </w:trPr>
        <w:tc>
          <w:tcPr>
            <w:tcW w:w="41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83"/>
        </w:trPr>
        <w:tc>
          <w:tcPr>
            <w:tcW w:w="418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3"/>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2026</w:t>
            </w:r>
          </w:p>
        </w:tc>
        <w:tc>
          <w:tcPr>
            <w:tcW w:w="9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5"/>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20" w:type="dxa"/>
            <w:vAlign w:val="bottom"/>
            <w:tcBorders>
              <w:bottom w:val="single" w:sz="8" w:color="auto"/>
            </w:tcBorders>
          </w:tcPr>
          <w:p>
            <w:pPr>
              <w:spacing w:after="0"/>
              <w:rPr>
                <w:sz w:val="15"/>
                <w:szCs w:val="15"/>
                <w:color w:val="auto"/>
              </w:rPr>
            </w:pPr>
          </w:p>
        </w:tc>
      </w:tr>
      <w:tr>
        <w:trPr>
          <w:trHeight w:val="189"/>
        </w:trPr>
        <w:tc>
          <w:tcPr>
            <w:tcW w:w="4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60" w:type="dxa"/>
            <w:vAlign w:val="bottom"/>
            <w:gridSpan w:val="4"/>
          </w:tcPr>
          <w:p>
            <w:pPr>
              <w:jc w:val="center"/>
              <w:ind w:left="117"/>
              <w:spacing w:after="0"/>
              <w:rPr>
                <w:sz w:val="20"/>
                <w:szCs w:val="20"/>
                <w:color w:val="auto"/>
              </w:rPr>
            </w:pPr>
            <w:r>
              <w:rPr>
                <w:rFonts w:ascii="Times New Roman" w:cs="Times New Roman" w:eastAsia="Times New Roman" w:hAnsi="Times New Roman"/>
                <w:sz w:val="14"/>
                <w:szCs w:val="14"/>
                <w:i w:val="1"/>
                <w:iCs w:val="1"/>
                <w:color w:val="auto"/>
                <w:w w:val="98"/>
              </w:rPr>
              <w:t>($ Values In Millions)</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28"/>
        </w:trPr>
        <w:tc>
          <w:tcPr>
            <w:tcW w:w="4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95.01% and above</w:t>
            </w:r>
          </w:p>
        </w:tc>
        <w:tc>
          <w:tcPr>
            <w:tcW w:w="54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8,631</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15 %</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95"/>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7,546</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13 %</w:t>
            </w:r>
          </w:p>
        </w:tc>
      </w:tr>
      <w:tr>
        <w:trPr>
          <w:trHeight w:val="222"/>
        </w:trPr>
        <w:tc>
          <w:tcPr>
            <w:tcW w:w="41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90.01% to 95.00%</w:t>
            </w:r>
          </w:p>
        </w:tc>
        <w:tc>
          <w:tcPr>
            <w:tcW w:w="5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32,314</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30,804</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55</w:t>
            </w:r>
          </w:p>
        </w:tc>
      </w:tr>
      <w:tr>
        <w:trPr>
          <w:trHeight w:val="222"/>
        </w:trPr>
        <w:tc>
          <w:tcPr>
            <w:tcW w:w="4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85.01% to 90.00%</w:t>
            </w: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16,250</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15,957</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28</w:t>
            </w:r>
          </w:p>
        </w:tc>
      </w:tr>
      <w:tr>
        <w:trPr>
          <w:trHeight w:val="222"/>
        </w:trPr>
        <w:tc>
          <w:tcPr>
            <w:tcW w:w="41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85.00% and below</w:t>
            </w:r>
          </w:p>
        </w:tc>
        <w:tc>
          <w:tcPr>
            <w:tcW w:w="5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2,322</w:t>
            </w: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2,208</w:t>
            </w: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4</w:t>
            </w:r>
          </w:p>
        </w:tc>
      </w:tr>
      <w:tr>
        <w:trPr>
          <w:trHeight w:val="240"/>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540" w:type="dxa"/>
            <w:vAlign w:val="bottom"/>
            <w:tcBorders>
              <w:bottom w:val="single" w:sz="8" w:color="auto"/>
            </w:tcBorders>
            <w:shd w:val="clear" w:color="auto" w:fill="CCEEFF"/>
          </w:tcPr>
          <w:p>
            <w:pPr>
              <w:jc w:val="right"/>
              <w:ind w:right="35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59,517</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695"/>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56,515</w:t>
            </w:r>
          </w:p>
        </w:tc>
        <w:tc>
          <w:tcPr>
            <w:tcW w:w="80" w:type="dxa"/>
            <w:vAlign w:val="bottom"/>
            <w:tcBorders>
              <w:bottom w:val="single" w:sz="8" w:color="auto"/>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393"/>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Primary RIF by Loan Type</w:t>
            </w:r>
          </w:p>
        </w:tc>
        <w:tc>
          <w:tcPr>
            <w:tcW w:w="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80" w:type="dxa"/>
            <w:vAlign w:val="bottom"/>
            <w:gridSpan w:val="5"/>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1220" w:type="dxa"/>
            <w:vAlign w:val="bottom"/>
          </w:tcPr>
          <w:p>
            <w:pPr>
              <w:spacing w:after="0"/>
              <w:rPr>
                <w:sz w:val="24"/>
                <w:szCs w:val="24"/>
                <w:color w:val="auto"/>
              </w:rPr>
            </w:pPr>
          </w:p>
        </w:tc>
      </w:tr>
      <w:tr>
        <w:trPr>
          <w:trHeight w:val="23"/>
        </w:trPr>
        <w:tc>
          <w:tcPr>
            <w:tcW w:w="4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83"/>
        </w:trPr>
        <w:tc>
          <w:tcPr>
            <w:tcW w:w="418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10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9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66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69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1"/>
        </w:trPr>
        <w:tc>
          <w:tcPr>
            <w:tcW w:w="4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Fixed</w:t>
            </w: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98 %</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98 %</w:t>
            </w:r>
          </w:p>
        </w:tc>
      </w:tr>
      <w:tr>
        <w:trPr>
          <w:trHeight w:val="222"/>
        </w:trPr>
        <w:tc>
          <w:tcPr>
            <w:tcW w:w="41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Adjustable rate mortgages:</w:t>
            </w:r>
          </w:p>
        </w:tc>
        <w:tc>
          <w:tcPr>
            <w:tcW w:w="5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2"/>
        </w:trPr>
        <w:tc>
          <w:tcPr>
            <w:tcW w:w="4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Less than five years</w:t>
            </w: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380" w:type="dxa"/>
            <w:vAlign w:val="bottom"/>
            <w:gridSpan w:val="5"/>
            <w:shd w:val="clear" w:color="auto" w:fill="CCEEFF"/>
          </w:tcPr>
          <w:p>
            <w:pPr>
              <w:jc w:val="right"/>
              <w:ind w:right="92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41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Five years and longer</w:t>
            </w:r>
          </w:p>
        </w:tc>
        <w:tc>
          <w:tcPr>
            <w:tcW w:w="54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2</w:t>
            </w:r>
          </w:p>
        </w:tc>
      </w:tr>
      <w:tr>
        <w:trPr>
          <w:trHeight w:val="240"/>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5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sectPr>
      </w:pPr>
    </w:p>
    <w:bookmarkStart w:id="33" w:name="page34"/>
    <w:bookmarkEnd w:id="33"/>
    <w:p>
      <w:pPr>
        <w:ind w:left="640"/>
        <w:spacing w:after="0"/>
        <w:rPr>
          <w:sz w:val="20"/>
          <w:szCs w:val="20"/>
          <w:color w:val="auto"/>
        </w:rPr>
      </w:pPr>
      <w:r>
        <w:rPr>
          <w:rFonts w:ascii="Times New Roman" w:cs="Times New Roman" w:eastAsia="Times New Roman" w:hAnsi="Times New Roman"/>
          <w:sz w:val="17"/>
          <w:szCs w:val="17"/>
          <w:color w:val="auto"/>
        </w:rPr>
        <w:t>The table below presents selected primary portfolio statistics, by book year, as of March 31, 2026.</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80" w:type="dxa"/>
            <w:vAlign w:val="bottom"/>
            <w:gridSpan w:val="4"/>
          </w:tcPr>
          <w:p>
            <w:pPr>
              <w:ind w:left="760"/>
              <w:spacing w:after="0"/>
              <w:rPr>
                <w:sz w:val="20"/>
                <w:szCs w:val="20"/>
                <w:color w:val="auto"/>
              </w:rPr>
            </w:pPr>
            <w:r>
              <w:rPr>
                <w:rFonts w:ascii="Times New Roman" w:cs="Times New Roman" w:eastAsia="Times New Roman" w:hAnsi="Times New Roman"/>
                <w:sz w:val="14"/>
                <w:szCs w:val="14"/>
                <w:b w:val="1"/>
                <w:bCs w:val="1"/>
                <w:color w:val="auto"/>
              </w:rPr>
              <w:t>As of March 31, 2026</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center"/>
              <w:ind w:right="220"/>
              <w:spacing w:after="0" w:line="125" w:lineRule="exact"/>
              <w:rPr>
                <w:sz w:val="20"/>
                <w:szCs w:val="20"/>
                <w:color w:val="auto"/>
              </w:rPr>
            </w:pPr>
            <w:r>
              <w:rPr>
                <w:rFonts w:ascii="Times New Roman" w:cs="Times New Roman" w:eastAsia="Times New Roman" w:hAnsi="Times New Roman"/>
                <w:sz w:val="14"/>
                <w:szCs w:val="14"/>
                <w:b w:val="1"/>
                <w:bCs w:val="1"/>
                <w:color w:val="auto"/>
                <w:w w:val="98"/>
              </w:rPr>
              <w:t>Original</w:t>
            </w:r>
          </w:p>
        </w:tc>
        <w:tc>
          <w:tcPr>
            <w:tcW w:w="120" w:type="dxa"/>
            <w:vAlign w:val="bottom"/>
          </w:tcPr>
          <w:p>
            <w:pPr>
              <w:spacing w:after="0"/>
              <w:rPr>
                <w:sz w:val="10"/>
                <w:szCs w:val="10"/>
                <w:color w:val="auto"/>
              </w:rPr>
            </w:pPr>
          </w:p>
        </w:tc>
        <w:tc>
          <w:tcPr>
            <w:tcW w:w="840" w:type="dxa"/>
            <w:vAlign w:val="bottom"/>
          </w:tcPr>
          <w:p>
            <w:pPr>
              <w:jc w:val="center"/>
              <w:ind w:right="37"/>
              <w:spacing w:after="0" w:line="125" w:lineRule="exact"/>
              <w:rPr>
                <w:sz w:val="20"/>
                <w:szCs w:val="20"/>
                <w:color w:val="auto"/>
              </w:rPr>
            </w:pPr>
            <w:r>
              <w:rPr>
                <w:rFonts w:ascii="Times New Roman" w:cs="Times New Roman" w:eastAsia="Times New Roman" w:hAnsi="Times New Roman"/>
                <w:sz w:val="14"/>
                <w:szCs w:val="14"/>
                <w:b w:val="1"/>
                <w:bCs w:val="1"/>
                <w:color w:val="auto"/>
                <w:w w:val="97"/>
              </w:rPr>
              <w:t>Remaining</w:t>
            </w:r>
          </w:p>
        </w:tc>
        <w:tc>
          <w:tcPr>
            <w:tcW w:w="128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7"/>
              </w:rPr>
              <w:t>% Remaining of</w:t>
            </w:r>
          </w:p>
        </w:tc>
        <w:tc>
          <w:tcPr>
            <w:tcW w:w="10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Policies Ever</w:t>
            </w:r>
          </w:p>
        </w:tc>
        <w:tc>
          <w:tcPr>
            <w:tcW w:w="1060" w:type="dxa"/>
            <w:vAlign w:val="bottom"/>
            <w:gridSpan w:val="2"/>
          </w:tcPr>
          <w:p>
            <w:pPr>
              <w:jc w:val="center"/>
              <w:ind w:right="100"/>
              <w:spacing w:after="0" w:line="125" w:lineRule="exact"/>
              <w:rPr>
                <w:sz w:val="20"/>
                <w:szCs w:val="20"/>
                <w:color w:val="auto"/>
              </w:rPr>
            </w:pPr>
            <w:r>
              <w:rPr>
                <w:rFonts w:ascii="Times New Roman" w:cs="Times New Roman" w:eastAsia="Times New Roman" w:hAnsi="Times New Roman"/>
                <w:sz w:val="14"/>
                <w:szCs w:val="14"/>
                <w:b w:val="1"/>
                <w:bCs w:val="1"/>
                <w:color w:val="auto"/>
                <w:w w:val="98"/>
              </w:rPr>
              <w:t>Number of</w:t>
            </w:r>
          </w:p>
        </w:tc>
        <w:tc>
          <w:tcPr>
            <w:tcW w:w="880" w:type="dxa"/>
            <w:vAlign w:val="bottom"/>
            <w:gridSpan w:val="2"/>
          </w:tcPr>
          <w:p>
            <w:pPr>
              <w:jc w:val="center"/>
              <w:ind w:right="100"/>
              <w:spacing w:after="0" w:line="125"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62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9"/>
              </w:rPr>
              <w:t># of</w:t>
            </w:r>
          </w:p>
        </w:tc>
        <w:tc>
          <w:tcPr>
            <w:tcW w:w="130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9"/>
              </w:rPr>
              <w:t>Incurred Loss</w:t>
            </w:r>
          </w:p>
        </w:tc>
        <w:tc>
          <w:tcPr>
            <w:tcW w:w="1200" w:type="dxa"/>
            <w:vAlign w:val="bottom"/>
            <w:vMerge w:val="restart"/>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Cumulative</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Current Default</w:t>
            </w:r>
          </w:p>
        </w:tc>
        <w:tc>
          <w:tcPr>
            <w:tcW w:w="0" w:type="dxa"/>
            <w:vAlign w:val="bottom"/>
          </w:tcPr>
          <w:p>
            <w:pPr>
              <w:spacing w:after="0"/>
              <w:rPr>
                <w:sz w:val="1"/>
                <w:szCs w:val="1"/>
                <w:color w:val="auto"/>
              </w:rPr>
            </w:pPr>
          </w:p>
        </w:tc>
      </w:tr>
      <w:tr>
        <w:trPr>
          <w:trHeight w:val="142"/>
        </w:trPr>
        <w:tc>
          <w:tcPr>
            <w:tcW w:w="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Book Year</w:t>
            </w: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w w:val="96"/>
              </w:rPr>
              <w:t>Insurance</w:t>
            </w:r>
          </w:p>
        </w:tc>
        <w:tc>
          <w:tcPr>
            <w:tcW w:w="120" w:type="dxa"/>
            <w:vAlign w:val="bottom"/>
          </w:tcPr>
          <w:p>
            <w:pPr>
              <w:spacing w:after="0"/>
              <w:rPr>
                <w:sz w:val="12"/>
                <w:szCs w:val="12"/>
                <w:color w:val="auto"/>
              </w:rPr>
            </w:pPr>
          </w:p>
        </w:tc>
        <w:tc>
          <w:tcPr>
            <w:tcW w:w="840" w:type="dxa"/>
            <w:vAlign w:val="bottom"/>
          </w:tcPr>
          <w:p>
            <w:pPr>
              <w:jc w:val="center"/>
              <w:ind w:right="17"/>
              <w:spacing w:after="0" w:line="142" w:lineRule="exact"/>
              <w:rPr>
                <w:sz w:val="20"/>
                <w:szCs w:val="20"/>
                <w:color w:val="auto"/>
              </w:rPr>
            </w:pPr>
            <w:r>
              <w:rPr>
                <w:rFonts w:ascii="Times New Roman" w:cs="Times New Roman" w:eastAsia="Times New Roman" w:hAnsi="Times New Roman"/>
                <w:sz w:val="14"/>
                <w:szCs w:val="14"/>
                <w:b w:val="1"/>
                <w:bCs w:val="1"/>
                <w:color w:val="auto"/>
                <w:w w:val="98"/>
              </w:rPr>
              <w:t>Insurance in</w:t>
            </w:r>
          </w:p>
        </w:tc>
        <w:tc>
          <w:tcPr>
            <w:tcW w:w="12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8"/>
              </w:rPr>
              <w:t>Original</w:t>
            </w:r>
          </w:p>
        </w:tc>
        <w:tc>
          <w:tcPr>
            <w:tcW w:w="1020" w:type="dxa"/>
            <w:vAlign w:val="bottom"/>
            <w:gridSpan w:val="2"/>
            <w:vMerge w:val="continue"/>
          </w:tcPr>
          <w:p>
            <w:pPr>
              <w:spacing w:after="0"/>
              <w:rPr>
                <w:sz w:val="12"/>
                <w:szCs w:val="12"/>
                <w:color w:val="auto"/>
              </w:rPr>
            </w:pPr>
          </w:p>
        </w:tc>
        <w:tc>
          <w:tcPr>
            <w:tcW w:w="1060" w:type="dxa"/>
            <w:vAlign w:val="bottom"/>
            <w:gridSpan w:val="2"/>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w w:val="99"/>
              </w:rPr>
              <w:t>Policies in</w:t>
            </w:r>
          </w:p>
        </w:tc>
        <w:tc>
          <w:tcPr>
            <w:tcW w:w="880" w:type="dxa"/>
            <w:vAlign w:val="bottom"/>
            <w:gridSpan w:val="2"/>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w w:val="96"/>
              </w:rPr>
              <w:t>Loans in</w:t>
            </w:r>
          </w:p>
        </w:tc>
        <w:tc>
          <w:tcPr>
            <w:tcW w:w="6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Claims</w:t>
            </w:r>
          </w:p>
        </w:tc>
        <w:tc>
          <w:tcPr>
            <w:tcW w:w="13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8"/>
              </w:rPr>
              <w:t>Ratio (Inception</w:t>
            </w:r>
          </w:p>
        </w:tc>
        <w:tc>
          <w:tcPr>
            <w:tcW w:w="120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40" w:type="dxa"/>
            <w:vAlign w:val="bottom"/>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6"/>
              </w:rPr>
              <w:t>Written</w:t>
            </w: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w w:val="99"/>
              </w:rPr>
              <w:t>Force</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Insurance</w:t>
            </w:r>
          </w:p>
        </w:tc>
        <w:tc>
          <w:tcPr>
            <w:tcW w:w="102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in Force</w:t>
            </w:r>
          </w:p>
        </w:tc>
        <w:tc>
          <w:tcPr>
            <w:tcW w:w="106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Force</w:t>
            </w:r>
          </w:p>
        </w:tc>
        <w:tc>
          <w:tcPr>
            <w:tcW w:w="88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Default</w:t>
            </w: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Paid</w:t>
            </w: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to Date) </w:t>
            </w:r>
            <w:r>
              <w:rPr>
                <w:rFonts w:ascii="Times New Roman" w:cs="Times New Roman" w:eastAsia="Times New Roman" w:hAnsi="Times New Roman"/>
                <w:sz w:val="9"/>
                <w:szCs w:val="9"/>
                <w:b w:val="1"/>
                <w:bCs w:val="1"/>
                <w:color w:val="auto"/>
              </w:rPr>
              <w:t>(1)</w:t>
            </w:r>
          </w:p>
        </w:tc>
        <w:tc>
          <w:tcPr>
            <w:tcW w:w="1200" w:type="dxa"/>
            <w:vAlign w:val="bottom"/>
            <w:tcBorders>
              <w:bottom w:val="single" w:sz="8" w:color="auto"/>
            </w:tcBorders>
          </w:tcPr>
          <w:p>
            <w:pPr>
              <w:jc w:val="right"/>
              <w:ind w:right="96"/>
              <w:spacing w:after="0" w:line="196" w:lineRule="exact"/>
              <w:rPr>
                <w:sz w:val="20"/>
                <w:szCs w:val="20"/>
                <w:color w:val="auto"/>
              </w:rPr>
            </w:pPr>
            <w:r>
              <w:rPr>
                <w:rFonts w:ascii="Times New Roman" w:cs="Times New Roman" w:eastAsia="Times New Roman" w:hAnsi="Times New Roman"/>
                <w:sz w:val="14"/>
                <w:szCs w:val="14"/>
                <w:b w:val="1"/>
                <w:bCs w:val="1"/>
                <w:color w:val="auto"/>
              </w:rPr>
              <w:t xml:space="preserve">Default Rate </w:t>
            </w:r>
            <w:r>
              <w:rPr>
                <w:rFonts w:ascii="Times New Roman" w:cs="Times New Roman" w:eastAsia="Times New Roman" w:hAnsi="Times New Roman"/>
                <w:sz w:val="18"/>
                <w:szCs w:val="18"/>
                <w:b w:val="1"/>
                <w:bCs w:val="1"/>
                <w:color w:val="auto"/>
                <w:vertAlign w:val="superscript"/>
              </w:rPr>
              <w:t>(2)</w:t>
            </w:r>
          </w:p>
        </w:tc>
        <w:tc>
          <w:tcPr>
            <w:tcW w:w="1080" w:type="dxa"/>
            <w:vAlign w:val="bottom"/>
            <w:tcBorders>
              <w:bottom w:val="single" w:sz="8" w:color="auto"/>
            </w:tcBorders>
          </w:tcPr>
          <w:p>
            <w:pPr>
              <w:jc w:val="right"/>
              <w:ind w:right="216"/>
              <w:spacing w:after="0" w:line="196" w:lineRule="exact"/>
              <w:rPr>
                <w:sz w:val="20"/>
                <w:szCs w:val="20"/>
                <w:color w:val="auto"/>
              </w:rPr>
            </w:pPr>
            <w:r>
              <w:rPr>
                <w:rFonts w:ascii="Times New Roman" w:cs="Times New Roman" w:eastAsia="Times New Roman" w:hAnsi="Times New Roman"/>
                <w:sz w:val="14"/>
                <w:szCs w:val="14"/>
                <w:b w:val="1"/>
                <w:bCs w:val="1"/>
                <w:color w:val="auto"/>
              </w:rPr>
              <w:t xml:space="preserve">Rate </w:t>
            </w:r>
            <w:r>
              <w:rPr>
                <w:rFonts w:ascii="Times New Roman" w:cs="Times New Roman" w:eastAsia="Times New Roman" w:hAnsi="Times New Roman"/>
                <w:sz w:val="18"/>
                <w:szCs w:val="18"/>
                <w:b w:val="1"/>
                <w:bCs w:val="1"/>
                <w:color w:val="auto"/>
                <w:vertAlign w:val="superscript"/>
              </w:rPr>
              <w:t>(3)</w:t>
            </w: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gridSpan w:val="4"/>
          </w:tcPr>
          <w:p>
            <w:pPr>
              <w:ind w:left="340"/>
              <w:spacing w:after="0"/>
              <w:rPr>
                <w:sz w:val="20"/>
                <w:szCs w:val="20"/>
                <w:color w:val="auto"/>
              </w:rPr>
            </w:pPr>
            <w:r>
              <w:rPr>
                <w:rFonts w:ascii="Times New Roman" w:cs="Times New Roman" w:eastAsia="Times New Roman" w:hAnsi="Times New Roman"/>
                <w:sz w:val="14"/>
                <w:szCs w:val="14"/>
                <w:i w:val="1"/>
                <w:iCs w:val="1"/>
                <w:color w:val="auto"/>
              </w:rPr>
              <w:t>($ Values In Millions)</w:t>
            </w:r>
          </w:p>
        </w:tc>
        <w:tc>
          <w:tcPr>
            <w:tcW w:w="6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7"/>
                <w:szCs w:val="17"/>
                <w:color w:val="auto"/>
              </w:rPr>
              <w:t>2017 and</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prior</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58,804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3,112</w:t>
            </w:r>
          </w:p>
        </w:tc>
        <w:tc>
          <w:tcPr>
            <w:tcW w:w="12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5 %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237,512</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17,167</w:t>
            </w: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w:t>
            </w: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617</w:t>
            </w:r>
          </w:p>
        </w:tc>
        <w:tc>
          <w:tcPr>
            <w:tcW w:w="13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2.1 %</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0.4 %</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2.1 %</w:t>
            </w:r>
          </w:p>
        </w:tc>
        <w:tc>
          <w:tcPr>
            <w:tcW w:w="0" w:type="dxa"/>
            <w:vAlign w:val="bottom"/>
          </w:tcPr>
          <w:p>
            <w:pPr>
              <w:spacing w:after="0"/>
              <w:rPr>
                <w:sz w:val="1"/>
                <w:szCs w:val="1"/>
                <w:color w:val="auto"/>
              </w:rPr>
            </w:pPr>
          </w:p>
        </w:tc>
      </w:tr>
      <w:tr>
        <w:trPr>
          <w:trHeight w:val="222"/>
        </w:trPr>
        <w:tc>
          <w:tcPr>
            <w:tcW w:w="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2018</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27,295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1,823</w:t>
            </w:r>
          </w:p>
        </w:tc>
        <w:tc>
          <w:tcPr>
            <w:tcW w:w="128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7 %</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104,043</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10,044</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374</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w:t>
            </w:r>
          </w:p>
        </w:tc>
        <w:tc>
          <w:tcPr>
            <w:tcW w:w="130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2.5 %</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0.6 %</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3.7 %</w:t>
            </w:r>
          </w:p>
        </w:tc>
        <w:tc>
          <w:tcPr>
            <w:tcW w:w="0" w:type="dxa"/>
            <w:vAlign w:val="bottom"/>
          </w:tcPr>
          <w:p>
            <w:pPr>
              <w:spacing w:after="0"/>
              <w:rPr>
                <w:sz w:val="1"/>
                <w:szCs w:val="1"/>
                <w:color w:val="auto"/>
              </w:rPr>
            </w:pPr>
          </w:p>
        </w:tc>
      </w:tr>
      <w:tr>
        <w:trPr>
          <w:trHeight w:val="222"/>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2019</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45,141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4,717</w:t>
            </w:r>
          </w:p>
        </w:tc>
        <w:tc>
          <w:tcPr>
            <w:tcW w:w="12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10 %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148,423</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21,671</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402</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w:t>
            </w:r>
          </w:p>
        </w:tc>
        <w:tc>
          <w:tcPr>
            <w:tcW w:w="13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2.2 %</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0.4 %</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1.9 %</w:t>
            </w:r>
          </w:p>
        </w:tc>
        <w:tc>
          <w:tcPr>
            <w:tcW w:w="0" w:type="dxa"/>
            <w:vAlign w:val="bottom"/>
          </w:tcPr>
          <w:p>
            <w:pPr>
              <w:spacing w:after="0"/>
              <w:rPr>
                <w:sz w:val="1"/>
                <w:szCs w:val="1"/>
                <w:color w:val="auto"/>
              </w:rPr>
            </w:pPr>
          </w:p>
        </w:tc>
      </w:tr>
      <w:tr>
        <w:trPr>
          <w:trHeight w:val="222"/>
        </w:trPr>
        <w:tc>
          <w:tcPr>
            <w:tcW w:w="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2020</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62,702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15,320</w:t>
            </w:r>
          </w:p>
        </w:tc>
        <w:tc>
          <w:tcPr>
            <w:tcW w:w="128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24 %</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186,174</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56,248</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559</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w:t>
            </w:r>
          </w:p>
        </w:tc>
        <w:tc>
          <w:tcPr>
            <w:tcW w:w="130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1.4 %</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0.3 %</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1.0 %</w:t>
            </w:r>
          </w:p>
        </w:tc>
        <w:tc>
          <w:tcPr>
            <w:tcW w:w="0" w:type="dxa"/>
            <w:vAlign w:val="bottom"/>
          </w:tcPr>
          <w:p>
            <w:pPr>
              <w:spacing w:after="0"/>
              <w:rPr>
                <w:sz w:val="1"/>
                <w:szCs w:val="1"/>
                <w:color w:val="auto"/>
              </w:rPr>
            </w:pPr>
          </w:p>
        </w:tc>
      </w:tr>
      <w:tr>
        <w:trPr>
          <w:trHeight w:val="222"/>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2021</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85,574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38,944</w:t>
            </w:r>
          </w:p>
        </w:tc>
        <w:tc>
          <w:tcPr>
            <w:tcW w:w="12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46 %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257,972</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134,406</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1,632</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w:t>
            </w:r>
          </w:p>
        </w:tc>
        <w:tc>
          <w:tcPr>
            <w:tcW w:w="13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3.3 %</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0.7 %</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1.2 %</w:t>
            </w:r>
          </w:p>
        </w:tc>
        <w:tc>
          <w:tcPr>
            <w:tcW w:w="0" w:type="dxa"/>
            <w:vAlign w:val="bottom"/>
          </w:tcPr>
          <w:p>
            <w:pPr>
              <w:spacing w:after="0"/>
              <w:rPr>
                <w:sz w:val="1"/>
                <w:szCs w:val="1"/>
                <w:color w:val="auto"/>
              </w:rPr>
            </w:pPr>
          </w:p>
        </w:tc>
      </w:tr>
      <w:tr>
        <w:trPr>
          <w:trHeight w:val="222"/>
        </w:trPr>
        <w:tc>
          <w:tcPr>
            <w:tcW w:w="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2022</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58,734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40,061</w:t>
            </w:r>
          </w:p>
        </w:tc>
        <w:tc>
          <w:tcPr>
            <w:tcW w:w="128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68 %</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163,281</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120,023</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2,292</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316</w:t>
            </w:r>
          </w:p>
        </w:tc>
        <w:tc>
          <w:tcPr>
            <w:tcW w:w="130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17.0 %</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1.6 %</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1.9 %</w:t>
            </w:r>
          </w:p>
        </w:tc>
        <w:tc>
          <w:tcPr>
            <w:tcW w:w="0" w:type="dxa"/>
            <w:vAlign w:val="bottom"/>
          </w:tcPr>
          <w:p>
            <w:pPr>
              <w:spacing w:after="0"/>
              <w:rPr>
                <w:sz w:val="1"/>
                <w:szCs w:val="1"/>
                <w:color w:val="auto"/>
              </w:rPr>
            </w:pPr>
          </w:p>
        </w:tc>
      </w:tr>
      <w:tr>
        <w:trPr>
          <w:trHeight w:val="222"/>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2023</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40,473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27,059</w:t>
            </w:r>
          </w:p>
        </w:tc>
        <w:tc>
          <w:tcPr>
            <w:tcW w:w="12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67 %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111,994</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80,907</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1,183</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w:t>
            </w:r>
          </w:p>
        </w:tc>
        <w:tc>
          <w:tcPr>
            <w:tcW w:w="13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16.3 %</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1.2 %</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1.5 %</w:t>
            </w:r>
          </w:p>
        </w:tc>
        <w:tc>
          <w:tcPr>
            <w:tcW w:w="0" w:type="dxa"/>
            <w:vAlign w:val="bottom"/>
          </w:tcPr>
          <w:p>
            <w:pPr>
              <w:spacing w:after="0"/>
              <w:rPr>
                <w:sz w:val="1"/>
                <w:szCs w:val="1"/>
                <w:color w:val="auto"/>
              </w:rPr>
            </w:pPr>
          </w:p>
        </w:tc>
      </w:tr>
      <w:tr>
        <w:trPr>
          <w:trHeight w:val="222"/>
        </w:trPr>
        <w:tc>
          <w:tcPr>
            <w:tcW w:w="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46,044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35,260</w:t>
            </w:r>
          </w:p>
        </w:tc>
        <w:tc>
          <w:tcPr>
            <w:tcW w:w="128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77 %</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120,747</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98,403</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962</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30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15.4 %</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0.8 %</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1.0 %</w:t>
            </w:r>
          </w:p>
        </w:tc>
        <w:tc>
          <w:tcPr>
            <w:tcW w:w="0" w:type="dxa"/>
            <w:vAlign w:val="bottom"/>
          </w:tcPr>
          <w:p>
            <w:pPr>
              <w:spacing w:after="0"/>
              <w:rPr>
                <w:sz w:val="1"/>
                <w:szCs w:val="1"/>
                <w:color w:val="auto"/>
              </w:rPr>
            </w:pPr>
          </w:p>
        </w:tc>
      </w:tr>
      <w:tr>
        <w:trPr>
          <w:trHeight w:val="222"/>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48,900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43,833</w:t>
            </w:r>
          </w:p>
        </w:tc>
        <w:tc>
          <w:tcPr>
            <w:tcW w:w="12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90 %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125,570</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115,779</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280</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8.3 %</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0.2 %</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0.2 %</w:t>
            </w:r>
          </w:p>
        </w:tc>
        <w:tc>
          <w:tcPr>
            <w:tcW w:w="0" w:type="dxa"/>
            <w:vAlign w:val="bottom"/>
          </w:tcPr>
          <w:p>
            <w:pPr>
              <w:spacing w:after="0"/>
              <w:rPr>
                <w:sz w:val="1"/>
                <w:szCs w:val="1"/>
                <w:color w:val="auto"/>
              </w:rPr>
            </w:pPr>
          </w:p>
        </w:tc>
      </w:tr>
      <w:tr>
        <w:trPr>
          <w:trHeight w:val="222"/>
        </w:trPr>
        <w:tc>
          <w:tcPr>
            <w:tcW w:w="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12,259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12,189</w:t>
            </w:r>
          </w:p>
        </w:tc>
        <w:tc>
          <w:tcPr>
            <w:tcW w:w="128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99 %</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30,457</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30,329</w:t>
            </w:r>
          </w:p>
        </w:tc>
        <w:tc>
          <w:tcPr>
            <w:tcW w:w="1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 %</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40"/>
        </w:trPr>
        <w:tc>
          <w:tcPr>
            <w:tcW w:w="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485,926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222,318</w:t>
            </w:r>
          </w:p>
        </w:tc>
        <w:tc>
          <w:tcPr>
            <w:tcW w:w="1280" w:type="dxa"/>
            <w:vAlign w:val="bottom"/>
            <w:tcBorders>
              <w:top w:val="single" w:sz="8" w:color="CCEEFF"/>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1,486,173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684,977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8,044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1,678</w:t>
            </w:r>
          </w:p>
        </w:tc>
        <w:tc>
          <w:tcPr>
            <w:tcW w:w="1300" w:type="dxa"/>
            <w:vAlign w:val="bottom"/>
            <w:tcBorders>
              <w:top w:val="single" w:sz="8" w:color="CCEEFF"/>
              <w:bottom w:val="single" w:sz="8" w:color="CCEEFF"/>
            </w:tcBorders>
            <w:shd w:val="clear" w:color="auto" w:fill="CCEEFF"/>
          </w:tcPr>
          <w:p>
            <w:pPr>
              <w:spacing w:after="0"/>
              <w:rPr>
                <w:sz w:val="20"/>
                <w:szCs w:val="20"/>
                <w:color w:val="auto"/>
              </w:rPr>
            </w:pPr>
          </w:p>
        </w:tc>
        <w:tc>
          <w:tcPr>
            <w:tcW w:w="1200" w:type="dxa"/>
            <w:vAlign w:val="bottom"/>
            <w:tcBorders>
              <w:top w:val="single" w:sz="8" w:color="CCEEFF"/>
              <w:bottom w:val="single" w:sz="8" w:color="CCEEFF"/>
            </w:tcBorders>
            <w:shd w:val="clear" w:color="auto" w:fill="CCEEFF"/>
          </w:tcPr>
          <w:p>
            <w:pPr>
              <w:spacing w:after="0"/>
              <w:rPr>
                <w:sz w:val="20"/>
                <w:szCs w:val="20"/>
                <w:color w:val="auto"/>
              </w:rPr>
            </w:pPr>
          </w:p>
        </w:tc>
        <w:tc>
          <w:tcPr>
            <w:tcW w:w="10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ind w:left="300" w:hanging="295"/>
        <w:spacing w:after="0"/>
        <w:tabs>
          <w:tab w:leader="none" w:pos="3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Calculated as total claims incurred (paid and reserved) divided by cumulative premiums earned, net of reinsurance.</w:t>
      </w:r>
    </w:p>
    <w:p>
      <w:pPr>
        <w:spacing w:after="0" w:line="11" w:lineRule="exact"/>
        <w:rPr>
          <w:rFonts w:ascii="Times New Roman" w:cs="Times New Roman" w:eastAsia="Times New Roman" w:hAnsi="Times New Roman"/>
          <w:sz w:val="14"/>
          <w:szCs w:val="14"/>
          <w:color w:val="auto"/>
        </w:rPr>
      </w:pPr>
    </w:p>
    <w:p>
      <w:pPr>
        <w:ind w:left="300" w:hanging="295"/>
        <w:spacing w:after="0"/>
        <w:tabs>
          <w:tab w:leader="none" w:pos="3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Calculated as the sum of the number of claims paid ever to date and number of loans in default divided by policies ever in force.</w:t>
      </w:r>
    </w:p>
    <w:p>
      <w:pPr>
        <w:spacing w:after="0" w:line="5" w:lineRule="exact"/>
        <w:rPr>
          <w:rFonts w:ascii="Times New Roman" w:cs="Times New Roman" w:eastAsia="Times New Roman" w:hAnsi="Times New Roman"/>
          <w:sz w:val="14"/>
          <w:szCs w:val="14"/>
          <w:color w:val="auto"/>
        </w:rPr>
      </w:pPr>
    </w:p>
    <w:p>
      <w:pPr>
        <w:ind w:left="300" w:hanging="295"/>
        <w:spacing w:after="0"/>
        <w:tabs>
          <w:tab w:leader="none" w:pos="3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Calculated as the number of loans in default divided by number of policies in force.</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i w:val="1"/>
          <w:iCs w:val="1"/>
          <w:color w:val="auto"/>
        </w:rPr>
        <w:t>Geographic Dispersion</w:t>
      </w:r>
    </w:p>
    <w:p>
      <w:pPr>
        <w:spacing w:after="0" w:line="172" w:lineRule="exact"/>
        <w:rPr>
          <w:sz w:val="20"/>
          <w:szCs w:val="20"/>
          <w:color w:val="auto"/>
        </w:rPr>
      </w:pPr>
    </w:p>
    <w:p>
      <w:pPr>
        <w:jc w:val="both"/>
        <w:ind w:firstLine="627"/>
        <w:spacing w:after="0" w:line="295" w:lineRule="auto"/>
        <w:rPr>
          <w:sz w:val="20"/>
          <w:szCs w:val="20"/>
          <w:color w:val="auto"/>
        </w:rPr>
      </w:pPr>
      <w:r>
        <w:rPr>
          <w:rFonts w:ascii="Times New Roman" w:cs="Times New Roman" w:eastAsia="Times New Roman" w:hAnsi="Times New Roman"/>
          <w:sz w:val="17"/>
          <w:szCs w:val="17"/>
          <w:color w:val="auto"/>
        </w:rPr>
        <w:t>The following table shows the distribution by state of our primary RIF as of the dates indicated. The distribution of our primary RIF as of March 31, 2026 is not necessarily representative of the geographic distribution we expect in the future.</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6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Top 10 primary RIF by state</w:t>
            </w:r>
          </w:p>
        </w:tc>
        <w:tc>
          <w:tcPr>
            <w:tcW w:w="136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1220" w:type="dxa"/>
            <w:vAlign w:val="bottom"/>
          </w:tcPr>
          <w:p>
            <w:pPr>
              <w:spacing w:after="0"/>
              <w:rPr>
                <w:sz w:val="16"/>
                <w:szCs w:val="16"/>
                <w:color w:val="auto"/>
              </w:rPr>
            </w:pPr>
          </w:p>
        </w:tc>
      </w:tr>
      <w:tr>
        <w:trPr>
          <w:trHeight w:val="23"/>
        </w:trPr>
        <w:tc>
          <w:tcPr>
            <w:tcW w:w="866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83"/>
        </w:trPr>
        <w:tc>
          <w:tcPr>
            <w:tcW w:w="7480" w:type="dxa"/>
            <w:vAlign w:val="bottom"/>
            <w:tcBorders>
              <w:bottom w:val="single" w:sz="8" w:color="CCEEFF"/>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2026</w:t>
            </w:r>
          </w:p>
        </w:tc>
        <w:tc>
          <w:tcPr>
            <w:tcW w:w="64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CCEEFF"/>
            </w:tcBorders>
          </w:tcPr>
          <w:p>
            <w:pPr>
              <w:spacing w:after="0"/>
              <w:rPr>
                <w:sz w:val="15"/>
                <w:szCs w:val="15"/>
                <w:color w:val="auto"/>
              </w:rPr>
            </w:pPr>
          </w:p>
        </w:tc>
        <w:tc>
          <w:tcPr>
            <w:tcW w:w="60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69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1"/>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California</w:t>
            </w:r>
          </w:p>
        </w:tc>
        <w:tc>
          <w:tcPr>
            <w:tcW w:w="1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10.1 %</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10.1 %</w:t>
            </w:r>
          </w:p>
        </w:tc>
      </w:tr>
      <w:tr>
        <w:trPr>
          <w:trHeight w:val="222"/>
        </w:trPr>
        <w:tc>
          <w:tcPr>
            <w:tcW w:w="86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Texas</w:t>
            </w:r>
          </w:p>
        </w:tc>
        <w:tc>
          <w:tcPr>
            <w:tcW w:w="6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8.3</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8.5</w:t>
            </w:r>
          </w:p>
        </w:tc>
      </w:tr>
      <w:tr>
        <w:trPr>
          <w:trHeight w:val="222"/>
        </w:trPr>
        <w:tc>
          <w:tcPr>
            <w:tcW w:w="8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Florida</w:t>
            </w:r>
          </w:p>
        </w:tc>
        <w:tc>
          <w:tcPr>
            <w:tcW w:w="6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7.2</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7.3</w:t>
            </w:r>
          </w:p>
        </w:tc>
      </w:tr>
      <w:tr>
        <w:trPr>
          <w:trHeight w:val="222"/>
        </w:trPr>
        <w:tc>
          <w:tcPr>
            <w:tcW w:w="86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Georgia</w:t>
            </w:r>
          </w:p>
        </w:tc>
        <w:tc>
          <w:tcPr>
            <w:tcW w:w="6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4.0</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4.1</w:t>
            </w:r>
          </w:p>
        </w:tc>
      </w:tr>
      <w:tr>
        <w:trPr>
          <w:trHeight w:val="222"/>
        </w:trPr>
        <w:tc>
          <w:tcPr>
            <w:tcW w:w="8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Illinois</w:t>
            </w:r>
          </w:p>
        </w:tc>
        <w:tc>
          <w:tcPr>
            <w:tcW w:w="6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4.0</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3.8</w:t>
            </w:r>
          </w:p>
        </w:tc>
      </w:tr>
      <w:tr>
        <w:trPr>
          <w:trHeight w:val="222"/>
        </w:trPr>
        <w:tc>
          <w:tcPr>
            <w:tcW w:w="86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Virginia</w:t>
            </w:r>
          </w:p>
        </w:tc>
        <w:tc>
          <w:tcPr>
            <w:tcW w:w="6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3.7</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3.7</w:t>
            </w:r>
          </w:p>
        </w:tc>
      </w:tr>
      <w:tr>
        <w:trPr>
          <w:trHeight w:val="222"/>
        </w:trPr>
        <w:tc>
          <w:tcPr>
            <w:tcW w:w="8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Washington</w:t>
            </w:r>
          </w:p>
        </w:tc>
        <w:tc>
          <w:tcPr>
            <w:tcW w:w="6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3.6</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3.9</w:t>
            </w:r>
          </w:p>
        </w:tc>
      </w:tr>
      <w:tr>
        <w:trPr>
          <w:trHeight w:val="222"/>
        </w:trPr>
        <w:tc>
          <w:tcPr>
            <w:tcW w:w="86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Pennsylvania</w:t>
            </w:r>
          </w:p>
        </w:tc>
        <w:tc>
          <w:tcPr>
            <w:tcW w:w="6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3.6</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3.4</w:t>
            </w:r>
          </w:p>
        </w:tc>
      </w:tr>
      <w:tr>
        <w:trPr>
          <w:trHeight w:val="222"/>
        </w:trPr>
        <w:tc>
          <w:tcPr>
            <w:tcW w:w="8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Ohio</w:t>
            </w:r>
          </w:p>
        </w:tc>
        <w:tc>
          <w:tcPr>
            <w:tcW w:w="6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3.5</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3.3</w:t>
            </w:r>
          </w:p>
        </w:tc>
      </w:tr>
      <w:tr>
        <w:trPr>
          <w:trHeight w:val="222"/>
        </w:trPr>
        <w:tc>
          <w:tcPr>
            <w:tcW w:w="7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New York</w:t>
            </w:r>
          </w:p>
        </w:tc>
        <w:tc>
          <w:tcPr>
            <w:tcW w:w="1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3.3</w:t>
            </w:r>
          </w:p>
        </w:tc>
        <w:tc>
          <w:tcPr>
            <w:tcW w:w="1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3.2</w:t>
            </w:r>
          </w:p>
        </w:tc>
      </w:tr>
      <w:tr>
        <w:trPr>
          <w:trHeight w:val="235"/>
        </w:trPr>
        <w:tc>
          <w:tcPr>
            <w:tcW w:w="8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51.3 %</w:t>
            </w: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51.3 %</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i w:val="1"/>
          <w:iCs w:val="1"/>
          <w:color w:val="auto"/>
        </w:rPr>
        <w:t>Insurance Claims and Claim Expenses</w:t>
      </w:r>
    </w:p>
    <w:p>
      <w:pPr>
        <w:spacing w:after="0" w:line="174" w:lineRule="exact"/>
        <w:rPr>
          <w:sz w:val="20"/>
          <w:szCs w:val="20"/>
          <w:color w:val="auto"/>
        </w:rPr>
      </w:pPr>
    </w:p>
    <w:p>
      <w:pPr>
        <w:jc w:val="both"/>
        <w:ind w:firstLine="627"/>
        <w:spacing w:after="0" w:line="269" w:lineRule="auto"/>
        <w:rPr>
          <w:sz w:val="20"/>
          <w:szCs w:val="20"/>
          <w:color w:val="auto"/>
        </w:rPr>
      </w:pPr>
      <w:r>
        <w:rPr>
          <w:rFonts w:ascii="Times New Roman" w:cs="Times New Roman" w:eastAsia="Times New Roman" w:hAnsi="Times New Roman"/>
          <w:sz w:val="17"/>
          <w:szCs w:val="17"/>
          <w:color w:val="auto"/>
        </w:rPr>
        <w:t>Insurance claims and claim expenses incurred represent estimated future payments on newly defaulted insured loans and any change in our claim estimates for previously existing defaults. Claims incurred are generally affected by a variety of factors, including the macroeconomic environment, national and regional unemployment trends, changes in housing values, borrower risk characteristics, LTV ratios and other loan level risk attributes, the size and type of loans insured, the percentage of coverage on insured loans, and the level of reinsurance coverage maintained against insured exposures.</w:t>
      </w:r>
    </w:p>
    <w:p>
      <w:pPr>
        <w:spacing w:after="0" w:line="117" w:lineRule="exact"/>
        <w:rPr>
          <w:sz w:val="20"/>
          <w:szCs w:val="20"/>
          <w:color w:val="auto"/>
        </w:rPr>
      </w:pPr>
    </w:p>
    <w:p>
      <w:pPr>
        <w:jc w:val="both"/>
        <w:ind w:firstLine="627"/>
        <w:spacing w:after="0" w:line="276" w:lineRule="auto"/>
        <w:rPr>
          <w:sz w:val="20"/>
          <w:szCs w:val="20"/>
          <w:color w:val="auto"/>
        </w:rPr>
      </w:pPr>
      <w:r>
        <w:rPr>
          <w:rFonts w:ascii="Times New Roman" w:cs="Times New Roman" w:eastAsia="Times New Roman" w:hAnsi="Times New Roman"/>
          <w:sz w:val="17"/>
          <w:szCs w:val="17"/>
          <w:color w:val="auto"/>
        </w:rPr>
        <w:t>Reserves for claims and claim expenses are established for mortgage loans that are in default. A loan is considered to be in default as of the payment date at which a borrower has missed the preceding two or more consecutive monthly payments. We establish reserves for loans that have been reported to us in default by servicers, referred to as case reserves, and additional loans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34" w:name="page35"/>
    <w:bookmarkEnd w:id="34"/>
    <w:p>
      <w:pPr>
        <w:jc w:val="both"/>
        <w:spacing w:after="0" w:line="269" w:lineRule="auto"/>
        <w:rPr>
          <w:sz w:val="20"/>
          <w:szCs w:val="20"/>
          <w:color w:val="auto"/>
        </w:rPr>
      </w:pPr>
      <w:r>
        <w:rPr>
          <w:rFonts w:ascii="Times New Roman" w:cs="Times New Roman" w:eastAsia="Times New Roman" w:hAnsi="Times New Roman"/>
          <w:sz w:val="17"/>
          <w:szCs w:val="17"/>
          <w:color w:val="auto"/>
        </w:rPr>
        <w:t>that we estimate (based on actuarial review and other factors) to be in default that have not yet been reported to us by servicers, referred to as IBNR. We also establish reserves for claim expenses, which represent the estimated cost of the claim administration process, including legal and other fees and other general expenses of administering the claim settlement process. Reserves are not established for future claims on insured loans which are not currently reported or which we estimate are not currently in default.</w:t>
      </w:r>
    </w:p>
    <w:p>
      <w:pPr>
        <w:spacing w:after="0" w:line="117" w:lineRule="exact"/>
        <w:rPr>
          <w:sz w:val="20"/>
          <w:szCs w:val="20"/>
          <w:color w:val="auto"/>
        </w:rPr>
      </w:pPr>
    </w:p>
    <w:p>
      <w:pPr>
        <w:jc w:val="both"/>
        <w:ind w:firstLine="627"/>
        <w:spacing w:after="0" w:line="263" w:lineRule="auto"/>
        <w:rPr>
          <w:sz w:val="20"/>
          <w:szCs w:val="20"/>
          <w:color w:val="auto"/>
        </w:rPr>
      </w:pPr>
      <w:r>
        <w:rPr>
          <w:rFonts w:ascii="Times New Roman" w:cs="Times New Roman" w:eastAsia="Times New Roman" w:hAnsi="Times New Roman"/>
          <w:sz w:val="17"/>
          <w:szCs w:val="17"/>
          <w:color w:val="auto"/>
        </w:rPr>
        <w:t>Reserves are established by estimating the number of loans in default that will result in a claim payment, which is referred to as claim frequency, and the amount of the claim payment expected to be paid on each such loan in default, which is referred to as claim severity. Claim frequency and severity estimates are established based on historical observed experience regarding certain loan factors, such as age of the default, cure rates, size of the loan and estimated change in property value. Reserves are released the month in which a loan in default is brought current by the borrower, which is referred to as a cure. Adjustments to reserve estimates are reflected in the period in which the adjustment is made. Reserves are also ceded to reinsurers under the QSR Transactions, XOL Transactions and ILN Transactions as applicable under each treaty. We have not yet ceded reserves under any of the XOL Transactions or ILN Transactions as incurred claims and claim expenses on each respective reference pool remain within our retained coverage layer for each transaction.</w:t>
      </w:r>
    </w:p>
    <w:p>
      <w:pPr>
        <w:spacing w:after="0" w:line="121" w:lineRule="exact"/>
        <w:rPr>
          <w:sz w:val="20"/>
          <w:szCs w:val="20"/>
          <w:color w:val="auto"/>
        </w:rPr>
      </w:pPr>
    </w:p>
    <w:p>
      <w:pPr>
        <w:jc w:val="both"/>
        <w:ind w:firstLine="627"/>
        <w:spacing w:after="0" w:line="263" w:lineRule="auto"/>
        <w:rPr>
          <w:sz w:val="20"/>
          <w:szCs w:val="20"/>
          <w:color w:val="auto"/>
        </w:rPr>
      </w:pPr>
      <w:r>
        <w:rPr>
          <w:rFonts w:ascii="Times New Roman" w:cs="Times New Roman" w:eastAsia="Times New Roman" w:hAnsi="Times New Roman"/>
          <w:sz w:val="17"/>
          <w:szCs w:val="17"/>
          <w:color w:val="auto"/>
        </w:rPr>
        <w:t>Our reserve setting process considers the beneficial impact of forbearance, foreclosure moratorium and other assistance programs that may be made available to certain defaulted borrowers. The effectiveness of forbearance and other such assistance programs can be further enhanced by the availability of various repayment and loan modification options which typically allow borrowers to amortize or, in certain instances, outright defer payments otherwise missed during a period of dislocation over an extended length of time. We generally observe that forbearance, repayment and modification, and other assistance programs are an effective tool to bridge dislocated borrowers from a time of acute stress to a future date when they can resume timely payment of their mortgage obligations, and note higher cure rates on defaults benefitting from broad-based assistance programs than would otherwise be expected on similarly situated loans that did not benefit from such programs.</w:t>
      </w:r>
    </w:p>
    <w:p>
      <w:pPr>
        <w:spacing w:after="0" w:line="121" w:lineRule="exact"/>
        <w:rPr>
          <w:sz w:val="20"/>
          <w:szCs w:val="20"/>
          <w:color w:val="auto"/>
        </w:rPr>
      </w:pPr>
    </w:p>
    <w:p>
      <w:pPr>
        <w:jc w:val="both"/>
        <w:ind w:firstLine="627"/>
        <w:spacing w:after="0" w:line="269" w:lineRule="auto"/>
        <w:rPr>
          <w:sz w:val="20"/>
          <w:szCs w:val="20"/>
          <w:color w:val="auto"/>
        </w:rPr>
      </w:pPr>
      <w:r>
        <w:rPr>
          <w:rFonts w:ascii="Times New Roman" w:cs="Times New Roman" w:eastAsia="Times New Roman" w:hAnsi="Times New Roman"/>
          <w:sz w:val="17"/>
          <w:szCs w:val="17"/>
          <w:color w:val="auto"/>
        </w:rPr>
        <w:t>The actual claims we incur as our portfolio matures are difficult to predict and depend on the specific characteristics of our current in-force book (including the credit score and DTI ratio of the borrower, the LTV ratio of the mortgage and geographic concentrations, among others), as well as the risk profile of new business we write in the future. In addition, claims experience will be affected by macroeconomic factors such as housing prices, interest rates, unemployment rates and other events, such as natural disasters or global pandemics, and any federal, state or local governmental response thereto.</w:t>
      </w:r>
    </w:p>
    <w:p>
      <w:pPr>
        <w:spacing w:after="0" w:line="117" w:lineRule="exact"/>
        <w:rPr>
          <w:sz w:val="20"/>
          <w:szCs w:val="20"/>
          <w:color w:val="auto"/>
        </w:rPr>
      </w:pPr>
    </w:p>
    <w:p>
      <w:pPr>
        <w:jc w:val="both"/>
        <w:ind w:firstLine="627"/>
        <w:spacing w:after="0" w:line="273" w:lineRule="auto"/>
        <w:rPr>
          <w:sz w:val="20"/>
          <w:szCs w:val="20"/>
          <w:color w:val="auto"/>
        </w:rPr>
      </w:pPr>
      <w:r>
        <w:rPr>
          <w:rFonts w:ascii="Times New Roman" w:cs="Times New Roman" w:eastAsia="Times New Roman" w:hAnsi="Times New Roman"/>
          <w:sz w:val="17"/>
          <w:szCs w:val="17"/>
          <w:color w:val="auto"/>
        </w:rPr>
        <w:t>Macroeconomic factors, including persistent inflation, elevated interest rates, flagging consumer confidence and increasing jobless claims could have a pronounced impact on the housing market, the mortgage insurance industry and our business in future periods. A marked decline in housing demand, a significant and protracted decrease in house prices, or a sustained increase in unemployment could contribute to an increase in our future default and claims experience.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35" w:name="page36"/>
    <w:bookmarkEnd w:id="35"/>
    <w:p>
      <w:pPr>
        <w:ind w:left="640"/>
        <w:spacing w:after="0"/>
        <w:rPr>
          <w:sz w:val="20"/>
          <w:szCs w:val="20"/>
          <w:color w:val="auto"/>
        </w:rPr>
      </w:pPr>
      <w:r>
        <w:rPr>
          <w:rFonts w:ascii="Times New Roman" w:cs="Times New Roman" w:eastAsia="Times New Roman" w:hAnsi="Times New Roman"/>
          <w:sz w:val="17"/>
          <w:szCs w:val="17"/>
          <w:color w:val="auto"/>
        </w:rPr>
        <w:t>The following table provides a reconciliation of the beginning and ending gross reserve balances for insurance claims and claim expenses: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620" w:type="dxa"/>
            <w:vAlign w:val="bottom"/>
          </w:tcPr>
          <w:p>
            <w:pPr>
              <w:spacing w:after="0"/>
              <w:rPr>
                <w:sz w:val="16"/>
                <w:szCs w:val="16"/>
                <w:color w:val="auto"/>
              </w:rPr>
            </w:pPr>
          </w:p>
        </w:tc>
        <w:tc>
          <w:tcPr>
            <w:tcW w:w="3560" w:type="dxa"/>
            <w:vAlign w:val="bottom"/>
            <w:gridSpan w:val="5"/>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r>
      <w:tr>
        <w:trPr>
          <w:trHeight w:val="23"/>
        </w:trPr>
        <w:tc>
          <w:tcPr>
            <w:tcW w:w="76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3"/>
        </w:trPr>
        <w:tc>
          <w:tcPr>
            <w:tcW w:w="7620" w:type="dxa"/>
            <w:vAlign w:val="bottom"/>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89"/>
        </w:trPr>
        <w:tc>
          <w:tcPr>
            <w:tcW w:w="76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40" w:type="dxa"/>
            <w:vAlign w:val="bottom"/>
            <w:gridSpan w:val="3"/>
          </w:tcPr>
          <w:p>
            <w:pPr>
              <w:jc w:val="right"/>
              <w:ind w:right="93"/>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180" w:type="dxa"/>
            <w:vAlign w:val="bottom"/>
          </w:tcPr>
          <w:p>
            <w:pPr>
              <w:spacing w:after="0"/>
              <w:rPr>
                <w:sz w:val="16"/>
                <w:szCs w:val="16"/>
                <w:color w:val="auto"/>
              </w:rPr>
            </w:pPr>
          </w:p>
        </w:tc>
      </w:tr>
      <w:tr>
        <w:trPr>
          <w:trHeight w:val="228"/>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Beginning balance</w:t>
            </w:r>
          </w:p>
        </w:tc>
        <w:tc>
          <w:tcPr>
            <w:tcW w:w="1040" w:type="dxa"/>
            <w:vAlign w:val="bottom"/>
            <w:shd w:val="clear" w:color="auto" w:fill="CCEEFF"/>
          </w:tcPr>
          <w:p>
            <w:pPr>
              <w:jc w:val="right"/>
              <w:ind w:right="862"/>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196,429</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152,071</w:t>
            </w:r>
          </w:p>
        </w:tc>
      </w:tr>
      <w:tr>
        <w:trPr>
          <w:trHeight w:val="222"/>
        </w:trPr>
        <w:tc>
          <w:tcPr>
            <w:tcW w:w="7620" w:type="dxa"/>
            <w:vAlign w:val="bottom"/>
            <w:tcBorders>
              <w:bottom w:val="single" w:sz="8" w:color="CCEEFF"/>
            </w:tcBorders>
          </w:tcPr>
          <w:p>
            <w:pPr>
              <w:ind w:left="20"/>
              <w:spacing w:after="0" w:line="222" w:lineRule="exact"/>
              <w:rPr>
                <w:sz w:val="20"/>
                <w:szCs w:val="20"/>
                <w:color w:val="auto"/>
              </w:rPr>
            </w:pPr>
            <w:r>
              <w:rPr>
                <w:rFonts w:ascii="Times New Roman" w:cs="Times New Roman" w:eastAsia="Times New Roman" w:hAnsi="Times New Roman"/>
                <w:sz w:val="17"/>
                <w:szCs w:val="17"/>
                <w:color w:val="auto"/>
              </w:rPr>
              <w:t xml:space="preserve">Less reinsurance recoverables </w:t>
            </w:r>
            <w:r>
              <w:rPr>
                <w:rFonts w:ascii="Times New Roman" w:cs="Times New Roman" w:eastAsia="Times New Roman" w:hAnsi="Times New Roman"/>
                <w:sz w:val="22"/>
                <w:szCs w:val="22"/>
                <w:color w:val="auto"/>
                <w:vertAlign w:val="superscript"/>
              </w:rPr>
              <w:t>(1)</w:t>
            </w:r>
          </w:p>
        </w:tc>
        <w:tc>
          <w:tcPr>
            <w:tcW w:w="10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(38,577)</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(32,260)</w:t>
            </w:r>
          </w:p>
        </w:tc>
      </w:tr>
      <w:tr>
        <w:trPr>
          <w:trHeight w:val="215"/>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Beginning balance, net of reinsurance recoverables</w:t>
            </w:r>
          </w:p>
        </w:tc>
        <w:tc>
          <w:tcPr>
            <w:tcW w:w="10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157,852</w:t>
            </w:r>
          </w:p>
        </w:tc>
        <w:tc>
          <w:tcPr>
            <w:tcW w:w="1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119,811</w:t>
            </w:r>
          </w:p>
        </w:tc>
      </w:tr>
      <w:tr>
        <w:trPr>
          <w:trHeight w:val="241"/>
        </w:trPr>
        <w:tc>
          <w:tcPr>
            <w:tcW w:w="76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22"/>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Add claims incurred:</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2"/>
        </w:trPr>
        <w:tc>
          <w:tcPr>
            <w:tcW w:w="76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Claims and claim expenses incurred:</w:t>
            </w:r>
          </w:p>
        </w:tc>
        <w:tc>
          <w:tcPr>
            <w:tcW w:w="10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2"/>
        </w:trPr>
        <w:tc>
          <w:tcPr>
            <w:tcW w:w="7620" w:type="dxa"/>
            <w:vAlign w:val="bottom"/>
            <w:shd w:val="clear" w:color="auto" w:fill="CCEEFF"/>
          </w:tcPr>
          <w:p>
            <w:pPr>
              <w:ind w:left="460"/>
              <w:spacing w:after="0" w:line="222" w:lineRule="exact"/>
              <w:rPr>
                <w:sz w:val="20"/>
                <w:szCs w:val="20"/>
                <w:color w:val="auto"/>
              </w:rPr>
            </w:pPr>
            <w:r>
              <w:rPr>
                <w:rFonts w:ascii="Times New Roman" w:cs="Times New Roman" w:eastAsia="Times New Roman" w:hAnsi="Times New Roman"/>
                <w:sz w:val="17"/>
                <w:szCs w:val="17"/>
                <w:color w:val="auto"/>
              </w:rPr>
              <w:t xml:space="preserve">Current year </w:t>
            </w:r>
            <w:r>
              <w:rPr>
                <w:rFonts w:ascii="Times New Roman" w:cs="Times New Roman" w:eastAsia="Times New Roman" w:hAnsi="Times New Roman"/>
                <w:sz w:val="22"/>
                <w:szCs w:val="22"/>
                <w:color w:val="auto"/>
                <w:vertAlign w:val="superscript"/>
              </w:rPr>
              <w:t>(2)</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47,150</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34,559</w:t>
            </w:r>
          </w:p>
        </w:tc>
      </w:tr>
      <w:tr>
        <w:trPr>
          <w:trHeight w:val="222"/>
        </w:trPr>
        <w:tc>
          <w:tcPr>
            <w:tcW w:w="7620" w:type="dxa"/>
            <w:vAlign w:val="bottom"/>
            <w:tcBorders>
              <w:bottom w:val="single" w:sz="8" w:color="CCEEFF"/>
            </w:tcBorders>
          </w:tcPr>
          <w:p>
            <w:pPr>
              <w:ind w:left="460"/>
              <w:spacing w:after="0" w:line="222" w:lineRule="exact"/>
              <w:rPr>
                <w:sz w:val="20"/>
                <w:szCs w:val="20"/>
                <w:color w:val="auto"/>
              </w:rPr>
            </w:pPr>
            <w:r>
              <w:rPr>
                <w:rFonts w:ascii="Times New Roman" w:cs="Times New Roman" w:eastAsia="Times New Roman" w:hAnsi="Times New Roman"/>
                <w:sz w:val="17"/>
                <w:szCs w:val="17"/>
                <w:color w:val="auto"/>
              </w:rPr>
              <w:t xml:space="preserve">Prior years </w:t>
            </w:r>
            <w:r>
              <w:rPr>
                <w:rFonts w:ascii="Times New Roman" w:cs="Times New Roman" w:eastAsia="Times New Roman" w:hAnsi="Times New Roman"/>
                <w:sz w:val="22"/>
                <w:szCs w:val="22"/>
                <w:color w:val="auto"/>
                <w:vertAlign w:val="superscript"/>
              </w:rPr>
              <w:t>(3)</w:t>
            </w:r>
          </w:p>
        </w:tc>
        <w:tc>
          <w:tcPr>
            <w:tcW w:w="10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(26,489)</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(30,081)</w:t>
            </w:r>
          </w:p>
        </w:tc>
      </w:tr>
      <w:tr>
        <w:trPr>
          <w:trHeight w:val="215"/>
        </w:trPr>
        <w:tc>
          <w:tcPr>
            <w:tcW w:w="7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Total claims and claim expenses incurred</w:t>
            </w:r>
          </w:p>
        </w:tc>
        <w:tc>
          <w:tcPr>
            <w:tcW w:w="10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20,661</w:t>
            </w:r>
          </w:p>
        </w:tc>
        <w:tc>
          <w:tcPr>
            <w:tcW w:w="1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4,478</w:t>
            </w:r>
          </w:p>
        </w:tc>
      </w:tr>
      <w:tr>
        <w:trPr>
          <w:trHeight w:val="241"/>
        </w:trPr>
        <w:tc>
          <w:tcPr>
            <w:tcW w:w="76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22"/>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claims paid:</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2"/>
        </w:trPr>
        <w:tc>
          <w:tcPr>
            <w:tcW w:w="76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Claims and claim expenses paid:</w:t>
            </w:r>
          </w:p>
        </w:tc>
        <w:tc>
          <w:tcPr>
            <w:tcW w:w="10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2"/>
        </w:trPr>
        <w:tc>
          <w:tcPr>
            <w:tcW w:w="7620" w:type="dxa"/>
            <w:vAlign w:val="bottom"/>
            <w:shd w:val="clear" w:color="auto" w:fill="CCEEFF"/>
          </w:tcPr>
          <w:p>
            <w:pPr>
              <w:ind w:left="460"/>
              <w:spacing w:after="0" w:line="222" w:lineRule="exact"/>
              <w:rPr>
                <w:sz w:val="20"/>
                <w:szCs w:val="20"/>
                <w:color w:val="auto"/>
              </w:rPr>
            </w:pPr>
            <w:r>
              <w:rPr>
                <w:rFonts w:ascii="Times New Roman" w:cs="Times New Roman" w:eastAsia="Times New Roman" w:hAnsi="Times New Roman"/>
                <w:sz w:val="17"/>
                <w:szCs w:val="17"/>
                <w:color w:val="auto"/>
              </w:rPr>
              <w:t xml:space="preserve">Current year </w:t>
            </w:r>
            <w:r>
              <w:rPr>
                <w:rFonts w:ascii="Times New Roman" w:cs="Times New Roman" w:eastAsia="Times New Roman" w:hAnsi="Times New Roman"/>
                <w:sz w:val="22"/>
                <w:szCs w:val="22"/>
                <w:color w:val="auto"/>
                <w:vertAlign w:val="superscript"/>
              </w:rPr>
              <w:t>(2)</w:t>
            </w:r>
          </w:p>
        </w:tc>
        <w:tc>
          <w:tcPr>
            <w:tcW w:w="10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7620" w:type="dxa"/>
            <w:vAlign w:val="bottom"/>
          </w:tcPr>
          <w:p>
            <w:pPr>
              <w:ind w:left="460"/>
              <w:spacing w:after="0" w:line="222" w:lineRule="exact"/>
              <w:rPr>
                <w:sz w:val="20"/>
                <w:szCs w:val="20"/>
                <w:color w:val="auto"/>
              </w:rPr>
            </w:pPr>
            <w:r>
              <w:rPr>
                <w:rFonts w:ascii="Times New Roman" w:cs="Times New Roman" w:eastAsia="Times New Roman" w:hAnsi="Times New Roman"/>
                <w:sz w:val="17"/>
                <w:szCs w:val="17"/>
                <w:color w:val="auto"/>
              </w:rPr>
              <w:t xml:space="preserve">Prior years </w:t>
            </w:r>
            <w:r>
              <w:rPr>
                <w:rFonts w:ascii="Times New Roman" w:cs="Times New Roman" w:eastAsia="Times New Roman" w:hAnsi="Times New Roman"/>
                <w:sz w:val="22"/>
                <w:szCs w:val="22"/>
                <w:color w:val="auto"/>
                <w:vertAlign w:val="superscript"/>
              </w:rPr>
              <w:t>(3)</w:t>
            </w:r>
          </w:p>
        </w:tc>
        <w:tc>
          <w:tcPr>
            <w:tcW w:w="10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8,682</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4,076</w:t>
            </w:r>
          </w:p>
        </w:tc>
      </w:tr>
      <w:tr>
        <w:trPr>
          <w:trHeight w:val="222"/>
        </w:trPr>
        <w:tc>
          <w:tcPr>
            <w:tcW w:w="7620" w:type="dxa"/>
            <w:vAlign w:val="bottom"/>
            <w:shd w:val="clear" w:color="auto" w:fill="CCEEFF"/>
          </w:tcPr>
          <w:p>
            <w:pPr>
              <w:ind w:left="460"/>
              <w:spacing w:after="0" w:line="222" w:lineRule="exact"/>
              <w:rPr>
                <w:sz w:val="20"/>
                <w:szCs w:val="20"/>
                <w:color w:val="auto"/>
              </w:rPr>
            </w:pPr>
            <w:r>
              <w:rPr>
                <w:rFonts w:ascii="Times New Roman" w:cs="Times New Roman" w:eastAsia="Times New Roman" w:hAnsi="Times New Roman"/>
                <w:sz w:val="17"/>
                <w:szCs w:val="17"/>
                <w:color w:val="auto"/>
              </w:rPr>
              <w:t xml:space="preserve">Reinsurance terminations </w:t>
            </w:r>
            <w:r>
              <w:rPr>
                <w:rFonts w:ascii="Times New Roman" w:cs="Times New Roman" w:eastAsia="Times New Roman" w:hAnsi="Times New Roman"/>
                <w:sz w:val="22"/>
                <w:szCs w:val="22"/>
                <w:color w:val="auto"/>
                <w:vertAlign w:val="superscript"/>
              </w:rPr>
              <w:t>(4)</w:t>
            </w:r>
          </w:p>
        </w:tc>
        <w:tc>
          <w:tcPr>
            <w:tcW w:w="10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(1,670)</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w:t>
            </w:r>
          </w:p>
        </w:tc>
      </w:tr>
      <w:tr>
        <w:trPr>
          <w:trHeight w:val="215"/>
        </w:trPr>
        <w:tc>
          <w:tcPr>
            <w:tcW w:w="76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Total claims and claim expenses paid</w:t>
            </w:r>
          </w:p>
        </w:tc>
        <w:tc>
          <w:tcPr>
            <w:tcW w:w="10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7,012</w:t>
            </w:r>
          </w:p>
        </w:tc>
        <w:tc>
          <w:tcPr>
            <w:tcW w:w="1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3,821</w:t>
            </w:r>
          </w:p>
        </w:tc>
      </w:tr>
      <w:tr>
        <w:trPr>
          <w:trHeight w:val="241"/>
        </w:trPr>
        <w:tc>
          <w:tcPr>
            <w:tcW w:w="76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22"/>
        </w:trPr>
        <w:tc>
          <w:tcPr>
            <w:tcW w:w="7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Reserve at end of period, net of reinsurance recoverables</w:t>
            </w:r>
          </w:p>
        </w:tc>
        <w:tc>
          <w:tcPr>
            <w:tcW w:w="10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171,501</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120,468</w:t>
            </w:r>
          </w:p>
        </w:tc>
      </w:tr>
      <w:tr>
        <w:trPr>
          <w:trHeight w:val="222"/>
        </w:trPr>
        <w:tc>
          <w:tcPr>
            <w:tcW w:w="7620" w:type="dxa"/>
            <w:vAlign w:val="bottom"/>
            <w:shd w:val="clear" w:color="auto" w:fill="CCEEFF"/>
          </w:tcPr>
          <w:p>
            <w:pPr>
              <w:ind w:left="20"/>
              <w:spacing w:after="0" w:line="222" w:lineRule="exact"/>
              <w:rPr>
                <w:sz w:val="20"/>
                <w:szCs w:val="20"/>
                <w:color w:val="auto"/>
              </w:rPr>
            </w:pPr>
            <w:r>
              <w:rPr>
                <w:rFonts w:ascii="Times New Roman" w:cs="Times New Roman" w:eastAsia="Times New Roman" w:hAnsi="Times New Roman"/>
                <w:sz w:val="17"/>
                <w:szCs w:val="17"/>
                <w:color w:val="auto"/>
              </w:rPr>
              <w:t xml:space="preserve">Add reinsurance recoverables </w:t>
            </w:r>
            <w:r>
              <w:rPr>
                <w:rFonts w:ascii="Times New Roman" w:cs="Times New Roman" w:eastAsia="Times New Roman" w:hAnsi="Times New Roman"/>
                <w:sz w:val="22"/>
                <w:szCs w:val="22"/>
                <w:color w:val="auto"/>
                <w:vertAlign w:val="superscript"/>
              </w:rPr>
              <w:t>(1)</w:t>
            </w:r>
          </w:p>
        </w:tc>
        <w:tc>
          <w:tcPr>
            <w:tcW w:w="10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39,703</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31,379</w:t>
            </w:r>
          </w:p>
        </w:tc>
      </w:tr>
      <w:tr>
        <w:trPr>
          <w:trHeight w:val="215"/>
        </w:trPr>
        <w:tc>
          <w:tcPr>
            <w:tcW w:w="7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Ending balance</w:t>
            </w:r>
          </w:p>
        </w:tc>
        <w:tc>
          <w:tcPr>
            <w:tcW w:w="1040" w:type="dxa"/>
            <w:vAlign w:val="bottom"/>
            <w:tcBorders>
              <w:bottom w:val="single" w:sz="8" w:color="auto"/>
            </w:tcBorders>
          </w:tcPr>
          <w:p>
            <w:pPr>
              <w:jc w:val="right"/>
              <w:ind w:right="862"/>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211,204</w:t>
            </w:r>
          </w:p>
        </w:tc>
        <w:tc>
          <w:tcPr>
            <w:tcW w:w="120" w:type="dxa"/>
            <w:vAlign w:val="bottom"/>
          </w:tcPr>
          <w:p>
            <w:pPr>
              <w:spacing w:after="0"/>
              <w:rPr>
                <w:sz w:val="18"/>
                <w:szCs w:val="18"/>
                <w:color w:val="auto"/>
              </w:rPr>
            </w:pPr>
          </w:p>
        </w:tc>
        <w:tc>
          <w:tcPr>
            <w:tcW w:w="5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151,847</w:t>
            </w:r>
          </w:p>
        </w:tc>
      </w:tr>
      <w:tr>
        <w:trPr>
          <w:trHeight w:val="20"/>
        </w:trPr>
        <w:tc>
          <w:tcPr>
            <w:tcW w:w="76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left="320" w:hanging="315"/>
        <w:spacing w:after="0" w:line="254" w:lineRule="auto"/>
        <w:tabs>
          <w:tab w:leader="none" w:pos="311"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Related to ceded losses recoverable under the QSR Transactions. See Item 1, “</w:t>
      </w:r>
      <w:r>
        <w:rPr>
          <w:rFonts w:ascii="Times New Roman" w:cs="Times New Roman" w:eastAsia="Times New Roman" w:hAnsi="Times New Roman"/>
          <w:sz w:val="14"/>
          <w:szCs w:val="14"/>
          <w:i w:val="1"/>
          <w:iCs w:val="1"/>
          <w:color w:val="auto"/>
        </w:rPr>
        <w:t>Financial Statements - Notes to Condensed Consolidated Financial Statements - Note 5, Reinsurance”</w:t>
      </w:r>
      <w:r>
        <w:rPr>
          <w:rFonts w:ascii="Times New Roman" w:cs="Times New Roman" w:eastAsia="Times New Roman" w:hAnsi="Times New Roman"/>
          <w:sz w:val="14"/>
          <w:szCs w:val="14"/>
          <w:color w:val="auto"/>
        </w:rPr>
        <w:t xml:space="preserve"> for additional information.</w:t>
      </w:r>
    </w:p>
    <w:p>
      <w:pPr>
        <w:jc w:val="both"/>
        <w:ind w:left="320" w:hanging="315"/>
        <w:spacing w:after="0" w:line="272" w:lineRule="auto"/>
        <w:tabs>
          <w:tab w:leader="none" w:pos="334"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Related to insured loans with their most recent defaults occurring in the current year. For example, if a loan defaulted in a prior year and subsequently cured and later re-defaulted in the current year, the default would be included in the current year. Amounts are presented net of reinsurance and included $34.8 million attributed to net case reserves and $11.7 million attributed to net IBNR reserves for the three months ended March 31, 2026 and $25.9 million attributed to net case reserves and $8.1 million attributed to net IBNR reserves for the three months ended March 31, 2025.</w:t>
      </w:r>
    </w:p>
    <w:p>
      <w:pPr>
        <w:spacing w:after="0" w:line="1" w:lineRule="exact"/>
        <w:rPr>
          <w:rFonts w:ascii="Times New Roman" w:cs="Times New Roman" w:eastAsia="Times New Roman" w:hAnsi="Times New Roman"/>
          <w:sz w:val="13"/>
          <w:szCs w:val="13"/>
          <w:color w:val="auto"/>
        </w:rPr>
      </w:pPr>
    </w:p>
    <w:p>
      <w:pPr>
        <w:jc w:val="both"/>
        <w:ind w:left="320" w:hanging="315"/>
        <w:spacing w:after="0" w:line="246" w:lineRule="auto"/>
        <w:tabs>
          <w:tab w:leader="none" w:pos="3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Related to insured loans with defaults occurring in prior years, which have been continuously in default before the start of the current year. Amounts are presented net of reinsurance and included $15.2 million attributed to net case reserves and $10.8 million attributed to net IBNR reserves for the three months ended March 31, 2026 and $21.8 million attributed to net case reserves and $8.1 million attributed to net IBNR reserves for the three months ended March 31, 2025.</w:t>
      </w:r>
    </w:p>
    <w:p>
      <w:pPr>
        <w:spacing w:after="0" w:line="1" w:lineRule="exact"/>
        <w:rPr>
          <w:rFonts w:ascii="Times New Roman" w:cs="Times New Roman" w:eastAsia="Times New Roman" w:hAnsi="Times New Roman"/>
          <w:sz w:val="14"/>
          <w:szCs w:val="14"/>
          <w:color w:val="auto"/>
        </w:rPr>
      </w:pPr>
    </w:p>
    <w:p>
      <w:pPr>
        <w:ind w:left="300" w:hanging="295"/>
        <w:spacing w:after="0"/>
        <w:tabs>
          <w:tab w:leader="none" w:pos="3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settlement of reinsurance recoverables in conjunction with the termination or amendment of certain QSR Transactions.</w:t>
      </w:r>
    </w:p>
    <w:p>
      <w:pPr>
        <w:spacing w:after="0" w:line="236" w:lineRule="exact"/>
        <w:rPr>
          <w:sz w:val="20"/>
          <w:szCs w:val="20"/>
          <w:color w:val="auto"/>
        </w:rPr>
      </w:pPr>
    </w:p>
    <w:p>
      <w:pPr>
        <w:jc w:val="both"/>
        <w:ind w:firstLine="627"/>
        <w:spacing w:after="0" w:line="269" w:lineRule="auto"/>
        <w:rPr>
          <w:sz w:val="20"/>
          <w:szCs w:val="20"/>
          <w:color w:val="auto"/>
        </w:rPr>
      </w:pPr>
      <w:r>
        <w:rPr>
          <w:rFonts w:ascii="Times New Roman" w:cs="Times New Roman" w:eastAsia="Times New Roman" w:hAnsi="Times New Roman"/>
          <w:sz w:val="17"/>
          <w:szCs w:val="17"/>
          <w:color w:val="auto"/>
        </w:rPr>
        <w:t xml:space="preserve">The </w:t>
      </w:r>
      <w:r>
        <w:rPr>
          <w:rFonts w:ascii="Times New Roman" w:cs="Times New Roman" w:eastAsia="Times New Roman" w:hAnsi="Times New Roman"/>
          <w:sz w:val="13"/>
          <w:szCs w:val="13"/>
          <w:color w:val="auto"/>
        </w:rPr>
        <w:t>“</w:t>
      </w:r>
      <w:r>
        <w:rPr>
          <w:rFonts w:ascii="Times New Roman" w:cs="Times New Roman" w:eastAsia="Times New Roman" w:hAnsi="Times New Roman"/>
          <w:sz w:val="17"/>
          <w:szCs w:val="17"/>
          <w:color w:val="auto"/>
        </w:rPr>
        <w:t>claims incurred</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7"/>
          <w:szCs w:val="17"/>
          <w:color w:val="auto"/>
        </w:rPr>
        <w:t xml:space="preserve"> section of the table above shows claims and claim expenses incurred on defaults occurring in current and prior years, including IBNR reserves and is presented net of reinsurance. We may increase or decrease our claim estimates and reserves as we learn additional information about individual defaulted loans and continue to observe and analyze loss development trends in our portfolio. Gross reserves of $153.0 million related to prior year defaults remained as of March 31, 2026.</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36" w:name="page37"/>
    <w:bookmarkEnd w:id="36"/>
    <w:p>
      <w:pPr>
        <w:ind w:left="640"/>
        <w:spacing w:after="0"/>
        <w:rPr>
          <w:sz w:val="20"/>
          <w:szCs w:val="20"/>
          <w:color w:val="auto"/>
        </w:rPr>
      </w:pPr>
      <w:r>
        <w:rPr>
          <w:rFonts w:ascii="Times New Roman" w:cs="Times New Roman" w:eastAsia="Times New Roman" w:hAnsi="Times New Roman"/>
          <w:sz w:val="17"/>
          <w:szCs w:val="17"/>
          <w:color w:val="auto"/>
        </w:rPr>
        <w:t>The following table provides a reconciliation of the beginning and ending count of loans in default:</w:t>
      </w:r>
    </w:p>
    <w:p>
      <w:pPr>
        <w:spacing w:after="0" w:line="204"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20" w:type="dxa"/>
            <w:vAlign w:val="bottom"/>
            <w:tcBorders>
              <w:bottom w:val="single" w:sz="8" w:color="CCEEFF"/>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2026</w:t>
            </w:r>
          </w:p>
        </w:tc>
        <w:tc>
          <w:tcPr>
            <w:tcW w:w="64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CCEEFF"/>
            </w:tcBorders>
          </w:tcPr>
          <w:p>
            <w:pPr>
              <w:spacing w:after="0"/>
              <w:rPr>
                <w:sz w:val="17"/>
                <w:szCs w:val="17"/>
                <w:color w:val="auto"/>
              </w:rPr>
            </w:pPr>
          </w:p>
        </w:tc>
        <w:tc>
          <w:tcPr>
            <w:tcW w:w="1740" w:type="dxa"/>
            <w:vAlign w:val="bottom"/>
            <w:tcBorders>
              <w:top w:val="single" w:sz="8" w:color="auto"/>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1"/>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Beginning default inventory</w:t>
            </w:r>
          </w:p>
        </w:tc>
        <w:tc>
          <w:tcPr>
            <w:tcW w:w="10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7,661</w:t>
            </w:r>
          </w:p>
        </w:tc>
        <w:tc>
          <w:tcPr>
            <w:tcW w:w="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6,642</w:t>
            </w:r>
          </w:p>
        </w:tc>
      </w:tr>
      <w:tr>
        <w:trPr>
          <w:trHeight w:val="222"/>
        </w:trPr>
        <w:tc>
          <w:tcPr>
            <w:tcW w:w="87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Plus: new defaults</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2,717</w:t>
            </w:r>
          </w:p>
        </w:tc>
        <w:tc>
          <w:tcPr>
            <w:tcW w:w="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2,421</w:t>
            </w:r>
          </w:p>
        </w:tc>
      </w:tr>
      <w:tr>
        <w:trPr>
          <w:trHeight w:val="222"/>
        </w:trPr>
        <w:tc>
          <w:tcPr>
            <w:tcW w:w="8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cures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(2,160)</w:t>
            </w:r>
          </w:p>
        </w:tc>
        <w:tc>
          <w:tcPr>
            <w:tcW w:w="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(2,094)</w:t>
            </w:r>
          </w:p>
        </w:tc>
      </w:tr>
      <w:tr>
        <w:trPr>
          <w:trHeight w:val="222"/>
        </w:trPr>
        <w:tc>
          <w:tcPr>
            <w:tcW w:w="87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Less: claims paid</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w:t>
            </w:r>
          </w:p>
        </w:tc>
        <w:tc>
          <w:tcPr>
            <w:tcW w:w="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w:t>
            </w:r>
          </w:p>
        </w:tc>
      </w:tr>
      <w:tr>
        <w:trPr>
          <w:trHeight w:val="222"/>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rescission and claims denied</w:t>
            </w:r>
          </w:p>
        </w:tc>
        <w:tc>
          <w:tcPr>
            <w:tcW w:w="10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r>
      <w:tr>
        <w:trPr>
          <w:trHeight w:val="215"/>
        </w:trPr>
        <w:tc>
          <w:tcPr>
            <w:tcW w:w="87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Ending default inventory</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8,044</w:t>
            </w:r>
          </w:p>
        </w:tc>
        <w:tc>
          <w:tcPr>
            <w:tcW w:w="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6,859</w:t>
            </w:r>
          </w:p>
        </w:tc>
      </w:tr>
      <w:tr>
        <w:trPr>
          <w:trHeight w:val="20"/>
        </w:trPr>
        <w:tc>
          <w:tcPr>
            <w:tcW w:w="76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r>
    </w:tbl>
    <w:p>
      <w:pPr>
        <w:spacing w:after="0" w:line="230" w:lineRule="exact"/>
        <w:rPr>
          <w:sz w:val="20"/>
          <w:szCs w:val="20"/>
          <w:color w:val="auto"/>
        </w:rPr>
      </w:pPr>
    </w:p>
    <w:p>
      <w:pPr>
        <w:ind w:firstLine="627"/>
        <w:spacing w:after="0" w:line="295" w:lineRule="auto"/>
        <w:rPr>
          <w:sz w:val="20"/>
          <w:szCs w:val="20"/>
          <w:color w:val="auto"/>
        </w:rPr>
      </w:pPr>
      <w:r>
        <w:rPr>
          <w:rFonts w:ascii="Times New Roman" w:cs="Times New Roman" w:eastAsia="Times New Roman" w:hAnsi="Times New Roman"/>
          <w:sz w:val="17"/>
          <w:szCs w:val="17"/>
          <w:color w:val="auto"/>
        </w:rPr>
        <w:t>Ending default inventory increased from March 31, 2025 to March 31, 2026, primarily due to the growth and seasoning of our insured portfolio, partially offset by cure activity within our default population during the intervening period.</w:t>
      </w:r>
    </w:p>
    <w:p>
      <w:pPr>
        <w:spacing w:after="0" w:line="9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following table provides details of our claims paid, before giving effect to claims ceded under the QSR Transactions for the periods indicated: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380" w:type="dxa"/>
            <w:vAlign w:val="bottom"/>
          </w:tcPr>
          <w:p>
            <w:pPr>
              <w:spacing w:after="0"/>
              <w:rPr>
                <w:sz w:val="16"/>
                <w:szCs w:val="16"/>
                <w:color w:val="auto"/>
              </w:rPr>
            </w:pPr>
          </w:p>
        </w:tc>
        <w:tc>
          <w:tcPr>
            <w:tcW w:w="31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680" w:type="dxa"/>
            <w:vAlign w:val="bottom"/>
          </w:tcPr>
          <w:p>
            <w:pPr>
              <w:spacing w:after="0"/>
              <w:rPr>
                <w:sz w:val="16"/>
                <w:szCs w:val="16"/>
                <w:color w:val="auto"/>
              </w:rPr>
            </w:pPr>
          </w:p>
        </w:tc>
      </w:tr>
      <w:tr>
        <w:trPr>
          <w:trHeight w:val="23"/>
        </w:trPr>
        <w:tc>
          <w:tcPr>
            <w:tcW w:w="73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83"/>
        </w:trPr>
        <w:tc>
          <w:tcPr>
            <w:tcW w:w="7380" w:type="dxa"/>
            <w:vAlign w:val="bottom"/>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7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Borders>
              <w:bottom w:val="single" w:sz="8" w:color="auto"/>
            </w:tcBorders>
          </w:tcPr>
          <w:p>
            <w:pPr>
              <w:spacing w:after="0"/>
              <w:rPr>
                <w:sz w:val="15"/>
                <w:szCs w:val="15"/>
                <w:color w:val="auto"/>
              </w:rPr>
            </w:pPr>
          </w:p>
        </w:tc>
      </w:tr>
      <w:tr>
        <w:trPr>
          <w:trHeight w:val="189"/>
        </w:trPr>
        <w:tc>
          <w:tcPr>
            <w:tcW w:w="73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980" w:type="dxa"/>
            <w:vAlign w:val="bottom"/>
            <w:gridSpan w:val="2"/>
          </w:tcPr>
          <w:p>
            <w:pPr>
              <w:jc w:val="right"/>
              <w:ind w:right="459"/>
              <w:spacing w:after="0"/>
              <w:rPr>
                <w:sz w:val="20"/>
                <w:szCs w:val="20"/>
                <w:color w:val="auto"/>
              </w:rPr>
            </w:pPr>
            <w:r>
              <w:rPr>
                <w:rFonts w:ascii="Times New Roman" w:cs="Times New Roman" w:eastAsia="Times New Roman" w:hAnsi="Times New Roman"/>
                <w:sz w:val="14"/>
                <w:szCs w:val="14"/>
                <w:i w:val="1"/>
                <w:iCs w:val="1"/>
                <w:color w:val="auto"/>
              </w:rPr>
              <w:t>($ Values In Thousands)</w:t>
            </w:r>
          </w:p>
        </w:tc>
        <w:tc>
          <w:tcPr>
            <w:tcW w:w="680" w:type="dxa"/>
            <w:vAlign w:val="bottom"/>
          </w:tcPr>
          <w:p>
            <w:pPr>
              <w:spacing w:after="0"/>
              <w:rPr>
                <w:sz w:val="16"/>
                <w:szCs w:val="16"/>
                <w:color w:val="auto"/>
              </w:rPr>
            </w:pPr>
          </w:p>
        </w:tc>
      </w:tr>
      <w:tr>
        <w:trPr>
          <w:trHeight w:val="228"/>
        </w:trPr>
        <w:tc>
          <w:tcPr>
            <w:tcW w:w="7380" w:type="dxa"/>
            <w:vAlign w:val="bottom"/>
            <w:shd w:val="clear" w:color="auto" w:fill="CCEEFF"/>
          </w:tcPr>
          <w:p>
            <w:pPr>
              <w:ind w:left="20"/>
              <w:spacing w:after="0" w:line="228" w:lineRule="exact"/>
              <w:rPr>
                <w:sz w:val="20"/>
                <w:szCs w:val="20"/>
                <w:color w:val="auto"/>
              </w:rPr>
            </w:pPr>
            <w:r>
              <w:rPr>
                <w:rFonts w:ascii="Times New Roman" w:cs="Times New Roman" w:eastAsia="Times New Roman" w:hAnsi="Times New Roman"/>
                <w:sz w:val="17"/>
                <w:szCs w:val="17"/>
                <w:color w:val="auto"/>
              </w:rPr>
              <w:t xml:space="preserve">Number of claims paid </w:t>
            </w:r>
            <w:r>
              <w:rPr>
                <w:rFonts w:ascii="Times New Roman" w:cs="Times New Roman" w:eastAsia="Times New Roman" w:hAnsi="Times New Roman"/>
                <w:sz w:val="22"/>
                <w:szCs w:val="22"/>
                <w:color w:val="auto"/>
                <w:vertAlign w:val="superscript"/>
              </w:rPr>
              <w:t>(1)</w:t>
            </w:r>
          </w:p>
        </w:tc>
        <w:tc>
          <w:tcPr>
            <w:tcW w:w="11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rPr>
              <w:t>170</w:t>
            </w:r>
          </w:p>
        </w:tc>
        <w:tc>
          <w:tcPr>
            <w:tcW w:w="12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95</w:t>
            </w:r>
          </w:p>
        </w:tc>
      </w:tr>
      <w:tr>
        <w:trPr>
          <w:trHeight w:val="222"/>
        </w:trPr>
        <w:tc>
          <w:tcPr>
            <w:tcW w:w="7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amount paid for claims</w:t>
            </w:r>
          </w:p>
        </w:tc>
        <w:tc>
          <w:tcPr>
            <w:tcW w:w="1120" w:type="dxa"/>
            <w:vAlign w:val="bottom"/>
          </w:tcPr>
          <w:p>
            <w:pPr>
              <w:jc w:val="right"/>
              <w:ind w:right="922"/>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rPr>
              <w:t>10,776</w:t>
            </w:r>
          </w:p>
        </w:tc>
        <w:tc>
          <w:tcPr>
            <w:tcW w:w="1200" w:type="dxa"/>
            <w:vAlign w:val="bottom"/>
          </w:tcPr>
          <w:p>
            <w:pPr>
              <w:jc w:val="right"/>
              <w:ind w:right="979"/>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5,225</w:t>
            </w:r>
          </w:p>
        </w:tc>
      </w:tr>
      <w:tr>
        <w:trPr>
          <w:trHeight w:val="222"/>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Average amount paid per claim</w:t>
            </w:r>
          </w:p>
        </w:tc>
        <w:tc>
          <w:tcPr>
            <w:tcW w:w="1120" w:type="dxa"/>
            <w:vAlign w:val="bottom"/>
            <w:shd w:val="clear" w:color="auto" w:fill="CCEEFF"/>
          </w:tcPr>
          <w:p>
            <w:pPr>
              <w:jc w:val="right"/>
              <w:ind w:right="922"/>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rPr>
              <w:t>63</w:t>
            </w:r>
          </w:p>
        </w:tc>
        <w:tc>
          <w:tcPr>
            <w:tcW w:w="1200" w:type="dxa"/>
            <w:vAlign w:val="bottom"/>
            <w:shd w:val="clear" w:color="auto" w:fill="CCEEFF"/>
          </w:tcPr>
          <w:p>
            <w:pPr>
              <w:jc w:val="right"/>
              <w:ind w:right="979"/>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55</w:t>
            </w:r>
          </w:p>
        </w:tc>
      </w:tr>
      <w:tr>
        <w:trPr>
          <w:trHeight w:val="298"/>
        </w:trPr>
        <w:tc>
          <w:tcPr>
            <w:tcW w:w="7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xml:space="preserve">Severity </w:t>
            </w:r>
            <w:r>
              <w:rPr>
                <w:rFonts w:ascii="Times New Roman" w:cs="Times New Roman" w:eastAsia="Times New Roman" w:hAnsi="Times New Roman"/>
                <w:sz w:val="22"/>
                <w:szCs w:val="22"/>
                <w:color w:val="auto"/>
                <w:vertAlign w:val="superscript"/>
              </w:rPr>
              <w:t>(2)</w:t>
            </w:r>
          </w:p>
        </w:tc>
        <w:tc>
          <w:tcPr>
            <w:tcW w:w="1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88 %</w:t>
            </w:r>
          </w:p>
        </w:tc>
        <w:tc>
          <w:tcPr>
            <w:tcW w:w="1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69 %</w:t>
            </w:r>
          </w:p>
        </w:tc>
      </w:tr>
    </w:tbl>
    <w:p>
      <w:pPr>
        <w:spacing w:after="0" w:line="137" w:lineRule="exact"/>
        <w:rPr>
          <w:sz w:val="20"/>
          <w:szCs w:val="20"/>
          <w:color w:val="auto"/>
        </w:rPr>
      </w:pPr>
    </w:p>
    <w:p>
      <w:pPr>
        <w:ind w:left="300" w:hanging="295"/>
        <w:spacing w:after="0"/>
        <w:tabs>
          <w:tab w:leader="none" w:pos="3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Count includes 12 and 20 claims settled without payment during the three months ended March 31, 2026 and 2025, respectively.</w:t>
      </w:r>
    </w:p>
    <w:p>
      <w:pPr>
        <w:spacing w:after="0" w:line="21" w:lineRule="exact"/>
        <w:rPr>
          <w:rFonts w:ascii="Times New Roman" w:cs="Times New Roman" w:eastAsia="Times New Roman" w:hAnsi="Times New Roman"/>
          <w:sz w:val="14"/>
          <w:szCs w:val="14"/>
          <w:color w:val="auto"/>
        </w:rPr>
      </w:pPr>
    </w:p>
    <w:p>
      <w:pPr>
        <w:ind w:left="320" w:hanging="315"/>
        <w:spacing w:after="0" w:line="266" w:lineRule="auto"/>
        <w:tabs>
          <w:tab w:leader="none" w:pos="342"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Severity represents the total amount of claims paid including claim expenses divided by the related RIF on the loan at the time the claim is perfected, and is calculated including claims settled without payment.</w:t>
      </w:r>
    </w:p>
    <w:p>
      <w:pPr>
        <w:spacing w:after="0" w:line="210" w:lineRule="exact"/>
        <w:rPr>
          <w:sz w:val="20"/>
          <w:szCs w:val="20"/>
          <w:color w:val="auto"/>
        </w:rPr>
      </w:pPr>
    </w:p>
    <w:p>
      <w:pPr>
        <w:jc w:val="both"/>
        <w:ind w:firstLine="627"/>
        <w:spacing w:after="0" w:line="268" w:lineRule="auto"/>
        <w:rPr>
          <w:sz w:val="20"/>
          <w:szCs w:val="20"/>
          <w:color w:val="auto"/>
        </w:rPr>
      </w:pPr>
      <w:r>
        <w:rPr>
          <w:rFonts w:ascii="Times New Roman" w:cs="Times New Roman" w:eastAsia="Times New Roman" w:hAnsi="Times New Roman"/>
          <w:sz w:val="17"/>
          <w:szCs w:val="17"/>
          <w:color w:val="auto"/>
        </w:rPr>
        <w:t>We paid 170 and 95 claims during the three months ended March 31, 2026 and 2025, respectively. The number of claims paid in each period was modest relative to the size of our insured portfolio and we generally observe that the borrowers of the loans we insure are well-situated with strong credit profiles, stable 30-year fixed rate mortgages, manageable debt service obligations and significant appreciated equity in their homes. An increase in the value of the homes collateralizing the mortgages we insure provides defaulted borrowers with alternative paths and incentives to cure their loan prior to the development of a claim.</w:t>
      </w:r>
    </w:p>
    <w:p>
      <w:pPr>
        <w:spacing w:after="0" w:line="329" w:lineRule="exact"/>
        <w:rPr>
          <w:sz w:val="20"/>
          <w:szCs w:val="20"/>
          <w:color w:val="auto"/>
        </w:rPr>
      </w:pPr>
    </w:p>
    <w:p>
      <w:pPr>
        <w:jc w:val="both"/>
        <w:ind w:firstLine="627"/>
        <w:spacing w:after="0" w:line="266" w:lineRule="auto"/>
        <w:rPr>
          <w:sz w:val="20"/>
          <w:szCs w:val="20"/>
          <w:color w:val="auto"/>
        </w:rPr>
      </w:pPr>
      <w:r>
        <w:rPr>
          <w:rFonts w:ascii="Times New Roman" w:cs="Times New Roman" w:eastAsia="Times New Roman" w:hAnsi="Times New Roman"/>
          <w:sz w:val="17"/>
          <w:szCs w:val="17"/>
          <w:color w:val="auto"/>
        </w:rPr>
        <w:t>Our claims severity was 88% and 69% for the three months ended March 31, 2026 and 2025, respectively. The increase in claims severity for the three months ended March 31, 2026, was primarily due to an increase in the proportion of claims related to loans originated in more recent years. These loans generally have less accumulated equity than loans from earlier vintages, which typically results in a higher frequency and severity of claims payments. An increase in the value of the homes collateralizing the mortgages we insure provides additional equity support to our risk exposure and raises the prospect of a third-party sale of a foreclosed property, which can mitigate the severity of our settled claims.</w:t>
      </w:r>
    </w:p>
    <w:p>
      <w:pPr>
        <w:spacing w:after="0" w:line="119" w:lineRule="exact"/>
        <w:rPr>
          <w:sz w:val="20"/>
          <w:szCs w:val="20"/>
          <w:color w:val="auto"/>
        </w:rPr>
      </w:pPr>
    </w:p>
    <w:p>
      <w:pPr>
        <w:jc w:val="both"/>
        <w:ind w:firstLine="627"/>
        <w:spacing w:after="0" w:line="276" w:lineRule="auto"/>
        <w:rPr>
          <w:sz w:val="20"/>
          <w:szCs w:val="20"/>
          <w:color w:val="auto"/>
        </w:rPr>
      </w:pPr>
      <w:r>
        <w:rPr>
          <w:rFonts w:ascii="Times New Roman" w:cs="Times New Roman" w:eastAsia="Times New Roman" w:hAnsi="Times New Roman"/>
          <w:sz w:val="17"/>
          <w:szCs w:val="17"/>
          <w:color w:val="auto"/>
        </w:rPr>
        <w:t>The number of claims paid and our severity experience in future periods may be impacted if developing economic cycles impose financial strain on borrowers, and each could increase if house price declines serve to limit the alternative paths and incentives to cure delinquencies that are available to defaulted borrowers or erode the equity value of the homes collateralizing the mortgages we insure.</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37" w:name="page38"/>
    <w:bookmarkEnd w:id="37"/>
    <w:p>
      <w:pPr>
        <w:ind w:firstLine="627"/>
        <w:spacing w:after="0" w:line="295" w:lineRule="auto"/>
        <w:rPr>
          <w:sz w:val="20"/>
          <w:szCs w:val="20"/>
          <w:color w:val="auto"/>
        </w:rPr>
      </w:pPr>
      <w:r>
        <w:rPr>
          <w:rFonts w:ascii="Times New Roman" w:cs="Times New Roman" w:eastAsia="Times New Roman" w:hAnsi="Times New Roman"/>
          <w:sz w:val="17"/>
          <w:szCs w:val="17"/>
          <w:color w:val="auto"/>
        </w:rPr>
        <w:t>The following table provides detail on our average reserve per default, before giving effect to reserves ceded under the QSR Transactions, as of the dates indicated:</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Average reserve per default:</w:t>
            </w:r>
          </w:p>
        </w:tc>
        <w:tc>
          <w:tcPr>
            <w:tcW w:w="1480" w:type="dxa"/>
            <w:vAlign w:val="bottom"/>
          </w:tcPr>
          <w:p>
            <w:pPr>
              <w:spacing w:after="0"/>
              <w:rPr>
                <w:sz w:val="16"/>
                <w:szCs w:val="16"/>
                <w:color w:val="auto"/>
              </w:rPr>
            </w:pPr>
          </w:p>
        </w:tc>
        <w:tc>
          <w:tcPr>
            <w:tcW w:w="1460" w:type="dxa"/>
            <w:vAlign w:val="bottom"/>
            <w:gridSpan w:val="3"/>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1460" w:type="dxa"/>
            <w:vAlign w:val="bottom"/>
          </w:tcPr>
          <w:p>
            <w:pPr>
              <w:spacing w:after="0"/>
              <w:rPr>
                <w:sz w:val="16"/>
                <w:szCs w:val="16"/>
                <w:color w:val="auto"/>
              </w:rPr>
            </w:pPr>
          </w:p>
        </w:tc>
      </w:tr>
      <w:tr>
        <w:trPr>
          <w:trHeight w:val="23"/>
        </w:trPr>
        <w:tc>
          <w:tcPr>
            <w:tcW w:w="68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83"/>
        </w:trPr>
        <w:tc>
          <w:tcPr>
            <w:tcW w:w="6820" w:type="dxa"/>
            <w:vAlign w:val="bottom"/>
          </w:tcPr>
          <w:p>
            <w:pPr>
              <w:spacing w:after="0"/>
              <w:rPr>
                <w:sz w:val="15"/>
                <w:szCs w:val="15"/>
                <w:color w:val="auto"/>
              </w:rPr>
            </w:pPr>
          </w:p>
        </w:tc>
        <w:tc>
          <w:tcPr>
            <w:tcW w:w="14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2026</w:t>
            </w: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857"/>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89"/>
        </w:trPr>
        <w:tc>
          <w:tcPr>
            <w:tcW w:w="68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460" w:type="dxa"/>
            <w:vAlign w:val="bottom"/>
            <w:gridSpan w:val="3"/>
          </w:tcPr>
          <w:p>
            <w:pPr>
              <w:jc w:val="right"/>
              <w:ind w:right="233"/>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60" w:type="dxa"/>
            <w:vAlign w:val="bottom"/>
          </w:tcPr>
          <w:p>
            <w:pPr>
              <w:spacing w:after="0"/>
              <w:rPr>
                <w:sz w:val="16"/>
                <w:szCs w:val="16"/>
                <w:color w:val="auto"/>
              </w:rPr>
            </w:pPr>
          </w:p>
        </w:tc>
      </w:tr>
      <w:tr>
        <w:trPr>
          <w:trHeight w:val="228"/>
        </w:trPr>
        <w:tc>
          <w:tcPr>
            <w:tcW w:w="6820" w:type="dxa"/>
            <w:vAlign w:val="bottom"/>
            <w:shd w:val="clear" w:color="auto" w:fill="CCEEFF"/>
          </w:tcPr>
          <w:p>
            <w:pPr>
              <w:ind w:left="20"/>
              <w:spacing w:after="0" w:line="228" w:lineRule="exact"/>
              <w:rPr>
                <w:sz w:val="20"/>
                <w:szCs w:val="20"/>
                <w:color w:val="auto"/>
              </w:rPr>
            </w:pPr>
            <w:r>
              <w:rPr>
                <w:rFonts w:ascii="Times New Roman" w:cs="Times New Roman" w:eastAsia="Times New Roman" w:hAnsi="Times New Roman"/>
                <w:sz w:val="17"/>
                <w:szCs w:val="17"/>
                <w:color w:val="auto"/>
              </w:rPr>
              <w:t xml:space="preserve">Case </w:t>
            </w:r>
            <w:r>
              <w:rPr>
                <w:rFonts w:ascii="Times New Roman" w:cs="Times New Roman" w:eastAsia="Times New Roman" w:hAnsi="Times New Roman"/>
                <w:sz w:val="22"/>
                <w:szCs w:val="22"/>
                <w:color w:val="auto"/>
                <w:vertAlign w:val="superscript"/>
              </w:rPr>
              <w:t>(1)</w:t>
            </w:r>
          </w:p>
        </w:tc>
        <w:tc>
          <w:tcPr>
            <w:tcW w:w="1480" w:type="dxa"/>
            <w:vAlign w:val="bottom"/>
            <w:shd w:val="clear" w:color="auto" w:fill="CCEEFF"/>
          </w:tcPr>
          <w:p>
            <w:pPr>
              <w:jc w:val="right"/>
              <w:ind w:right="1279"/>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93"/>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w:t>
            </w:r>
          </w:p>
        </w:tc>
      </w:tr>
      <w:tr>
        <w:trPr>
          <w:trHeight w:val="222"/>
        </w:trPr>
        <w:tc>
          <w:tcPr>
            <w:tcW w:w="6820" w:type="dxa"/>
            <w:vAlign w:val="bottom"/>
            <w:tcBorders>
              <w:bottom w:val="single" w:sz="8" w:color="CCEEFF"/>
            </w:tcBorders>
          </w:tcPr>
          <w:p>
            <w:pPr>
              <w:ind w:left="20"/>
              <w:spacing w:after="0" w:line="222" w:lineRule="exact"/>
              <w:rPr>
                <w:sz w:val="20"/>
                <w:szCs w:val="20"/>
                <w:color w:val="auto"/>
              </w:rPr>
            </w:pPr>
            <w:r>
              <w:rPr>
                <w:rFonts w:ascii="Times New Roman" w:cs="Times New Roman" w:eastAsia="Times New Roman" w:hAnsi="Times New Roman"/>
                <w:sz w:val="25"/>
                <w:szCs w:val="25"/>
                <w:color w:val="auto"/>
                <w:vertAlign w:val="subscript"/>
              </w:rPr>
              <w:t>IBNR</w:t>
            </w:r>
            <w:r>
              <w:rPr>
                <w:rFonts w:ascii="Times New Roman" w:cs="Times New Roman" w:eastAsia="Times New Roman" w:hAnsi="Times New Roman"/>
                <w:sz w:val="10"/>
                <w:szCs w:val="10"/>
                <w:color w:val="auto"/>
              </w:rPr>
              <w:t xml:space="preserve"> (1)(2)</w:t>
            </w:r>
          </w:p>
        </w:tc>
        <w:tc>
          <w:tcPr>
            <w:tcW w:w="14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2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w:t>
            </w:r>
          </w:p>
        </w:tc>
      </w:tr>
      <w:tr>
        <w:trPr>
          <w:trHeight w:val="215"/>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480" w:type="dxa"/>
            <w:vAlign w:val="bottom"/>
            <w:tcBorders>
              <w:bottom w:val="single" w:sz="8" w:color="auto"/>
            </w:tcBorders>
            <w:shd w:val="clear" w:color="auto" w:fill="CCEEFF"/>
          </w:tcPr>
          <w:p>
            <w:pPr>
              <w:jc w:val="right"/>
              <w:ind w:right="1279"/>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w:t>
            </w:r>
          </w:p>
        </w:tc>
        <w:tc>
          <w:tcPr>
            <w:tcW w:w="1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493"/>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w:t>
            </w:r>
          </w:p>
        </w:tc>
      </w:tr>
    </w:tbl>
    <w:p>
      <w:pPr>
        <w:spacing w:after="0" w:line="226" w:lineRule="exact"/>
        <w:rPr>
          <w:sz w:val="20"/>
          <w:szCs w:val="20"/>
          <w:color w:val="auto"/>
        </w:rPr>
      </w:pPr>
    </w:p>
    <w:p>
      <w:pPr>
        <w:ind w:left="300" w:hanging="295"/>
        <w:spacing w:after="0"/>
        <w:tabs>
          <w:tab w:leader="none" w:pos="3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Defined as the gross reserve per insured loan in default.</w:t>
      </w:r>
    </w:p>
    <w:p>
      <w:pPr>
        <w:spacing w:after="0" w:line="11" w:lineRule="exact"/>
        <w:rPr>
          <w:rFonts w:ascii="Times New Roman" w:cs="Times New Roman" w:eastAsia="Times New Roman" w:hAnsi="Times New Roman"/>
          <w:sz w:val="14"/>
          <w:szCs w:val="14"/>
          <w:color w:val="auto"/>
        </w:rPr>
      </w:pPr>
    </w:p>
    <w:p>
      <w:pPr>
        <w:ind w:left="300" w:hanging="295"/>
        <w:spacing w:after="0"/>
        <w:tabs>
          <w:tab w:leader="none" w:pos="3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 includes claims adjustment expenses.</w:t>
      </w:r>
    </w:p>
    <w:p>
      <w:pPr>
        <w:spacing w:after="0" w:line="154" w:lineRule="exact"/>
        <w:rPr>
          <w:sz w:val="20"/>
          <w:szCs w:val="20"/>
          <w:color w:val="auto"/>
        </w:rPr>
      </w:pPr>
    </w:p>
    <w:p>
      <w:pPr>
        <w:jc w:val="both"/>
        <w:ind w:firstLine="627"/>
        <w:spacing w:after="0" w:line="276" w:lineRule="auto"/>
        <w:rPr>
          <w:sz w:val="20"/>
          <w:szCs w:val="20"/>
          <w:color w:val="auto"/>
        </w:rPr>
      </w:pPr>
      <w:r>
        <w:rPr>
          <w:rFonts w:ascii="Times New Roman" w:cs="Times New Roman" w:eastAsia="Times New Roman" w:hAnsi="Times New Roman"/>
          <w:sz w:val="17"/>
          <w:szCs w:val="17"/>
          <w:color w:val="auto"/>
        </w:rPr>
        <w:t>Average reserve per default increased from March 31, 2025 to March 31, 2026, primarily due to changes in the composition of our default inventory as measured by the size, vintage and current estimated LTV of defaulted loans between the measurement dates. Average reserves per default were further impacted by changes in observed and forecasted housing market conditions and macroeconomic factors between the measurement dates.</w:t>
      </w:r>
    </w:p>
    <w:p>
      <w:pPr>
        <w:spacing w:after="0" w:line="1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i w:val="1"/>
          <w:iCs w:val="1"/>
          <w:color w:val="auto"/>
        </w:rPr>
        <w:t>GSE Oversight</w:t>
      </w:r>
    </w:p>
    <w:p>
      <w:pPr>
        <w:spacing w:after="0" w:line="172" w:lineRule="exact"/>
        <w:rPr>
          <w:sz w:val="20"/>
          <w:szCs w:val="20"/>
          <w:color w:val="auto"/>
        </w:rPr>
      </w:pPr>
    </w:p>
    <w:p>
      <w:pPr>
        <w:jc w:val="both"/>
        <w:ind w:firstLine="666"/>
        <w:spacing w:after="0" w:line="267" w:lineRule="auto"/>
        <w:rPr>
          <w:sz w:val="20"/>
          <w:szCs w:val="20"/>
          <w:color w:val="auto"/>
        </w:rPr>
      </w:pPr>
      <w:r>
        <w:rPr>
          <w:rFonts w:ascii="Times New Roman" w:cs="Times New Roman" w:eastAsia="Times New Roman" w:hAnsi="Times New Roman"/>
          <w:sz w:val="17"/>
          <w:szCs w:val="17"/>
          <w:color w:val="auto"/>
        </w:rPr>
        <w:t xml:space="preserve">As an </w:t>
      </w:r>
      <w:r>
        <w:rPr>
          <w:rFonts w:ascii="Times New Roman" w:cs="Times New Roman" w:eastAsia="Times New Roman" w:hAnsi="Times New Roman"/>
          <w:sz w:val="17"/>
          <w:szCs w:val="17"/>
          <w:i w:val="1"/>
          <w:iCs w:val="1"/>
          <w:color w:val="auto"/>
        </w:rPr>
        <w:t>approved insurer</w:t>
      </w:r>
      <w:r>
        <w:rPr>
          <w:rFonts w:ascii="Times New Roman" w:cs="Times New Roman" w:eastAsia="Times New Roman" w:hAnsi="Times New Roman"/>
          <w:sz w:val="17"/>
          <w:szCs w:val="17"/>
          <w:color w:val="auto"/>
        </w:rPr>
        <w:t>, NMIC is subject to ongoing compliance with the PMIERs established by each of the GSEs (</w:t>
      </w:r>
      <w:r>
        <w:rPr>
          <w:rFonts w:ascii="Times New Roman" w:cs="Times New Roman" w:eastAsia="Times New Roman" w:hAnsi="Times New Roman"/>
          <w:sz w:val="17"/>
          <w:szCs w:val="17"/>
          <w:i w:val="1"/>
          <w:iCs w:val="1"/>
          <w:color w:val="auto"/>
        </w:rPr>
        <w:t>italicized</w:t>
      </w:r>
      <w:r>
        <w:rPr>
          <w:rFonts w:ascii="Times New Roman" w:cs="Times New Roman" w:eastAsia="Times New Roman" w:hAnsi="Times New Roman"/>
          <w:sz w:val="17"/>
          <w:szCs w:val="17"/>
          <w:color w:val="auto"/>
        </w:rPr>
        <w:t xml:space="preserve"> terms have the same meaning that such terms have in the PMIERs, as described below). The PMIERs establish operational, business, remedial and financial requirements applicable to </w:t>
      </w:r>
      <w:r>
        <w:rPr>
          <w:rFonts w:ascii="Times New Roman" w:cs="Times New Roman" w:eastAsia="Times New Roman" w:hAnsi="Times New Roman"/>
          <w:sz w:val="17"/>
          <w:szCs w:val="17"/>
          <w:i w:val="1"/>
          <w:iCs w:val="1"/>
          <w:color w:val="auto"/>
        </w:rPr>
        <w:t>approved insurers</w:t>
      </w:r>
      <w:r>
        <w:rPr>
          <w:rFonts w:ascii="Times New Roman" w:cs="Times New Roman" w:eastAsia="Times New Roman" w:hAnsi="Times New Roman"/>
          <w:sz w:val="17"/>
          <w:szCs w:val="17"/>
          <w:color w:val="auto"/>
        </w:rPr>
        <w:t>. The PMIERs financial requirements prescribe a risk-based methodology whereby the amount of assets required to be held against each insured loan is determined based on certain loan-level risk characteristics, such as FICO, vintage (year of origination), performing vs. non-performing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xml:space="preserve"> current vs. delinquent), LTV ratio and other risk features. In general, higher quality loans carry lower asset charges.</w:t>
      </w:r>
    </w:p>
    <w:p>
      <w:pPr>
        <w:spacing w:after="0" w:line="115" w:lineRule="exact"/>
        <w:rPr>
          <w:sz w:val="20"/>
          <w:szCs w:val="20"/>
          <w:color w:val="auto"/>
        </w:rPr>
      </w:pPr>
    </w:p>
    <w:p>
      <w:pPr>
        <w:jc w:val="both"/>
        <w:ind w:firstLine="666"/>
        <w:spacing w:after="0" w:line="298" w:lineRule="auto"/>
        <w:rPr>
          <w:sz w:val="20"/>
          <w:szCs w:val="20"/>
          <w:color w:val="auto"/>
        </w:rPr>
      </w:pPr>
      <w:r>
        <w:rPr>
          <w:rFonts w:ascii="Times New Roman" w:cs="Times New Roman" w:eastAsia="Times New Roman" w:hAnsi="Times New Roman"/>
          <w:sz w:val="17"/>
          <w:szCs w:val="17"/>
          <w:color w:val="auto"/>
        </w:rPr>
        <w:t xml:space="preserve">Under the PMIERs, </w:t>
      </w:r>
      <w:r>
        <w:rPr>
          <w:rFonts w:ascii="Times New Roman" w:cs="Times New Roman" w:eastAsia="Times New Roman" w:hAnsi="Times New Roman"/>
          <w:sz w:val="17"/>
          <w:szCs w:val="17"/>
          <w:i w:val="1"/>
          <w:iCs w:val="1"/>
          <w:color w:val="auto"/>
        </w:rPr>
        <w:t>approved insurers</w:t>
      </w:r>
      <w:r>
        <w:rPr>
          <w:rFonts w:ascii="Times New Roman" w:cs="Times New Roman" w:eastAsia="Times New Roman" w:hAnsi="Times New Roman"/>
          <w:sz w:val="17"/>
          <w:szCs w:val="17"/>
          <w:color w:val="auto"/>
        </w:rPr>
        <w:t xml:space="preserve"> must maintain </w:t>
      </w:r>
      <w:r>
        <w:rPr>
          <w:rFonts w:ascii="Times New Roman" w:cs="Times New Roman" w:eastAsia="Times New Roman" w:hAnsi="Times New Roman"/>
          <w:sz w:val="17"/>
          <w:szCs w:val="17"/>
          <w:i w:val="1"/>
          <w:iCs w:val="1"/>
          <w:color w:val="auto"/>
        </w:rPr>
        <w:t>available assets</w:t>
      </w:r>
      <w:r>
        <w:rPr>
          <w:rFonts w:ascii="Times New Roman" w:cs="Times New Roman" w:eastAsia="Times New Roman" w:hAnsi="Times New Roman"/>
          <w:sz w:val="17"/>
          <w:szCs w:val="17"/>
          <w:color w:val="auto"/>
        </w:rPr>
        <w:t xml:space="preserve"> that equal or exceed </w:t>
      </w:r>
      <w:r>
        <w:rPr>
          <w:rFonts w:ascii="Times New Roman" w:cs="Times New Roman" w:eastAsia="Times New Roman" w:hAnsi="Times New Roman"/>
          <w:sz w:val="17"/>
          <w:szCs w:val="17"/>
          <w:i w:val="1"/>
          <w:iCs w:val="1"/>
          <w:color w:val="auto"/>
        </w:rPr>
        <w:t>minimum required assets</w:t>
      </w:r>
      <w:r>
        <w:rPr>
          <w:rFonts w:ascii="Times New Roman" w:cs="Times New Roman" w:eastAsia="Times New Roman" w:hAnsi="Times New Roman"/>
          <w:sz w:val="17"/>
          <w:szCs w:val="17"/>
          <w:color w:val="auto"/>
        </w:rPr>
        <w:t xml:space="preserve">, which is an amount equal to the greater of (i) $400 million or (ii) a total </w:t>
      </w:r>
      <w:r>
        <w:rPr>
          <w:rFonts w:ascii="Times New Roman" w:cs="Times New Roman" w:eastAsia="Times New Roman" w:hAnsi="Times New Roman"/>
          <w:sz w:val="17"/>
          <w:szCs w:val="17"/>
          <w:i w:val="1"/>
          <w:iCs w:val="1"/>
          <w:color w:val="auto"/>
        </w:rPr>
        <w:t>risk-based required asset</w:t>
      </w:r>
      <w:r>
        <w:rPr>
          <w:rFonts w:ascii="Times New Roman" w:cs="Times New Roman" w:eastAsia="Times New Roman" w:hAnsi="Times New Roman"/>
          <w:sz w:val="17"/>
          <w:szCs w:val="17"/>
          <w:color w:val="auto"/>
        </w:rPr>
        <w:t xml:space="preserve"> amount.</w:t>
      </w:r>
    </w:p>
    <w:p>
      <w:pPr>
        <w:spacing w:after="0" w:line="90" w:lineRule="exact"/>
        <w:rPr>
          <w:sz w:val="20"/>
          <w:szCs w:val="20"/>
          <w:color w:val="auto"/>
        </w:rPr>
      </w:pPr>
    </w:p>
    <w:p>
      <w:pPr>
        <w:jc w:val="both"/>
        <w:ind w:firstLine="666"/>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Available assets </w:t>
      </w:r>
      <w:r>
        <w:rPr>
          <w:rFonts w:ascii="Times New Roman" w:cs="Times New Roman" w:eastAsia="Times New Roman" w:hAnsi="Times New Roman"/>
          <w:sz w:val="17"/>
          <w:szCs w:val="17"/>
          <w:color w:val="auto"/>
        </w:rPr>
        <w:t>reflect the financial resources of a mortgage insurer available to pay claims, and includes the most readily liquid assets held, such 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cash, investments and other items as stipulated in the PMIERs. The credit provided for such assets is subject to adjustment based on several factors, including asset class, credit rating and portfolio concentration.</w:t>
      </w:r>
    </w:p>
    <w:p>
      <w:pPr>
        <w:spacing w:after="0" w:line="107" w:lineRule="exact"/>
        <w:rPr>
          <w:sz w:val="20"/>
          <w:szCs w:val="20"/>
          <w:color w:val="auto"/>
        </w:rPr>
      </w:pPr>
    </w:p>
    <w:p>
      <w:pPr>
        <w:jc w:val="both"/>
        <w:ind w:firstLine="666"/>
        <w:spacing w:after="0" w:line="270" w:lineRule="auto"/>
        <w:rPr>
          <w:sz w:val="20"/>
          <w:szCs w:val="20"/>
          <w:color w:val="auto"/>
        </w:rPr>
      </w:pPr>
      <w:r>
        <w:rPr>
          <w:rFonts w:ascii="Times New Roman" w:cs="Times New Roman" w:eastAsia="Times New Roman" w:hAnsi="Times New Roman"/>
          <w:sz w:val="17"/>
          <w:szCs w:val="17"/>
          <w:color w:val="auto"/>
        </w:rPr>
        <w:t xml:space="preserve">The </w:t>
      </w:r>
      <w:r>
        <w:rPr>
          <w:rFonts w:ascii="Times New Roman" w:cs="Times New Roman" w:eastAsia="Times New Roman" w:hAnsi="Times New Roman"/>
          <w:sz w:val="17"/>
          <w:szCs w:val="17"/>
          <w:i w:val="1"/>
          <w:iCs w:val="1"/>
          <w:color w:val="auto"/>
        </w:rPr>
        <w:t>risk-based required asset</w:t>
      </w:r>
      <w:r>
        <w:rPr>
          <w:rFonts w:ascii="Times New Roman" w:cs="Times New Roman" w:eastAsia="Times New Roman" w:hAnsi="Times New Roman"/>
          <w:sz w:val="17"/>
          <w:szCs w:val="17"/>
          <w:color w:val="auto"/>
        </w:rPr>
        <w:t xml:space="preserve"> amount is a function of the risk profile of an </w:t>
      </w:r>
      <w:r>
        <w:rPr>
          <w:rFonts w:ascii="Times New Roman" w:cs="Times New Roman" w:eastAsia="Times New Roman" w:hAnsi="Times New Roman"/>
          <w:sz w:val="17"/>
          <w:szCs w:val="17"/>
          <w:i w:val="1"/>
          <w:iCs w:val="1"/>
          <w:color w:val="auto"/>
        </w:rPr>
        <w:t>approved insurer's</w:t>
      </w:r>
      <w:r>
        <w:rPr>
          <w:rFonts w:ascii="Times New Roman" w:cs="Times New Roman" w:eastAsia="Times New Roman" w:hAnsi="Times New Roman"/>
          <w:sz w:val="17"/>
          <w:szCs w:val="17"/>
          <w:color w:val="auto"/>
        </w:rPr>
        <w:t xml:space="preserve"> RIF, assessed on a loan-by-loan basis and considered against certain risk-based factors derived from tables set out in the PMIERs, which is then adjusted on an aggregate basis for reinsurance transactions approved by the GSEs, such as with respect to our QSR Transactions, XOL Transactions and ILN Transactions. The </w:t>
      </w:r>
      <w:r>
        <w:rPr>
          <w:rFonts w:ascii="Times New Roman" w:cs="Times New Roman" w:eastAsia="Times New Roman" w:hAnsi="Times New Roman"/>
          <w:sz w:val="17"/>
          <w:szCs w:val="17"/>
          <w:i w:val="1"/>
          <w:iCs w:val="1"/>
          <w:color w:val="auto"/>
        </w:rPr>
        <w:t>aggregate gross risk-based required asset</w:t>
      </w:r>
      <w:r>
        <w:rPr>
          <w:rFonts w:ascii="Times New Roman" w:cs="Times New Roman" w:eastAsia="Times New Roman" w:hAnsi="Times New Roman"/>
          <w:sz w:val="17"/>
          <w:szCs w:val="17"/>
          <w:color w:val="auto"/>
        </w:rPr>
        <w:t xml:space="preserve"> amount for performing, primary insurance is subject to a floor of 5.6% of </w:t>
      </w:r>
      <w:r>
        <w:rPr>
          <w:rFonts w:ascii="Times New Roman" w:cs="Times New Roman" w:eastAsia="Times New Roman" w:hAnsi="Times New Roman"/>
          <w:sz w:val="17"/>
          <w:szCs w:val="17"/>
          <w:i w:val="1"/>
          <w:iCs w:val="1"/>
          <w:color w:val="auto"/>
        </w:rPr>
        <w:t>performing primary adjusted RIF</w:t>
      </w:r>
      <w:r>
        <w:rPr>
          <w:rFonts w:ascii="Times New Roman" w:cs="Times New Roman" w:eastAsia="Times New Roman" w:hAnsi="Times New Roman"/>
          <w:sz w:val="17"/>
          <w:szCs w:val="17"/>
          <w:color w:val="auto"/>
        </w:rPr>
        <w:t>.</w:t>
      </w:r>
    </w:p>
    <w:p>
      <w:pPr>
        <w:spacing w:after="0" w:line="116" w:lineRule="exact"/>
        <w:rPr>
          <w:sz w:val="20"/>
          <w:szCs w:val="20"/>
          <w:color w:val="auto"/>
        </w:rPr>
      </w:pPr>
    </w:p>
    <w:p>
      <w:pPr>
        <w:jc w:val="both"/>
        <w:ind w:firstLine="627"/>
        <w:spacing w:after="0" w:line="276" w:lineRule="auto"/>
        <w:rPr>
          <w:sz w:val="20"/>
          <w:szCs w:val="20"/>
          <w:color w:val="auto"/>
        </w:rPr>
      </w:pPr>
      <w:r>
        <w:rPr>
          <w:rFonts w:ascii="Times New Roman" w:cs="Times New Roman" w:eastAsia="Times New Roman" w:hAnsi="Times New Roman"/>
          <w:sz w:val="17"/>
          <w:szCs w:val="17"/>
          <w:color w:val="auto"/>
        </w:rPr>
        <w:t>By April 15th of each year, NMIC must certify it met all PMIERs requirements as of December 31st of the prior year. We certified to the GSEs by April 15, 2026 that NMIC was in full compliance with the PMIERs as of December 31, 2025. NMIC also has an ongoing obligation to immediately notify the GSEs in writing upon discovery of a failure to meet one or more of the PMIERs requirements. We continuously monitor NMIC's compliance with the PMIERs.</w:t>
      </w:r>
    </w:p>
    <w:p>
      <w:pPr>
        <w:spacing w:after="0" w:line="108" w:lineRule="exact"/>
        <w:rPr>
          <w:sz w:val="20"/>
          <w:szCs w:val="20"/>
          <w:color w:val="auto"/>
        </w:rPr>
      </w:pPr>
    </w:p>
    <w:p>
      <w:pPr>
        <w:jc w:val="both"/>
        <w:ind w:firstLine="627"/>
        <w:spacing w:after="0" w:line="298" w:lineRule="auto"/>
        <w:rPr>
          <w:sz w:val="20"/>
          <w:szCs w:val="20"/>
          <w:color w:val="auto"/>
        </w:rPr>
      </w:pPr>
      <w:r>
        <w:rPr>
          <w:rFonts w:ascii="Times New Roman" w:cs="Times New Roman" w:eastAsia="Times New Roman" w:hAnsi="Times New Roman"/>
          <w:sz w:val="17"/>
          <w:szCs w:val="17"/>
          <w:color w:val="auto"/>
        </w:rPr>
        <w:t xml:space="preserve">The following table provides a comparison of the PMIERs </w:t>
      </w:r>
      <w:r>
        <w:rPr>
          <w:rFonts w:ascii="Times New Roman" w:cs="Times New Roman" w:eastAsia="Times New Roman" w:hAnsi="Times New Roman"/>
          <w:sz w:val="17"/>
          <w:szCs w:val="17"/>
          <w:i w:val="1"/>
          <w:iCs w:val="1"/>
          <w:color w:val="auto"/>
        </w:rPr>
        <w:t>available assets</w:t>
      </w:r>
      <w:r>
        <w:rPr>
          <w:rFonts w:ascii="Times New Roman" w:cs="Times New Roman" w:eastAsia="Times New Roman" w:hAnsi="Times New Roman"/>
          <w:sz w:val="17"/>
          <w:szCs w:val="17"/>
          <w:color w:val="auto"/>
        </w:rPr>
        <w:t xml:space="preserve"> and net </w:t>
      </w:r>
      <w:r>
        <w:rPr>
          <w:rFonts w:ascii="Times New Roman" w:cs="Times New Roman" w:eastAsia="Times New Roman" w:hAnsi="Times New Roman"/>
          <w:sz w:val="17"/>
          <w:szCs w:val="17"/>
          <w:i w:val="1"/>
          <w:iCs w:val="1"/>
          <w:color w:val="auto"/>
        </w:rPr>
        <w:t>risk-based required asset</w:t>
      </w:r>
      <w:r>
        <w:rPr>
          <w:rFonts w:ascii="Times New Roman" w:cs="Times New Roman" w:eastAsia="Times New Roman" w:hAnsi="Times New Roman"/>
          <w:sz w:val="17"/>
          <w:szCs w:val="17"/>
          <w:color w:val="auto"/>
        </w:rPr>
        <w:t xml:space="preserve"> amount as reported by NMIC as of the dates indicated:</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6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960" w:type="dxa"/>
            <w:vAlign w:val="bottom"/>
            <w:gridSpan w:val="2"/>
          </w:tcPr>
          <w:p>
            <w:pPr>
              <w:jc w:val="center"/>
              <w:ind w:left="643"/>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1140" w:type="dxa"/>
            <w:vAlign w:val="bottom"/>
          </w:tcPr>
          <w:p>
            <w:pPr>
              <w:spacing w:after="0"/>
              <w:rPr>
                <w:sz w:val="16"/>
                <w:szCs w:val="16"/>
                <w:color w:val="auto"/>
              </w:rPr>
            </w:pPr>
          </w:p>
        </w:tc>
      </w:tr>
      <w:tr>
        <w:trPr>
          <w:trHeight w:val="23"/>
        </w:trPr>
        <w:tc>
          <w:tcPr>
            <w:tcW w:w="76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3"/>
        </w:trPr>
        <w:tc>
          <w:tcPr>
            <w:tcW w:w="76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63"/>
              <w:spacing w:after="0"/>
              <w:rPr>
                <w:sz w:val="20"/>
                <w:szCs w:val="20"/>
                <w:color w:val="auto"/>
              </w:rPr>
            </w:pPr>
            <w:r>
              <w:rPr>
                <w:rFonts w:ascii="Times New Roman" w:cs="Times New Roman" w:eastAsia="Times New Roman" w:hAnsi="Times New Roman"/>
                <w:sz w:val="14"/>
                <w:szCs w:val="14"/>
                <w:b w:val="1"/>
                <w:bCs w:val="1"/>
                <w:color w:val="auto"/>
              </w:rPr>
              <w:t>2026</w:t>
            </w:r>
          </w:p>
        </w:tc>
        <w:tc>
          <w:tcPr>
            <w:tcW w:w="6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89"/>
        </w:trPr>
        <w:tc>
          <w:tcPr>
            <w:tcW w:w="76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960" w:type="dxa"/>
            <w:vAlign w:val="bottom"/>
            <w:gridSpan w:val="2"/>
          </w:tcPr>
          <w:p>
            <w:pPr>
              <w:jc w:val="center"/>
              <w:ind w:left="643"/>
              <w:spacing w:after="0"/>
              <w:rPr>
                <w:sz w:val="20"/>
                <w:szCs w:val="20"/>
                <w:color w:val="auto"/>
              </w:rPr>
            </w:pPr>
            <w:r>
              <w:rPr>
                <w:rFonts w:ascii="Times New Roman" w:cs="Times New Roman" w:eastAsia="Times New Roman" w:hAnsi="Times New Roman"/>
                <w:sz w:val="14"/>
                <w:szCs w:val="14"/>
                <w:i w:val="1"/>
                <w:iCs w:val="1"/>
                <w:color w:val="auto"/>
                <w:w w:val="98"/>
              </w:rPr>
              <w:t>(In Thousands)</w:t>
            </w:r>
          </w:p>
        </w:tc>
        <w:tc>
          <w:tcPr>
            <w:tcW w:w="1140" w:type="dxa"/>
            <w:vAlign w:val="bottom"/>
          </w:tcPr>
          <w:p>
            <w:pPr>
              <w:spacing w:after="0"/>
              <w:rPr>
                <w:sz w:val="16"/>
                <w:szCs w:val="16"/>
                <w:color w:val="auto"/>
              </w:rPr>
            </w:pPr>
          </w:p>
        </w:tc>
      </w:tr>
      <w:tr>
        <w:trPr>
          <w:trHeight w:val="228"/>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Available assets</w:t>
            </w:r>
          </w:p>
        </w:tc>
        <w:tc>
          <w:tcPr>
            <w:tcW w:w="40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7"/>
                <w:szCs w:val="17"/>
                <w:color w:val="auto"/>
              </w:rPr>
              <w:t>3,630,735</w:t>
            </w:r>
          </w:p>
        </w:tc>
        <w:tc>
          <w:tcPr>
            <w:tcW w:w="640" w:type="dxa"/>
            <w:vAlign w:val="bottom"/>
            <w:shd w:val="clear" w:color="auto" w:fill="CCEEFF"/>
          </w:tcPr>
          <w:p>
            <w:pPr>
              <w:jc w:val="right"/>
              <w:ind w:right="373"/>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3,230,653</w:t>
            </w:r>
          </w:p>
        </w:tc>
      </w:tr>
      <w:tr>
        <w:trPr>
          <w:trHeight w:val="227"/>
        </w:trPr>
        <w:tc>
          <w:tcPr>
            <w:tcW w:w="7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risk-based required assets</w:t>
            </w:r>
          </w:p>
        </w:tc>
        <w:tc>
          <w:tcPr>
            <w:tcW w:w="400" w:type="dxa"/>
            <w:vAlign w:val="bottom"/>
          </w:tcPr>
          <w:p>
            <w:pPr>
              <w:spacing w:after="0"/>
              <w:rPr>
                <w:sz w:val="19"/>
                <w:szCs w:val="19"/>
                <w:color w:val="auto"/>
              </w:rPr>
            </w:pPr>
          </w:p>
        </w:tc>
        <w:tc>
          <w:tcPr>
            <w:tcW w:w="1320" w:type="dxa"/>
            <w:vAlign w:val="bottom"/>
          </w:tcPr>
          <w:p>
            <w:pPr>
              <w:jc w:val="right"/>
              <w:ind w:right="23"/>
              <w:spacing w:after="0"/>
              <w:rPr>
                <w:sz w:val="20"/>
                <w:szCs w:val="20"/>
                <w:color w:val="auto"/>
              </w:rPr>
            </w:pPr>
            <w:r>
              <w:rPr>
                <w:rFonts w:ascii="Times New Roman" w:cs="Times New Roman" w:eastAsia="Times New Roman" w:hAnsi="Times New Roman"/>
                <w:sz w:val="17"/>
                <w:szCs w:val="17"/>
                <w:color w:val="auto"/>
              </w:rPr>
              <w:t>2,165,418</w:t>
            </w:r>
          </w:p>
        </w:tc>
        <w:tc>
          <w:tcPr>
            <w:tcW w:w="6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1,867,414</w:t>
            </w:r>
          </w:p>
        </w:tc>
      </w:tr>
    </w:tbl>
    <w:p>
      <w:pPr>
        <w:spacing w:after="0" w:line="223" w:lineRule="exact"/>
        <w:rPr>
          <w:sz w:val="20"/>
          <w:szCs w:val="20"/>
          <w:color w:val="auto"/>
        </w:rPr>
      </w:pPr>
    </w:p>
    <w:p>
      <w:pPr>
        <w:jc w:val="both"/>
        <w:ind w:firstLine="627"/>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Available assets </w:t>
      </w:r>
      <w:r>
        <w:rPr>
          <w:rFonts w:ascii="Times New Roman" w:cs="Times New Roman" w:eastAsia="Times New Roman" w:hAnsi="Times New Roman"/>
          <w:sz w:val="17"/>
          <w:szCs w:val="17"/>
          <w:color w:val="auto"/>
        </w:rPr>
        <w:t>were $3.6 billion at March 31, 2026, compared to $3.2 billion at March 31, 2025. The $400 million increase in</w:t>
      </w:r>
      <w:r>
        <w:rPr>
          <w:rFonts w:ascii="Times New Roman" w:cs="Times New Roman" w:eastAsia="Times New Roman" w:hAnsi="Times New Roman"/>
          <w:sz w:val="17"/>
          <w:szCs w:val="17"/>
          <w:i w:val="1"/>
          <w:iCs w:val="1"/>
          <w:color w:val="auto"/>
        </w:rPr>
        <w:t xml:space="preserve"> available assets </w:t>
      </w:r>
      <w:r>
        <w:rPr>
          <w:rFonts w:ascii="Times New Roman" w:cs="Times New Roman" w:eastAsia="Times New Roman" w:hAnsi="Times New Roman"/>
          <w:sz w:val="17"/>
          <w:szCs w:val="17"/>
          <w:color w:val="auto"/>
        </w:rPr>
        <w:t>between the dates presented was primarily driven by NMIC's positive cash flow from operations during the intervening period, partially offset by the payment of an ordinary course dividend from NMIC to NMIH in June 2025.</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38" w:name="page39"/>
    <w:bookmarkEnd w:id="38"/>
    <w:p>
      <w:pPr>
        <w:jc w:val="both"/>
        <w:ind w:firstLine="627"/>
        <w:spacing w:after="0" w:line="277" w:lineRule="auto"/>
        <w:rPr>
          <w:sz w:val="20"/>
          <w:szCs w:val="20"/>
          <w:color w:val="auto"/>
        </w:rPr>
      </w:pPr>
      <w:r>
        <w:rPr>
          <w:rFonts w:ascii="Times New Roman" w:cs="Times New Roman" w:eastAsia="Times New Roman" w:hAnsi="Times New Roman"/>
          <w:sz w:val="17"/>
          <w:szCs w:val="17"/>
          <w:color w:val="auto"/>
        </w:rPr>
        <w:t xml:space="preserve">Net </w:t>
      </w:r>
      <w:r>
        <w:rPr>
          <w:rFonts w:ascii="Times New Roman" w:cs="Times New Roman" w:eastAsia="Times New Roman" w:hAnsi="Times New Roman"/>
          <w:sz w:val="17"/>
          <w:szCs w:val="17"/>
          <w:i w:val="1"/>
          <w:iCs w:val="1"/>
          <w:color w:val="auto"/>
        </w:rPr>
        <w:t>risk-based required assets</w:t>
      </w:r>
      <w:r>
        <w:rPr>
          <w:rFonts w:ascii="Times New Roman" w:cs="Times New Roman" w:eastAsia="Times New Roman" w:hAnsi="Times New Roman"/>
          <w:sz w:val="17"/>
          <w:szCs w:val="17"/>
          <w:color w:val="auto"/>
        </w:rPr>
        <w:t xml:space="preserve"> were $2.2 billion at March 31, 2026, compared to $1.9 billion at March 31, 2025. The $298 million increase in the net </w:t>
      </w:r>
      <w:r>
        <w:rPr>
          <w:rFonts w:ascii="Times New Roman" w:cs="Times New Roman" w:eastAsia="Times New Roman" w:hAnsi="Times New Roman"/>
          <w:sz w:val="17"/>
          <w:szCs w:val="17"/>
          <w:i w:val="1"/>
          <w:iCs w:val="1"/>
          <w:color w:val="auto"/>
        </w:rPr>
        <w:t xml:space="preserve">risk-based required asset </w:t>
      </w:r>
      <w:r>
        <w:rPr>
          <w:rFonts w:ascii="Times New Roman" w:cs="Times New Roman" w:eastAsia="Times New Roman" w:hAnsi="Times New Roman"/>
          <w:sz w:val="17"/>
          <w:szCs w:val="17"/>
          <w:color w:val="auto"/>
        </w:rPr>
        <w:t>amount between the dates presented was primarily due to the growth in our gross RIF and aggregate gross</w:t>
      </w:r>
      <w:r>
        <w:rPr>
          <w:rFonts w:ascii="Times New Roman" w:cs="Times New Roman" w:eastAsia="Times New Roman" w:hAnsi="Times New Roman"/>
          <w:sz w:val="17"/>
          <w:szCs w:val="17"/>
          <w:i w:val="1"/>
          <w:iCs w:val="1"/>
          <w:color w:val="auto"/>
        </w:rPr>
        <w:t xml:space="preserve"> risk-based required asset </w:t>
      </w:r>
      <w:r>
        <w:rPr>
          <w:rFonts w:ascii="Times New Roman" w:cs="Times New Roman" w:eastAsia="Times New Roman" w:hAnsi="Times New Roman"/>
          <w:sz w:val="17"/>
          <w:szCs w:val="17"/>
          <w:color w:val="auto"/>
        </w:rPr>
        <w:t>amount, and was further impacted by the increase in our default inventory and defaulted RIF.</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82"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b w:val="1"/>
          <w:bCs w:val="1"/>
          <w:color w:val="auto"/>
        </w:rPr>
        <w:t>Consolidated Results of Operations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0" w:type="dxa"/>
            <w:vAlign w:val="bottom"/>
            <w:gridSpan w:val="5"/>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6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48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4"/>
                <w:szCs w:val="14"/>
                <w:b w:val="1"/>
                <w:bCs w:val="1"/>
                <w:color w:val="auto"/>
              </w:rPr>
              <w:t>2026 vs. 2025</w:t>
            </w:r>
          </w:p>
        </w:tc>
        <w:tc>
          <w:tcPr>
            <w:tcW w:w="0" w:type="dxa"/>
            <w:vAlign w:val="bottom"/>
          </w:tcPr>
          <w:p>
            <w:pPr>
              <w:spacing w:after="0"/>
              <w:rPr>
                <w:sz w:val="1"/>
                <w:szCs w:val="1"/>
                <w:color w:val="auto"/>
              </w:rPr>
            </w:pPr>
          </w:p>
        </w:tc>
      </w:tr>
      <w:tr>
        <w:trPr>
          <w:trHeight w:val="209"/>
        </w:trPr>
        <w:tc>
          <w:tcPr>
            <w:tcW w:w="4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Revenues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20" w:type="dxa"/>
            <w:vAlign w:val="bottom"/>
            <w:gridSpan w:val="6"/>
          </w:tcPr>
          <w:p>
            <w:pPr>
              <w:ind w:left="40"/>
              <w:spacing w:after="0"/>
              <w:rPr>
                <w:sz w:val="20"/>
                <w:szCs w:val="20"/>
                <w:color w:val="auto"/>
              </w:rPr>
            </w:pPr>
            <w:r>
              <w:rPr>
                <w:rFonts w:ascii="Times New Roman" w:cs="Times New Roman" w:eastAsia="Times New Roman" w:hAnsi="Times New Roman"/>
                <w:sz w:val="14"/>
                <w:szCs w:val="14"/>
                <w:i w:val="1"/>
                <w:iCs w:val="1"/>
                <w:color w:val="auto"/>
              </w:rPr>
              <w:t>($ In Thousands, except for per share data)</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Net premiums earned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154,806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rPr>
              <w:t>149,366</w:t>
            </w:r>
          </w:p>
        </w:tc>
        <w:tc>
          <w:tcPr>
            <w:tcW w:w="8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5,440</w:t>
            </w: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4 %</w:t>
            </w:r>
          </w:p>
        </w:tc>
        <w:tc>
          <w:tcPr>
            <w:tcW w:w="0" w:type="dxa"/>
            <w:vAlign w:val="bottom"/>
          </w:tcPr>
          <w:p>
            <w:pPr>
              <w:spacing w:after="0"/>
              <w:rPr>
                <w:sz w:val="1"/>
                <w:szCs w:val="1"/>
                <w:color w:val="auto"/>
              </w:rPr>
            </w:pPr>
          </w:p>
        </w:tc>
      </w:tr>
      <w:tr>
        <w:trPr>
          <w:trHeight w:val="222"/>
        </w:trPr>
        <w:tc>
          <w:tcPr>
            <w:tcW w:w="48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Net investment income</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28,604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rPr>
              <w:t>23,686</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4,918</w:t>
            </w:r>
          </w:p>
        </w:tc>
        <w:tc>
          <w:tcPr>
            <w:tcW w:w="480" w:type="dxa"/>
            <w:vAlign w:val="bottom"/>
          </w:tcPr>
          <w:p>
            <w:pPr>
              <w:spacing w:after="0"/>
              <w:rPr>
                <w:sz w:val="19"/>
                <w:szCs w:val="19"/>
                <w:color w:val="auto"/>
              </w:rPr>
            </w:pPr>
          </w:p>
        </w:tc>
        <w:tc>
          <w:tcPr>
            <w:tcW w:w="106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21</w:t>
            </w:r>
          </w:p>
        </w:tc>
        <w:tc>
          <w:tcPr>
            <w:tcW w:w="0" w:type="dxa"/>
            <w:vAlign w:val="bottom"/>
          </w:tcPr>
          <w:p>
            <w:pPr>
              <w:spacing w:after="0"/>
              <w:rPr>
                <w:sz w:val="1"/>
                <w:szCs w:val="1"/>
                <w:color w:val="auto"/>
              </w:rPr>
            </w:pPr>
          </w:p>
        </w:tc>
      </w:tr>
      <w:tr>
        <w:trPr>
          <w:trHeight w:val="222"/>
        </w:trPr>
        <w:tc>
          <w:tcPr>
            <w:tcW w:w="4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Net realized investment (losses) gains</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rPr>
              <w:t>(147)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rPr>
              <w:t>24</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w:t>
            </w: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(713)</w:t>
            </w:r>
          </w:p>
        </w:tc>
        <w:tc>
          <w:tcPr>
            <w:tcW w:w="0" w:type="dxa"/>
            <w:vAlign w:val="bottom"/>
          </w:tcPr>
          <w:p>
            <w:pPr>
              <w:spacing w:after="0"/>
              <w:rPr>
                <w:sz w:val="1"/>
                <w:szCs w:val="1"/>
                <w:color w:val="auto"/>
              </w:rPr>
            </w:pPr>
          </w:p>
        </w:tc>
      </w:tr>
      <w:tr>
        <w:trPr>
          <w:trHeight w:val="222"/>
        </w:trPr>
        <w:tc>
          <w:tcPr>
            <w:tcW w:w="48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Other revenues</w:t>
            </w:r>
          </w:p>
        </w:tc>
        <w:tc>
          <w:tcPr>
            <w:tcW w:w="1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rPr>
              <w:t>212</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rPr>
              <w:t>170</w:t>
            </w: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48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jc w:val="right"/>
              <w:ind w:right="115"/>
              <w:spacing w:after="0"/>
              <w:rPr>
                <w:sz w:val="20"/>
                <w:szCs w:val="20"/>
                <w:color w:val="auto"/>
              </w:rPr>
            </w:pPr>
            <w:r>
              <w:rPr>
                <w:rFonts w:ascii="Times New Roman" w:cs="Times New Roman" w:eastAsia="Times New Roman" w:hAnsi="Times New Roman"/>
                <w:sz w:val="17"/>
                <w:szCs w:val="17"/>
                <w:color w:val="auto"/>
              </w:rPr>
              <w:t>25</w:t>
            </w:r>
          </w:p>
        </w:tc>
        <w:tc>
          <w:tcPr>
            <w:tcW w:w="0" w:type="dxa"/>
            <w:vAlign w:val="bottom"/>
          </w:tcPr>
          <w:p>
            <w:pPr>
              <w:spacing w:after="0"/>
              <w:rPr>
                <w:sz w:val="1"/>
                <w:szCs w:val="1"/>
                <w:color w:val="auto"/>
              </w:rPr>
            </w:pPr>
          </w:p>
        </w:tc>
      </w:tr>
      <w:tr>
        <w:trPr>
          <w:trHeight w:val="215"/>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revenues</w:t>
            </w:r>
          </w:p>
        </w:tc>
        <w:tc>
          <w:tcPr>
            <w:tcW w:w="16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183,475</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rPr>
              <w:t>173,246</w:t>
            </w:r>
          </w:p>
        </w:tc>
        <w:tc>
          <w:tcPr>
            <w:tcW w:w="8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10,229</w:t>
            </w: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202"/>
        </w:trPr>
        <w:tc>
          <w:tcPr>
            <w:tcW w:w="4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Expenses</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Insurance claims and claim expenses</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20,661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rPr>
              <w:t>4,478</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16,183</w:t>
            </w: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361</w:t>
            </w:r>
          </w:p>
        </w:tc>
        <w:tc>
          <w:tcPr>
            <w:tcW w:w="0" w:type="dxa"/>
            <w:vAlign w:val="bottom"/>
          </w:tcPr>
          <w:p>
            <w:pPr>
              <w:spacing w:after="0"/>
              <w:rPr>
                <w:sz w:val="1"/>
                <w:szCs w:val="1"/>
                <w:color w:val="auto"/>
              </w:rPr>
            </w:pPr>
          </w:p>
        </w:tc>
      </w:tr>
      <w:tr>
        <w:trPr>
          <w:trHeight w:val="222"/>
        </w:trPr>
        <w:tc>
          <w:tcPr>
            <w:tcW w:w="48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Underwriting and operating expenses</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30,623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rPr>
              <w:t>30,175</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448</w:t>
            </w:r>
          </w:p>
        </w:tc>
        <w:tc>
          <w:tcPr>
            <w:tcW w:w="480" w:type="dxa"/>
            <w:vAlign w:val="bottom"/>
          </w:tcPr>
          <w:p>
            <w:pPr>
              <w:spacing w:after="0"/>
              <w:rPr>
                <w:sz w:val="19"/>
                <w:szCs w:val="19"/>
                <w:color w:val="auto"/>
              </w:rPr>
            </w:pPr>
          </w:p>
        </w:tc>
        <w:tc>
          <w:tcPr>
            <w:tcW w:w="106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22"/>
        </w:trPr>
        <w:tc>
          <w:tcPr>
            <w:tcW w:w="4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Service expenses</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139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rPr>
              <w:t>116</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20</w:t>
            </w:r>
          </w:p>
        </w:tc>
        <w:tc>
          <w:tcPr>
            <w:tcW w:w="0" w:type="dxa"/>
            <w:vAlign w:val="bottom"/>
          </w:tcPr>
          <w:p>
            <w:pPr>
              <w:spacing w:after="0"/>
              <w:rPr>
                <w:sz w:val="1"/>
                <w:szCs w:val="1"/>
                <w:color w:val="auto"/>
              </w:rPr>
            </w:pPr>
          </w:p>
        </w:tc>
      </w:tr>
      <w:tr>
        <w:trPr>
          <w:trHeight w:val="222"/>
        </w:trPr>
        <w:tc>
          <w:tcPr>
            <w:tcW w:w="48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Interest expense</w:t>
            </w:r>
          </w:p>
        </w:tc>
        <w:tc>
          <w:tcPr>
            <w:tcW w:w="1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rPr>
              <w:t>7,109</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rPr>
              <w:t>7,106</w:t>
            </w: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48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5"/>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expenses</w:t>
            </w:r>
          </w:p>
        </w:tc>
        <w:tc>
          <w:tcPr>
            <w:tcW w:w="16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58,532</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rPr>
              <w:t>41,875</w:t>
            </w:r>
          </w:p>
        </w:tc>
        <w:tc>
          <w:tcPr>
            <w:tcW w:w="8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16,657</w:t>
            </w: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40</w:t>
            </w:r>
          </w:p>
        </w:tc>
        <w:tc>
          <w:tcPr>
            <w:tcW w:w="0" w:type="dxa"/>
            <w:vAlign w:val="bottom"/>
          </w:tcPr>
          <w:p>
            <w:pPr>
              <w:spacing w:after="0"/>
              <w:rPr>
                <w:sz w:val="1"/>
                <w:szCs w:val="1"/>
                <w:color w:val="auto"/>
              </w:rPr>
            </w:pPr>
          </w:p>
        </w:tc>
      </w:tr>
      <w:tr>
        <w:trPr>
          <w:trHeight w:val="241"/>
        </w:trPr>
        <w:tc>
          <w:tcPr>
            <w:tcW w:w="4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124,943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rPr>
              <w:t>131,371</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(6,428)</w:t>
            </w: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222"/>
        </w:trPr>
        <w:tc>
          <w:tcPr>
            <w:tcW w:w="48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Income tax expense</w:t>
            </w:r>
          </w:p>
        </w:tc>
        <w:tc>
          <w:tcPr>
            <w:tcW w:w="1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rPr>
              <w:t>25,613</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rPr>
              <w:t>28,812</w:t>
            </w: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(3,199)</w:t>
            </w:r>
          </w:p>
        </w:tc>
        <w:tc>
          <w:tcPr>
            <w:tcW w:w="48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jc w:val="right"/>
              <w:ind w:right="75"/>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240"/>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99,330</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rPr>
              <w:t>102,559</w:t>
            </w:r>
          </w:p>
        </w:tc>
        <w:tc>
          <w:tcPr>
            <w:tcW w:w="8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(3,229)</w:t>
            </w:r>
          </w:p>
        </w:tc>
        <w:tc>
          <w:tcPr>
            <w:tcW w:w="4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Earnings per share - Basic</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1.30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rPr>
              <w:t>1.31</w:t>
            </w:r>
          </w:p>
        </w:tc>
        <w:tc>
          <w:tcPr>
            <w:tcW w:w="8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(0.01)</w:t>
            </w: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22"/>
        </w:trPr>
        <w:tc>
          <w:tcPr>
            <w:tcW w:w="4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Earnings per share - Diluted</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18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1.28</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rPr>
              <w:t>1.28</w:t>
            </w:r>
          </w:p>
        </w:tc>
        <w:tc>
          <w:tcPr>
            <w:tcW w:w="80" w:type="dxa"/>
            <w:vAlign w:val="bottom"/>
          </w:tcPr>
          <w:p>
            <w:pPr>
              <w:spacing w:after="0"/>
              <w:rPr>
                <w:sz w:val="19"/>
                <w:szCs w:val="19"/>
                <w:color w:val="auto"/>
              </w:rPr>
            </w:pPr>
          </w:p>
        </w:tc>
        <w:tc>
          <w:tcPr>
            <w:tcW w:w="300" w:type="dxa"/>
            <w:vAlign w:val="bottom"/>
            <w:gridSpan w:val="2"/>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61"/>
        </w:trPr>
        <w:tc>
          <w:tcPr>
            <w:tcW w:w="48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4820" w:type="dxa"/>
            <w:vAlign w:val="bottom"/>
          </w:tcPr>
          <w:p>
            <w:pPr>
              <w:ind w:left="20"/>
              <w:spacing w:after="0" w:line="222" w:lineRule="exact"/>
              <w:rPr>
                <w:sz w:val="20"/>
                <w:szCs w:val="20"/>
                <w:color w:val="auto"/>
              </w:rPr>
            </w:pPr>
            <w:r>
              <w:rPr>
                <w:rFonts w:ascii="Times New Roman" w:cs="Times New Roman" w:eastAsia="Times New Roman" w:hAnsi="Times New Roman"/>
                <w:sz w:val="17"/>
                <w:szCs w:val="17"/>
                <w:color w:val="auto"/>
              </w:rPr>
              <w:t xml:space="preserve">Loss ratio </w:t>
            </w:r>
            <w:r>
              <w:rPr>
                <w:rFonts w:ascii="Times New Roman" w:cs="Times New Roman" w:eastAsia="Times New Roman" w:hAnsi="Times New Roman"/>
                <w:sz w:val="22"/>
                <w:szCs w:val="22"/>
                <w:color w:val="auto"/>
                <w:vertAlign w:val="superscript"/>
              </w:rPr>
              <w:t>(1)</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13.3 %</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3.0 %</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820" w:type="dxa"/>
            <w:vAlign w:val="bottom"/>
            <w:shd w:val="clear" w:color="auto" w:fill="CCEEFF"/>
          </w:tcPr>
          <w:p>
            <w:pPr>
              <w:ind w:left="20"/>
              <w:spacing w:after="0" w:line="222" w:lineRule="exact"/>
              <w:rPr>
                <w:sz w:val="20"/>
                <w:szCs w:val="20"/>
                <w:color w:val="auto"/>
              </w:rPr>
            </w:pPr>
            <w:r>
              <w:rPr>
                <w:rFonts w:ascii="Times New Roman" w:cs="Times New Roman" w:eastAsia="Times New Roman" w:hAnsi="Times New Roman"/>
                <w:sz w:val="17"/>
                <w:szCs w:val="17"/>
                <w:color w:val="auto"/>
              </w:rPr>
              <w:t xml:space="preserve">Expense ratio </w:t>
            </w:r>
            <w:r>
              <w:rPr>
                <w:rFonts w:ascii="Times New Roman" w:cs="Times New Roman" w:eastAsia="Times New Roman" w:hAnsi="Times New Roman"/>
                <w:sz w:val="22"/>
                <w:szCs w:val="22"/>
                <w:color w:val="auto"/>
                <w:vertAlign w:val="superscript"/>
              </w:rPr>
              <w:t>(2)</w:t>
            </w:r>
          </w:p>
        </w:tc>
        <w:tc>
          <w:tcPr>
            <w:tcW w:w="16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19.8 %</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20.2 %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Combined ratio</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33.1 %</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23.2 %</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2"/>
        </w:trPr>
        <w:tc>
          <w:tcPr>
            <w:tcW w:w="4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0" w:type="dxa"/>
            <w:vAlign w:val="bottom"/>
            <w:gridSpan w:val="5"/>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6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w w:val="97"/>
              </w:rPr>
              <w:t>% Change</w:t>
            </w:r>
          </w:p>
        </w:tc>
        <w:tc>
          <w:tcPr>
            <w:tcW w:w="0" w:type="dxa"/>
            <w:vAlign w:val="bottom"/>
          </w:tcPr>
          <w:p>
            <w:pPr>
              <w:spacing w:after="0"/>
              <w:rPr>
                <w:sz w:val="1"/>
                <w:szCs w:val="1"/>
                <w:color w:val="auto"/>
              </w:rPr>
            </w:pPr>
          </w:p>
        </w:tc>
      </w:tr>
      <w:tr>
        <w:trPr>
          <w:trHeight w:val="23"/>
        </w:trPr>
        <w:tc>
          <w:tcPr>
            <w:tcW w:w="4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Non-GAAP financial measures </w:t>
            </w:r>
            <w:r>
              <w:rPr>
                <w:rFonts w:ascii="Times New Roman" w:cs="Times New Roman" w:eastAsia="Times New Roman" w:hAnsi="Times New Roman"/>
                <w:sz w:val="18"/>
                <w:szCs w:val="18"/>
                <w:b w:val="1"/>
                <w:bCs w:val="1"/>
                <w:color w:val="auto"/>
                <w:vertAlign w:val="superscript"/>
              </w:rPr>
              <w:t>(3)</w:t>
            </w: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8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ind w:left="780"/>
              <w:spacing w:after="0"/>
              <w:rPr>
                <w:sz w:val="20"/>
                <w:szCs w:val="20"/>
                <w:color w:val="auto"/>
              </w:rPr>
            </w:pPr>
            <w:r>
              <w:rPr>
                <w:rFonts w:ascii="Times New Roman" w:cs="Times New Roman" w:eastAsia="Times New Roman" w:hAnsi="Times New Roman"/>
                <w:sz w:val="14"/>
                <w:szCs w:val="14"/>
                <w:b w:val="1"/>
                <w:bCs w:val="1"/>
                <w:color w:val="auto"/>
                <w:w w:val="98"/>
              </w:rPr>
              <w:t>2026 vs. 2025</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20" w:type="dxa"/>
            <w:vAlign w:val="bottom"/>
            <w:gridSpan w:val="6"/>
          </w:tcPr>
          <w:p>
            <w:pPr>
              <w:ind w:left="100"/>
              <w:spacing w:after="0"/>
              <w:rPr>
                <w:sz w:val="20"/>
                <w:szCs w:val="20"/>
                <w:color w:val="auto"/>
              </w:rPr>
            </w:pPr>
            <w:r>
              <w:rPr>
                <w:rFonts w:ascii="Times New Roman" w:cs="Times New Roman" w:eastAsia="Times New Roman" w:hAnsi="Times New Roman"/>
                <w:sz w:val="14"/>
                <w:szCs w:val="14"/>
                <w:i w:val="1"/>
                <w:iCs w:val="1"/>
                <w:color w:val="auto"/>
              </w:rPr>
              <w:t>($ In Thousands, except for per share data)</w:t>
            </w: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Adjusted income before tax</w:t>
            </w:r>
          </w:p>
        </w:tc>
        <w:tc>
          <w:tcPr>
            <w:tcW w:w="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125,090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131,347</w:t>
            </w:r>
          </w:p>
        </w:tc>
        <w:tc>
          <w:tcPr>
            <w:tcW w:w="8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(6,257)</w:t>
            </w: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222"/>
        </w:trPr>
        <w:tc>
          <w:tcPr>
            <w:tcW w:w="4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Adjusted net income</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99,446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102,540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(3,094)</w:t>
            </w:r>
          </w:p>
        </w:tc>
        <w:tc>
          <w:tcPr>
            <w:tcW w:w="480" w:type="dxa"/>
            <w:vAlign w:val="bottom"/>
          </w:tcPr>
          <w:p>
            <w:pPr>
              <w:spacing w:after="0"/>
              <w:rPr>
                <w:sz w:val="19"/>
                <w:szCs w:val="19"/>
                <w:color w:val="auto"/>
              </w:rPr>
            </w:pPr>
          </w:p>
        </w:tc>
        <w:tc>
          <w:tcPr>
            <w:tcW w:w="10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22"/>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Adjusted diluted EPS</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1.28</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bl>
    <w:p>
      <w:pPr>
        <w:spacing w:after="0" w:line="213" w:lineRule="exact"/>
        <w:rPr>
          <w:sz w:val="20"/>
          <w:szCs w:val="20"/>
          <w:color w:val="auto"/>
        </w:rPr>
      </w:pPr>
    </w:p>
    <w:p>
      <w:pPr>
        <w:ind w:left="300" w:hanging="295"/>
        <w:spacing w:after="0"/>
        <w:tabs>
          <w:tab w:leader="none" w:pos="3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Loss ratio is calculated by dividing insurance claims and claim expenses by net premiums earned.</w:t>
      </w:r>
    </w:p>
    <w:p>
      <w:pPr>
        <w:spacing w:after="0" w:line="21" w:lineRule="exact"/>
        <w:rPr>
          <w:rFonts w:ascii="Times New Roman" w:cs="Times New Roman" w:eastAsia="Times New Roman" w:hAnsi="Times New Roman"/>
          <w:sz w:val="14"/>
          <w:szCs w:val="14"/>
          <w:color w:val="auto"/>
        </w:rPr>
      </w:pPr>
    </w:p>
    <w:p>
      <w:pPr>
        <w:ind w:left="300" w:hanging="295"/>
        <w:spacing w:after="0"/>
        <w:tabs>
          <w:tab w:leader="none" w:pos="3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Expense ratio is calculated by dividing underwriting and operating expenses by net premiums earned.</w:t>
      </w:r>
    </w:p>
    <w:p>
      <w:pPr>
        <w:spacing w:after="0" w:line="8" w:lineRule="exact"/>
        <w:rPr>
          <w:rFonts w:ascii="Times New Roman" w:cs="Times New Roman" w:eastAsia="Times New Roman" w:hAnsi="Times New Roman"/>
          <w:sz w:val="14"/>
          <w:szCs w:val="14"/>
          <w:color w:val="auto"/>
        </w:rPr>
      </w:pPr>
    </w:p>
    <w:p>
      <w:pPr>
        <w:ind w:left="300" w:hanging="295"/>
        <w:spacing w:after="0"/>
        <w:tabs>
          <w:tab w:leader="none" w:pos="3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w:t>
      </w:r>
      <w:r>
        <w:rPr>
          <w:rFonts w:ascii="Times New Roman" w:cs="Times New Roman" w:eastAsia="Times New Roman" w:hAnsi="Times New Roman"/>
          <w:sz w:val="14"/>
          <w:szCs w:val="14"/>
          <w:i w:val="1"/>
          <w:iCs w:val="1"/>
          <w:color w:val="auto"/>
        </w:rPr>
        <w:t>Explanation and Reconciliation of Our Use of Non-GAAP Financial Measures,”</w:t>
      </w:r>
      <w:r>
        <w:rPr>
          <w:rFonts w:ascii="Times New Roman" w:cs="Times New Roman" w:eastAsia="Times New Roman" w:hAnsi="Times New Roman"/>
          <w:sz w:val="14"/>
          <w:szCs w:val="14"/>
          <w:color w:val="auto"/>
        </w:rPr>
        <w:t xml:space="preserve"> below.</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Revenues</w:t>
      </w:r>
    </w:p>
    <w:p>
      <w:pPr>
        <w:spacing w:after="0" w:line="174" w:lineRule="exact"/>
        <w:rPr>
          <w:sz w:val="20"/>
          <w:szCs w:val="20"/>
          <w:color w:val="auto"/>
        </w:rPr>
      </w:pPr>
    </w:p>
    <w:p>
      <w:pPr>
        <w:jc w:val="both"/>
        <w:ind w:firstLine="627"/>
        <w:spacing w:after="0" w:line="276" w:lineRule="auto"/>
        <w:rPr>
          <w:sz w:val="20"/>
          <w:szCs w:val="20"/>
          <w:color w:val="auto"/>
        </w:rPr>
      </w:pPr>
      <w:r>
        <w:rPr>
          <w:rFonts w:ascii="Times New Roman" w:cs="Times New Roman" w:eastAsia="Times New Roman" w:hAnsi="Times New Roman"/>
          <w:sz w:val="17"/>
          <w:szCs w:val="17"/>
          <w:color w:val="auto"/>
        </w:rPr>
        <w:t>Net premiums earned increased during the three months ended March 31, 2026 compared to the three months ended March 31, 2025 primarily due to growth in our monthly IIF and direct monthly pay premium receipts, partially offset by the impact of ceded premiums under our third-party reinsurance transactions and a reduction in the contribution of earnings from single premium policies.</w:t>
      </w:r>
    </w:p>
    <w:p>
      <w:pPr>
        <w:spacing w:after="0" w:line="110" w:lineRule="exact"/>
        <w:rPr>
          <w:sz w:val="20"/>
          <w:szCs w:val="20"/>
          <w:color w:val="auto"/>
        </w:rPr>
      </w:pPr>
    </w:p>
    <w:p>
      <w:pPr>
        <w:jc w:val="both"/>
        <w:ind w:firstLine="627"/>
        <w:spacing w:after="0" w:line="276" w:lineRule="auto"/>
        <w:rPr>
          <w:sz w:val="20"/>
          <w:szCs w:val="20"/>
          <w:color w:val="auto"/>
        </w:rPr>
      </w:pPr>
      <w:r>
        <w:rPr>
          <w:rFonts w:ascii="Times New Roman" w:cs="Times New Roman" w:eastAsia="Times New Roman" w:hAnsi="Times New Roman"/>
          <w:sz w:val="17"/>
          <w:szCs w:val="17"/>
          <w:color w:val="auto"/>
        </w:rPr>
        <w:t>Net investment income increased during the three months ended March 31, 2026 compared to the three months ended March 31, 2025 primarily due to growth in the size of our total invested asset base, as well as an increase in the book yield of our investment portfolio tied to the deployment of new cash flows and reinvestment of rolling maturities at incrementally higher rates.</w:t>
      </w:r>
    </w:p>
    <w:p>
      <w:pPr>
        <w:spacing w:after="0" w:line="11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Other revenues represent underwriting fee revenue generated by our subsidiary, NMIS, which provides outsourced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82" w:right="339" w:bottom="1440" w:gutter="0" w:footer="0" w:header="0"/>
        </w:sectPr>
      </w:pPr>
    </w:p>
    <w:bookmarkStart w:id="40" w:name="page41"/>
    <w:bookmarkEnd w:id="40"/>
    <w:p>
      <w:pPr>
        <w:jc w:val="both"/>
        <w:spacing w:after="0" w:line="295" w:lineRule="auto"/>
        <w:rPr>
          <w:sz w:val="20"/>
          <w:szCs w:val="20"/>
          <w:color w:val="auto"/>
        </w:rPr>
      </w:pPr>
      <w:r>
        <w:rPr>
          <w:rFonts w:ascii="Times New Roman" w:cs="Times New Roman" w:eastAsia="Times New Roman" w:hAnsi="Times New Roman"/>
          <w:sz w:val="17"/>
          <w:szCs w:val="17"/>
          <w:color w:val="auto"/>
        </w:rPr>
        <w:t>review services to mortgage loan originators. Changes in other revenues primarily reflect changes in NMIS' outsourced loan review volume. Amounts recognized in other revenues generally correspond with amounts incurred as service expenses for outsourced loan review activities in the same periods.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Expenses</w:t>
      </w:r>
    </w:p>
    <w:p>
      <w:pPr>
        <w:spacing w:after="0" w:line="174" w:lineRule="exact"/>
        <w:rPr>
          <w:sz w:val="20"/>
          <w:szCs w:val="20"/>
          <w:color w:val="auto"/>
        </w:rPr>
      </w:pPr>
    </w:p>
    <w:p>
      <w:pPr>
        <w:jc w:val="both"/>
        <w:ind w:firstLine="627"/>
        <w:spacing w:after="0" w:line="276" w:lineRule="auto"/>
        <w:rPr>
          <w:sz w:val="20"/>
          <w:szCs w:val="20"/>
          <w:color w:val="auto"/>
        </w:rPr>
      </w:pPr>
      <w:r>
        <w:rPr>
          <w:rFonts w:ascii="Times New Roman" w:cs="Times New Roman" w:eastAsia="Times New Roman" w:hAnsi="Times New Roman"/>
          <w:sz w:val="17"/>
          <w:szCs w:val="17"/>
          <w:color w:val="auto"/>
        </w:rPr>
        <w:t>We recognize insurance claims and claim expenses in connection with the loss experience of our insured portfolio and incur other underwriting and operating expenses, including employee compensation and benefits, policy acquisition costs, and technology, professional services and facilities expenses, in connection with the development and operation of our business. We also incur service expenses in connection with NMIS' outsourced loan review activities.</w:t>
      </w:r>
    </w:p>
    <w:p>
      <w:pPr>
        <w:spacing w:after="0" w:line="110" w:lineRule="exact"/>
        <w:rPr>
          <w:sz w:val="20"/>
          <w:szCs w:val="20"/>
          <w:color w:val="auto"/>
        </w:rPr>
      </w:pPr>
    </w:p>
    <w:p>
      <w:pPr>
        <w:jc w:val="both"/>
        <w:ind w:firstLine="627"/>
        <w:spacing w:after="0" w:line="266" w:lineRule="auto"/>
        <w:rPr>
          <w:sz w:val="20"/>
          <w:szCs w:val="20"/>
          <w:color w:val="auto"/>
        </w:rPr>
      </w:pPr>
      <w:r>
        <w:rPr>
          <w:rFonts w:ascii="Times New Roman" w:cs="Times New Roman" w:eastAsia="Times New Roman" w:hAnsi="Times New Roman"/>
          <w:sz w:val="17"/>
          <w:szCs w:val="17"/>
          <w:color w:val="auto"/>
        </w:rPr>
        <w:t>Insurance claims and claim expenses increased during the three months ended March 31, 2026 compared to the three months ended March 31, 2025 primarily due to an increase in the number of newly defaulted loans that emerged during the period and the establishment of initial reserves against such loans, as well as an increase in the average case reserves held against previously defaulted loans that aged in their delinquency status, partially offset by the release of a portion of the reserves we established for anticipated claims payments in prior periods in connection with cure activity and the ongoing analysis of recent loss development trends.</w:t>
      </w:r>
    </w:p>
    <w:p>
      <w:pPr>
        <w:spacing w:after="0" w:line="119" w:lineRule="exact"/>
        <w:rPr>
          <w:sz w:val="20"/>
          <w:szCs w:val="20"/>
          <w:color w:val="auto"/>
        </w:rPr>
      </w:pPr>
    </w:p>
    <w:p>
      <w:pPr>
        <w:jc w:val="both"/>
        <w:ind w:firstLine="627"/>
        <w:spacing w:after="0" w:line="276" w:lineRule="auto"/>
        <w:rPr>
          <w:sz w:val="20"/>
          <w:szCs w:val="20"/>
          <w:color w:val="auto"/>
        </w:rPr>
      </w:pPr>
      <w:r>
        <w:rPr>
          <w:rFonts w:ascii="Times New Roman" w:cs="Times New Roman" w:eastAsia="Times New Roman" w:hAnsi="Times New Roman"/>
          <w:sz w:val="17"/>
          <w:szCs w:val="17"/>
          <w:color w:val="auto"/>
        </w:rPr>
        <w:t>Underwriting and operating expenses increased during the three months ended March 31, 2026 compared to the three months ended March 31, 2025 primarily due to an increase in certain technology expenses and employee compensation costs, partially offset by an increase in ceding commissions received under our QSR Transactions and a decline in depreciation and amortization expenses.</w:t>
      </w:r>
    </w:p>
    <w:p>
      <w:pPr>
        <w:spacing w:after="0" w:line="110" w:lineRule="exact"/>
        <w:rPr>
          <w:sz w:val="20"/>
          <w:szCs w:val="20"/>
          <w:color w:val="auto"/>
        </w:rPr>
      </w:pPr>
    </w:p>
    <w:p>
      <w:pPr>
        <w:jc w:val="both"/>
        <w:ind w:firstLine="627"/>
        <w:spacing w:after="0" w:line="276" w:lineRule="auto"/>
        <w:rPr>
          <w:sz w:val="20"/>
          <w:szCs w:val="20"/>
          <w:color w:val="auto"/>
        </w:rPr>
      </w:pPr>
      <w:r>
        <w:rPr>
          <w:rFonts w:ascii="Times New Roman" w:cs="Times New Roman" w:eastAsia="Times New Roman" w:hAnsi="Times New Roman"/>
          <w:sz w:val="17"/>
          <w:szCs w:val="17"/>
          <w:color w:val="auto"/>
        </w:rPr>
        <w:t>Service expenses represent third-party costs incurred by NMIS in connection with the services it provides. Changes in service expenses primarily reflect changes in NMIS' outsourced loan review volume. Amounts incurred as service expenses generally correspond with amounts recognized in other revenues in the same periods.</w:t>
      </w:r>
    </w:p>
    <w:p>
      <w:pPr>
        <w:spacing w:after="0" w:line="108" w:lineRule="exact"/>
        <w:rPr>
          <w:sz w:val="20"/>
          <w:szCs w:val="20"/>
          <w:color w:val="auto"/>
        </w:rPr>
      </w:pPr>
    </w:p>
    <w:p>
      <w:pPr>
        <w:jc w:val="both"/>
        <w:ind w:firstLine="627"/>
        <w:spacing w:after="0" w:line="298" w:lineRule="auto"/>
        <w:rPr>
          <w:sz w:val="20"/>
          <w:szCs w:val="20"/>
          <w:color w:val="auto"/>
        </w:rPr>
      </w:pPr>
      <w:r>
        <w:rPr>
          <w:rFonts w:ascii="Times New Roman" w:cs="Times New Roman" w:eastAsia="Times New Roman" w:hAnsi="Times New Roman"/>
          <w:sz w:val="17"/>
          <w:szCs w:val="17"/>
          <w:color w:val="auto"/>
        </w:rPr>
        <w:t>Interest expense primarily reflects the carrying costs of our outstanding debt. For further information, see Item 1, “</w:t>
      </w:r>
      <w:r>
        <w:rPr>
          <w:rFonts w:ascii="Times New Roman" w:cs="Times New Roman" w:eastAsia="Times New Roman" w:hAnsi="Times New Roman"/>
          <w:sz w:val="17"/>
          <w:szCs w:val="17"/>
          <w:i w:val="1"/>
          <w:iCs w:val="1"/>
          <w:color w:val="auto"/>
        </w:rPr>
        <w:t>Financial Statements - Notes to</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Condensed Consolidated Financial Statements - Note 4, Debt.”</w:t>
      </w:r>
    </w:p>
    <w:p>
      <w:pPr>
        <w:spacing w:after="0" w:line="92" w:lineRule="exact"/>
        <w:rPr>
          <w:sz w:val="20"/>
          <w:szCs w:val="20"/>
          <w:color w:val="auto"/>
        </w:rPr>
      </w:pPr>
    </w:p>
    <w:p>
      <w:pPr>
        <w:jc w:val="both"/>
        <w:ind w:firstLine="627"/>
        <w:spacing w:after="0" w:line="263" w:lineRule="auto"/>
        <w:rPr>
          <w:sz w:val="20"/>
          <w:szCs w:val="20"/>
          <w:color w:val="auto"/>
        </w:rPr>
      </w:pPr>
      <w:r>
        <w:rPr>
          <w:rFonts w:ascii="Times New Roman" w:cs="Times New Roman" w:eastAsia="Times New Roman" w:hAnsi="Times New Roman"/>
          <w:sz w:val="17"/>
          <w:szCs w:val="17"/>
          <w:color w:val="auto"/>
        </w:rPr>
        <w:t>Income tax expense decreased during the three months ended March 31, 2026 compared to the three months ended March 31, 2025 primarily due to a decline in our pre-tax income and a decrease in our effective tax rate. Our effective tax rate on pre-tax income was 20.5% for the three months ended March 31, 2026, compared to 21.9% for the three months ended March 31, 2025. As a U.S. taxpayer, we are subject to a statutory U.S. federal corporate income tax rate of 21%. Our provision for income taxes for interim periods is established based on our estimated annual effective tax rate for a given year and reflects the impact of discrete tax effects in the period in which they occur. Our effective tax rate for the three months ended March 31, 2026 and 2025 reflects the discrete tax effects of the vesting of RSUs, and our effective tax for the three months ended March 31, 2026 further reflects the exercise of options. See Item 1, “</w:t>
      </w:r>
      <w:r>
        <w:rPr>
          <w:rFonts w:ascii="Times New Roman" w:cs="Times New Roman" w:eastAsia="Times New Roman" w:hAnsi="Times New Roman"/>
          <w:sz w:val="17"/>
          <w:szCs w:val="17"/>
          <w:i w:val="1"/>
          <w:iCs w:val="1"/>
          <w:color w:val="auto"/>
        </w:rPr>
        <w:t>Financial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Statements - Notes to Condensed Consolidated Financial Statements - Note 9, Income Taxes.”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Net Income</w:t>
      </w:r>
    </w:p>
    <w:p>
      <w:pPr>
        <w:spacing w:after="0" w:line="174" w:lineRule="exact"/>
        <w:rPr>
          <w:sz w:val="20"/>
          <w:szCs w:val="20"/>
          <w:color w:val="auto"/>
        </w:rPr>
      </w:pPr>
    </w:p>
    <w:p>
      <w:pPr>
        <w:jc w:val="both"/>
        <w:ind w:firstLine="627"/>
        <w:spacing w:after="0" w:line="269" w:lineRule="auto"/>
        <w:rPr>
          <w:sz w:val="20"/>
          <w:szCs w:val="20"/>
          <w:color w:val="auto"/>
        </w:rPr>
      </w:pPr>
      <w:r>
        <w:rPr>
          <w:rFonts w:ascii="Times New Roman" w:cs="Times New Roman" w:eastAsia="Times New Roman" w:hAnsi="Times New Roman"/>
          <w:sz w:val="17"/>
          <w:szCs w:val="17"/>
          <w:color w:val="auto"/>
        </w:rPr>
        <w:t>Net income and adjusted net income decreased during the three months ended March 31, 2026 compared to the three months ended March 31, 2025 primarily due to an increase in our insurance claims and claim expenses, partially offset by growth in our total revenues. Diluted and adjusted diluted EPS were unchanged for the three months ended March 31, 2026 compared to the three months ended March 31, 2025, with the decrease in net income and adjusted net income offset by a decline in the number of weighted average diluted shares outstanding tied to share repurchase activity.</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41" w:name="page42"/>
    <w:bookmarkEnd w:id="41"/>
    <w:p>
      <w:pPr>
        <w:ind w:left="74" w:firstLine="627"/>
        <w:spacing w:after="0" w:line="295" w:lineRule="auto"/>
        <w:rPr>
          <w:sz w:val="20"/>
          <w:szCs w:val="20"/>
          <w:color w:val="auto"/>
        </w:rPr>
      </w:pPr>
      <w:r>
        <w:rPr>
          <w:rFonts w:ascii="Times New Roman" w:cs="Times New Roman" w:eastAsia="Times New Roman" w:hAnsi="Times New Roman"/>
          <w:sz w:val="17"/>
          <w:szCs w:val="17"/>
          <w:color w:val="auto"/>
        </w:rPr>
        <w:t>The non-GAAP financial measures of adjusted income before tax, adjusted net income and adjusted diluted EPS are presented to enhance the comparability of financial results between periods.</w:t>
      </w:r>
    </w:p>
    <w:p>
      <w:pPr>
        <w:spacing w:after="0" w:line="136" w:lineRule="exact"/>
        <w:rPr>
          <w:sz w:val="20"/>
          <w:szCs w:val="20"/>
          <w:color w:val="auto"/>
        </w:rPr>
      </w:pPr>
    </w:p>
    <w:tbl>
      <w:tblPr>
        <w:tblLayout w:type="fixed"/>
        <w:tblInd w:w="74" w:type="dxa"/>
        <w:tblCellMar>
          <w:top w:w="0" w:type="dxa"/>
          <w:left w:w="0" w:type="dxa"/>
          <w:bottom w:w="0" w:type="dxa"/>
          <w:right w:w="0" w:type="dxa"/>
        </w:tblCellMar>
      </w:tblPr>
      <w:tr>
        <w:trPr>
          <w:trHeight w:val="209"/>
        </w:trPr>
        <w:tc>
          <w:tcPr>
            <w:tcW w:w="50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Non-GAAP Financial Measure Reconciliations</w:t>
            </w:r>
          </w:p>
        </w:tc>
        <w:tc>
          <w:tcPr>
            <w:tcW w:w="200" w:type="dxa"/>
            <w:vAlign w:val="bottom"/>
          </w:tcPr>
          <w:p>
            <w:pPr>
              <w:spacing w:after="0"/>
              <w:rPr>
                <w:sz w:val="18"/>
                <w:szCs w:val="18"/>
                <w:color w:val="auto"/>
              </w:rPr>
            </w:pPr>
          </w:p>
        </w:tc>
        <w:tc>
          <w:tcPr>
            <w:tcW w:w="280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260" w:type="dxa"/>
            <w:vAlign w:val="bottom"/>
          </w:tcPr>
          <w:p>
            <w:pPr>
              <w:spacing w:after="0"/>
              <w:rPr>
                <w:sz w:val="18"/>
                <w:szCs w:val="18"/>
                <w:color w:val="auto"/>
              </w:rPr>
            </w:pPr>
          </w:p>
        </w:tc>
        <w:tc>
          <w:tcPr>
            <w:tcW w:w="16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6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w w:val="97"/>
              </w:rPr>
              <w:t>% Change</w:t>
            </w:r>
          </w:p>
        </w:tc>
      </w:tr>
      <w:tr>
        <w:trPr>
          <w:trHeight w:val="185"/>
        </w:trPr>
        <w:tc>
          <w:tcPr>
            <w:tcW w:w="5000" w:type="dxa"/>
            <w:vAlign w:val="bottom"/>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bottom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600" w:type="dxa"/>
            <w:vAlign w:val="bottom"/>
            <w:tcBorders>
              <w:top w:val="single" w:sz="8" w:color="auto"/>
              <w:bottom w:val="single" w:sz="8" w:color="auto"/>
            </w:tcBorders>
            <w:gridSpan w:val="2"/>
          </w:tcPr>
          <w:p>
            <w:pPr>
              <w:ind w:left="820"/>
              <w:spacing w:after="0"/>
              <w:rPr>
                <w:sz w:val="20"/>
                <w:szCs w:val="20"/>
                <w:color w:val="auto"/>
              </w:rPr>
            </w:pPr>
            <w:r>
              <w:rPr>
                <w:rFonts w:ascii="Times New Roman" w:cs="Times New Roman" w:eastAsia="Times New Roman" w:hAnsi="Times New Roman"/>
                <w:sz w:val="14"/>
                <w:szCs w:val="14"/>
                <w:b w:val="1"/>
                <w:bCs w:val="1"/>
                <w:color w:val="auto"/>
                <w:w w:val="96"/>
              </w:rPr>
              <w:t>2026 vs. 2025</w:t>
            </w:r>
          </w:p>
        </w:tc>
        <w:tc>
          <w:tcPr>
            <w:tcW w:w="1060" w:type="dxa"/>
            <w:vAlign w:val="bottom"/>
            <w:tcBorders>
              <w:top w:val="single" w:sz="8" w:color="auto"/>
              <w:bottom w:val="single" w:sz="8" w:color="auto"/>
            </w:tcBorders>
          </w:tcPr>
          <w:p>
            <w:pPr>
              <w:spacing w:after="0"/>
              <w:rPr>
                <w:sz w:val="16"/>
                <w:szCs w:val="16"/>
                <w:color w:val="auto"/>
              </w:rPr>
            </w:pPr>
          </w:p>
        </w:tc>
      </w:tr>
      <w:tr>
        <w:trPr>
          <w:trHeight w:val="209"/>
        </w:trPr>
        <w:tc>
          <w:tcPr>
            <w:tcW w:w="50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As reported</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80" w:type="dxa"/>
            <w:vAlign w:val="bottom"/>
            <w:gridSpan w:val="5"/>
          </w:tcPr>
          <w:p>
            <w:pPr>
              <w:ind w:left="80"/>
              <w:spacing w:after="0"/>
              <w:rPr>
                <w:sz w:val="20"/>
                <w:szCs w:val="20"/>
                <w:color w:val="auto"/>
              </w:rPr>
            </w:pPr>
            <w:r>
              <w:rPr>
                <w:rFonts w:ascii="Times New Roman" w:cs="Times New Roman" w:eastAsia="Times New Roman" w:hAnsi="Times New Roman"/>
                <w:sz w:val="14"/>
                <w:szCs w:val="14"/>
                <w:i w:val="1"/>
                <w:iCs w:val="1"/>
                <w:color w:val="auto"/>
              </w:rPr>
              <w:t>($ In Thousands, except for per share data)</w:t>
            </w:r>
          </w:p>
        </w:tc>
        <w:tc>
          <w:tcPr>
            <w:tcW w:w="1060" w:type="dxa"/>
            <w:vAlign w:val="bottom"/>
          </w:tcPr>
          <w:p>
            <w:pPr>
              <w:spacing w:after="0"/>
              <w:rPr>
                <w:sz w:val="18"/>
                <w:szCs w:val="18"/>
                <w:color w:val="auto"/>
              </w:rPr>
            </w:pPr>
          </w:p>
        </w:tc>
      </w:tr>
      <w:tr>
        <w:trPr>
          <w:trHeight w:val="222"/>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124,943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131,371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(6,428)</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22"/>
        </w:trPr>
        <w:tc>
          <w:tcPr>
            <w:tcW w:w="5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Income tax expense</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25,613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28,812</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(3,199)</w:t>
            </w:r>
          </w:p>
        </w:tc>
        <w:tc>
          <w:tcPr>
            <w:tcW w:w="52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jc w:val="right"/>
              <w:ind w:right="75"/>
              <w:spacing w:after="0"/>
              <w:rPr>
                <w:sz w:val="20"/>
                <w:szCs w:val="20"/>
                <w:color w:val="auto"/>
              </w:rPr>
            </w:pPr>
            <w:r>
              <w:rPr>
                <w:rFonts w:ascii="Times New Roman" w:cs="Times New Roman" w:eastAsia="Times New Roman" w:hAnsi="Times New Roman"/>
                <w:sz w:val="17"/>
                <w:szCs w:val="17"/>
                <w:color w:val="auto"/>
              </w:rPr>
              <w:t>(11)</w:t>
            </w:r>
          </w:p>
        </w:tc>
      </w:tr>
      <w:tr>
        <w:trPr>
          <w:trHeight w:val="240"/>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99,330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102,559</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(3,229)</w:t>
            </w:r>
          </w:p>
        </w:tc>
        <w:tc>
          <w:tcPr>
            <w:tcW w:w="5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r>
      <w:tr>
        <w:trPr>
          <w:trHeight w:val="208"/>
        </w:trPr>
        <w:tc>
          <w:tcPr>
            <w:tcW w:w="5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2"/>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Adjustments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2"/>
        </w:trPr>
        <w:tc>
          <w:tcPr>
            <w:tcW w:w="5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Net realized investment losses (gains)</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171</w:t>
            </w:r>
          </w:p>
        </w:tc>
        <w:tc>
          <w:tcPr>
            <w:tcW w:w="52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(713)%</w:t>
            </w:r>
          </w:p>
        </w:tc>
      </w:tr>
      <w:tr>
        <w:trPr>
          <w:trHeight w:val="215"/>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Adjusted income before tax</w:t>
            </w: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125,090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131,347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(6,257)</w:t>
            </w: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61"/>
        </w:trPr>
        <w:tc>
          <w:tcPr>
            <w:tcW w:w="50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22"/>
        </w:trPr>
        <w:tc>
          <w:tcPr>
            <w:tcW w:w="5000" w:type="dxa"/>
            <w:vAlign w:val="bottom"/>
            <w:shd w:val="clear" w:color="auto" w:fill="CCEEFF"/>
          </w:tcPr>
          <w:p>
            <w:pPr>
              <w:ind w:left="20"/>
              <w:spacing w:after="0" w:line="222" w:lineRule="exact"/>
              <w:rPr>
                <w:sz w:val="20"/>
                <w:szCs w:val="20"/>
                <w:color w:val="auto"/>
              </w:rPr>
            </w:pPr>
            <w:r>
              <w:rPr>
                <w:rFonts w:ascii="Times New Roman" w:cs="Times New Roman" w:eastAsia="Times New Roman" w:hAnsi="Times New Roman"/>
                <w:sz w:val="17"/>
                <w:szCs w:val="17"/>
                <w:color w:val="auto"/>
              </w:rPr>
              <w:t xml:space="preserve">Income tax expense (benefit) on adjustments </w:t>
            </w:r>
            <w:r>
              <w:rPr>
                <w:rFonts w:ascii="Times New Roman" w:cs="Times New Roman" w:eastAsia="Times New Roman" w:hAnsi="Times New Roman"/>
                <w:sz w:val="22"/>
                <w:szCs w:val="22"/>
                <w:color w:val="auto"/>
                <w:vertAlign w:val="superscript"/>
              </w:rPr>
              <w:t>(1)</w:t>
            </w: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(720)%</w:t>
            </w:r>
          </w:p>
        </w:tc>
      </w:tr>
      <w:tr>
        <w:trPr>
          <w:trHeight w:val="215"/>
        </w:trPr>
        <w:tc>
          <w:tcPr>
            <w:tcW w:w="50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Adjusted net income</w:t>
            </w: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99,446</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102,540</w:t>
            </w:r>
          </w:p>
        </w:tc>
        <w:tc>
          <w:tcPr>
            <w:tcW w:w="80" w:type="dxa"/>
            <w:vAlign w:val="bottom"/>
          </w:tcPr>
          <w:p>
            <w:pPr>
              <w:spacing w:after="0"/>
              <w:rPr>
                <w:sz w:val="18"/>
                <w:szCs w:val="18"/>
                <w:color w:val="auto"/>
              </w:rPr>
            </w:pP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(3,094)</w:t>
            </w:r>
          </w:p>
        </w:tc>
        <w:tc>
          <w:tcPr>
            <w:tcW w:w="5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61"/>
        </w:trPr>
        <w:tc>
          <w:tcPr>
            <w:tcW w:w="50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222"/>
        </w:trPr>
        <w:tc>
          <w:tcPr>
            <w:tcW w:w="5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 average diluted shares outstanding</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77,435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79,858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(2,423)</w:t>
            </w: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22"/>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Adjusted diluted EPS</w:t>
            </w: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r>
    </w:tbl>
    <w:p>
      <w:pPr>
        <w:spacing w:after="0" w:line="121" w:lineRule="exact"/>
        <w:rPr>
          <w:sz w:val="20"/>
          <w:szCs w:val="20"/>
          <w:color w:val="auto"/>
        </w:rPr>
      </w:pPr>
    </w:p>
    <w:p>
      <w:pPr>
        <w:ind w:left="314" w:hanging="314"/>
        <w:spacing w:after="0" w:line="265" w:lineRule="auto"/>
        <w:tabs>
          <w:tab w:leader="none" w:pos="341"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Marginal tax impact of non-GAAP adjustments is calculated based on our statutory U.S. federal corporate income tax rate of 21%, except for those items that are not eligible for an income tax deduction.</w:t>
      </w:r>
    </w:p>
    <w:p>
      <w:pPr>
        <w:spacing w:after="0" w:line="209" w:lineRule="exact"/>
        <w:rPr>
          <w:sz w:val="20"/>
          <w:szCs w:val="20"/>
          <w:color w:val="auto"/>
        </w:rPr>
      </w:pPr>
    </w:p>
    <w:p>
      <w:pPr>
        <w:ind w:left="74"/>
        <w:spacing w:after="0"/>
        <w:rPr>
          <w:sz w:val="20"/>
          <w:szCs w:val="20"/>
          <w:color w:val="auto"/>
        </w:rPr>
      </w:pPr>
      <w:r>
        <w:rPr>
          <w:rFonts w:ascii="Times New Roman" w:cs="Times New Roman" w:eastAsia="Times New Roman" w:hAnsi="Times New Roman"/>
          <w:sz w:val="17"/>
          <w:szCs w:val="17"/>
          <w:b w:val="1"/>
          <w:bCs w:val="1"/>
          <w:color w:val="auto"/>
        </w:rPr>
        <w:t>Explanation and Reconciliation of Our Use of Non-GAAP Financial Measures</w:t>
      </w:r>
    </w:p>
    <w:p>
      <w:pPr>
        <w:spacing w:after="0" w:line="172" w:lineRule="exact"/>
        <w:rPr>
          <w:sz w:val="20"/>
          <w:szCs w:val="20"/>
          <w:color w:val="auto"/>
        </w:rPr>
      </w:pPr>
    </w:p>
    <w:p>
      <w:pPr>
        <w:jc w:val="both"/>
        <w:ind w:left="74" w:firstLine="627"/>
        <w:spacing w:after="0" w:line="265" w:lineRule="auto"/>
        <w:rPr>
          <w:sz w:val="20"/>
          <w:szCs w:val="20"/>
          <w:color w:val="auto"/>
        </w:rPr>
      </w:pPr>
      <w:r>
        <w:rPr>
          <w:rFonts w:ascii="Times New Roman" w:cs="Times New Roman" w:eastAsia="Times New Roman" w:hAnsi="Times New Roman"/>
          <w:sz w:val="17"/>
          <w:szCs w:val="17"/>
          <w:color w:val="auto"/>
        </w:rPr>
        <w:t>We believe the use of the non-GAAP measures of adjusted income before tax, adjusted net income and adjusted diluted EPS enhance the comparability of our fundamental financial performance between periods, and provide relevant information to investors. These non-GAAP financial measures align with the way the company's business performance is evaluated by management. These measures are not prepared in accordance with GAAP and should not be viewed as alternatives to GAAP measures of performance. These measures have been presented to increase transparency and enhance the comparability of our fundamental operating trends across periods. Other companies may calculate these measures differently; their measures may not be comparable to those we calculate and present.</w:t>
      </w:r>
    </w:p>
    <w:p>
      <w:pPr>
        <w:spacing w:after="0" w:line="330" w:lineRule="exact"/>
        <w:rPr>
          <w:sz w:val="20"/>
          <w:szCs w:val="20"/>
          <w:color w:val="auto"/>
        </w:rPr>
      </w:pPr>
    </w:p>
    <w:p>
      <w:pPr>
        <w:jc w:val="both"/>
        <w:ind w:left="74" w:firstLine="627"/>
        <w:spacing w:after="0" w:line="277" w:lineRule="auto"/>
        <w:rPr>
          <w:sz w:val="20"/>
          <w:szCs w:val="20"/>
          <w:color w:val="auto"/>
        </w:rPr>
      </w:pPr>
      <w:r>
        <w:rPr>
          <w:rFonts w:ascii="Times New Roman" w:cs="Times New Roman" w:eastAsia="Times New Roman" w:hAnsi="Times New Roman"/>
          <w:sz w:val="17"/>
          <w:szCs w:val="17"/>
          <w:b w:val="1"/>
          <w:bCs w:val="1"/>
          <w:color w:val="auto"/>
        </w:rPr>
        <w:t xml:space="preserve">Adjusted income before tax </w:t>
      </w:r>
      <w:r>
        <w:rPr>
          <w:rFonts w:ascii="Times New Roman" w:cs="Times New Roman" w:eastAsia="Times New Roman" w:hAnsi="Times New Roman"/>
          <w:sz w:val="17"/>
          <w:szCs w:val="17"/>
          <w:color w:val="auto"/>
        </w:rPr>
        <w:t>is defined as GAAP income before tax, excluding the pre-tax effects of net realized gains or losses from our investment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portfolio, periodic costs incurred in connection with capital markets transactions, and other infrequent, unusual or non-operating items in the periods in which such items are incurred.</w:t>
      </w:r>
    </w:p>
    <w:p>
      <w:pPr>
        <w:spacing w:after="0" w:line="107" w:lineRule="exact"/>
        <w:rPr>
          <w:sz w:val="20"/>
          <w:szCs w:val="20"/>
          <w:color w:val="auto"/>
        </w:rPr>
      </w:pPr>
    </w:p>
    <w:p>
      <w:pPr>
        <w:jc w:val="both"/>
        <w:ind w:left="74" w:firstLine="627"/>
        <w:spacing w:after="0" w:line="277" w:lineRule="auto"/>
        <w:rPr>
          <w:sz w:val="20"/>
          <w:szCs w:val="20"/>
          <w:color w:val="auto"/>
        </w:rPr>
      </w:pPr>
      <w:r>
        <w:rPr>
          <w:rFonts w:ascii="Times New Roman" w:cs="Times New Roman" w:eastAsia="Times New Roman" w:hAnsi="Times New Roman"/>
          <w:sz w:val="17"/>
          <w:szCs w:val="17"/>
          <w:b w:val="1"/>
          <w:bCs w:val="1"/>
          <w:color w:val="auto"/>
        </w:rPr>
        <w:t xml:space="preserve">Adjusted net income </w:t>
      </w:r>
      <w:r>
        <w:rPr>
          <w:rFonts w:ascii="Times New Roman" w:cs="Times New Roman" w:eastAsia="Times New Roman" w:hAnsi="Times New Roman"/>
          <w:sz w:val="17"/>
          <w:szCs w:val="17"/>
          <w:color w:val="auto"/>
        </w:rPr>
        <w:t>is defined as GAAP net income, excluding the after-tax effects of net realized gains or losses from our investment portfolio,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periodic costs incurred in connection with capital markets transactions, and other infrequent, unusual or non-operating items in the periods in which such items are incurred. Adjustments to components of pre-tax income are tax effected using the applicable federal statutory tax rate for the respective periods.</w:t>
      </w:r>
    </w:p>
    <w:p>
      <w:pPr>
        <w:spacing w:after="0" w:line="107" w:lineRule="exact"/>
        <w:rPr>
          <w:sz w:val="20"/>
          <w:szCs w:val="20"/>
          <w:color w:val="auto"/>
        </w:rPr>
      </w:pPr>
    </w:p>
    <w:p>
      <w:pPr>
        <w:jc w:val="both"/>
        <w:ind w:left="74" w:firstLine="627"/>
        <w:spacing w:after="0" w:line="270" w:lineRule="auto"/>
        <w:rPr>
          <w:sz w:val="20"/>
          <w:szCs w:val="20"/>
          <w:color w:val="auto"/>
        </w:rPr>
      </w:pPr>
      <w:r>
        <w:rPr>
          <w:rFonts w:ascii="Times New Roman" w:cs="Times New Roman" w:eastAsia="Times New Roman" w:hAnsi="Times New Roman"/>
          <w:sz w:val="17"/>
          <w:szCs w:val="17"/>
          <w:b w:val="1"/>
          <w:bCs w:val="1"/>
          <w:color w:val="auto"/>
        </w:rPr>
        <w:t xml:space="preserve">Adjusted diluted EPS </w:t>
      </w:r>
      <w:r>
        <w:rPr>
          <w:rFonts w:ascii="Times New Roman" w:cs="Times New Roman" w:eastAsia="Times New Roman" w:hAnsi="Times New Roman"/>
          <w:sz w:val="17"/>
          <w:szCs w:val="17"/>
          <w:color w:val="auto"/>
        </w:rPr>
        <w:t>is defined as adjusted net income divided by adjusted weighted average diluted shares outstanding. Adjusted weighted average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diluted shares outstanding is defined as weighted average diluted shares outstanding, adjusted for changes in the dilutive effect of non-vested shares that would otherwise have occurred had GAAP net income been calculated in accordance with adjusted net income. There will be no adjustment to weighted average diluted shares outstanding in the years that non-vested shares are anti-dilutive under GAAP.</w:t>
      </w:r>
    </w:p>
    <w:p>
      <w:pPr>
        <w:spacing w:after="0" w:line="116" w:lineRule="exact"/>
        <w:rPr>
          <w:sz w:val="20"/>
          <w:szCs w:val="20"/>
          <w:color w:val="auto"/>
        </w:rPr>
      </w:pPr>
    </w:p>
    <w:p>
      <w:pPr>
        <w:jc w:val="both"/>
        <w:ind w:left="74" w:firstLine="627"/>
        <w:spacing w:after="0" w:line="273" w:lineRule="auto"/>
        <w:rPr>
          <w:sz w:val="20"/>
          <w:szCs w:val="20"/>
          <w:color w:val="auto"/>
        </w:rPr>
      </w:pPr>
      <w:r>
        <w:rPr>
          <w:rFonts w:ascii="Times New Roman" w:cs="Times New Roman" w:eastAsia="Times New Roman" w:hAnsi="Times New Roman"/>
          <w:sz w:val="17"/>
          <w:szCs w:val="17"/>
          <w:color w:val="auto"/>
        </w:rPr>
        <w:t>Although adjusted income before tax, adjusted net income and adjusted diluted EPS exclude certain items that have occurred in the past and are expected to occur in the future, the excluded items: (1) are not viewed as part of the operating performance of our primary activities; or (2) are impacted by market, economic or regulatory factors and are not necessarily indicative of operating trends, or both. These adjustments, and the reasons for their treatment, are described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73"/>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74295</wp:posOffset>
            </wp:positionV>
            <wp:extent cx="716216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314"/>
          </w:cols>
          <w:pgMar w:left="246" w:top="984" w:right="339" w:bottom="1440" w:gutter="0" w:footer="0" w:header="0"/>
        </w:sectPr>
      </w:pPr>
    </w:p>
    <w:bookmarkStart w:id="42" w:name="page43"/>
    <w:bookmarkEnd w:id="42"/>
    <w:p>
      <w:pPr>
        <w:jc w:val="both"/>
        <w:ind w:left="640" w:hanging="322"/>
        <w:spacing w:after="0" w:line="277" w:lineRule="auto"/>
        <w:tabs>
          <w:tab w:leader="none" w:pos="63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Net realized investment gains and losses</w:t>
      </w:r>
      <w:r>
        <w:rPr>
          <w:rFonts w:ascii="Times New Roman" w:cs="Times New Roman" w:eastAsia="Times New Roman" w:hAnsi="Times New Roman"/>
          <w:sz w:val="17"/>
          <w:szCs w:val="17"/>
          <w:color w:val="auto"/>
        </w:rPr>
        <w:t>. The recognition of net realized investment gains or losses can vary significantly across periods as the timing 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highly discretionary and is influenced by factors such as market opportunities, tax and capital profile, and overall market cycles that do not reflect our current period operating results.</w:t>
      </w:r>
    </w:p>
    <w:p>
      <w:pPr>
        <w:spacing w:after="0" w:line="107" w:lineRule="exact"/>
        <w:rPr>
          <w:rFonts w:ascii="Times New Roman" w:cs="Times New Roman" w:eastAsia="Times New Roman" w:hAnsi="Times New Roman"/>
          <w:sz w:val="17"/>
          <w:szCs w:val="17"/>
          <w:color w:val="auto"/>
        </w:rPr>
      </w:pPr>
    </w:p>
    <w:p>
      <w:pPr>
        <w:jc w:val="both"/>
        <w:ind w:left="640" w:hanging="322"/>
        <w:spacing w:after="0" w:line="277" w:lineRule="auto"/>
        <w:tabs>
          <w:tab w:leader="none" w:pos="636" w:val="left"/>
        </w:tabs>
        <w:numPr>
          <w:ilvl w:val="0"/>
          <w:numId w:val="19"/>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Capital markets transaction costs</w:t>
      </w:r>
      <w:r>
        <w:rPr>
          <w:rFonts w:ascii="Times New Roman" w:cs="Times New Roman" w:eastAsia="Times New Roman" w:hAnsi="Times New Roman"/>
          <w:sz w:val="17"/>
          <w:szCs w:val="17"/>
          <w:color w:val="auto"/>
        </w:rPr>
        <w:t>. Capital markets transaction costs result from activities that are undertaken to improve our debt profile or enhance 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capital position through activities such as debt refinancing and capital markets reinsurance transactions that may vary in their size and timing due to factors such as market opportunities, tax and capital profile, and overall market cycles.</w:t>
      </w:r>
    </w:p>
    <w:p>
      <w:pPr>
        <w:spacing w:after="0" w:line="107" w:lineRule="exact"/>
        <w:rPr>
          <w:rFonts w:ascii="Times New Roman" w:cs="Times New Roman" w:eastAsia="Times New Roman" w:hAnsi="Times New Roman"/>
          <w:sz w:val="17"/>
          <w:szCs w:val="17"/>
          <w:i w:val="1"/>
          <w:iCs w:val="1"/>
          <w:color w:val="auto"/>
        </w:rPr>
      </w:pPr>
    </w:p>
    <w:p>
      <w:pPr>
        <w:jc w:val="both"/>
        <w:ind w:left="640" w:hanging="322"/>
        <w:spacing w:after="0" w:line="263" w:lineRule="auto"/>
        <w:tabs>
          <w:tab w:leader="none" w:pos="63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Other infrequent, unusual or non-operating items</w:t>
      </w:r>
      <w:r>
        <w:rPr>
          <w:rFonts w:ascii="Times New Roman" w:cs="Times New Roman" w:eastAsia="Times New Roman" w:hAnsi="Times New Roman"/>
          <w:sz w:val="17"/>
          <w:szCs w:val="17"/>
          <w:color w:val="auto"/>
        </w:rPr>
        <w:t>. Items that are the result of unforeseen or uncommon events, and are not expected to recur with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frequency in the future. Identification and exclusion of these items provides clarity about the impact special or rare occurrences may have on our current financial performance. Past adjustments under this category include infrequent, unusual or non-operating adjustments related to severance, restricted stock modification and other expenses incurred in connection with the CEO transition announced in 2021, effects of the release of the valuation allowance recorded against our net federal and certain state net deferred tax assets in 2016 and the re-measurement of our net deferred tax assets in connection with tax reform in 2017. We believe such items are infrequent or non-recurring in nature, and are not indicative of the performance of, or ongoing trends in, our primary operating activities or business.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tc>
        <w:tc>
          <w:tcPr>
            <w:tcW w:w="220" w:type="dxa"/>
            <w:vAlign w:val="bottom"/>
          </w:tcPr>
          <w:p>
            <w:pPr>
              <w:spacing w:after="0"/>
              <w:rPr>
                <w:sz w:val="16"/>
                <w:szCs w:val="16"/>
                <w:color w:val="auto"/>
              </w:rPr>
            </w:pP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80" w:type="dxa"/>
            <w:vAlign w:val="bottom"/>
          </w:tcPr>
          <w:p>
            <w:pPr>
              <w:spacing w:after="0"/>
              <w:rPr>
                <w:sz w:val="16"/>
                <w:szCs w:val="16"/>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00" w:type="dxa"/>
            <w:vAlign w:val="bottom"/>
          </w:tcPr>
          <w:p>
            <w:pPr>
              <w:spacing w:after="0"/>
              <w:rPr>
                <w:sz w:val="16"/>
                <w:szCs w:val="16"/>
                <w:color w:val="auto"/>
              </w:rPr>
            </w:pPr>
          </w:p>
        </w:tc>
        <w:tc>
          <w:tcPr>
            <w:tcW w:w="96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6"/>
                <w:szCs w:val="16"/>
                <w:color w:val="auto"/>
              </w:rPr>
            </w:pPr>
          </w:p>
        </w:tc>
        <w:tc>
          <w:tcPr>
            <w:tcW w:w="1000" w:type="dxa"/>
            <w:vAlign w:val="bottom"/>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3"/>
        </w:trPr>
        <w:tc>
          <w:tcPr>
            <w:tcW w:w="5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120" w:type="dxa"/>
            <w:vAlign w:val="bottom"/>
            <w:gridSpan w:val="5"/>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564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3040" w:type="dxa"/>
            <w:vAlign w:val="bottom"/>
            <w:tcBorders>
              <w:top w:val="single" w:sz="8" w:color="auto"/>
            </w:tcBorders>
            <w:gridSpan w:val="4"/>
          </w:tcPr>
          <w:p>
            <w:pPr>
              <w:jc w:val="right"/>
              <w:ind w:right="1134"/>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5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investment portfolio</w:t>
            </w: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3,174,107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3,137,023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37,084</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1 %</w:t>
            </w:r>
          </w:p>
        </w:tc>
        <w:tc>
          <w:tcPr>
            <w:tcW w:w="0" w:type="dxa"/>
            <w:vAlign w:val="bottom"/>
          </w:tcPr>
          <w:p>
            <w:pPr>
              <w:spacing w:after="0"/>
              <w:rPr>
                <w:sz w:val="1"/>
                <w:szCs w:val="1"/>
                <w:color w:val="auto"/>
              </w:rPr>
            </w:pPr>
          </w:p>
        </w:tc>
      </w:tr>
      <w:tr>
        <w:trPr>
          <w:trHeight w:val="222"/>
        </w:trPr>
        <w:tc>
          <w:tcPr>
            <w:tcW w:w="56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70,679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43,937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26,742</w:t>
            </w:r>
          </w:p>
        </w:tc>
        <w:tc>
          <w:tcPr>
            <w:tcW w:w="1100" w:type="dxa"/>
            <w:vAlign w:val="bottom"/>
            <w:gridSpan w:val="2"/>
          </w:tcPr>
          <w:p>
            <w:pPr>
              <w:jc w:val="right"/>
              <w:ind w:right="117"/>
              <w:spacing w:after="0"/>
              <w:rPr>
                <w:sz w:val="20"/>
                <w:szCs w:val="20"/>
                <w:color w:val="auto"/>
              </w:rPr>
            </w:pPr>
            <w:r>
              <w:rPr>
                <w:rFonts w:ascii="Times New Roman" w:cs="Times New Roman" w:eastAsia="Times New Roman" w:hAnsi="Times New Roman"/>
                <w:sz w:val="17"/>
                <w:szCs w:val="17"/>
                <w:color w:val="auto"/>
              </w:rPr>
              <w:t>61</w:t>
            </w:r>
          </w:p>
        </w:tc>
        <w:tc>
          <w:tcPr>
            <w:tcW w:w="0" w:type="dxa"/>
            <w:vAlign w:val="bottom"/>
          </w:tcPr>
          <w:p>
            <w:pPr>
              <w:spacing w:after="0"/>
              <w:rPr>
                <w:sz w:val="1"/>
                <w:szCs w:val="1"/>
                <w:color w:val="auto"/>
              </w:rPr>
            </w:pPr>
          </w:p>
        </w:tc>
      </w:tr>
      <w:tr>
        <w:trPr>
          <w:trHeight w:val="222"/>
        </w:trPr>
        <w:tc>
          <w:tcPr>
            <w:tcW w:w="5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Premiums receivable, net</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86,861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86,259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602</w:t>
            </w:r>
          </w:p>
        </w:tc>
        <w:tc>
          <w:tcPr>
            <w:tcW w:w="1100" w:type="dxa"/>
            <w:vAlign w:val="bottom"/>
            <w:gridSpan w:val="2"/>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22"/>
        </w:trPr>
        <w:tc>
          <w:tcPr>
            <w:tcW w:w="56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Deferred policy acquisition costs, net</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64,330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64,372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100" w:type="dxa"/>
            <w:vAlign w:val="bottom"/>
          </w:tcPr>
          <w:p>
            <w:pPr>
              <w:spacing w:after="0"/>
              <w:rPr>
                <w:sz w:val="19"/>
                <w:szCs w:val="19"/>
                <w:color w:val="auto"/>
              </w:rPr>
            </w:pPr>
          </w:p>
        </w:tc>
        <w:tc>
          <w:tcPr>
            <w:tcW w:w="100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2"/>
        </w:trPr>
        <w:tc>
          <w:tcPr>
            <w:tcW w:w="5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Software and equipment, net</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20,887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21,727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(840)</w:t>
            </w:r>
          </w:p>
        </w:tc>
        <w:tc>
          <w:tcPr>
            <w:tcW w:w="11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22"/>
        </w:trPr>
        <w:tc>
          <w:tcPr>
            <w:tcW w:w="56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Reinsurance recoverable</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39,703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38,577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1,126</w:t>
            </w:r>
          </w:p>
        </w:tc>
        <w:tc>
          <w:tcPr>
            <w:tcW w:w="1100" w:type="dxa"/>
            <w:vAlign w:val="bottom"/>
            <w:gridSpan w:val="2"/>
          </w:tcPr>
          <w:p>
            <w:pPr>
              <w:jc w:val="right"/>
              <w:ind w:right="117"/>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22"/>
        </w:trPr>
        <w:tc>
          <w:tcPr>
            <w:tcW w:w="5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Prepaid federal income taxes</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400,258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400,258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2"/>
        </w:trPr>
        <w:tc>
          <w:tcPr>
            <w:tcW w:w="56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Other assets</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52,813</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48,945</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3,868</w:t>
            </w:r>
          </w:p>
        </w:tc>
        <w:tc>
          <w:tcPr>
            <w:tcW w:w="1100" w:type="dxa"/>
            <w:vAlign w:val="bottom"/>
            <w:tcBorders>
              <w:bottom w:val="single" w:sz="8" w:color="CCEEFF"/>
            </w:tcBorders>
            <w:gridSpan w:val="2"/>
          </w:tcPr>
          <w:p>
            <w:pPr>
              <w:jc w:val="right"/>
              <w:ind w:right="117"/>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240"/>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3,909,638</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3,841,098</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68,540</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2 %</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bottom w:val="single" w:sz="8" w:color="CCEEFF"/>
            </w:tcBorders>
            <w:vMerge w:val="restart"/>
          </w:tcPr>
          <w:p>
            <w:pPr>
              <w:ind w:left="220"/>
              <w:spacing w:after="0"/>
              <w:rPr>
                <w:sz w:val="20"/>
                <w:szCs w:val="20"/>
                <w:color w:val="auto"/>
              </w:rPr>
            </w:pPr>
            <w:r>
              <w:rPr>
                <w:rFonts w:ascii="Times New Roman" w:cs="Times New Roman" w:eastAsia="Times New Roman" w:hAnsi="Times New Roman"/>
                <w:sz w:val="17"/>
                <w:szCs w:val="17"/>
                <w:color w:val="auto"/>
              </w:rPr>
              <w:t>Debt</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CCEEFF"/>
            </w:tcBorders>
            <w:vMerge w:val="restart"/>
          </w:tcPr>
          <w:p>
            <w:pPr>
              <w:ind w:left="62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line="20" w:lineRule="exact"/>
              <w:rPr>
                <w:sz w:val="1"/>
                <w:szCs w:val="1"/>
                <w:color w:val="auto"/>
              </w:rPr>
            </w:pPr>
          </w:p>
        </w:tc>
      </w:tr>
      <w:tr>
        <w:trPr>
          <w:trHeight w:val="194"/>
        </w:trPr>
        <w:tc>
          <w:tcPr>
            <w:tcW w:w="5640" w:type="dxa"/>
            <w:vAlign w:val="bottom"/>
            <w:vMerge w:val="continue"/>
          </w:tcPr>
          <w:p>
            <w:pPr>
              <w:spacing w:after="0"/>
              <w:rPr>
                <w:sz w:val="16"/>
                <w:szCs w:val="16"/>
                <w:color w:val="auto"/>
              </w:rPr>
            </w:pPr>
          </w:p>
        </w:tc>
        <w:tc>
          <w:tcPr>
            <w:tcW w:w="220" w:type="dxa"/>
            <w:vAlign w:val="bottom"/>
          </w:tcPr>
          <w:p>
            <w:pPr>
              <w:jc w:val="right"/>
              <w:ind w:right="33"/>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417,522</w:t>
            </w:r>
          </w:p>
        </w:tc>
        <w:tc>
          <w:tcPr>
            <w:tcW w:w="80" w:type="dxa"/>
            <w:vAlign w:val="bottom"/>
          </w:tcPr>
          <w:p>
            <w:pPr>
              <w:spacing w:after="0"/>
              <w:rPr>
                <w:sz w:val="16"/>
                <w:szCs w:val="16"/>
                <w:color w:val="auto"/>
              </w:rPr>
            </w:pPr>
          </w:p>
        </w:tc>
        <w:tc>
          <w:tcPr>
            <w:tcW w:w="18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142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417,031</w:t>
            </w:r>
          </w:p>
        </w:tc>
        <w:tc>
          <w:tcPr>
            <w:tcW w:w="80" w:type="dxa"/>
            <w:vAlign w:val="bottom"/>
          </w:tcPr>
          <w:p>
            <w:pPr>
              <w:spacing w:after="0"/>
              <w:rPr>
                <w:sz w:val="16"/>
                <w:szCs w:val="16"/>
                <w:color w:val="auto"/>
              </w:rPr>
            </w:pPr>
          </w:p>
        </w:tc>
        <w:tc>
          <w:tcPr>
            <w:tcW w:w="200" w:type="dxa"/>
            <w:vAlign w:val="bottom"/>
          </w:tcPr>
          <w:p>
            <w:pPr>
              <w:jc w:val="right"/>
              <w:ind w:right="13"/>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491</w:t>
            </w:r>
          </w:p>
        </w:tc>
        <w:tc>
          <w:tcPr>
            <w:tcW w:w="1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5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Unearned premiums</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43,680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46,660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(2,980)</w:t>
            </w:r>
          </w:p>
        </w:tc>
        <w:tc>
          <w:tcPr>
            <w:tcW w:w="11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222"/>
        </w:trPr>
        <w:tc>
          <w:tcPr>
            <w:tcW w:w="56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Accounts payable and accrued expenses</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104,835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101,595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3,240</w:t>
            </w:r>
          </w:p>
        </w:tc>
        <w:tc>
          <w:tcPr>
            <w:tcW w:w="1100" w:type="dxa"/>
            <w:vAlign w:val="bottom"/>
            <w:gridSpan w:val="2"/>
          </w:tcPr>
          <w:p>
            <w:pPr>
              <w:jc w:val="right"/>
              <w:ind w:right="117"/>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22"/>
        </w:trPr>
        <w:tc>
          <w:tcPr>
            <w:tcW w:w="5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Reserve for insurance claims and claim expenses</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211,204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196,429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14,775</w:t>
            </w:r>
          </w:p>
        </w:tc>
        <w:tc>
          <w:tcPr>
            <w:tcW w:w="1100" w:type="dxa"/>
            <w:vAlign w:val="bottom"/>
            <w:gridSpan w:val="2"/>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222"/>
        </w:trPr>
        <w:tc>
          <w:tcPr>
            <w:tcW w:w="56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Deferred tax liability, net</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491,879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478,890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12,989</w:t>
            </w:r>
          </w:p>
        </w:tc>
        <w:tc>
          <w:tcPr>
            <w:tcW w:w="1100" w:type="dxa"/>
            <w:vAlign w:val="bottom"/>
            <w:gridSpan w:val="2"/>
          </w:tcPr>
          <w:p>
            <w:pPr>
              <w:jc w:val="right"/>
              <w:ind w:right="117"/>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22"/>
        </w:trPr>
        <w:tc>
          <w:tcPr>
            <w:tcW w:w="5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8,086</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8,507</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(421)</w:t>
            </w:r>
          </w:p>
        </w:tc>
        <w:tc>
          <w:tcPr>
            <w:tcW w:w="11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215"/>
        </w:trPr>
        <w:tc>
          <w:tcPr>
            <w:tcW w:w="5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liabilities</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1,277,206</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1,249,112</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28,094</w:t>
            </w:r>
          </w:p>
        </w:tc>
        <w:tc>
          <w:tcPr>
            <w:tcW w:w="1100" w:type="dxa"/>
            <w:vAlign w:val="bottom"/>
            <w:tcBorders>
              <w:bottom w:val="single" w:sz="8" w:color="CCEEFF"/>
            </w:tcBorders>
            <w:gridSpan w:val="2"/>
          </w:tcPr>
          <w:p>
            <w:pPr>
              <w:jc w:val="right"/>
              <w:ind w:right="117"/>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15"/>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shareholders' equity</w:t>
            </w: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2,632,432</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2,591,986</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40,446</w:t>
            </w:r>
          </w:p>
        </w:tc>
        <w:tc>
          <w:tcPr>
            <w:tcW w:w="1100" w:type="dxa"/>
            <w:vAlign w:val="bottom"/>
            <w:gridSpan w:val="2"/>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15"/>
        </w:trPr>
        <w:tc>
          <w:tcPr>
            <w:tcW w:w="5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liabilities and shareholders' equity</w:t>
            </w:r>
          </w:p>
        </w:tc>
        <w:tc>
          <w:tcPr>
            <w:tcW w:w="2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3,909,638</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3,841,098</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68,540</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2 %</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0" w:lineRule="exact"/>
        <w:rPr>
          <w:sz w:val="20"/>
          <w:szCs w:val="20"/>
          <w:color w:val="auto"/>
        </w:rPr>
      </w:pPr>
    </w:p>
    <w:p>
      <w:pPr>
        <w:jc w:val="both"/>
        <w:ind w:firstLine="627"/>
        <w:spacing w:after="0" w:line="276" w:lineRule="auto"/>
        <w:rPr>
          <w:sz w:val="20"/>
          <w:szCs w:val="20"/>
          <w:color w:val="auto"/>
        </w:rPr>
      </w:pPr>
      <w:r>
        <w:rPr>
          <w:rFonts w:ascii="Times New Roman" w:cs="Times New Roman" w:eastAsia="Times New Roman" w:hAnsi="Times New Roman"/>
          <w:sz w:val="17"/>
          <w:szCs w:val="17"/>
          <w:color w:val="auto"/>
        </w:rPr>
        <w:t>Total cash and investments increased at March 31, 2026 compared to December 31, 2025 with the addition of incremental cash provided by operating activities, partially offset by share repurchase activity during the three months ended March 31, 2026 and an increase in the unrealized loss position of our fixed income portfolio primarily tied to changes in interest rates during the period. Cash and investments at March 31, 2026 included $73.0 million held by NMIH.</w:t>
      </w:r>
    </w:p>
    <w:p>
      <w:pPr>
        <w:spacing w:after="0" w:line="110" w:lineRule="exact"/>
        <w:rPr>
          <w:sz w:val="20"/>
          <w:szCs w:val="20"/>
          <w:color w:val="auto"/>
        </w:rPr>
      </w:pPr>
    </w:p>
    <w:p>
      <w:pPr>
        <w:jc w:val="both"/>
        <w:ind w:firstLine="627"/>
        <w:spacing w:after="0" w:line="295" w:lineRule="auto"/>
        <w:rPr>
          <w:sz w:val="20"/>
          <w:szCs w:val="20"/>
          <w:color w:val="auto"/>
        </w:rPr>
      </w:pPr>
      <w:r>
        <w:rPr>
          <w:rFonts w:ascii="Times New Roman" w:cs="Times New Roman" w:eastAsia="Times New Roman" w:hAnsi="Times New Roman"/>
          <w:sz w:val="17"/>
          <w:szCs w:val="17"/>
          <w:color w:val="auto"/>
        </w:rPr>
        <w:t>Net premiums receivable represents premiums due on our mortgage insurance policies and may fluctuate based on changes in our monthly premium policies in force, where premiums are generally paid one month in arrears, and the pace of settlement of previously outstanding receivables.</w:t>
      </w:r>
    </w:p>
    <w:p>
      <w:pPr>
        <w:spacing w:after="0" w:line="94" w:lineRule="exact"/>
        <w:rPr>
          <w:sz w:val="20"/>
          <w:szCs w:val="20"/>
          <w:color w:val="auto"/>
        </w:rPr>
      </w:pPr>
    </w:p>
    <w:p>
      <w:pPr>
        <w:jc w:val="both"/>
        <w:ind w:firstLine="627"/>
        <w:spacing w:after="0" w:line="276" w:lineRule="auto"/>
        <w:rPr>
          <w:sz w:val="20"/>
          <w:szCs w:val="20"/>
          <w:color w:val="auto"/>
        </w:rPr>
      </w:pPr>
      <w:r>
        <w:rPr>
          <w:rFonts w:ascii="Times New Roman" w:cs="Times New Roman" w:eastAsia="Times New Roman" w:hAnsi="Times New Roman"/>
          <w:sz w:val="17"/>
          <w:szCs w:val="17"/>
          <w:color w:val="auto"/>
        </w:rPr>
        <w:t>Net deferred policy acquisition costs decreased at March 31, 2026 compared to December 31, 2025 primarily due to the recognition of previously deferred policy acquisition costs during the three months ended March 31, 2026, largely offset by the deferral of certain costs associated with the origination of new policies during the period.</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82" w:right="339" w:bottom="1440" w:gutter="0" w:footer="0" w:header="0"/>
        </w:sectPr>
      </w:pPr>
    </w:p>
    <w:bookmarkStart w:id="43" w:name="page44"/>
    <w:bookmarkEnd w:id="43"/>
    <w:p>
      <w:pPr>
        <w:jc w:val="both"/>
        <w:ind w:firstLine="627"/>
        <w:spacing w:after="0" w:line="295" w:lineRule="auto"/>
        <w:rPr>
          <w:sz w:val="20"/>
          <w:szCs w:val="20"/>
          <w:color w:val="auto"/>
        </w:rPr>
      </w:pPr>
      <w:r>
        <w:rPr>
          <w:rFonts w:ascii="Times New Roman" w:cs="Times New Roman" w:eastAsia="Times New Roman" w:hAnsi="Times New Roman"/>
          <w:sz w:val="17"/>
          <w:szCs w:val="17"/>
          <w:color w:val="auto"/>
        </w:rPr>
        <w:t>Net software and equipment decreased at March 31, 2026 compared to December 31, 2025 due to the amortization of previously capitalized amounts during the three months ended March 31, 2026, partially offset by the capitalization of certain software and equipment expenditures during the period.</w:t>
      </w:r>
    </w:p>
    <w:p>
      <w:pPr>
        <w:spacing w:after="0" w:line="94" w:lineRule="exact"/>
        <w:rPr>
          <w:sz w:val="20"/>
          <w:szCs w:val="20"/>
          <w:color w:val="auto"/>
        </w:rPr>
      </w:pPr>
    </w:p>
    <w:p>
      <w:pPr>
        <w:jc w:val="both"/>
        <w:ind w:firstLine="627"/>
        <w:spacing w:after="0" w:line="295" w:lineRule="auto"/>
        <w:rPr>
          <w:sz w:val="20"/>
          <w:szCs w:val="20"/>
          <w:color w:val="auto"/>
        </w:rPr>
      </w:pPr>
      <w:r>
        <w:rPr>
          <w:rFonts w:ascii="Times New Roman" w:cs="Times New Roman" w:eastAsia="Times New Roman" w:hAnsi="Times New Roman"/>
          <w:sz w:val="17"/>
          <w:szCs w:val="17"/>
          <w:color w:val="auto"/>
        </w:rPr>
        <w:t>Reinsurance recoverable increased at March 31, 2026 compared to December 31, 2025 due to an increase in ceded losses recoverable under our QSR Transactions tied to an increase in our gross reserve for insurance claims and claim expenses during the three months ended March 31, 2026.</w:t>
      </w:r>
    </w:p>
    <w:p>
      <w:pPr>
        <w:spacing w:after="0" w:line="94" w:lineRule="exact"/>
        <w:rPr>
          <w:sz w:val="20"/>
          <w:szCs w:val="20"/>
          <w:color w:val="auto"/>
        </w:rPr>
      </w:pPr>
    </w:p>
    <w:p>
      <w:pPr>
        <w:jc w:val="both"/>
        <w:ind w:firstLine="627"/>
        <w:spacing w:after="0" w:line="295" w:lineRule="auto"/>
        <w:rPr>
          <w:sz w:val="20"/>
          <w:szCs w:val="20"/>
          <w:color w:val="auto"/>
        </w:rPr>
      </w:pPr>
      <w:r>
        <w:rPr>
          <w:rFonts w:ascii="Times New Roman" w:cs="Times New Roman" w:eastAsia="Times New Roman" w:hAnsi="Times New Roman"/>
          <w:sz w:val="17"/>
          <w:szCs w:val="17"/>
          <w:color w:val="auto"/>
        </w:rPr>
        <w:t>Prepaid federal income taxes represent tax and loss bonds purchased in connection with our claimed tax deduction for our statutory contingency reserve position. See Item 1, “</w:t>
      </w:r>
      <w:r>
        <w:rPr>
          <w:rFonts w:ascii="Times New Roman" w:cs="Times New Roman" w:eastAsia="Times New Roman" w:hAnsi="Times New Roman"/>
          <w:sz w:val="17"/>
          <w:szCs w:val="17"/>
          <w:i w:val="1"/>
          <w:iCs w:val="1"/>
          <w:color w:val="auto"/>
        </w:rPr>
        <w:t>Financial Statements - Notes to Condensed Consolidated Financial Statements - Note 9, Income Taxes.”</w:t>
      </w:r>
    </w:p>
    <w:p>
      <w:pPr>
        <w:spacing w:after="0" w:line="94" w:lineRule="exact"/>
        <w:rPr>
          <w:sz w:val="20"/>
          <w:szCs w:val="20"/>
          <w:color w:val="auto"/>
        </w:rPr>
      </w:pPr>
    </w:p>
    <w:p>
      <w:pPr>
        <w:jc w:val="both"/>
        <w:ind w:firstLine="627"/>
        <w:spacing w:after="0" w:line="295" w:lineRule="auto"/>
        <w:rPr>
          <w:sz w:val="20"/>
          <w:szCs w:val="20"/>
          <w:color w:val="auto"/>
        </w:rPr>
      </w:pPr>
      <w:r>
        <w:rPr>
          <w:rFonts w:ascii="Times New Roman" w:cs="Times New Roman" w:eastAsia="Times New Roman" w:hAnsi="Times New Roman"/>
          <w:sz w:val="17"/>
          <w:szCs w:val="17"/>
          <w:color w:val="auto"/>
        </w:rPr>
        <w:t>Other assets increased at March 31, 2026 compared to December 31, 2025 primarily due to an increase in accrued investment income and prepaid expenses during the three months ended March 31, 2026.</w:t>
      </w:r>
    </w:p>
    <w:p>
      <w:pPr>
        <w:spacing w:after="0" w:line="94" w:lineRule="exact"/>
        <w:rPr>
          <w:sz w:val="20"/>
          <w:szCs w:val="20"/>
          <w:color w:val="auto"/>
        </w:rPr>
      </w:pPr>
    </w:p>
    <w:p>
      <w:pPr>
        <w:jc w:val="both"/>
        <w:ind w:firstLine="627"/>
        <w:spacing w:after="0" w:line="276" w:lineRule="auto"/>
        <w:rPr>
          <w:sz w:val="20"/>
          <w:szCs w:val="20"/>
          <w:color w:val="auto"/>
        </w:rPr>
      </w:pPr>
      <w:r>
        <w:rPr>
          <w:rFonts w:ascii="Times New Roman" w:cs="Times New Roman" w:eastAsia="Times New Roman" w:hAnsi="Times New Roman"/>
          <w:sz w:val="17"/>
          <w:szCs w:val="17"/>
          <w:color w:val="auto"/>
        </w:rPr>
        <w:t>Unearned premiums decreased at March 31, 2026 compared to December 31, 2025 due to the amortization of existing unearned premiums through earnings in accordance with the expiration of risk on related single premium policies and the cancellations of other single premium policies during the three months ended March 31, 2026, partially offset by single premium policy originations during the period.</w:t>
      </w:r>
    </w:p>
    <w:p>
      <w:pPr>
        <w:spacing w:after="0" w:line="110" w:lineRule="exact"/>
        <w:rPr>
          <w:sz w:val="20"/>
          <w:szCs w:val="20"/>
          <w:color w:val="auto"/>
        </w:rPr>
      </w:pPr>
    </w:p>
    <w:p>
      <w:pPr>
        <w:jc w:val="both"/>
        <w:ind w:firstLine="627"/>
        <w:spacing w:after="0" w:line="269" w:lineRule="auto"/>
        <w:rPr>
          <w:sz w:val="20"/>
          <w:szCs w:val="20"/>
          <w:color w:val="auto"/>
        </w:rPr>
      </w:pPr>
      <w:r>
        <w:rPr>
          <w:rFonts w:ascii="Times New Roman" w:cs="Times New Roman" w:eastAsia="Times New Roman" w:hAnsi="Times New Roman"/>
          <w:sz w:val="17"/>
          <w:szCs w:val="17"/>
          <w:color w:val="auto"/>
        </w:rPr>
        <w:t>Accounts payable and accrued expenses increased at March 31, 2026 compared to December 31, 2025 primarily due to an increase in unsettled trade payables related to the purchase of certain investment securities, as well as an increase in taxes payable during the three months ended March 31, 2026, partially offset by the settlement of previously accrued compensation expenses and accrued interest on the 2024 Notes, which is payable semi-annually in February and August, during the period.</w:t>
      </w:r>
    </w:p>
    <w:p>
      <w:pPr>
        <w:spacing w:after="0" w:line="117" w:lineRule="exact"/>
        <w:rPr>
          <w:sz w:val="20"/>
          <w:szCs w:val="20"/>
          <w:color w:val="auto"/>
        </w:rPr>
      </w:pPr>
    </w:p>
    <w:p>
      <w:pPr>
        <w:jc w:val="both"/>
        <w:ind w:firstLine="627"/>
        <w:spacing w:after="0" w:line="266" w:lineRule="auto"/>
        <w:rPr>
          <w:sz w:val="20"/>
          <w:szCs w:val="20"/>
          <w:color w:val="auto"/>
        </w:rPr>
      </w:pPr>
      <w:r>
        <w:rPr>
          <w:rFonts w:ascii="Times New Roman" w:cs="Times New Roman" w:eastAsia="Times New Roman" w:hAnsi="Times New Roman"/>
          <w:sz w:val="17"/>
          <w:szCs w:val="17"/>
          <w:color w:val="auto"/>
        </w:rPr>
        <w:t>Reserve for insurance claims and claim expenses increased at March 31, 2026 compared to December 31, 2025 with the establishment of initial reserves on newly defaulted loans and an increase in the average case reserves held against previously defaulted loans that aged in their delinquency status during the three months ended March 31, 2026. The increase was partially offset by the release of a portion of the reserves we established for anticipated claims payments in prior periods (in connection with cure activity and ongoing analysis of recent loss development trends), as well as the payment of previously reserved claims during the period. See “</w:t>
      </w:r>
      <w:r>
        <w:rPr>
          <w:rFonts w:ascii="Times New Roman" w:cs="Times New Roman" w:eastAsia="Times New Roman" w:hAnsi="Times New Roman"/>
          <w:sz w:val="17"/>
          <w:szCs w:val="17"/>
          <w:i w:val="1"/>
          <w:iCs w:val="1"/>
          <w:color w:val="auto"/>
        </w:rPr>
        <w:t>Insurance Claims and Claim Expenses</w:t>
      </w:r>
      <w:r>
        <w:rPr>
          <w:rFonts w:ascii="Times New Roman" w:cs="Times New Roman" w:eastAsia="Times New Roman" w:hAnsi="Times New Roman"/>
          <w:sz w:val="17"/>
          <w:szCs w:val="17"/>
          <w:color w:val="auto"/>
        </w:rPr>
        <w:t>,” above for further details.</w:t>
      </w:r>
    </w:p>
    <w:p>
      <w:pPr>
        <w:spacing w:after="0" w:line="119" w:lineRule="exact"/>
        <w:rPr>
          <w:sz w:val="20"/>
          <w:szCs w:val="20"/>
          <w:color w:val="auto"/>
        </w:rPr>
      </w:pPr>
    </w:p>
    <w:p>
      <w:pPr>
        <w:jc w:val="both"/>
        <w:ind w:firstLine="627"/>
        <w:spacing w:after="0" w:line="269" w:lineRule="auto"/>
        <w:rPr>
          <w:sz w:val="20"/>
          <w:szCs w:val="20"/>
          <w:color w:val="auto"/>
        </w:rPr>
      </w:pPr>
      <w:r>
        <w:rPr>
          <w:rFonts w:ascii="Times New Roman" w:cs="Times New Roman" w:eastAsia="Times New Roman" w:hAnsi="Times New Roman"/>
          <w:sz w:val="17"/>
          <w:szCs w:val="17"/>
          <w:color w:val="auto"/>
        </w:rPr>
        <w:t>Net deferred tax liability increased at March 31, 2026 compared to December 31, 2025 due to an increase in the claimed deductibility of our statutory contingency reserve during the three months ended March 31, 2026, partially offset by an increase in the aggregate unrealized loss position of our fixed income portfolio recorded in other comprehensive income during the period. For further information regarding income taxes and their impact on our results of operations and financial position, see Item 1, “</w:t>
      </w:r>
      <w:r>
        <w:rPr>
          <w:rFonts w:ascii="Times New Roman" w:cs="Times New Roman" w:eastAsia="Times New Roman" w:hAnsi="Times New Roman"/>
          <w:sz w:val="17"/>
          <w:szCs w:val="17"/>
          <w:i w:val="1"/>
          <w:iCs w:val="1"/>
          <w:color w:val="auto"/>
        </w:rPr>
        <w:t>Financial Statements - Notes to Condensed Consolidated Financial Statements - Note 9, Income Taxes</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following table summarizes our consolidated cash flows from operating, investing and financing activities: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 cash flows</w:t>
            </w:r>
          </w:p>
        </w:tc>
        <w:tc>
          <w:tcPr>
            <w:tcW w:w="220" w:type="dxa"/>
            <w:vAlign w:val="bottom"/>
          </w:tcPr>
          <w:p>
            <w:pPr>
              <w:spacing w:after="0"/>
              <w:rPr>
                <w:sz w:val="16"/>
                <w:szCs w:val="16"/>
                <w:color w:val="auto"/>
              </w:rPr>
            </w:pPr>
          </w:p>
        </w:tc>
        <w:tc>
          <w:tcPr>
            <w:tcW w:w="288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220" w:type="dxa"/>
            <w:vAlign w:val="bottom"/>
          </w:tcPr>
          <w:p>
            <w:pPr>
              <w:spacing w:after="0"/>
              <w:rPr>
                <w:sz w:val="16"/>
                <w:szCs w:val="16"/>
                <w:color w:val="auto"/>
              </w:rPr>
            </w:pPr>
          </w:p>
        </w:tc>
        <w:tc>
          <w:tcPr>
            <w:tcW w:w="122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
        </w:trPr>
        <w:tc>
          <w:tcPr>
            <w:tcW w:w="67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82"/>
        </w:trPr>
        <w:tc>
          <w:tcPr>
            <w:tcW w:w="67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2026 vs. 2025</w:t>
            </w:r>
          </w:p>
        </w:tc>
      </w:tr>
      <w:tr>
        <w:trPr>
          <w:trHeight w:val="209"/>
        </w:trPr>
        <w:tc>
          <w:tcPr>
            <w:tcW w:w="6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provided by (used in):</w:t>
            </w: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22"/>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Operating activities</w:t>
            </w: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116,091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101,151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14,940</w:t>
            </w:r>
          </w:p>
        </w:tc>
      </w:tr>
      <w:tr>
        <w:trPr>
          <w:trHeight w:val="222"/>
        </w:trPr>
        <w:tc>
          <w:tcPr>
            <w:tcW w:w="67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Investing activities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(47,908)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(47,657)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(251)</w:t>
            </w:r>
          </w:p>
        </w:tc>
      </w:tr>
      <w:tr>
        <w:trPr>
          <w:trHeight w:val="222"/>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Financing activities</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(41,441)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(33,593)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(7,848)</w:t>
            </w:r>
          </w:p>
        </w:tc>
      </w:tr>
      <w:tr>
        <w:trPr>
          <w:trHeight w:val="215"/>
        </w:trPr>
        <w:tc>
          <w:tcPr>
            <w:tcW w:w="6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increase in cash and cash equivalents</w:t>
            </w:r>
          </w:p>
        </w:tc>
        <w:tc>
          <w:tcPr>
            <w:tcW w:w="2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26,742</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19,901</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6,841</w:t>
            </w:r>
          </w:p>
        </w:tc>
      </w:tr>
      <w:tr>
        <w:trPr>
          <w:trHeight w:val="20"/>
        </w:trPr>
        <w:tc>
          <w:tcPr>
            <w:tcW w:w="6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30" w:lineRule="exact"/>
        <w:rPr>
          <w:sz w:val="20"/>
          <w:szCs w:val="20"/>
          <w:color w:val="auto"/>
        </w:rPr>
      </w:pPr>
    </w:p>
    <w:p>
      <w:pPr>
        <w:jc w:val="both"/>
        <w:ind w:firstLine="627"/>
        <w:spacing w:after="0" w:line="276" w:lineRule="auto"/>
        <w:rPr>
          <w:sz w:val="20"/>
          <w:szCs w:val="20"/>
          <w:color w:val="auto"/>
        </w:rPr>
      </w:pPr>
      <w:r>
        <w:rPr>
          <w:rFonts w:ascii="Times New Roman" w:cs="Times New Roman" w:eastAsia="Times New Roman" w:hAnsi="Times New Roman"/>
          <w:sz w:val="17"/>
          <w:szCs w:val="17"/>
          <w:color w:val="auto"/>
        </w:rPr>
        <w:t>Net cash provided by operating activities increased during the three months ended March 31, 2026 compared to the three months ended March 31, 2025 primarily due to increases in our net premium receipts, growth in our investment income and a decrease in interest payments on the 2024 Notes tied to the timing of the first semi-annual interest payment made in February 2025, partially offset by an increase in claim settlement costs.</w:t>
      </w:r>
    </w:p>
    <w:p>
      <w:pPr>
        <w:spacing w:after="0" w:line="110" w:lineRule="exact"/>
        <w:rPr>
          <w:sz w:val="20"/>
          <w:szCs w:val="20"/>
          <w:color w:val="auto"/>
        </w:rPr>
      </w:pPr>
    </w:p>
    <w:p>
      <w:pPr>
        <w:jc w:val="both"/>
        <w:ind w:firstLine="627"/>
        <w:spacing w:after="0" w:line="295" w:lineRule="auto"/>
        <w:rPr>
          <w:sz w:val="20"/>
          <w:szCs w:val="20"/>
          <w:color w:val="auto"/>
        </w:rPr>
      </w:pPr>
      <w:r>
        <w:rPr>
          <w:rFonts w:ascii="Times New Roman" w:cs="Times New Roman" w:eastAsia="Times New Roman" w:hAnsi="Times New Roman"/>
          <w:sz w:val="17"/>
          <w:szCs w:val="17"/>
          <w:color w:val="auto"/>
        </w:rPr>
        <w:t>Cash used in investing activities for the three months ended March 31, 2026 and 2025 reflects the purchase of fixed and short-term maturities with cash provided by operating activities, and the reinvestment of sales proceeds, maturities, redemptions, and coupon payments within our investment portfolio.</w:t>
      </w:r>
    </w:p>
    <w:p>
      <w:pPr>
        <w:spacing w:after="0" w:line="94" w:lineRule="exact"/>
        <w:rPr>
          <w:sz w:val="20"/>
          <w:szCs w:val="20"/>
          <w:color w:val="auto"/>
        </w:rPr>
      </w:pPr>
    </w:p>
    <w:p>
      <w:pPr>
        <w:jc w:val="both"/>
        <w:ind w:firstLine="627"/>
        <w:spacing w:after="0" w:line="295" w:lineRule="auto"/>
        <w:rPr>
          <w:sz w:val="20"/>
          <w:szCs w:val="20"/>
          <w:color w:val="auto"/>
        </w:rPr>
      </w:pPr>
      <w:r>
        <w:rPr>
          <w:rFonts w:ascii="Times New Roman" w:cs="Times New Roman" w:eastAsia="Times New Roman" w:hAnsi="Times New Roman"/>
          <w:sz w:val="17"/>
          <w:szCs w:val="17"/>
          <w:color w:val="auto"/>
        </w:rPr>
        <w:t>Cash used in financing activities primarily relates to the repurchase of common stock and taxes paid on the net share settlement of equity awards for certain employees.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172" w:lineRule="exact"/>
        <w:rPr>
          <w:sz w:val="20"/>
          <w:szCs w:val="20"/>
          <w:color w:val="auto"/>
        </w:rPr>
      </w:pPr>
    </w:p>
    <w:p>
      <w:pPr>
        <w:jc w:val="both"/>
        <w:ind w:firstLine="627"/>
        <w:spacing w:after="0" w:line="264" w:lineRule="auto"/>
        <w:rPr>
          <w:sz w:val="20"/>
          <w:szCs w:val="20"/>
          <w:color w:val="auto"/>
        </w:rPr>
      </w:pPr>
      <w:r>
        <w:rPr>
          <w:rFonts w:ascii="Times New Roman" w:cs="Times New Roman" w:eastAsia="Times New Roman" w:hAnsi="Times New Roman"/>
          <w:sz w:val="17"/>
          <w:szCs w:val="17"/>
          <w:color w:val="auto"/>
        </w:rPr>
        <w:t>NMIH serves as the holding company for our insurance subsidiaries and does not have any significant operations of its own. NMIH's principal liquidity demands include funds for (i) payment of certain corporate expenses; (ii) payment of certain reimbursable expenses of its insurance subsidiaries; (iii) payment of the interest related to the 2024 Notes and 2024 Revolving Credit Facility; (iv) tax payments to the Internal Revenue Service; (v) capital support for its subsidiaries; (vi) repurchase of its common stock; and (vii) payment of dividends, if any, on its common stock. NMIH is not subject to any limitations on its ability to pay dividends except those generally applicable to corporations that are incorporated in Delaware. Delaware law provides that dividends are only payable out of a corporation's surplus or recent net profits (subject to certain limitations).</w:t>
      </w:r>
    </w:p>
    <w:p>
      <w:pPr>
        <w:spacing w:after="0" w:line="121" w:lineRule="exact"/>
        <w:rPr>
          <w:sz w:val="20"/>
          <w:szCs w:val="20"/>
          <w:color w:val="auto"/>
        </w:rPr>
      </w:pPr>
    </w:p>
    <w:p>
      <w:pPr>
        <w:jc w:val="both"/>
        <w:ind w:firstLine="627"/>
        <w:spacing w:after="0" w:line="275" w:lineRule="auto"/>
        <w:rPr>
          <w:sz w:val="20"/>
          <w:szCs w:val="20"/>
          <w:color w:val="auto"/>
        </w:rPr>
      </w:pPr>
      <w:r>
        <w:rPr>
          <w:rFonts w:ascii="Times New Roman" w:cs="Times New Roman" w:eastAsia="Times New Roman" w:hAnsi="Times New Roman"/>
          <w:sz w:val="17"/>
          <w:szCs w:val="17"/>
          <w:color w:val="auto"/>
        </w:rPr>
        <w:t>As of March 31, 2026, NMIH had $73.0 million of cash, cash equivalents and investments. NMIH</w:t>
      </w:r>
      <w:r>
        <w:rPr>
          <w:rFonts w:ascii="Arial" w:cs="Arial" w:eastAsia="Arial" w:hAnsi="Arial"/>
          <w:sz w:val="17"/>
          <w:szCs w:val="17"/>
          <w:color w:val="auto"/>
        </w:rPr>
        <w:t>’</w:t>
      </w:r>
      <w:r>
        <w:rPr>
          <w:rFonts w:ascii="Times New Roman" w:cs="Times New Roman" w:eastAsia="Times New Roman" w:hAnsi="Times New Roman"/>
          <w:sz w:val="17"/>
          <w:szCs w:val="17"/>
          <w:color w:val="auto"/>
        </w:rPr>
        <w:t>s principal sources of net cash are dividends from its subsidiaries and investment income. NMIC has the capacity to pay $101 million of aggregate ordinary dividends to NMIH during the twelve-month period ending December 31, 2026. NMIH also has access to $250 million of undrawn revolving credit capacity under the 2024 Revolving Credit Facility.</w:t>
      </w:r>
    </w:p>
    <w:p>
      <w:pPr>
        <w:spacing w:after="0" w:line="111" w:lineRule="exact"/>
        <w:rPr>
          <w:sz w:val="20"/>
          <w:szCs w:val="20"/>
          <w:color w:val="auto"/>
        </w:rPr>
      </w:pPr>
    </w:p>
    <w:p>
      <w:pPr>
        <w:jc w:val="both"/>
        <w:ind w:firstLine="627"/>
        <w:spacing w:after="0" w:line="276" w:lineRule="auto"/>
        <w:rPr>
          <w:sz w:val="20"/>
          <w:szCs w:val="20"/>
          <w:color w:val="auto"/>
        </w:rPr>
      </w:pPr>
      <w:r>
        <w:rPr>
          <w:rFonts w:ascii="Times New Roman" w:cs="Times New Roman" w:eastAsia="Times New Roman" w:hAnsi="Times New Roman"/>
          <w:sz w:val="17"/>
          <w:szCs w:val="17"/>
          <w:color w:val="auto"/>
        </w:rPr>
        <w:t>On February 5, 2025, our Board of Directors authorized a $250 million repurchase program, effective through December 31, 2027. The authorization provides NMIH with the flexibility, based on market and business conditions, stock price and other factors, to repurchase stock from time to time through open market repurchases, privately negotiated transactions, or other means, including pursuant to Rule 10b5-1 trading plans.</w:t>
      </w:r>
    </w:p>
    <w:p>
      <w:pPr>
        <w:spacing w:after="0" w:line="110" w:lineRule="exact"/>
        <w:rPr>
          <w:sz w:val="20"/>
          <w:szCs w:val="20"/>
          <w:color w:val="auto"/>
        </w:rPr>
      </w:pPr>
    </w:p>
    <w:p>
      <w:pPr>
        <w:jc w:val="both"/>
        <w:ind w:firstLine="627"/>
        <w:spacing w:after="0" w:line="295" w:lineRule="auto"/>
        <w:rPr>
          <w:sz w:val="20"/>
          <w:szCs w:val="20"/>
          <w:color w:val="auto"/>
        </w:rPr>
      </w:pPr>
      <w:r>
        <w:rPr>
          <w:rFonts w:ascii="Times New Roman" w:cs="Times New Roman" w:eastAsia="Times New Roman" w:hAnsi="Times New Roman"/>
          <w:sz w:val="17"/>
          <w:szCs w:val="17"/>
          <w:color w:val="auto"/>
        </w:rPr>
        <w:t>During the three months ended March 31, 2026, NMIH repurchased 0.7 million shares of common stock at a total cost of $27.7 million, excluding associated costs and applicable taxes. As of March 31, 2026, NMIH had $198.2 million of repurchase authority remaining.</w:t>
      </w:r>
    </w:p>
    <w:p>
      <w:pPr>
        <w:spacing w:after="0" w:line="94" w:lineRule="exact"/>
        <w:rPr>
          <w:sz w:val="20"/>
          <w:szCs w:val="20"/>
          <w:color w:val="auto"/>
        </w:rPr>
      </w:pPr>
    </w:p>
    <w:p>
      <w:pPr>
        <w:jc w:val="both"/>
        <w:ind w:firstLine="627"/>
        <w:spacing w:after="0" w:line="269" w:lineRule="auto"/>
        <w:rPr>
          <w:sz w:val="20"/>
          <w:szCs w:val="20"/>
          <w:color w:val="auto"/>
        </w:rPr>
      </w:pPr>
      <w:r>
        <w:rPr>
          <w:rFonts w:ascii="Times New Roman" w:cs="Times New Roman" w:eastAsia="Times New Roman" w:hAnsi="Times New Roman"/>
          <w:sz w:val="17"/>
          <w:szCs w:val="17"/>
          <w:color w:val="auto"/>
        </w:rPr>
        <w:t>NMIH has entered into tax and expense-sharing agreements with its subsidiaries which have been approved by the Wisconsin OCI, with such approvals subject to change or revocation at any time. Among such agreements, the Wisconsin OCI has approved the allocation of interest expense on the 2024 Notes and 2024 Revolving Credit Facility to NMIC, to the extent proceeds from such offering and facility are contributed to NMIC or used to repay, redeem or otherwise defease amounts raised by NMIC under prior credit arrangements that have previously been distributed to NMIC.</w:t>
      </w:r>
    </w:p>
    <w:p>
      <w:pPr>
        <w:spacing w:after="0" w:line="117" w:lineRule="exact"/>
        <w:rPr>
          <w:sz w:val="20"/>
          <w:szCs w:val="20"/>
          <w:color w:val="auto"/>
        </w:rPr>
      </w:pPr>
    </w:p>
    <w:p>
      <w:pPr>
        <w:jc w:val="both"/>
        <w:ind w:firstLine="627"/>
        <w:spacing w:after="0" w:line="264" w:lineRule="auto"/>
        <w:rPr>
          <w:sz w:val="20"/>
          <w:szCs w:val="20"/>
          <w:color w:val="auto"/>
        </w:rPr>
      </w:pPr>
      <w:r>
        <w:rPr>
          <w:rFonts w:ascii="Times New Roman" w:cs="Times New Roman" w:eastAsia="Times New Roman" w:hAnsi="Times New Roman"/>
          <w:sz w:val="17"/>
          <w:szCs w:val="17"/>
          <w:color w:val="auto"/>
        </w:rPr>
        <w:t>The 2024 Notes mature on August 15, 2029 and bear interest at a rate of 6.00%, payable semi-annually on February 15 and August 15. The 2024 Revolving Credit Facility matures on May 21, 2029, and accrues interest at a variable rate equal to, at our discretion, (i) a Base Rate (as defined in the 2024 Revolving Credit Facility, subject to a floor of 1.00% per annum) plus a margin of 0.375% to 1.875% per annum, or (ii) the Adjusted Term SOFR Rate (as defined in the 2024 Revolving Credit Facility) plus a margin of 1.375% to 2.875% per annum, with the margin in each of (i) or (ii) based on our applicable corporate credit rating at the time. Borrowings under the 2024 Revolving Credit Facility may be used for general corporate purposes, including to support the growth of our new business production and operations.</w:t>
      </w:r>
    </w:p>
    <w:p>
      <w:pPr>
        <w:spacing w:after="0" w:line="121" w:lineRule="exact"/>
        <w:rPr>
          <w:sz w:val="20"/>
          <w:szCs w:val="20"/>
          <w:color w:val="auto"/>
        </w:rPr>
      </w:pPr>
    </w:p>
    <w:p>
      <w:pPr>
        <w:jc w:val="both"/>
        <w:ind w:firstLine="627"/>
        <w:spacing w:after="0" w:line="295" w:lineRule="auto"/>
        <w:rPr>
          <w:sz w:val="20"/>
          <w:szCs w:val="20"/>
          <w:color w:val="auto"/>
        </w:rPr>
      </w:pPr>
      <w:r>
        <w:rPr>
          <w:rFonts w:ascii="Times New Roman" w:cs="Times New Roman" w:eastAsia="Times New Roman" w:hAnsi="Times New Roman"/>
          <w:sz w:val="17"/>
          <w:szCs w:val="17"/>
          <w:color w:val="auto"/>
        </w:rPr>
        <w:t>Under the 2024 Revolving Credit Facility, NMIH is required to pay a quarterly commitment fee on the average daily undrawn amount of 0.175% to 0.525%, based on the applicable corporate credit rating at the time. As of March 31, 2026, the applicable commitment fee was 0.175%.</w:t>
      </w:r>
    </w:p>
    <w:p>
      <w:pPr>
        <w:spacing w:after="0" w:line="94" w:lineRule="exact"/>
        <w:rPr>
          <w:sz w:val="20"/>
          <w:szCs w:val="20"/>
          <w:color w:val="auto"/>
        </w:rPr>
      </w:pPr>
    </w:p>
    <w:p>
      <w:pPr>
        <w:jc w:val="both"/>
        <w:ind w:firstLine="627"/>
        <w:spacing w:after="0" w:line="276" w:lineRule="auto"/>
        <w:rPr>
          <w:sz w:val="20"/>
          <w:szCs w:val="20"/>
          <w:color w:val="auto"/>
        </w:rPr>
      </w:pPr>
      <w:r>
        <w:rPr>
          <w:rFonts w:ascii="Times New Roman" w:cs="Times New Roman" w:eastAsia="Times New Roman" w:hAnsi="Times New Roman"/>
          <w:sz w:val="17"/>
          <w:szCs w:val="17"/>
          <w:color w:val="auto"/>
        </w:rPr>
        <w:t>We are subject to certain covenants under the 2024 Revolving Credit Facility, including: a maximum debt-to-total capitalization ratio of 35%, a minimum consolidated net worth requirement (as defined therein), and a requirement to maintain compliance with the financial standards prescribed by the PMIERs (subject to any GSE approved waivers). We were in compliance with all covenants at March 31, 2026.</w:t>
      </w:r>
    </w:p>
    <w:p>
      <w:pPr>
        <w:spacing w:after="0" w:line="110" w:lineRule="exact"/>
        <w:rPr>
          <w:sz w:val="20"/>
          <w:szCs w:val="20"/>
          <w:color w:val="auto"/>
        </w:rPr>
      </w:pPr>
    </w:p>
    <w:p>
      <w:pPr>
        <w:jc w:val="both"/>
        <w:ind w:firstLine="627"/>
        <w:spacing w:after="0" w:line="263" w:lineRule="auto"/>
        <w:rPr>
          <w:sz w:val="20"/>
          <w:szCs w:val="20"/>
          <w:color w:val="auto"/>
        </w:rPr>
      </w:pPr>
      <w:r>
        <w:rPr>
          <w:rFonts w:ascii="Times New Roman" w:cs="Times New Roman" w:eastAsia="Times New Roman" w:hAnsi="Times New Roman"/>
          <w:sz w:val="17"/>
          <w:szCs w:val="17"/>
          <w:color w:val="auto"/>
        </w:rPr>
        <w:t>NMIC and Re One are subject to certain capital and dividend rules and regulations prescribed by jurisdictions in which they are authorized to operate and by the GSEs. Under Wisconsin insurance laws, NMIC and Re One may pay dividends up to specified levels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xml:space="preserve"> “ordinary” dividends) with 30 days' prior notice to the Wisconsin OCI. Dividends in larger amounts, or “extraordinary” dividends, are subject to the Wisconsin OCI's prior approval. Under Wisconsin insurance laws, an ordinary dividend is defined as any payment or distribution that, together with other dividends and distributions made within the preceding twelve months, is less than the lesser of (i) 10% of the insurer's statutory policyholders' surplus as of the preceding December 31 or (ii) adjusted statutory net income for the twelve-month period ending the preceding December 31. NMIC has the capacity to pay $101 million of aggregate ordinary dividends to NMIH during the twelve-month period ending December 31, 2026.</w:t>
      </w:r>
    </w:p>
    <w:p>
      <w:pPr>
        <w:spacing w:after="0" w:line="119" w:lineRule="exact"/>
        <w:rPr>
          <w:sz w:val="20"/>
          <w:szCs w:val="20"/>
          <w:color w:val="auto"/>
        </w:rPr>
      </w:pPr>
    </w:p>
    <w:p>
      <w:pPr>
        <w:jc w:val="both"/>
        <w:ind w:firstLine="627"/>
        <w:spacing w:after="0" w:line="277" w:lineRule="auto"/>
        <w:rPr>
          <w:sz w:val="20"/>
          <w:szCs w:val="20"/>
          <w:color w:val="auto"/>
        </w:rPr>
      </w:pPr>
      <w:r>
        <w:rPr>
          <w:rFonts w:ascii="Times New Roman" w:cs="Times New Roman" w:eastAsia="Times New Roman" w:hAnsi="Times New Roman"/>
          <w:sz w:val="17"/>
          <w:szCs w:val="17"/>
          <w:color w:val="auto"/>
        </w:rPr>
        <w:t xml:space="preserve">As an </w:t>
      </w:r>
      <w:r>
        <w:rPr>
          <w:rFonts w:ascii="Times New Roman" w:cs="Times New Roman" w:eastAsia="Times New Roman" w:hAnsi="Times New Roman"/>
          <w:sz w:val="17"/>
          <w:szCs w:val="17"/>
          <w:i w:val="1"/>
          <w:iCs w:val="1"/>
          <w:color w:val="auto"/>
        </w:rPr>
        <w:t>approved insurer</w:t>
      </w:r>
      <w:r>
        <w:rPr>
          <w:rFonts w:ascii="Times New Roman" w:cs="Times New Roman" w:eastAsia="Times New Roman" w:hAnsi="Times New Roman"/>
          <w:sz w:val="17"/>
          <w:szCs w:val="17"/>
          <w:color w:val="auto"/>
        </w:rPr>
        <w:t xml:space="preserve"> under PMIERs, NMIC would generally be subject to additional restrictions on its ability to pay dividends to NMIH if it failed to meet the financial requirements prescribed by PMIERs. Approved insurers that fail to meet the prescribed PMIERs financial requirements are not permitted to pay dividends without prior approval from the GSEs.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82" w:right="339" w:bottom="1440" w:gutter="0" w:footer="0" w:header="0"/>
        </w:sectPr>
      </w:pPr>
    </w:p>
    <w:bookmarkStart w:id="45" w:name="page46"/>
    <w:bookmarkEnd w:id="45"/>
    <w:p>
      <w:pPr>
        <w:jc w:val="both"/>
        <w:ind w:firstLine="627"/>
        <w:spacing w:after="0" w:line="268" w:lineRule="auto"/>
        <w:rPr>
          <w:sz w:val="20"/>
          <w:szCs w:val="20"/>
          <w:color w:val="auto"/>
        </w:rPr>
      </w:pPr>
      <w:r>
        <w:rPr>
          <w:rFonts w:ascii="Times New Roman" w:cs="Times New Roman" w:eastAsia="Times New Roman" w:hAnsi="Times New Roman"/>
          <w:sz w:val="17"/>
          <w:szCs w:val="17"/>
          <w:color w:val="auto"/>
        </w:rPr>
        <w:t xml:space="preserve">NMIH may require liquidity to fund the capital needs of its insurance subsidiaries. NMIC’s capital needs depend on many factors including its ability to successfully write new business, establish premium rates at levels sufficient to cover claims and operating costs, access the reinsurance markets and meet </w:t>
      </w:r>
      <w:r>
        <w:rPr>
          <w:rFonts w:ascii="Times New Roman" w:cs="Times New Roman" w:eastAsia="Times New Roman" w:hAnsi="Times New Roman"/>
          <w:sz w:val="17"/>
          <w:szCs w:val="17"/>
          <w:i w:val="1"/>
          <w:iCs w:val="1"/>
          <w:color w:val="auto"/>
        </w:rPr>
        <w:t xml:space="preserve">minimum required asset </w:t>
      </w:r>
      <w:r>
        <w:rPr>
          <w:rFonts w:ascii="Times New Roman" w:cs="Times New Roman" w:eastAsia="Times New Roman" w:hAnsi="Times New Roman"/>
          <w:sz w:val="17"/>
          <w:szCs w:val="17"/>
          <w:color w:val="auto"/>
        </w:rPr>
        <w:t>thresholds under the PMIERs and minimum state capital requirements (respectively, as defined therein).</w:t>
      </w:r>
    </w:p>
    <w:p>
      <w:pPr>
        <w:spacing w:after="0" w:line="103" w:lineRule="exact"/>
        <w:rPr>
          <w:sz w:val="20"/>
          <w:szCs w:val="20"/>
          <w:color w:val="auto"/>
        </w:rPr>
      </w:pPr>
    </w:p>
    <w:p>
      <w:pPr>
        <w:jc w:val="both"/>
        <w:ind w:firstLine="627"/>
        <w:spacing w:after="0" w:line="276" w:lineRule="auto"/>
        <w:rPr>
          <w:sz w:val="20"/>
          <w:szCs w:val="20"/>
          <w:color w:val="auto"/>
        </w:rPr>
      </w:pPr>
      <w:r>
        <w:rPr>
          <w:rFonts w:ascii="Times New Roman" w:cs="Times New Roman" w:eastAsia="Times New Roman" w:hAnsi="Times New Roman"/>
          <w:sz w:val="17"/>
          <w:szCs w:val="17"/>
          <w:color w:val="auto"/>
        </w:rPr>
        <w:t xml:space="preserve">As an approved mortgage insurer and Wisconsin-domiciled carrier, NMIC is required to satisfy financial and/or capitalization requirements stipulated by each of the GSEs and the Wisconsin OCI. The financial requirements stipulated by the GSEs are outlined in the PMIERs. Under the PMIERs, NMIC must maintain </w:t>
      </w:r>
      <w:r>
        <w:rPr>
          <w:rFonts w:ascii="Times New Roman" w:cs="Times New Roman" w:eastAsia="Times New Roman" w:hAnsi="Times New Roman"/>
          <w:sz w:val="17"/>
          <w:szCs w:val="17"/>
          <w:i w:val="1"/>
          <w:iCs w:val="1"/>
          <w:color w:val="auto"/>
        </w:rPr>
        <w:t>available assets</w:t>
      </w:r>
      <w:r>
        <w:rPr>
          <w:rFonts w:ascii="Times New Roman" w:cs="Times New Roman" w:eastAsia="Times New Roman" w:hAnsi="Times New Roman"/>
          <w:sz w:val="17"/>
          <w:szCs w:val="17"/>
          <w:color w:val="auto"/>
        </w:rPr>
        <w:t xml:space="preserve"> that are equal to or exceed a minimum </w:t>
      </w:r>
      <w:r>
        <w:rPr>
          <w:rFonts w:ascii="Times New Roman" w:cs="Times New Roman" w:eastAsia="Times New Roman" w:hAnsi="Times New Roman"/>
          <w:sz w:val="17"/>
          <w:szCs w:val="17"/>
          <w:i w:val="1"/>
          <w:iCs w:val="1"/>
          <w:color w:val="auto"/>
        </w:rPr>
        <w:t>risk-based required asset</w:t>
      </w:r>
      <w:r>
        <w:rPr>
          <w:rFonts w:ascii="Times New Roman" w:cs="Times New Roman" w:eastAsia="Times New Roman" w:hAnsi="Times New Roman"/>
          <w:sz w:val="17"/>
          <w:szCs w:val="17"/>
          <w:color w:val="auto"/>
        </w:rPr>
        <w:t xml:space="preserve"> amount, subject to a minimum floor of $400 million.</w:t>
      </w:r>
    </w:p>
    <w:p>
      <w:pPr>
        <w:spacing w:after="0" w:line="108" w:lineRule="exact"/>
        <w:rPr>
          <w:sz w:val="20"/>
          <w:szCs w:val="20"/>
          <w:color w:val="auto"/>
        </w:rPr>
      </w:pPr>
    </w:p>
    <w:p>
      <w:pPr>
        <w:jc w:val="both"/>
        <w:ind w:firstLine="666"/>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Available assets </w:t>
      </w:r>
      <w:r>
        <w:rPr>
          <w:rFonts w:ascii="Times New Roman" w:cs="Times New Roman" w:eastAsia="Times New Roman" w:hAnsi="Times New Roman"/>
          <w:sz w:val="17"/>
          <w:szCs w:val="17"/>
          <w:color w:val="auto"/>
        </w:rPr>
        <w:t>reflect the financial resources of a mortgage insurer available to pay claims, and includes the most readily liquid assets held, such 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cash, investments and other items as stipulated in the PMIERs. The credit provided for such assets is subject to adjustment based on several factors, including asset class, credit rating and portfolio concentration.</w:t>
      </w:r>
    </w:p>
    <w:p>
      <w:pPr>
        <w:spacing w:after="0" w:line="107" w:lineRule="exact"/>
        <w:rPr>
          <w:sz w:val="20"/>
          <w:szCs w:val="20"/>
          <w:color w:val="auto"/>
        </w:rPr>
      </w:pPr>
    </w:p>
    <w:p>
      <w:pPr>
        <w:jc w:val="both"/>
        <w:ind w:firstLine="627"/>
        <w:spacing w:after="0" w:line="267" w:lineRule="auto"/>
        <w:rPr>
          <w:sz w:val="20"/>
          <w:szCs w:val="20"/>
          <w:color w:val="auto"/>
        </w:rPr>
      </w:pPr>
      <w:r>
        <w:rPr>
          <w:rFonts w:ascii="Times New Roman" w:cs="Times New Roman" w:eastAsia="Times New Roman" w:hAnsi="Times New Roman"/>
          <w:sz w:val="17"/>
          <w:szCs w:val="17"/>
          <w:color w:val="auto"/>
        </w:rPr>
        <w:t xml:space="preserve">The </w:t>
      </w:r>
      <w:r>
        <w:rPr>
          <w:rFonts w:ascii="Times New Roman" w:cs="Times New Roman" w:eastAsia="Times New Roman" w:hAnsi="Times New Roman"/>
          <w:sz w:val="17"/>
          <w:szCs w:val="17"/>
          <w:i w:val="1"/>
          <w:iCs w:val="1"/>
          <w:color w:val="auto"/>
        </w:rPr>
        <w:t>risk-based required asset</w:t>
      </w:r>
      <w:r>
        <w:rPr>
          <w:rFonts w:ascii="Times New Roman" w:cs="Times New Roman" w:eastAsia="Times New Roman" w:hAnsi="Times New Roman"/>
          <w:sz w:val="17"/>
          <w:szCs w:val="17"/>
          <w:color w:val="auto"/>
        </w:rPr>
        <w:t xml:space="preserve"> amount under PMIERs is determined at an individual policy-level based on the risk characteristics of each insured loan. Loans with higher risk factors, such as higher LTVs or lower borrower FICO scores, are assessed a higher charge. Non-performing loans that have missed two or more payments are generally assessed a significantly higher charge than performing loans, regardless of the underlying borrower or loan risk profile; however, special consideration is given under PMIERs to loans that are delinquent on homes located in an area declared by the Federal Emergency Management Agency to be a Major Disaster zone eligible for Individual Assistance.</w:t>
      </w:r>
    </w:p>
    <w:p>
      <w:pPr>
        <w:spacing w:after="0" w:line="115" w:lineRule="exact"/>
        <w:rPr>
          <w:sz w:val="20"/>
          <w:szCs w:val="20"/>
          <w:color w:val="auto"/>
        </w:rPr>
      </w:pPr>
    </w:p>
    <w:p>
      <w:pPr>
        <w:jc w:val="both"/>
        <w:ind w:firstLine="627"/>
        <w:spacing w:after="0" w:line="267" w:lineRule="auto"/>
        <w:rPr>
          <w:sz w:val="20"/>
          <w:szCs w:val="20"/>
          <w:color w:val="auto"/>
        </w:rPr>
      </w:pPr>
      <w:r>
        <w:rPr>
          <w:rFonts w:ascii="Times New Roman" w:cs="Times New Roman" w:eastAsia="Times New Roman" w:hAnsi="Times New Roman"/>
          <w:sz w:val="17"/>
          <w:szCs w:val="17"/>
          <w:color w:val="auto"/>
        </w:rPr>
        <w:t xml:space="preserve">NMIC’s PMIERs minimum </w:t>
      </w:r>
      <w:r>
        <w:rPr>
          <w:rFonts w:ascii="Times New Roman" w:cs="Times New Roman" w:eastAsia="Times New Roman" w:hAnsi="Times New Roman"/>
          <w:sz w:val="17"/>
          <w:szCs w:val="17"/>
          <w:i w:val="1"/>
          <w:iCs w:val="1"/>
          <w:color w:val="auto"/>
        </w:rPr>
        <w:t>risk-based required asset</w:t>
      </w:r>
      <w:r>
        <w:rPr>
          <w:rFonts w:ascii="Times New Roman" w:cs="Times New Roman" w:eastAsia="Times New Roman" w:hAnsi="Times New Roman"/>
          <w:sz w:val="17"/>
          <w:szCs w:val="17"/>
          <w:color w:val="auto"/>
        </w:rPr>
        <w:t xml:space="preserve"> amount is also adjusted for its reinsurance transactions (as approved by the GSEs). Under NMIC’s quota share reinsurance treaties, it receives credit for the PMIERs </w:t>
      </w:r>
      <w:r>
        <w:rPr>
          <w:rFonts w:ascii="Times New Roman" w:cs="Times New Roman" w:eastAsia="Times New Roman" w:hAnsi="Times New Roman"/>
          <w:sz w:val="17"/>
          <w:szCs w:val="17"/>
          <w:i w:val="1"/>
          <w:iCs w:val="1"/>
          <w:color w:val="auto"/>
        </w:rPr>
        <w:t>risk-based required asset</w:t>
      </w:r>
      <w:r>
        <w:rPr>
          <w:rFonts w:ascii="Times New Roman" w:cs="Times New Roman" w:eastAsia="Times New Roman" w:hAnsi="Times New Roman"/>
          <w:sz w:val="17"/>
          <w:szCs w:val="17"/>
          <w:color w:val="auto"/>
        </w:rPr>
        <w:t xml:space="preserve"> amount on ceded RIF. As its gross PMIERs </w:t>
      </w:r>
      <w:r>
        <w:rPr>
          <w:rFonts w:ascii="Times New Roman" w:cs="Times New Roman" w:eastAsia="Times New Roman" w:hAnsi="Times New Roman"/>
          <w:sz w:val="17"/>
          <w:szCs w:val="17"/>
          <w:i w:val="1"/>
          <w:iCs w:val="1"/>
          <w:color w:val="auto"/>
        </w:rPr>
        <w:t>risk-based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required asset </w:t>
      </w:r>
      <w:r>
        <w:rPr>
          <w:rFonts w:ascii="Times New Roman" w:cs="Times New Roman" w:eastAsia="Times New Roman" w:hAnsi="Times New Roman"/>
          <w:sz w:val="17"/>
          <w:szCs w:val="17"/>
          <w:color w:val="auto"/>
        </w:rPr>
        <w:t>amount on ceded RIF increases, the PMIERs credit for ceded RIF automatically increases as well (in an unlimited amount). Under NMIC’s ILN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and XOL Transactions, it generally receives credit for the PMIERs </w:t>
      </w:r>
      <w:r>
        <w:rPr>
          <w:rFonts w:ascii="Times New Roman" w:cs="Times New Roman" w:eastAsia="Times New Roman" w:hAnsi="Times New Roman"/>
          <w:sz w:val="17"/>
          <w:szCs w:val="17"/>
          <w:i w:val="1"/>
          <w:iCs w:val="1"/>
          <w:color w:val="auto"/>
        </w:rPr>
        <w:t>risk-based required asset</w:t>
      </w:r>
      <w:r>
        <w:rPr>
          <w:rFonts w:ascii="Times New Roman" w:cs="Times New Roman" w:eastAsia="Times New Roman" w:hAnsi="Times New Roman"/>
          <w:sz w:val="17"/>
          <w:szCs w:val="17"/>
          <w:color w:val="auto"/>
        </w:rPr>
        <w:t xml:space="preserve"> amount on ceded RIF to the extent such requirement is within the subordinated coverage (excess of loss detachment threshold) afforded by the transaction.</w:t>
      </w:r>
    </w:p>
    <w:p>
      <w:pPr>
        <w:spacing w:after="0" w:line="117" w:lineRule="exact"/>
        <w:rPr>
          <w:sz w:val="20"/>
          <w:szCs w:val="20"/>
          <w:color w:val="auto"/>
        </w:rPr>
      </w:pPr>
    </w:p>
    <w:p>
      <w:pPr>
        <w:jc w:val="both"/>
        <w:ind w:firstLine="627"/>
        <w:spacing w:after="0" w:line="269" w:lineRule="auto"/>
        <w:rPr>
          <w:sz w:val="20"/>
          <w:szCs w:val="20"/>
          <w:color w:val="auto"/>
        </w:rPr>
      </w:pPr>
      <w:r>
        <w:rPr>
          <w:rFonts w:ascii="Times New Roman" w:cs="Times New Roman" w:eastAsia="Times New Roman" w:hAnsi="Times New Roman"/>
          <w:sz w:val="17"/>
          <w:szCs w:val="17"/>
          <w:color w:val="auto"/>
        </w:rPr>
        <w:t>NMIC is also subject to state regulatory minimum capital requirements based on its RIF. Formulations of this minimum capital vary by state, however, the most common measure allows for a maximum ratio of RIF to statutory capital (commonly referred to as RTC) of 25:1. The RTC calculation does not assess a different charge or impose a different threshold RTC limit based on the underlying risk characteristics of the insured portfolio. Non-performing loans are treated the same as performing loans under the RTC framework. As such, the PMIERs generally imposes a stricter financial requirement than the state RTC standard.</w:t>
      </w:r>
    </w:p>
    <w:p>
      <w:pPr>
        <w:spacing w:after="0" w:line="117" w:lineRule="exact"/>
        <w:rPr>
          <w:sz w:val="20"/>
          <w:szCs w:val="20"/>
          <w:color w:val="auto"/>
        </w:rPr>
      </w:pPr>
    </w:p>
    <w:p>
      <w:pPr>
        <w:jc w:val="both"/>
        <w:ind w:firstLine="627"/>
        <w:spacing w:after="0" w:line="295" w:lineRule="auto"/>
        <w:rPr>
          <w:sz w:val="20"/>
          <w:szCs w:val="20"/>
          <w:color w:val="auto"/>
        </w:rPr>
      </w:pPr>
      <w:r>
        <w:rPr>
          <w:rFonts w:ascii="Times New Roman" w:cs="Times New Roman" w:eastAsia="Times New Roman" w:hAnsi="Times New Roman"/>
          <w:sz w:val="17"/>
          <w:szCs w:val="17"/>
          <w:color w:val="auto"/>
        </w:rPr>
        <w:t>As of March 31, 2026, NMIC had a RTC ratio of 13.3:1 with $45.0 billion of primary RIF, net of reinsurance, and $3.4 billion of total statutory capital, including contingency reserves. Re One has no RIF remaining and no longer reports a RTC ratio.</w:t>
      </w:r>
    </w:p>
    <w:p>
      <w:pPr>
        <w:spacing w:after="0" w:line="94" w:lineRule="exact"/>
        <w:rPr>
          <w:sz w:val="20"/>
          <w:szCs w:val="20"/>
          <w:color w:val="auto"/>
        </w:rPr>
      </w:pPr>
    </w:p>
    <w:p>
      <w:pPr>
        <w:jc w:val="both"/>
        <w:ind w:firstLine="627"/>
        <w:spacing w:after="0" w:line="260" w:lineRule="auto"/>
        <w:rPr>
          <w:sz w:val="20"/>
          <w:szCs w:val="20"/>
          <w:color w:val="auto"/>
        </w:rPr>
      </w:pPr>
      <w:r>
        <w:rPr>
          <w:rFonts w:ascii="Times New Roman" w:cs="Times New Roman" w:eastAsia="Times New Roman" w:hAnsi="Times New Roman"/>
          <w:sz w:val="17"/>
          <w:szCs w:val="17"/>
          <w:color w:val="auto"/>
        </w:rPr>
        <w:t>NMIC’s principal sources of liquidity include (i) premium receipts on its insured portfolio and new business production, (ii) interest income on its investment portfolio and principal repayments on maturities therein, and (iii) existing cash and cash equivalent holdings. At March 31, 2026, NMIC had $3.2 billion of cash and investments, including $37.1 million of cash and cash equivalents. NMIC's principal liquidity demands include funds for the payment of (i) reimbursable holding company expenses, (ii) premiums ceded under our reinsurance transactions (iii) claims payments, and (iv) taxes as due or otherwise deferred through the purchase of tax and loss bonds. NMIC's cash inflow is generally significantly in excess of its cash outflow in any given period. During the twelve-month period ended March 31, 2026, NMIC generated $423 million of cash flow from operations and received an additional $577 million of cash flow on the sale, maturity and redemption of securities held in its investment portfolio. NMIC is not a party to any contracts (derivative or otherwise) that require it to post an increasing amount of collateral to any counterparty and NMIC’s principal liquidity demands (other than claims payments) generally develop along a scheduled path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are of a contractually predetermined amount and due at a contractually predetermined date). NMIC’s only use of cash with the potential to develop along an unscheduled path is claims payments. Given the relatively small size of our current population of defaulted policies, the generally extended duration of the default-to-foreclosure-to-claim cycle, and the potential availability of forbearance, foreclosure moratorium and other borrower assistance programs (which serve to further extend the default-to-foreclosure-to-claim cycle timeline), we do not expect NMIC to use a meaningful amount of cash to settle claims in the near-term.</w:t>
      </w:r>
    </w:p>
    <w:p>
      <w:pPr>
        <w:spacing w:after="0" w:line="33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We believe that we have sufficient liquidity available at both NMIH and NMIC to meet our operating cash and capital obligations over the next 12</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months.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b w:val="1"/>
          <w:bCs w:val="1"/>
          <w:color w:val="auto"/>
        </w:rPr>
        <w:t>Debt and Financial Strength Ratings</w:t>
      </w:r>
    </w:p>
    <w:p>
      <w:pPr>
        <w:spacing w:after="0" w:line="159" w:lineRule="exact"/>
        <w:rPr>
          <w:sz w:val="20"/>
          <w:szCs w:val="20"/>
          <w:color w:val="auto"/>
        </w:rPr>
      </w:pPr>
    </w:p>
    <w:p>
      <w:pPr>
        <w:jc w:val="both"/>
        <w:ind w:firstLine="627"/>
        <w:spacing w:after="0" w:line="279" w:lineRule="auto"/>
        <w:rPr>
          <w:sz w:val="20"/>
          <w:szCs w:val="20"/>
          <w:color w:val="auto"/>
        </w:rPr>
      </w:pPr>
      <w:r>
        <w:rPr>
          <w:rFonts w:ascii="Times New Roman" w:cs="Times New Roman" w:eastAsia="Times New Roman" w:hAnsi="Times New Roman"/>
          <w:sz w:val="17"/>
          <w:szCs w:val="17"/>
          <w:color w:val="auto"/>
        </w:rPr>
        <w:t>NMIC’s financial strength is rated “A” by Fitch Ratings (Fitch), “A3” by Moody’s, and “A-” by S&amp;P. NMIH’s 2024 Notes are rated “BBB” by Fitch and “Baa3” by Moody’s. The outlook for all ratings provided by Moody’s is positive and the outlook for all ratings provided by Fitch and S&amp;P is stable.</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Consolidated Investment Portfolio</w:t>
      </w:r>
    </w:p>
    <w:p>
      <w:pPr>
        <w:spacing w:after="0" w:line="172" w:lineRule="exact"/>
        <w:rPr>
          <w:sz w:val="20"/>
          <w:szCs w:val="20"/>
          <w:color w:val="auto"/>
        </w:rPr>
      </w:pPr>
    </w:p>
    <w:p>
      <w:pPr>
        <w:jc w:val="both"/>
        <w:ind w:firstLine="627"/>
        <w:spacing w:after="0" w:line="269" w:lineRule="auto"/>
        <w:rPr>
          <w:sz w:val="20"/>
          <w:szCs w:val="20"/>
          <w:color w:val="auto"/>
        </w:rPr>
      </w:pPr>
      <w:r>
        <w:rPr>
          <w:rFonts w:ascii="Times New Roman" w:cs="Times New Roman" w:eastAsia="Times New Roman" w:hAnsi="Times New Roman"/>
          <w:sz w:val="17"/>
          <w:szCs w:val="17"/>
          <w:color w:val="auto"/>
        </w:rPr>
        <w:t>The primary objectives of our investment activity are to generate investment income and preserve capital, while maintaining sufficient liquidity to cover our operating needs. We aim to achieve diversification by type, quality, maturity, and industry. We have adopted an investment policy that defines, among other things, eligible and ineligible investments; concentration limits for asset types, industry sectors, single issuers, and certain credit ratings; and benchmarks for asset duration.</w:t>
      </w:r>
    </w:p>
    <w:p>
      <w:pPr>
        <w:spacing w:after="0" w:line="117" w:lineRule="exact"/>
        <w:rPr>
          <w:sz w:val="20"/>
          <w:szCs w:val="20"/>
          <w:color w:val="auto"/>
        </w:rPr>
      </w:pPr>
    </w:p>
    <w:p>
      <w:pPr>
        <w:jc w:val="both"/>
        <w:ind w:firstLine="627"/>
        <w:spacing w:after="0" w:line="268" w:lineRule="auto"/>
        <w:rPr>
          <w:sz w:val="20"/>
          <w:szCs w:val="20"/>
          <w:color w:val="auto"/>
        </w:rPr>
      </w:pPr>
      <w:r>
        <w:rPr>
          <w:rFonts w:ascii="Times New Roman" w:cs="Times New Roman" w:eastAsia="Times New Roman" w:hAnsi="Times New Roman"/>
          <w:sz w:val="17"/>
          <w:szCs w:val="17"/>
          <w:color w:val="auto"/>
        </w:rPr>
        <w:t>Our investment portfolio is comprised entirely of fixed maturity instruments. As of March 31, 2026, the fair value of our investment portfolio was $3.2 billion and we held an additional $70.7 million of cash and cash equivalents. Pre-tax book yield on the investment portfolio for the three months ended March 31, 2026 was 3.5%. Book yield is calculated as period-to-date net investment income divided by the average amortized cost of the investment portfolio. The yield on our investment portfolio is likely to change over time based on movements in interest rates, credit spreads, the duration or mix of our holdings and other factors.</w:t>
      </w:r>
    </w:p>
    <w:p>
      <w:pPr>
        <w:spacing w:after="0" w:line="3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following tables present a breakdown of our investment portfolio and cash and cash equivalents by investment type and credit rating: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Percentage of portfolio's fair value</w:t>
            </w:r>
          </w:p>
        </w:tc>
        <w:tc>
          <w:tcPr>
            <w:tcW w:w="194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84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3"/>
        </w:trPr>
        <w:tc>
          <w:tcPr>
            <w:tcW w:w="746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Corporate debt securities</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67 %</w:t>
            </w: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64 %</w:t>
            </w:r>
          </w:p>
        </w:tc>
        <w:tc>
          <w:tcPr>
            <w:tcW w:w="0" w:type="dxa"/>
            <w:vAlign w:val="bottom"/>
          </w:tcPr>
          <w:p>
            <w:pPr>
              <w:spacing w:after="0"/>
              <w:rPr>
                <w:sz w:val="1"/>
                <w:szCs w:val="1"/>
                <w:color w:val="auto"/>
              </w:rPr>
            </w:pPr>
          </w:p>
        </w:tc>
      </w:tr>
      <w:tr>
        <w:trPr>
          <w:trHeight w:val="222"/>
        </w:trPr>
        <w:tc>
          <w:tcPr>
            <w:tcW w:w="7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Municipal debt securities</w:t>
            </w:r>
          </w:p>
        </w:tc>
        <w:tc>
          <w:tcPr>
            <w:tcW w:w="18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tcPr>
          <w:p>
            <w:pPr>
              <w:spacing w:after="0"/>
              <w:rPr>
                <w:sz w:val="19"/>
                <w:szCs w:val="19"/>
                <w:color w:val="auto"/>
              </w:rPr>
            </w:pPr>
          </w:p>
        </w:tc>
        <w:tc>
          <w:tcPr>
            <w:tcW w:w="184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19</w:t>
            </w:r>
          </w:p>
        </w:tc>
        <w:tc>
          <w:tcPr>
            <w:tcW w:w="0" w:type="dxa"/>
            <w:vAlign w:val="bottom"/>
          </w:tcPr>
          <w:p>
            <w:pPr>
              <w:spacing w:after="0"/>
              <w:rPr>
                <w:sz w:val="1"/>
                <w:szCs w:val="1"/>
                <w:color w:val="auto"/>
              </w:rPr>
            </w:pPr>
          </w:p>
        </w:tc>
      </w:tr>
      <w:tr>
        <w:trPr>
          <w:trHeight w:val="222"/>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U.S. treasury securities and obligations of U.S. government agencies</w:t>
            </w:r>
          </w:p>
        </w:tc>
        <w:tc>
          <w:tcPr>
            <w:tcW w:w="18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22"/>
        </w:trPr>
        <w:tc>
          <w:tcPr>
            <w:tcW w:w="7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cash equivalents, and short-term investments</w:t>
            </w:r>
          </w:p>
        </w:tc>
        <w:tc>
          <w:tcPr>
            <w:tcW w:w="18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Pr>
          <w:p>
            <w:pPr>
              <w:spacing w:after="0"/>
              <w:rPr>
                <w:sz w:val="19"/>
                <w:szCs w:val="19"/>
                <w:color w:val="auto"/>
              </w:rPr>
            </w:pPr>
          </w:p>
        </w:tc>
        <w:tc>
          <w:tcPr>
            <w:tcW w:w="184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22"/>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asset-backed securities</w:t>
            </w:r>
          </w:p>
        </w:tc>
        <w:tc>
          <w:tcPr>
            <w:tcW w:w="18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22"/>
        </w:trPr>
        <w:tc>
          <w:tcPr>
            <w:tcW w:w="7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U.S. agency mortgage-backed securities</w:t>
            </w:r>
          </w:p>
        </w:tc>
        <w:tc>
          <w:tcPr>
            <w:tcW w:w="184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Borders>
              <w:bottom w:val="single" w:sz="8" w:color="CCEEFF"/>
            </w:tcBorders>
          </w:tcPr>
          <w:p>
            <w:pPr>
              <w:spacing w:after="0"/>
              <w:rPr>
                <w:sz w:val="19"/>
                <w:szCs w:val="19"/>
                <w:color w:val="auto"/>
              </w:rPr>
            </w:pPr>
          </w:p>
        </w:tc>
        <w:tc>
          <w:tcPr>
            <w:tcW w:w="184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40"/>
        </w:trPr>
        <w:tc>
          <w:tcPr>
            <w:tcW w:w="7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10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0" w:type="dxa"/>
            <w:vAlign w:val="bottom"/>
          </w:tcPr>
          <w:p>
            <w:pPr>
              <w:spacing w:after="0"/>
              <w:rPr>
                <w:sz w:val="1"/>
                <w:szCs w:val="1"/>
                <w:color w:val="auto"/>
              </w:rPr>
            </w:pPr>
          </w:p>
        </w:tc>
      </w:tr>
      <w:tr>
        <w:trPr>
          <w:trHeight w:val="20"/>
        </w:trPr>
        <w:tc>
          <w:tcPr>
            <w:tcW w:w="74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Investment portfolio ratings at fair value </w:t>
            </w:r>
            <w:r>
              <w:rPr>
                <w:rFonts w:ascii="Times New Roman" w:cs="Times New Roman" w:eastAsia="Times New Roman" w:hAnsi="Times New Roman"/>
                <w:sz w:val="18"/>
                <w:szCs w:val="18"/>
                <w:b w:val="1"/>
                <w:bCs w:val="1"/>
                <w:color w:val="auto"/>
                <w:vertAlign w:val="superscript"/>
              </w:rPr>
              <w:t>(1)</w:t>
            </w: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3"/>
        </w:trPr>
        <w:tc>
          <w:tcPr>
            <w:tcW w:w="7460" w:type="dxa"/>
            <w:vAlign w:val="bottom"/>
            <w:vMerge w:val="continue"/>
          </w:tcPr>
          <w:p>
            <w:pPr>
              <w:spacing w:after="0"/>
              <w:rPr>
                <w:sz w:val="24"/>
                <w:szCs w:val="24"/>
                <w:color w:val="auto"/>
              </w:rPr>
            </w:pPr>
          </w:p>
        </w:tc>
        <w:tc>
          <w:tcPr>
            <w:tcW w:w="194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84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15"/>
        </w:trPr>
        <w:tc>
          <w:tcPr>
            <w:tcW w:w="7460" w:type="dxa"/>
            <w:vAlign w:val="bottom"/>
            <w:tcBorders>
              <w:top w:val="single" w:sz="8" w:color="CCEEFF"/>
            </w:tcBorders>
            <w:shd w:val="clear" w:color="auto" w:fill="CCEEFF"/>
          </w:tcPr>
          <w:p>
            <w:pPr>
              <w:ind w:left="20"/>
              <w:spacing w:after="0" w:line="216" w:lineRule="exact"/>
              <w:rPr>
                <w:sz w:val="20"/>
                <w:szCs w:val="20"/>
                <w:color w:val="auto"/>
              </w:rPr>
            </w:pPr>
            <w:r>
              <w:rPr>
                <w:rFonts w:ascii="Times New Roman" w:cs="Times New Roman" w:eastAsia="Times New Roman" w:hAnsi="Times New Roman"/>
                <w:sz w:val="24"/>
                <w:szCs w:val="24"/>
                <w:color w:val="auto"/>
                <w:vertAlign w:val="subscript"/>
              </w:rPr>
              <w:t>AAA</w:t>
            </w:r>
            <w:r>
              <w:rPr>
                <w:rFonts w:ascii="Times New Roman" w:cs="Times New Roman" w:eastAsia="Times New Roman" w:hAnsi="Times New Roman"/>
                <w:sz w:val="10"/>
                <w:szCs w:val="10"/>
                <w:color w:val="auto"/>
              </w:rPr>
              <w:t xml:space="preserve"> (2)</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6 %</w:t>
            </w:r>
          </w:p>
        </w:tc>
        <w:tc>
          <w:tcPr>
            <w:tcW w:w="10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7 %</w:t>
            </w:r>
          </w:p>
        </w:tc>
        <w:tc>
          <w:tcPr>
            <w:tcW w:w="0" w:type="dxa"/>
            <w:vAlign w:val="bottom"/>
          </w:tcPr>
          <w:p>
            <w:pPr>
              <w:spacing w:after="0"/>
              <w:rPr>
                <w:sz w:val="1"/>
                <w:szCs w:val="1"/>
                <w:color w:val="auto"/>
              </w:rPr>
            </w:pPr>
          </w:p>
        </w:tc>
      </w:tr>
      <w:tr>
        <w:trPr>
          <w:trHeight w:val="222"/>
        </w:trPr>
        <w:tc>
          <w:tcPr>
            <w:tcW w:w="7460" w:type="dxa"/>
            <w:vAlign w:val="bottom"/>
          </w:tcPr>
          <w:p>
            <w:pPr>
              <w:ind w:left="20"/>
              <w:spacing w:after="0" w:line="222" w:lineRule="exact"/>
              <w:rPr>
                <w:sz w:val="20"/>
                <w:szCs w:val="20"/>
                <w:color w:val="auto"/>
              </w:rPr>
            </w:pPr>
            <w:r>
              <w:rPr>
                <w:rFonts w:ascii="Times New Roman" w:cs="Times New Roman" w:eastAsia="Times New Roman" w:hAnsi="Times New Roman"/>
                <w:sz w:val="25"/>
                <w:szCs w:val="25"/>
                <w:color w:val="auto"/>
                <w:vertAlign w:val="subscript"/>
              </w:rPr>
              <w:t>AA</w:t>
            </w:r>
            <w:r>
              <w:rPr>
                <w:rFonts w:ascii="Times New Roman" w:cs="Times New Roman" w:eastAsia="Times New Roman" w:hAnsi="Times New Roman"/>
                <w:sz w:val="10"/>
                <w:szCs w:val="10"/>
                <w:color w:val="auto"/>
              </w:rPr>
              <w:t xml:space="preserve"> (3)</w:t>
            </w:r>
          </w:p>
        </w:tc>
        <w:tc>
          <w:tcPr>
            <w:tcW w:w="18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35</w:t>
            </w:r>
          </w:p>
        </w:tc>
        <w:tc>
          <w:tcPr>
            <w:tcW w:w="100" w:type="dxa"/>
            <w:vAlign w:val="bottom"/>
          </w:tcPr>
          <w:p>
            <w:pPr>
              <w:spacing w:after="0"/>
              <w:rPr>
                <w:sz w:val="19"/>
                <w:szCs w:val="19"/>
                <w:color w:val="auto"/>
              </w:rPr>
            </w:pPr>
          </w:p>
        </w:tc>
        <w:tc>
          <w:tcPr>
            <w:tcW w:w="184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37</w:t>
            </w:r>
          </w:p>
        </w:tc>
        <w:tc>
          <w:tcPr>
            <w:tcW w:w="0" w:type="dxa"/>
            <w:vAlign w:val="bottom"/>
          </w:tcPr>
          <w:p>
            <w:pPr>
              <w:spacing w:after="0"/>
              <w:rPr>
                <w:sz w:val="1"/>
                <w:szCs w:val="1"/>
                <w:color w:val="auto"/>
              </w:rPr>
            </w:pPr>
          </w:p>
        </w:tc>
      </w:tr>
      <w:tr>
        <w:trPr>
          <w:trHeight w:val="222"/>
        </w:trPr>
        <w:tc>
          <w:tcPr>
            <w:tcW w:w="7460" w:type="dxa"/>
            <w:vAlign w:val="bottom"/>
            <w:shd w:val="clear" w:color="auto" w:fill="CCEEFF"/>
          </w:tcPr>
          <w:p>
            <w:pPr>
              <w:ind w:left="20"/>
              <w:spacing w:after="0" w:line="222" w:lineRule="exact"/>
              <w:rPr>
                <w:sz w:val="20"/>
                <w:szCs w:val="20"/>
                <w:color w:val="auto"/>
              </w:rPr>
            </w:pPr>
            <w:r>
              <w:rPr>
                <w:rFonts w:ascii="Times New Roman" w:cs="Times New Roman" w:eastAsia="Times New Roman" w:hAnsi="Times New Roman"/>
                <w:sz w:val="25"/>
                <w:szCs w:val="25"/>
                <w:color w:val="auto"/>
                <w:vertAlign w:val="subscript"/>
              </w:rPr>
              <w:t>A</w:t>
            </w:r>
            <w:r>
              <w:rPr>
                <w:rFonts w:ascii="Times New Roman" w:cs="Times New Roman" w:eastAsia="Times New Roman" w:hAnsi="Times New Roman"/>
                <w:sz w:val="10"/>
                <w:szCs w:val="10"/>
                <w:color w:val="auto"/>
              </w:rPr>
              <w:t xml:space="preserve"> (3)</w:t>
            </w:r>
          </w:p>
        </w:tc>
        <w:tc>
          <w:tcPr>
            <w:tcW w:w="18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52</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48</w:t>
            </w:r>
          </w:p>
        </w:tc>
        <w:tc>
          <w:tcPr>
            <w:tcW w:w="0" w:type="dxa"/>
            <w:vAlign w:val="bottom"/>
          </w:tcPr>
          <w:p>
            <w:pPr>
              <w:spacing w:after="0"/>
              <w:rPr>
                <w:sz w:val="1"/>
                <w:szCs w:val="1"/>
                <w:color w:val="auto"/>
              </w:rPr>
            </w:pPr>
          </w:p>
        </w:tc>
      </w:tr>
      <w:tr>
        <w:trPr>
          <w:trHeight w:val="222"/>
        </w:trPr>
        <w:tc>
          <w:tcPr>
            <w:tcW w:w="7460" w:type="dxa"/>
            <w:vAlign w:val="bottom"/>
            <w:tcBorders>
              <w:bottom w:val="single" w:sz="8" w:color="CCEEFF"/>
            </w:tcBorders>
          </w:tcPr>
          <w:p>
            <w:pPr>
              <w:ind w:left="20"/>
              <w:spacing w:after="0" w:line="222" w:lineRule="exact"/>
              <w:rPr>
                <w:sz w:val="20"/>
                <w:szCs w:val="20"/>
                <w:color w:val="auto"/>
              </w:rPr>
            </w:pPr>
            <w:r>
              <w:rPr>
                <w:rFonts w:ascii="Times New Roman" w:cs="Times New Roman" w:eastAsia="Times New Roman" w:hAnsi="Times New Roman"/>
                <w:sz w:val="17"/>
                <w:szCs w:val="17"/>
                <w:color w:val="auto"/>
              </w:rPr>
              <w:t xml:space="preserve">BBB </w:t>
            </w:r>
            <w:r>
              <w:rPr>
                <w:rFonts w:ascii="Times New Roman" w:cs="Times New Roman" w:eastAsia="Times New Roman" w:hAnsi="Times New Roman"/>
                <w:sz w:val="22"/>
                <w:szCs w:val="22"/>
                <w:color w:val="auto"/>
                <w:vertAlign w:val="superscript"/>
              </w:rPr>
              <w:t>(3)</w:t>
            </w:r>
          </w:p>
        </w:tc>
        <w:tc>
          <w:tcPr>
            <w:tcW w:w="184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tcBorders>
              <w:bottom w:val="single" w:sz="8" w:color="CCEEFF"/>
            </w:tcBorders>
          </w:tcPr>
          <w:p>
            <w:pPr>
              <w:spacing w:after="0"/>
              <w:rPr>
                <w:sz w:val="19"/>
                <w:szCs w:val="19"/>
                <w:color w:val="auto"/>
              </w:rPr>
            </w:pPr>
          </w:p>
        </w:tc>
        <w:tc>
          <w:tcPr>
            <w:tcW w:w="184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240"/>
        </w:trPr>
        <w:tc>
          <w:tcPr>
            <w:tcW w:w="7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10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0" w:type="dxa"/>
            <w:vAlign w:val="bottom"/>
          </w:tcPr>
          <w:p>
            <w:pPr>
              <w:spacing w:after="0"/>
              <w:rPr>
                <w:sz w:val="1"/>
                <w:szCs w:val="1"/>
                <w:color w:val="auto"/>
              </w:rPr>
            </w:pP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300" w:hanging="295"/>
        <w:spacing w:after="0"/>
        <w:tabs>
          <w:tab w:leader="none" w:pos="3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Excluding certain operating cash accounts.</w:t>
      </w:r>
    </w:p>
    <w:p>
      <w:pPr>
        <w:spacing w:after="0" w:line="21" w:lineRule="exact"/>
        <w:rPr>
          <w:rFonts w:ascii="Times New Roman" w:cs="Times New Roman" w:eastAsia="Times New Roman" w:hAnsi="Times New Roman"/>
          <w:sz w:val="14"/>
          <w:szCs w:val="14"/>
          <w:color w:val="auto"/>
        </w:rPr>
      </w:pPr>
    </w:p>
    <w:p>
      <w:pPr>
        <w:ind w:left="300" w:hanging="295"/>
        <w:spacing w:after="0"/>
        <w:tabs>
          <w:tab w:leader="none" w:pos="3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short-term securities rated A-1+.</w:t>
      </w:r>
    </w:p>
    <w:p>
      <w:pPr>
        <w:spacing w:after="0" w:line="8" w:lineRule="exact"/>
        <w:rPr>
          <w:rFonts w:ascii="Times New Roman" w:cs="Times New Roman" w:eastAsia="Times New Roman" w:hAnsi="Times New Roman"/>
          <w:sz w:val="14"/>
          <w:szCs w:val="14"/>
          <w:color w:val="auto"/>
        </w:rPr>
      </w:pPr>
    </w:p>
    <w:p>
      <w:pPr>
        <w:ind w:left="300" w:hanging="295"/>
        <w:spacing w:after="0"/>
        <w:tabs>
          <w:tab w:leader="none" w:pos="3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 ratings.</w:t>
      </w:r>
    </w:p>
    <w:p>
      <w:pPr>
        <w:spacing w:after="0" w:line="236" w:lineRule="exact"/>
        <w:rPr>
          <w:sz w:val="20"/>
          <w:szCs w:val="20"/>
          <w:color w:val="auto"/>
        </w:rPr>
      </w:pPr>
    </w:p>
    <w:p>
      <w:pPr>
        <w:jc w:val="both"/>
        <w:ind w:firstLine="627"/>
        <w:spacing w:after="0" w:line="295" w:lineRule="auto"/>
        <w:rPr>
          <w:sz w:val="20"/>
          <w:szCs w:val="20"/>
          <w:color w:val="auto"/>
        </w:rPr>
      </w:pPr>
      <w:r>
        <w:rPr>
          <w:rFonts w:ascii="Times New Roman" w:cs="Times New Roman" w:eastAsia="Times New Roman" w:hAnsi="Times New Roman"/>
          <w:sz w:val="17"/>
          <w:szCs w:val="17"/>
          <w:color w:val="auto"/>
        </w:rPr>
        <w:t>All of our investments are rated by one or more nationally recognized statistical rating organizations. If three or more ratings are available, we assign the middle rating for classification purposes, otherwise we assign the lowest rating.</w:t>
      </w:r>
    </w:p>
    <w:p>
      <w:pPr>
        <w:spacing w:after="0" w:line="9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i w:val="1"/>
          <w:iCs w:val="1"/>
          <w:color w:val="auto"/>
        </w:rPr>
        <w:t>Investment Securities - Allowance for credit losses</w:t>
      </w:r>
    </w:p>
    <w:p>
      <w:pPr>
        <w:spacing w:after="0" w:line="172" w:lineRule="exact"/>
        <w:rPr>
          <w:sz w:val="20"/>
          <w:szCs w:val="20"/>
          <w:color w:val="auto"/>
        </w:rPr>
      </w:pPr>
    </w:p>
    <w:p>
      <w:pPr>
        <w:jc w:val="both"/>
        <w:ind w:firstLine="627"/>
        <w:spacing w:after="0" w:line="295" w:lineRule="auto"/>
        <w:rPr>
          <w:sz w:val="20"/>
          <w:szCs w:val="20"/>
          <w:color w:val="auto"/>
        </w:rPr>
      </w:pPr>
      <w:r>
        <w:rPr>
          <w:rFonts w:ascii="Times New Roman" w:cs="Times New Roman" w:eastAsia="Times New Roman" w:hAnsi="Times New Roman"/>
          <w:sz w:val="17"/>
          <w:szCs w:val="17"/>
          <w:color w:val="auto"/>
        </w:rPr>
        <w:t>We did not recognize an allowance for credit loss for any security in the investment portfolio as of March 31, 2026 or December 31, 2025, and we did not record any provision for credit loss for investment securities during the three months ended March 31, 2026 or 2025.</w:t>
      </w:r>
    </w:p>
    <w:p>
      <w:pPr>
        <w:spacing w:after="0" w:line="94" w:lineRule="exact"/>
        <w:rPr>
          <w:sz w:val="20"/>
          <w:szCs w:val="20"/>
          <w:color w:val="auto"/>
        </w:rPr>
      </w:pPr>
    </w:p>
    <w:p>
      <w:pPr>
        <w:jc w:val="both"/>
        <w:ind w:firstLine="627"/>
        <w:spacing w:after="0" w:line="276" w:lineRule="auto"/>
        <w:rPr>
          <w:sz w:val="20"/>
          <w:szCs w:val="20"/>
          <w:color w:val="auto"/>
        </w:rPr>
      </w:pPr>
      <w:r>
        <w:rPr>
          <w:rFonts w:ascii="Times New Roman" w:cs="Times New Roman" w:eastAsia="Times New Roman" w:hAnsi="Times New Roman"/>
          <w:sz w:val="17"/>
          <w:szCs w:val="17"/>
          <w:color w:val="auto"/>
        </w:rPr>
        <w:t>As of March 31, 2026, the investment portfolio had gross unrealized losses of $97.1 million, of which $87.3 million were associated with securities that had been in an unrealized loss position for a period of twelve months or longer. As of December 31, 2025, the investment portfolio had gross unrealized losses of $86.3 million, of which $84.3 million were associated with securities that had been in an unrealized loss position for a period of twelve months or longer.</w:t>
      </w:r>
    </w:p>
    <w:p>
      <w:pPr>
        <w:spacing w:after="0" w:line="11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We evaluated the securities in an unrealized loss position as of March 31, 2026, assessing their credit ratings as well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86" w:right="339" w:bottom="1440" w:gutter="0" w:footer="0" w:header="0"/>
        </w:sectPr>
      </w:pPr>
    </w:p>
    <w:bookmarkStart w:id="47" w:name="page48"/>
    <w:bookmarkEnd w:id="47"/>
    <w:p>
      <w:pPr>
        <w:jc w:val="both"/>
        <w:spacing w:after="0" w:line="269" w:lineRule="auto"/>
        <w:rPr>
          <w:sz w:val="20"/>
          <w:szCs w:val="20"/>
          <w:color w:val="auto"/>
        </w:rPr>
      </w:pPr>
      <w:r>
        <w:rPr>
          <w:rFonts w:ascii="Times New Roman" w:cs="Times New Roman" w:eastAsia="Times New Roman" w:hAnsi="Times New Roman"/>
          <w:sz w:val="17"/>
          <w:szCs w:val="17"/>
          <w:color w:val="auto"/>
        </w:rPr>
        <w:t>any adverse conditions specifically related to the security. Based upon our assessment of the amount and timing of cash flows to be collected over the remaining life of each instrument, we believe the unrealized losses as of March 31, 2026 are not indicative of the ultimate collectability of the current amortized cost of the securities. Rather, the unrealized losses on securities held as of March 31, 2026 were primarily driven by fluctuations in interest rates, and to a lesser extent, movements in credit spreads following the purchase of those securities.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Estimates</w:t>
      </w:r>
    </w:p>
    <w:p>
      <w:pPr>
        <w:spacing w:after="0" w:line="172" w:lineRule="exact"/>
        <w:rPr>
          <w:sz w:val="20"/>
          <w:szCs w:val="20"/>
          <w:color w:val="auto"/>
        </w:rPr>
      </w:pPr>
    </w:p>
    <w:p>
      <w:pPr>
        <w:jc w:val="both"/>
        <w:ind w:firstLine="627"/>
        <w:spacing w:after="0" w:line="269" w:lineRule="auto"/>
        <w:rPr>
          <w:sz w:val="20"/>
          <w:szCs w:val="20"/>
          <w:color w:val="auto"/>
        </w:rPr>
      </w:pPr>
      <w:r>
        <w:rPr>
          <w:rFonts w:ascii="Times New Roman" w:cs="Times New Roman" w:eastAsia="Times New Roman" w:hAnsi="Times New Roman"/>
          <w:sz w:val="17"/>
          <w:szCs w:val="17"/>
          <w:color w:val="auto"/>
        </w:rPr>
        <w:t>We use accounting principles and methods that conform to GAAP. We are required to apply significant judgment and make material estimates in the preparation of our financial statements and with regard to various accounting, reporting and disclosure matters. Assumptions and estimates are required to apply these principles where actual measurement is not possible or practical. On an ongoing basis, we evaluate our estimates and assumptions. Our actual results may differ from these estimates under different assumptions or conditions.</w:t>
      </w:r>
    </w:p>
    <w:p>
      <w:pPr>
        <w:spacing w:after="0" w:line="117" w:lineRule="exact"/>
        <w:rPr>
          <w:sz w:val="20"/>
          <w:szCs w:val="20"/>
          <w:color w:val="auto"/>
        </w:rPr>
      </w:pPr>
    </w:p>
    <w:p>
      <w:pPr>
        <w:jc w:val="both"/>
        <w:ind w:firstLine="627"/>
        <w:spacing w:after="0" w:line="276" w:lineRule="auto"/>
        <w:rPr>
          <w:sz w:val="20"/>
          <w:szCs w:val="20"/>
          <w:color w:val="auto"/>
        </w:rPr>
      </w:pPr>
      <w:r>
        <w:rPr>
          <w:rFonts w:ascii="Times New Roman" w:cs="Times New Roman" w:eastAsia="Times New Roman" w:hAnsi="Times New Roman"/>
          <w:sz w:val="17"/>
          <w:szCs w:val="17"/>
          <w:color w:val="auto"/>
        </w:rPr>
        <w:t>We believe that the assumptions and estimates associated with revenue recognition and reserves for insurance claims and claim expenses have the greatest potential impact on our consolidated financial statements. Therefore, we consider these to be our critical accounting estimates. There have not been any material changes to our critical accounting policies and estimates as compared to the critical accounting policies and estimates described in our 2025 10-K.</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b w:val="1"/>
          <w:bCs w:val="1"/>
          <w:color w:val="auto"/>
        </w:rPr>
        <w:t>Item 3. Quantitative and Qualitative Disclosures About Market Risk</w:t>
      </w:r>
    </w:p>
    <w:p>
      <w:pPr>
        <w:spacing w:after="0" w:line="172" w:lineRule="exact"/>
        <w:rPr>
          <w:sz w:val="20"/>
          <w:szCs w:val="20"/>
          <w:color w:val="auto"/>
        </w:rPr>
      </w:pPr>
    </w:p>
    <w:p>
      <w:pPr>
        <w:ind w:firstLine="627"/>
        <w:spacing w:after="0" w:line="294" w:lineRule="auto"/>
        <w:rPr>
          <w:sz w:val="20"/>
          <w:szCs w:val="20"/>
          <w:color w:val="auto"/>
        </w:rPr>
      </w:pPr>
      <w:r>
        <w:rPr>
          <w:rFonts w:ascii="Times New Roman" w:cs="Times New Roman" w:eastAsia="Times New Roman" w:hAnsi="Times New Roman"/>
          <w:sz w:val="17"/>
          <w:szCs w:val="17"/>
          <w:color w:val="auto"/>
        </w:rPr>
        <w:t>We own and manage a large investment portfolio of various holdings, types and maturities. NMIH</w:t>
      </w:r>
      <w:r>
        <w:rPr>
          <w:rFonts w:ascii="Arial" w:cs="Arial" w:eastAsia="Arial" w:hAnsi="Arial"/>
          <w:sz w:val="17"/>
          <w:szCs w:val="17"/>
          <w:color w:val="auto"/>
        </w:rPr>
        <w:t>’</w:t>
      </w:r>
      <w:r>
        <w:rPr>
          <w:rFonts w:ascii="Times New Roman" w:cs="Times New Roman" w:eastAsia="Times New Roman" w:hAnsi="Times New Roman"/>
          <w:sz w:val="17"/>
          <w:szCs w:val="17"/>
          <w:color w:val="auto"/>
        </w:rPr>
        <w:t>s principal source of operating cash is investment income. The assets within the investment portfolio are exposed to the same factors that affect overall financial market performance.</w:t>
      </w:r>
    </w:p>
    <w:p>
      <w:pPr>
        <w:spacing w:after="0" w:line="9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We manage market risk via a defined investment policy implemented by our treasury function with oversight from our Board's Risk Committee.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Important drivers of our market risk exposure monitored and managed by us include but are not limited to:</w:t>
      </w:r>
    </w:p>
    <w:p>
      <w:pPr>
        <w:spacing w:after="0" w:line="150" w:lineRule="exact"/>
        <w:rPr>
          <w:sz w:val="20"/>
          <w:szCs w:val="20"/>
          <w:color w:val="auto"/>
        </w:rPr>
      </w:pPr>
    </w:p>
    <w:p>
      <w:pPr>
        <w:jc w:val="both"/>
        <w:ind w:left="940" w:hanging="308"/>
        <w:spacing w:after="0" w:line="266" w:lineRule="auto"/>
        <w:tabs>
          <w:tab w:leader="none" w:pos="936"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Changes to the level of interest rates</w:t>
      </w:r>
      <w:r>
        <w:rPr>
          <w:rFonts w:ascii="Times New Roman" w:cs="Times New Roman" w:eastAsia="Times New Roman" w:hAnsi="Times New Roman"/>
          <w:sz w:val="17"/>
          <w:szCs w:val="17"/>
          <w:color w:val="auto"/>
        </w:rPr>
        <w:t>. Increasing interest rates may reduce the value of certain fixed-rate bonds held in the investment portfolio.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Higher rates may cause variable rate assets to generate additional income. Decreasing rates will have the reverse impact. Significant changes in interest rates can also affect persistency and claim rates of our insurance portfolio, and as a result we may determine that our investment portfolio needs to be restructured to better align it with future liabilities and claim payments. Such restructuring may cause investments to be liquidated when market conditions are adverse. Additionally, the changes in SOFR based interest rates affect the interest expense related to the Company's debt.</w:t>
      </w:r>
    </w:p>
    <w:p>
      <w:pPr>
        <w:spacing w:after="0" w:line="328" w:lineRule="exact"/>
        <w:rPr>
          <w:rFonts w:ascii="Times New Roman" w:cs="Times New Roman" w:eastAsia="Times New Roman" w:hAnsi="Times New Roman"/>
          <w:sz w:val="17"/>
          <w:szCs w:val="17"/>
          <w:color w:val="auto"/>
        </w:rPr>
      </w:pPr>
    </w:p>
    <w:p>
      <w:pPr>
        <w:ind w:left="940" w:hanging="308"/>
        <w:spacing w:after="0" w:line="298" w:lineRule="auto"/>
        <w:tabs>
          <w:tab w:leader="none" w:pos="936" w:val="left"/>
        </w:tabs>
        <w:numPr>
          <w:ilvl w:val="0"/>
          <w:numId w:val="21"/>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Changes to the term structure of interest rates</w:t>
      </w:r>
      <w:r>
        <w:rPr>
          <w:rFonts w:ascii="Times New Roman" w:cs="Times New Roman" w:eastAsia="Times New Roman" w:hAnsi="Times New Roman"/>
          <w:sz w:val="17"/>
          <w:szCs w:val="17"/>
          <w:color w:val="auto"/>
        </w:rPr>
        <w:t>. Rising or falling rates typically change by different amounts along the yield curve. These changes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may have unforeseen impacts on the value of certain assets.</w:t>
      </w:r>
    </w:p>
    <w:p>
      <w:pPr>
        <w:spacing w:after="0" w:line="89" w:lineRule="exact"/>
        <w:rPr>
          <w:rFonts w:ascii="Times New Roman" w:cs="Times New Roman" w:eastAsia="Times New Roman" w:hAnsi="Times New Roman"/>
          <w:sz w:val="17"/>
          <w:szCs w:val="17"/>
          <w:i w:val="1"/>
          <w:iCs w:val="1"/>
          <w:color w:val="auto"/>
        </w:rPr>
      </w:pPr>
    </w:p>
    <w:p>
      <w:pPr>
        <w:jc w:val="both"/>
        <w:ind w:left="940" w:hanging="308"/>
        <w:spacing w:after="0" w:line="289" w:lineRule="auto"/>
        <w:tabs>
          <w:tab w:leader="none" w:pos="936"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Market volatility/changes in the real or perceived credit quality of investments</w:t>
      </w:r>
      <w:r>
        <w:rPr>
          <w:rFonts w:ascii="Times New Roman" w:cs="Times New Roman" w:eastAsia="Times New Roman" w:hAnsi="Times New Roman"/>
          <w:sz w:val="17"/>
          <w:szCs w:val="17"/>
          <w:color w:val="auto"/>
        </w:rPr>
        <w:t>. Deterioration in the quality of investments, identified through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changes to our own or third-party (</w:t>
      </w:r>
      <w:r>
        <w:rPr>
          <w:rFonts w:ascii="Times New Roman" w:cs="Times New Roman" w:eastAsia="Times New Roman" w:hAnsi="Times New Roman"/>
          <w:sz w:val="17"/>
          <w:szCs w:val="17"/>
          <w:i w:val="1"/>
          <w:iCs w:val="1"/>
          <w:color w:val="auto"/>
        </w:rPr>
        <w:t>e.g.</w:t>
      </w:r>
      <w:r>
        <w:rPr>
          <w:rFonts w:ascii="Times New Roman" w:cs="Times New Roman" w:eastAsia="Times New Roman" w:hAnsi="Times New Roman"/>
          <w:sz w:val="17"/>
          <w:szCs w:val="17"/>
          <w:color w:val="auto"/>
        </w:rPr>
        <w:t>, rating agency or investment advisors) assessments, will reduce the value and potentially the liquidity of investments.</w:t>
      </w:r>
    </w:p>
    <w:p>
      <w:pPr>
        <w:spacing w:after="0" w:line="313" w:lineRule="exact"/>
        <w:rPr>
          <w:rFonts w:ascii="Times New Roman" w:cs="Times New Roman" w:eastAsia="Times New Roman" w:hAnsi="Times New Roman"/>
          <w:sz w:val="17"/>
          <w:szCs w:val="17"/>
          <w:color w:val="auto"/>
        </w:rPr>
      </w:pPr>
    </w:p>
    <w:p>
      <w:pPr>
        <w:ind w:left="940" w:hanging="308"/>
        <w:spacing w:after="0" w:line="298" w:lineRule="auto"/>
        <w:tabs>
          <w:tab w:leader="none" w:pos="936"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Concentration risk</w:t>
      </w:r>
      <w:r>
        <w:rPr>
          <w:rFonts w:ascii="Times New Roman" w:cs="Times New Roman" w:eastAsia="Times New Roman" w:hAnsi="Times New Roman"/>
          <w:sz w:val="17"/>
          <w:szCs w:val="17"/>
          <w:color w:val="auto"/>
        </w:rPr>
        <w:t>. If the investment portfolio is highly concentrated in one asset, or in multiple assets whose values are highly correlated,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value of the total portfolio may be greatly affected by the change in value of just one asset or a group of highly correlated assets.</w:t>
      </w:r>
    </w:p>
    <w:p>
      <w:pPr>
        <w:spacing w:after="0" w:line="89" w:lineRule="exact"/>
        <w:rPr>
          <w:rFonts w:ascii="Times New Roman" w:cs="Times New Roman" w:eastAsia="Times New Roman" w:hAnsi="Times New Roman"/>
          <w:sz w:val="17"/>
          <w:szCs w:val="17"/>
          <w:color w:val="auto"/>
        </w:rPr>
      </w:pPr>
    </w:p>
    <w:p>
      <w:pPr>
        <w:ind w:left="940" w:hanging="308"/>
        <w:spacing w:after="0" w:line="298" w:lineRule="auto"/>
        <w:tabs>
          <w:tab w:leader="none" w:pos="936"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Prepayment risk</w:t>
      </w:r>
      <w:r>
        <w:rPr>
          <w:rFonts w:ascii="Times New Roman" w:cs="Times New Roman" w:eastAsia="Times New Roman" w:hAnsi="Times New Roman"/>
          <w:sz w:val="17"/>
          <w:szCs w:val="17"/>
          <w:color w:val="auto"/>
        </w:rPr>
        <w:t>. Bonds may have call provisions that permit debtors to repay prior to maturity when it is to their advantage. This typically occurs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when rates fall below the interest rate of the debt.</w:t>
      </w:r>
    </w:p>
    <w:p>
      <w:pPr>
        <w:spacing w:after="0" w:line="92" w:lineRule="exact"/>
        <w:rPr>
          <w:sz w:val="20"/>
          <w:szCs w:val="20"/>
          <w:color w:val="auto"/>
        </w:rPr>
      </w:pPr>
    </w:p>
    <w:p>
      <w:pPr>
        <w:jc w:val="both"/>
        <w:ind w:firstLine="627"/>
        <w:spacing w:after="0" w:line="269" w:lineRule="auto"/>
        <w:rPr>
          <w:sz w:val="20"/>
          <w:szCs w:val="20"/>
          <w:color w:val="auto"/>
        </w:rPr>
      </w:pPr>
      <w:r>
        <w:rPr>
          <w:rFonts w:ascii="Times New Roman" w:cs="Times New Roman" w:eastAsia="Times New Roman" w:hAnsi="Times New Roman"/>
          <w:sz w:val="17"/>
          <w:szCs w:val="17"/>
          <w:color w:val="auto"/>
        </w:rPr>
        <w:t>The carrying value of our investment portfolio as of March 31, 2026 and December 31, 2025 was $3.2 billion and $3.1 billion, respectively, of which 100% was invested in fixed maturity securities. The primary market risk to our investment portfolio is interest rate risk associated with investments in fixed maturity securities. We mitigate the market risk associated with our fixed maturity securities portfolio by matching the duration of our fixed maturity securities with the expected duration of the liabilities that those securities are intended to support.</w:t>
      </w:r>
    </w:p>
    <w:p>
      <w:pPr>
        <w:spacing w:after="0" w:line="117" w:lineRule="exact"/>
        <w:rPr>
          <w:sz w:val="20"/>
          <w:szCs w:val="20"/>
          <w:color w:val="auto"/>
        </w:rPr>
      </w:pPr>
    </w:p>
    <w:p>
      <w:pPr>
        <w:jc w:val="both"/>
        <w:ind w:firstLine="627"/>
        <w:spacing w:after="0" w:line="269" w:lineRule="auto"/>
        <w:rPr>
          <w:sz w:val="20"/>
          <w:szCs w:val="20"/>
          <w:color w:val="auto"/>
        </w:rPr>
      </w:pPr>
      <w:r>
        <w:rPr>
          <w:rFonts w:ascii="Times New Roman" w:cs="Times New Roman" w:eastAsia="Times New Roman" w:hAnsi="Times New Roman"/>
          <w:sz w:val="17"/>
          <w:szCs w:val="17"/>
          <w:color w:val="auto"/>
        </w:rPr>
        <w:t>As of March 31, 2026, the duration of our fixed income portfolio, including cash and cash equivalents, was 3.69 years, which means that an instantaneous parallel shift (movement up or down) in the yield curve of 100 basis points would result in a change of 3.69% in fair value of our fixed income portfolio. Excluding cash, our fixed income portfolio duration was 3.70 years, which means that an instantaneous parallel shift (movement up or down) in the yield curve of 100 basis points would result in a change of 3.70% in fair value of our fixed income portfolio.</w:t>
      </w:r>
    </w:p>
    <w:p>
      <w:pPr>
        <w:spacing w:after="0" w:line="115" w:lineRule="exact"/>
        <w:rPr>
          <w:sz w:val="20"/>
          <w:szCs w:val="20"/>
          <w:color w:val="auto"/>
        </w:rPr>
      </w:pPr>
    </w:p>
    <w:p>
      <w:pPr>
        <w:jc w:val="both"/>
        <w:ind w:firstLine="627"/>
        <w:spacing w:after="0" w:line="277" w:lineRule="auto"/>
        <w:rPr>
          <w:sz w:val="20"/>
          <w:szCs w:val="20"/>
          <w:color w:val="auto"/>
        </w:rPr>
      </w:pPr>
      <w:r>
        <w:rPr>
          <w:rFonts w:ascii="Times New Roman" w:cs="Times New Roman" w:eastAsia="Times New Roman" w:hAnsi="Times New Roman"/>
          <w:sz w:val="17"/>
          <w:szCs w:val="17"/>
          <w:color w:val="auto"/>
        </w:rPr>
        <w:t>We are also subject to market risk related to the 2024 Revolving Credit Facility and the ILN Transactions. As discussed in Item 1, “</w:t>
      </w:r>
      <w:r>
        <w:rPr>
          <w:rFonts w:ascii="Times New Roman" w:cs="Times New Roman" w:eastAsia="Times New Roman" w:hAnsi="Times New Roman"/>
          <w:sz w:val="17"/>
          <w:szCs w:val="17"/>
          <w:i w:val="1"/>
          <w:iCs w:val="1"/>
          <w:color w:val="auto"/>
        </w:rPr>
        <w:t>Financial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Statements - Notes to Condensed Consolidated Financial Statements - Note 4, Debt” </w:t>
      </w:r>
      <w:r>
        <w:rPr>
          <w:rFonts w:ascii="Times New Roman" w:cs="Times New Roman" w:eastAsia="Times New Roman" w:hAnsi="Times New Roman"/>
          <w:sz w:val="17"/>
          <w:szCs w:val="17"/>
          <w:color w:val="auto"/>
        </w:rPr>
        <w:t>the 2024 Revolving Credit Facility bears interest at a variable rate and, as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result, increases in market interest rates would generally result in increased interest expense on any outstanding drawn balance.</w:t>
      </w:r>
    </w:p>
    <w:p>
      <w:pPr>
        <w:spacing w:after="0" w:line="109" w:lineRule="exact"/>
        <w:rPr>
          <w:sz w:val="20"/>
          <w:szCs w:val="20"/>
          <w:color w:val="auto"/>
        </w:rPr>
      </w:pPr>
    </w:p>
    <w:p>
      <w:pPr>
        <w:jc w:val="both"/>
        <w:ind w:firstLine="627"/>
        <w:spacing w:after="0" w:line="266" w:lineRule="auto"/>
        <w:rPr>
          <w:sz w:val="20"/>
          <w:szCs w:val="20"/>
          <w:color w:val="auto"/>
        </w:rPr>
      </w:pPr>
      <w:r>
        <w:rPr>
          <w:rFonts w:ascii="Times New Roman" w:cs="Times New Roman" w:eastAsia="Times New Roman" w:hAnsi="Times New Roman"/>
          <w:sz w:val="17"/>
          <w:szCs w:val="17"/>
          <w:color w:val="auto"/>
        </w:rPr>
        <w:t>The risk premium amounts under the ILN Transactions are calculated by multiplying the outstanding reinsurance coverage amount at the beginning of any payment period by a coupon rate, which is the sum of one-month SOFR, as applicable, and a risk margin, and then subtracting actual investment income earned on the trust balance during that payment period. An increase in one-month SOFR, as applicable, would generally increase the risk premium payments, while an increase to money market rates, which directly affect investment income earned on the trust balance, would generally decrease them. Although we expect the two rates to move in tandem, to the extent they do not, it could increase or decrease the risk premium payments that otherwise would be due.</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82"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b w:val="1"/>
          <w:bCs w:val="1"/>
          <w:color w:val="auto"/>
        </w:rPr>
        <w:t>Item 4. Controls and Procedures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Disclosure Controls and Procedures</w:t>
      </w:r>
    </w:p>
    <w:p>
      <w:pPr>
        <w:spacing w:after="0" w:line="172" w:lineRule="exact"/>
        <w:rPr>
          <w:sz w:val="20"/>
          <w:szCs w:val="20"/>
          <w:color w:val="auto"/>
        </w:rPr>
      </w:pPr>
    </w:p>
    <w:p>
      <w:pPr>
        <w:jc w:val="both"/>
        <w:ind w:firstLine="627"/>
        <w:spacing w:after="0" w:line="269" w:lineRule="auto"/>
        <w:rPr>
          <w:sz w:val="20"/>
          <w:szCs w:val="20"/>
          <w:color w:val="auto"/>
        </w:rPr>
      </w:pPr>
      <w:r>
        <w:rPr>
          <w:rFonts w:ascii="Times New Roman" w:cs="Times New Roman" w:eastAsia="Times New Roman" w:hAnsi="Times New Roman"/>
          <w:sz w:val="17"/>
          <w:szCs w:val="17"/>
          <w:color w:val="auto"/>
        </w:rPr>
        <w:t>We maintain disclosure controls and procedures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117" w:lineRule="exact"/>
        <w:rPr>
          <w:sz w:val="20"/>
          <w:szCs w:val="20"/>
          <w:color w:val="auto"/>
        </w:rPr>
      </w:pPr>
    </w:p>
    <w:p>
      <w:pPr>
        <w:jc w:val="both"/>
        <w:ind w:firstLine="627"/>
        <w:spacing w:after="0" w:line="265" w:lineRule="auto"/>
        <w:rPr>
          <w:sz w:val="20"/>
          <w:szCs w:val="20"/>
          <w:color w:val="auto"/>
        </w:rPr>
      </w:pPr>
      <w:r>
        <w:rPr>
          <w:rFonts w:ascii="Times New Roman" w:cs="Times New Roman" w:eastAsia="Times New Roman" w:hAnsi="Times New Roman"/>
          <w:sz w:val="17"/>
          <w:szCs w:val="17"/>
          <w:color w:val="auto"/>
        </w:rPr>
        <w:t>Our management, including our Chief Executive Officer and Chief Financial Officer, conducted an evaluation of the effectiveness of our disclosure controls and procedures (as defined in Rule 13a-15(e) of the Exchange Act) as of March 31, 2026, pursuant to Rule 13a-15(e) under the Exchange Act. Management applied its judgment in assessing the costs and benefits of such controls and procedures, which by their nature, can provide only reasonable assurance regarding management's control objectives. Management does not expect that our disclosure controls and procedures will prevent or detect all errors and fraud. A control system, irrespective of how well it is designed and operated, can only provide reasonable assurance and cannot guarantee that it will succeed in its stated objectives.</w:t>
      </w:r>
    </w:p>
    <w:p>
      <w:pPr>
        <w:spacing w:after="0" w:line="332" w:lineRule="exact"/>
        <w:rPr>
          <w:sz w:val="20"/>
          <w:szCs w:val="20"/>
          <w:color w:val="auto"/>
        </w:rPr>
      </w:pPr>
    </w:p>
    <w:p>
      <w:pPr>
        <w:jc w:val="both"/>
        <w:ind w:firstLine="627"/>
        <w:spacing w:after="0" w:line="278" w:lineRule="auto"/>
        <w:rPr>
          <w:sz w:val="20"/>
          <w:szCs w:val="20"/>
          <w:color w:val="auto"/>
        </w:rPr>
      </w:pPr>
      <w:r>
        <w:rPr>
          <w:rFonts w:ascii="Times New Roman" w:cs="Times New Roman" w:eastAsia="Times New Roman" w:hAnsi="Times New Roman"/>
          <w:sz w:val="17"/>
          <w:szCs w:val="17"/>
          <w:color w:val="auto"/>
        </w:rPr>
        <w:t>Based upon that evaluation, our Chief Executive Officer and Chief Financial Officer concluded that, as of March 31, 2026, our disclosure controls and procedures were effective to provide reasonable assurance that the information required to be disclosed by us in the reports we file or submit under the Exchange Act is recorded, processed, summarized, and reported within the time periods specified in the SEC</w:t>
      </w:r>
      <w:r>
        <w:rPr>
          <w:rFonts w:ascii="Arial" w:cs="Arial" w:eastAsia="Arial" w:hAnsi="Arial"/>
          <w:sz w:val="17"/>
          <w:szCs w:val="17"/>
          <w:color w:val="auto"/>
        </w:rPr>
        <w:t>’</w:t>
      </w:r>
      <w:r>
        <w:rPr>
          <w:rFonts w:ascii="Times New Roman" w:cs="Times New Roman" w:eastAsia="Times New Roman" w:hAnsi="Times New Roman"/>
          <w:sz w:val="17"/>
          <w:szCs w:val="17"/>
          <w:color w:val="auto"/>
        </w:rPr>
        <w:t>s rules and forms.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Internal Control Over Financial Reporting</w:t>
      </w:r>
    </w:p>
    <w:p>
      <w:pPr>
        <w:spacing w:after="0" w:line="172" w:lineRule="exact"/>
        <w:rPr>
          <w:sz w:val="20"/>
          <w:szCs w:val="20"/>
          <w:color w:val="auto"/>
        </w:rPr>
      </w:pPr>
    </w:p>
    <w:p>
      <w:pPr>
        <w:jc w:val="both"/>
        <w:ind w:firstLine="627"/>
        <w:spacing w:after="0" w:line="295" w:lineRule="auto"/>
        <w:rPr>
          <w:sz w:val="20"/>
          <w:szCs w:val="20"/>
          <w:color w:val="auto"/>
        </w:rPr>
      </w:pPr>
      <w:r>
        <w:rPr>
          <w:rFonts w:ascii="Times New Roman" w:cs="Times New Roman" w:eastAsia="Times New Roman" w:hAnsi="Times New Roman"/>
          <w:sz w:val="17"/>
          <w:szCs w:val="17"/>
          <w:color w:val="auto"/>
        </w:rPr>
        <w:t>There was no change in our internal control over financial reporting that occurred during the period covered by this report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82" w:right="3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Legal Proceedings</w:t>
      </w:r>
    </w:p>
    <w:p>
      <w:pPr>
        <w:spacing w:after="0" w:line="172" w:lineRule="exact"/>
        <w:rPr>
          <w:sz w:val="20"/>
          <w:szCs w:val="20"/>
          <w:color w:val="auto"/>
        </w:rPr>
      </w:pPr>
    </w:p>
    <w:p>
      <w:pPr>
        <w:jc w:val="both"/>
        <w:ind w:firstLine="627"/>
        <w:spacing w:after="0" w:line="264" w:lineRule="auto"/>
        <w:rPr>
          <w:sz w:val="20"/>
          <w:szCs w:val="20"/>
          <w:color w:val="auto"/>
        </w:rPr>
      </w:pPr>
      <w:r>
        <w:rPr>
          <w:rFonts w:ascii="Times New Roman" w:cs="Times New Roman" w:eastAsia="Times New Roman" w:hAnsi="Times New Roman"/>
          <w:sz w:val="17"/>
          <w:szCs w:val="17"/>
          <w:color w:val="auto"/>
        </w:rPr>
        <w:t>Certain lawsuits and claims arising in the ordinary course of business may be filed or pending against us or our affiliates from time to time. In accordance with applicable accounting guidance, we establish accruals for all lawsuits, claims and expected settlements when we believe it is probable that a loss has been incurred and the amount of the loss is reasonably estimable. When a loss contingency is not both probable and estimable, we do not establish an accrual. Any such loss estimates are inherently uncertain, based on currently available information and are subject to management's judgment and various assumptions. Due to the inherent subjectivity of these estimates and unpredictability of outcomes of legal proceedings, any amounts accrued may not represent the ultimate resolution of such matters.</w:t>
      </w:r>
    </w:p>
    <w:p>
      <w:pPr>
        <w:spacing w:after="0" w:line="121" w:lineRule="exact"/>
        <w:rPr>
          <w:sz w:val="20"/>
          <w:szCs w:val="20"/>
          <w:color w:val="auto"/>
        </w:rPr>
      </w:pPr>
    </w:p>
    <w:p>
      <w:pPr>
        <w:jc w:val="both"/>
        <w:ind w:firstLine="627"/>
        <w:spacing w:after="0" w:line="266" w:lineRule="auto"/>
        <w:rPr>
          <w:sz w:val="20"/>
          <w:szCs w:val="20"/>
          <w:color w:val="auto"/>
        </w:rPr>
      </w:pPr>
      <w:r>
        <w:rPr>
          <w:rFonts w:ascii="Times New Roman" w:cs="Times New Roman" w:eastAsia="Times New Roman" w:hAnsi="Times New Roman"/>
          <w:sz w:val="17"/>
          <w:szCs w:val="17"/>
          <w:color w:val="auto"/>
        </w:rPr>
        <w:t>To the extent we believe any potential loss relating to such lawsuits and claims may have a material impact on our liquidity, consolidated financial position, results of operations, and/or our business as a whole and is reasonably possible but not probable, we will disclose information relating to any such potential loss, whether in excess of any established accruals or where there is no established accrual. We will also disclose information relating to any material potential loss that is probable but not reasonably estimable. Where reasonably practicable, we will provide an estimate of loss or range of potential loss. No disclosures are generally made for any loss contingencies that are deemed to be remote.</w:t>
      </w:r>
    </w:p>
    <w:p>
      <w:pPr>
        <w:spacing w:after="0" w:line="119" w:lineRule="exact"/>
        <w:rPr>
          <w:sz w:val="20"/>
          <w:szCs w:val="20"/>
          <w:color w:val="auto"/>
        </w:rPr>
      </w:pPr>
    </w:p>
    <w:p>
      <w:pPr>
        <w:jc w:val="both"/>
        <w:ind w:firstLine="627"/>
        <w:spacing w:after="0" w:line="266" w:lineRule="auto"/>
        <w:rPr>
          <w:sz w:val="20"/>
          <w:szCs w:val="20"/>
          <w:color w:val="auto"/>
        </w:rPr>
      </w:pPr>
      <w:r>
        <w:rPr>
          <w:rFonts w:ascii="Times New Roman" w:cs="Times New Roman" w:eastAsia="Times New Roman" w:hAnsi="Times New Roman"/>
          <w:sz w:val="17"/>
          <w:szCs w:val="17"/>
          <w:color w:val="auto"/>
        </w:rPr>
        <w:t>Based upon information available to us and our review of lawsuits and claims filed or pending against us to date, we have not recognized a material accrual liability for these matters, nor do we currently expect it is reasonably possible that these matters will result in a material liability to the Company. However, the outcome of litigation and other legal and regulatory matters is inherently uncertain, and it is possible that one or more of such matters currently pending or threatened could have an unanticipated material adverse effect on our liquidity, consolidated financial position, results of operations, and/or our business as a whole, in the future.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172" w:lineRule="exact"/>
        <w:rPr>
          <w:sz w:val="20"/>
          <w:szCs w:val="20"/>
          <w:color w:val="auto"/>
        </w:rPr>
      </w:pPr>
    </w:p>
    <w:p>
      <w:pPr>
        <w:jc w:val="both"/>
        <w:ind w:firstLine="627"/>
        <w:spacing w:after="0" w:line="265" w:lineRule="auto"/>
        <w:rPr>
          <w:sz w:val="20"/>
          <w:szCs w:val="20"/>
          <w:color w:val="auto"/>
        </w:rPr>
      </w:pPr>
      <w:r>
        <w:rPr>
          <w:rFonts w:ascii="Times New Roman" w:cs="Times New Roman" w:eastAsia="Times New Roman" w:hAnsi="Times New Roman"/>
          <w:sz w:val="17"/>
          <w:szCs w:val="17"/>
          <w:color w:val="auto"/>
        </w:rPr>
        <w:t>Risk factors that affect our business and financial results are discussed in Part I, Item 1A of our 2025 10-K. As of the date of this report, we are not aware of any material changes in our risk factors from the risk factors disclosed in our 2025 10-K. You should carefully consider the risks and uncertainties described herein and in our 2025 10-K, which have the potential to affect our business, financial condition, results of operations, cash flows or prospects in a material and adverse manner. The risks described herein and in our 2025 10-K are not the only risks we face, as there are additional risks and uncertainties not currently known to us or that we currently deem to be immaterial, which may in the future adversely affect our business, financial condition and/or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Unregistered Sales of Equity Securities and Use of Proceeds</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Issuer Purchases of Equity Securities</w:t>
      </w:r>
    </w:p>
    <w:p>
      <w:pPr>
        <w:spacing w:after="0" w:line="1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provides information about purchases of NMI Holdings, Inc. common stock by us during the three months ended March 31, 2026.</w:t>
      </w:r>
    </w:p>
    <w:p>
      <w:pPr>
        <w:sectPr>
          <w:pgSz w:w="11900" w:h="16838" w:orient="portrait"/>
          <w:cols w:equalWidth="0" w:num="1">
            <w:col w:w="11240"/>
          </w:cols>
          <w:pgMar w:left="320" w:top="982" w:right="339" w:bottom="1440" w:gutter="0" w:footer="0" w:header="0"/>
        </w:sectPr>
      </w:pPr>
    </w:p>
    <w:p>
      <w:pPr>
        <w:spacing w:after="0" w:line="23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06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920" w:type="dxa"/>
            <w:vAlign w:val="bottom"/>
          </w:tcPr>
          <w:p>
            <w:pPr>
              <w:jc w:val="center"/>
              <w:ind w:left="36"/>
              <w:spacing w:after="0"/>
              <w:rPr>
                <w:sz w:val="20"/>
                <w:szCs w:val="20"/>
                <w:color w:val="auto"/>
              </w:rPr>
            </w:pPr>
            <w:r>
              <w:rPr>
                <w:rFonts w:ascii="Times New Roman" w:cs="Times New Roman" w:eastAsia="Times New Roman" w:hAnsi="Times New Roman"/>
                <w:sz w:val="14"/>
                <w:szCs w:val="14"/>
                <w:b w:val="1"/>
                <w:bCs w:val="1"/>
                <w:color w:val="auto"/>
                <w:w w:val="98"/>
              </w:rPr>
              <w:t>Total Number of Shares</w:t>
            </w:r>
          </w:p>
        </w:tc>
        <w:tc>
          <w:tcPr>
            <w:tcW w:w="0" w:type="dxa"/>
            <w:vAlign w:val="bottom"/>
          </w:tcPr>
          <w:p>
            <w:pPr>
              <w:spacing w:after="0"/>
              <w:rPr>
                <w:sz w:val="1"/>
                <w:szCs w:val="1"/>
                <w:color w:val="auto"/>
              </w:rPr>
            </w:pPr>
          </w:p>
        </w:tc>
      </w:tr>
      <w:tr>
        <w:trPr>
          <w:trHeight w:val="142"/>
        </w:trPr>
        <w:tc>
          <w:tcPr>
            <w:tcW w:w="3060" w:type="dxa"/>
            <w:vAlign w:val="bottom"/>
          </w:tcPr>
          <w:p>
            <w:pPr>
              <w:spacing w:after="0"/>
              <w:rPr>
                <w:sz w:val="12"/>
                <w:szCs w:val="12"/>
                <w:color w:val="auto"/>
              </w:rPr>
            </w:pPr>
          </w:p>
        </w:tc>
        <w:tc>
          <w:tcPr>
            <w:tcW w:w="2240" w:type="dxa"/>
            <w:vAlign w:val="bottom"/>
            <w:vMerge w:val="restart"/>
          </w:tcPr>
          <w:p>
            <w:pPr>
              <w:jc w:val="center"/>
              <w:ind w:left="411"/>
              <w:spacing w:after="0"/>
              <w:rPr>
                <w:sz w:val="20"/>
                <w:szCs w:val="20"/>
                <w:color w:val="auto"/>
              </w:rPr>
            </w:pPr>
            <w:r>
              <w:rPr>
                <w:rFonts w:ascii="Times New Roman" w:cs="Times New Roman" w:eastAsia="Times New Roman" w:hAnsi="Times New Roman"/>
                <w:sz w:val="14"/>
                <w:szCs w:val="14"/>
                <w:b w:val="1"/>
                <w:bCs w:val="1"/>
                <w:color w:val="auto"/>
                <w:w w:val="98"/>
              </w:rPr>
              <w:t>Total Number of Shares</w:t>
            </w:r>
          </w:p>
        </w:tc>
        <w:tc>
          <w:tcPr>
            <w:tcW w:w="2020" w:type="dxa"/>
            <w:vAlign w:val="bottom"/>
          </w:tcPr>
          <w:p>
            <w:pPr>
              <w:spacing w:after="0"/>
              <w:rPr>
                <w:sz w:val="12"/>
                <w:szCs w:val="12"/>
                <w:color w:val="auto"/>
              </w:rPr>
            </w:pPr>
          </w:p>
        </w:tc>
        <w:tc>
          <w:tcPr>
            <w:tcW w:w="1920" w:type="dxa"/>
            <w:vAlign w:val="bottom"/>
          </w:tcPr>
          <w:p>
            <w:pPr>
              <w:jc w:val="center"/>
              <w:ind w:left="36"/>
              <w:spacing w:after="0" w:line="142" w:lineRule="exact"/>
              <w:rPr>
                <w:sz w:val="20"/>
                <w:szCs w:val="20"/>
                <w:color w:val="auto"/>
              </w:rPr>
            </w:pPr>
            <w:r>
              <w:rPr>
                <w:rFonts w:ascii="Times New Roman" w:cs="Times New Roman" w:eastAsia="Times New Roman" w:hAnsi="Times New Roman"/>
                <w:sz w:val="14"/>
                <w:szCs w:val="14"/>
                <w:b w:val="1"/>
                <w:bCs w:val="1"/>
                <w:color w:val="auto"/>
                <w:w w:val="98"/>
              </w:rPr>
              <w:t>Purchased as Part of Publicly</w:t>
            </w:r>
          </w:p>
        </w:tc>
        <w:tc>
          <w:tcPr>
            <w:tcW w:w="0" w:type="dxa"/>
            <w:vAlign w:val="bottom"/>
          </w:tcPr>
          <w:p>
            <w:pPr>
              <w:spacing w:after="0"/>
              <w:rPr>
                <w:sz w:val="1"/>
                <w:szCs w:val="1"/>
                <w:color w:val="auto"/>
              </w:rPr>
            </w:pPr>
          </w:p>
        </w:tc>
      </w:tr>
      <w:tr>
        <w:trPr>
          <w:trHeight w:val="131"/>
        </w:trPr>
        <w:tc>
          <w:tcPr>
            <w:tcW w:w="30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 In Thousands, except for per share data)</w:t>
            </w:r>
          </w:p>
        </w:tc>
        <w:tc>
          <w:tcPr>
            <w:tcW w:w="2240" w:type="dxa"/>
            <w:vAlign w:val="bottom"/>
            <w:vMerge w:val="continue"/>
          </w:tcPr>
          <w:p>
            <w:pPr>
              <w:spacing w:after="0"/>
              <w:rPr>
                <w:sz w:val="11"/>
                <w:szCs w:val="11"/>
                <w:color w:val="auto"/>
              </w:rPr>
            </w:pPr>
          </w:p>
        </w:tc>
        <w:tc>
          <w:tcPr>
            <w:tcW w:w="202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Average Price Paid per Share</w:t>
            </w:r>
          </w:p>
        </w:tc>
        <w:tc>
          <w:tcPr>
            <w:tcW w:w="1920" w:type="dxa"/>
            <w:vAlign w:val="bottom"/>
          </w:tcPr>
          <w:p>
            <w:pPr>
              <w:jc w:val="center"/>
              <w:ind w:left="36"/>
              <w:spacing w:after="0" w:line="131" w:lineRule="exact"/>
              <w:rPr>
                <w:sz w:val="20"/>
                <w:szCs w:val="20"/>
                <w:color w:val="auto"/>
              </w:rPr>
            </w:pPr>
            <w:r>
              <w:rPr>
                <w:rFonts w:ascii="Times New Roman" w:cs="Times New Roman" w:eastAsia="Times New Roman" w:hAnsi="Times New Roman"/>
                <w:sz w:val="14"/>
                <w:szCs w:val="14"/>
                <w:b w:val="1"/>
                <w:bCs w:val="1"/>
                <w:color w:val="auto"/>
                <w:w w:val="98"/>
              </w:rPr>
              <w:t>Announced Plans or Programs</w:t>
            </w:r>
          </w:p>
        </w:tc>
        <w:tc>
          <w:tcPr>
            <w:tcW w:w="0" w:type="dxa"/>
            <w:vAlign w:val="bottom"/>
          </w:tcPr>
          <w:p>
            <w:pPr>
              <w:spacing w:after="0"/>
              <w:rPr>
                <w:sz w:val="1"/>
                <w:szCs w:val="1"/>
                <w:color w:val="auto"/>
              </w:rPr>
            </w:pPr>
          </w:p>
        </w:tc>
      </w:tr>
      <w:tr>
        <w:trPr>
          <w:trHeight w:val="52"/>
        </w:trPr>
        <w:tc>
          <w:tcPr>
            <w:tcW w:w="3060" w:type="dxa"/>
            <w:vAlign w:val="bottom"/>
            <w:vMerge w:val="continue"/>
          </w:tcPr>
          <w:p>
            <w:pPr>
              <w:spacing w:after="0"/>
              <w:rPr>
                <w:sz w:val="4"/>
                <w:szCs w:val="4"/>
                <w:color w:val="auto"/>
              </w:rPr>
            </w:pPr>
          </w:p>
        </w:tc>
        <w:tc>
          <w:tcPr>
            <w:tcW w:w="2240" w:type="dxa"/>
            <w:vAlign w:val="bottom"/>
          </w:tcPr>
          <w:p>
            <w:pPr>
              <w:jc w:val="center"/>
              <w:ind w:left="411"/>
              <w:spacing w:after="0" w:line="53" w:lineRule="exact"/>
              <w:rPr>
                <w:sz w:val="20"/>
                <w:szCs w:val="20"/>
                <w:color w:val="auto"/>
              </w:rPr>
            </w:pPr>
            <w:r>
              <w:rPr>
                <w:rFonts w:ascii="Times New Roman" w:cs="Times New Roman" w:eastAsia="Times New Roman" w:hAnsi="Times New Roman"/>
                <w:sz w:val="6"/>
                <w:szCs w:val="6"/>
                <w:b w:val="1"/>
                <w:bCs w:val="1"/>
                <w:color w:val="auto"/>
              </w:rPr>
              <w:t>Purchased</w:t>
            </w:r>
          </w:p>
        </w:tc>
        <w:tc>
          <w:tcPr>
            <w:tcW w:w="2020" w:type="dxa"/>
            <w:vAlign w:val="bottom"/>
            <w:vMerge w:val="continue"/>
          </w:tcPr>
          <w:p>
            <w:pPr>
              <w:spacing w:after="0"/>
              <w:rPr>
                <w:sz w:val="4"/>
                <w:szCs w:val="4"/>
                <w:color w:val="auto"/>
              </w:rPr>
            </w:pPr>
          </w:p>
        </w:tc>
        <w:tc>
          <w:tcPr>
            <w:tcW w:w="1920" w:type="dxa"/>
            <w:vAlign w:val="bottom"/>
            <w:vMerge w:val="restart"/>
          </w:tcPr>
          <w:p>
            <w:pPr>
              <w:jc w:val="center"/>
              <w:ind w:left="36"/>
              <w:spacing w:after="0"/>
              <w:rPr>
                <w:sz w:val="20"/>
                <w:szCs w:val="20"/>
                <w:color w:val="auto"/>
              </w:rPr>
            </w:pPr>
            <w:r>
              <w:rPr>
                <w:rFonts w:ascii="Times New Roman" w:cs="Times New Roman" w:eastAsia="Times New Roman" w:hAnsi="Times New Roman"/>
                <w:sz w:val="9"/>
                <w:szCs w:val="9"/>
                <w:b w:val="1"/>
                <w:bCs w:val="1"/>
                <w:color w:val="auto"/>
                <w:w w:val="94"/>
              </w:rPr>
              <w:t>(1)</w:t>
            </w:r>
          </w:p>
        </w:tc>
        <w:tc>
          <w:tcPr>
            <w:tcW w:w="0" w:type="dxa"/>
            <w:vAlign w:val="bottom"/>
          </w:tcPr>
          <w:p>
            <w:pPr>
              <w:spacing w:after="0"/>
              <w:rPr>
                <w:sz w:val="1"/>
                <w:szCs w:val="1"/>
                <w:color w:val="auto"/>
              </w:rPr>
            </w:pPr>
          </w:p>
        </w:tc>
      </w:tr>
      <w:tr>
        <w:trPr>
          <w:trHeight w:val="66"/>
        </w:trPr>
        <w:tc>
          <w:tcPr>
            <w:tcW w:w="306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20" w:type="dxa"/>
            <w:vAlign w:val="bottom"/>
          </w:tcPr>
          <w:p>
            <w:pPr>
              <w:spacing w:after="0"/>
              <w:rPr>
                <w:sz w:val="5"/>
                <w:szCs w:val="5"/>
                <w:color w:val="auto"/>
              </w:rPr>
            </w:pPr>
          </w:p>
        </w:tc>
        <w:tc>
          <w:tcPr>
            <w:tcW w:w="1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Approximate Dollar Value of</w:t>
      </w:r>
    </w:p>
    <w:p>
      <w:pPr>
        <w:ind w:left="160"/>
        <w:spacing w:after="0" w:line="195" w:lineRule="auto"/>
        <w:rPr>
          <w:sz w:val="20"/>
          <w:szCs w:val="20"/>
          <w:color w:val="auto"/>
        </w:rPr>
      </w:pPr>
      <w:r>
        <w:rPr>
          <w:rFonts w:ascii="Times New Roman" w:cs="Times New Roman" w:eastAsia="Times New Roman" w:hAnsi="Times New Roman"/>
          <w:sz w:val="14"/>
          <w:szCs w:val="14"/>
          <w:b w:val="1"/>
          <w:bCs w:val="1"/>
          <w:color w:val="auto"/>
        </w:rPr>
        <w:t>Shares That May Yet Be</w:t>
      </w:r>
    </w:p>
    <w:p>
      <w:pPr>
        <w:spacing w:after="0" w:line="1" w:lineRule="exact"/>
        <w:rPr>
          <w:sz w:val="20"/>
          <w:szCs w:val="20"/>
          <w:color w:val="auto"/>
        </w:rPr>
      </w:pPr>
    </w:p>
    <w:p>
      <w:pPr>
        <w:jc w:val="center"/>
        <w:ind w:right="40"/>
        <w:spacing w:after="0" w:line="217" w:lineRule="auto"/>
        <w:rPr>
          <w:sz w:val="20"/>
          <w:szCs w:val="20"/>
          <w:color w:val="auto"/>
        </w:rPr>
      </w:pPr>
      <w:r>
        <w:rPr>
          <w:rFonts w:ascii="Times New Roman" w:cs="Times New Roman" w:eastAsia="Times New Roman" w:hAnsi="Times New Roman"/>
          <w:sz w:val="14"/>
          <w:szCs w:val="14"/>
          <w:b w:val="1"/>
          <w:bCs w:val="1"/>
          <w:color w:val="auto"/>
        </w:rPr>
        <w:t xml:space="preserve">Purchased Under the Plans or Program </w:t>
      </w:r>
      <w:r>
        <w:rPr>
          <w:rFonts w:ascii="Times New Roman" w:cs="Times New Roman" w:eastAsia="Times New Roman" w:hAnsi="Times New Roman"/>
          <w:sz w:val="18"/>
          <w:szCs w:val="18"/>
          <w:b w:val="1"/>
          <w:bCs w:val="1"/>
          <w:color w:val="auto"/>
          <w:vertAlign w:val="superscript"/>
        </w:rPr>
        <w:t>(1)</w:t>
      </w:r>
    </w:p>
    <w:p>
      <w:pPr>
        <w:spacing w:after="0" w:line="1" w:lineRule="exact"/>
        <w:rPr>
          <w:sz w:val="20"/>
          <w:szCs w:val="20"/>
          <w:color w:val="auto"/>
        </w:rPr>
      </w:pPr>
    </w:p>
    <w:p>
      <w:pPr>
        <w:sectPr>
          <w:pgSz w:w="11900" w:h="16838" w:orient="portrait"/>
          <w:cols w:equalWidth="0" w:num="2">
            <w:col w:w="9260" w:space="160"/>
            <w:col w:w="1820"/>
          </w:cols>
          <w:pgMar w:left="320" w:top="982" w:right="339" w:bottom="1440" w:gutter="0" w:footer="0" w:header="0"/>
          <w:type w:val="continuous"/>
        </w:sectPr>
      </w:pPr>
    </w:p>
    <w:tbl>
      <w:tblPr>
        <w:tblLayout w:type="fixed"/>
        <w:tblInd w:w="0" w:type="dxa"/>
        <w:tblCellMar>
          <w:top w:w="0" w:type="dxa"/>
          <w:left w:w="0" w:type="dxa"/>
          <w:bottom w:w="0" w:type="dxa"/>
          <w:right w:w="0" w:type="dxa"/>
        </w:tblCellMar>
      </w:tblPr>
      <w:tr>
        <w:trPr>
          <w:trHeight w:val="202"/>
        </w:trPr>
        <w:tc>
          <w:tcPr>
            <w:tcW w:w="3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Period:</w:t>
            </w:r>
          </w:p>
        </w:tc>
        <w:tc>
          <w:tcPr>
            <w:tcW w:w="18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8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r>
      <w:tr>
        <w:trPr>
          <w:trHeight w:val="222"/>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1/1/2026 to 1/31/2026</w:t>
            </w: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229,580</w:t>
            </w:r>
          </w:p>
        </w:tc>
        <w:tc>
          <w:tcPr>
            <w:tcW w:w="860" w:type="dxa"/>
            <w:vAlign w:val="bottom"/>
          </w:tcPr>
          <w:p>
            <w:pPr>
              <w:jc w:val="right"/>
              <w:ind w:right="573"/>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38.82</w:t>
            </w: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229,580</w:t>
            </w:r>
          </w:p>
        </w:tc>
        <w:tc>
          <w:tcPr>
            <w:tcW w:w="760" w:type="dxa"/>
            <w:vAlign w:val="bottom"/>
          </w:tcPr>
          <w:p>
            <w:pPr>
              <w:jc w:val="right"/>
              <w:ind w:right="473"/>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216,960</w:t>
            </w:r>
          </w:p>
        </w:tc>
      </w:tr>
      <w:tr>
        <w:trPr>
          <w:trHeight w:val="222"/>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2/1/2026 to 2/28/2026</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203,957</w:t>
            </w:r>
          </w:p>
        </w:tc>
        <w:tc>
          <w:tcPr>
            <w:tcW w:w="8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39.71</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203,957</w:t>
            </w:r>
          </w:p>
        </w:tc>
        <w:tc>
          <w:tcPr>
            <w:tcW w:w="7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208,861</w:t>
            </w:r>
          </w:p>
        </w:tc>
      </w:tr>
      <w:tr>
        <w:trPr>
          <w:trHeight w:val="222"/>
        </w:trPr>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3/1/2026 to 3/31/2026</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282,210</w:t>
            </w:r>
          </w:p>
        </w:tc>
        <w:tc>
          <w:tcPr>
            <w:tcW w:w="86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jc w:val="right"/>
              <w:ind w:right="73"/>
              <w:spacing w:after="0"/>
              <w:rPr>
                <w:sz w:val="20"/>
                <w:szCs w:val="20"/>
                <w:color w:val="auto"/>
              </w:rPr>
            </w:pPr>
            <w:r>
              <w:rPr>
                <w:rFonts w:ascii="Times New Roman" w:cs="Times New Roman" w:eastAsia="Times New Roman" w:hAnsi="Times New Roman"/>
                <w:sz w:val="17"/>
                <w:szCs w:val="17"/>
                <w:color w:val="auto"/>
              </w:rPr>
              <w:t>37.74</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282,210</w:t>
            </w:r>
          </w:p>
        </w:tc>
        <w:tc>
          <w:tcPr>
            <w:tcW w:w="76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198,211</w:t>
            </w:r>
          </w:p>
        </w:tc>
      </w:tr>
      <w:tr>
        <w:trPr>
          <w:trHeight w:val="240"/>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715,747</w:t>
            </w:r>
          </w:p>
        </w:tc>
        <w:tc>
          <w:tcPr>
            <w:tcW w:w="8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715,747</w:t>
            </w:r>
          </w:p>
        </w:tc>
        <w:tc>
          <w:tcPr>
            <w:tcW w:w="7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r>
    </w:tbl>
    <w:p>
      <w:pPr>
        <w:spacing w:after="0" w:line="226" w:lineRule="exact"/>
        <w:rPr>
          <w:sz w:val="20"/>
          <w:szCs w:val="20"/>
          <w:color w:val="auto"/>
        </w:rPr>
      </w:pPr>
    </w:p>
    <w:p>
      <w:pPr>
        <w:ind w:left="320" w:hanging="315"/>
        <w:spacing w:after="0" w:line="265" w:lineRule="auto"/>
        <w:tabs>
          <w:tab w:leader="none" w:pos="365"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February 5, 2025, our Board of Directors authorized a $250 million share repurchase program (the 2025 Repurchase Program), effective through December 31, 2027. See Part I, Item 1, “</w:t>
      </w:r>
      <w:r>
        <w:rPr>
          <w:rFonts w:ascii="Times New Roman" w:cs="Times New Roman" w:eastAsia="Times New Roman" w:hAnsi="Times New Roman"/>
          <w:sz w:val="14"/>
          <w:szCs w:val="14"/>
          <w:i w:val="1"/>
          <w:iCs w:val="1"/>
          <w:color w:val="auto"/>
        </w:rPr>
        <w:t>Financial Statements - Notes to Condensed Consolidated Financial Statements - Note 10, Stockholder's Equity</w:t>
      </w:r>
      <w:r>
        <w:rPr>
          <w:rFonts w:ascii="Times New Roman" w:cs="Times New Roman" w:eastAsia="Times New Roman" w:hAnsi="Times New Roman"/>
          <w:sz w:val="14"/>
          <w:szCs w:val="14"/>
          <w:color w:val="auto"/>
        </w:rPr>
        <w:t>”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82" w:right="33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7"/>
          <w:szCs w:val="17"/>
          <w:b w:val="1"/>
          <w:bCs w:val="1"/>
          <w:color w:val="auto"/>
        </w:rPr>
        <w:t>Item 5. Other Information</w:t>
      </w:r>
    </w:p>
    <w:p>
      <w:pPr>
        <w:spacing w:after="0" w:line="16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i w:val="1"/>
          <w:iCs w:val="1"/>
          <w:color w:val="auto"/>
        </w:rPr>
        <w:t>10b5-1 Trading Arrangements</w:t>
      </w:r>
    </w:p>
    <w:p>
      <w:pPr>
        <w:spacing w:after="0" w:line="174" w:lineRule="exact"/>
        <w:rPr>
          <w:sz w:val="20"/>
          <w:szCs w:val="20"/>
          <w:color w:val="auto"/>
        </w:rPr>
      </w:pPr>
    </w:p>
    <w:p>
      <w:pPr>
        <w:jc w:val="both"/>
        <w:ind w:firstLine="627"/>
        <w:spacing w:after="0" w:line="269" w:lineRule="auto"/>
        <w:rPr>
          <w:sz w:val="20"/>
          <w:szCs w:val="20"/>
          <w:color w:val="auto"/>
        </w:rPr>
      </w:pPr>
      <w:r>
        <w:rPr>
          <w:rFonts w:ascii="Times New Roman" w:cs="Times New Roman" w:eastAsia="Times New Roman" w:hAnsi="Times New Roman"/>
          <w:sz w:val="17"/>
          <w:szCs w:val="17"/>
          <w:color w:val="auto"/>
        </w:rPr>
        <w:t>Our Section 16 officers and directors (each as defined in Rule 16a-1 under the Exchange Act) may from time to time enter into plans for the purchase or sale of the Company's stock that are intended to satisfy the affirmative defense conditions of Rule 10b5-1(c) under the Exchange Act. During the quarter ended March 31, 2026, none of our Section 16 officers or directors adopted, modified or terminated “Rule 10b5-1 trading arrangements” or "non-Rule 10b5-1 trading arrangements" (each as defined in Item 408 under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29"/>
        </w:trPr>
        <w:tc>
          <w:tcPr>
            <w:tcW w:w="34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Item 6. Exhibits</w:t>
            </w:r>
          </w:p>
        </w:tc>
        <w:tc>
          <w:tcPr>
            <w:tcW w:w="3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400" w:type="dxa"/>
            <w:vAlign w:val="bottom"/>
          </w:tcPr>
          <w:p>
            <w:pPr>
              <w:jc w:val="center"/>
              <w:ind w:right="2293"/>
              <w:spacing w:after="0"/>
              <w:rPr>
                <w:sz w:val="20"/>
                <w:szCs w:val="20"/>
                <w:color w:val="auto"/>
              </w:rPr>
            </w:pPr>
            <w:r>
              <w:rPr>
                <w:rFonts w:ascii="Times New Roman" w:cs="Times New Roman" w:eastAsia="Times New Roman" w:hAnsi="Times New Roman"/>
                <w:sz w:val="17"/>
                <w:szCs w:val="17"/>
                <w:b w:val="1"/>
                <w:bCs w:val="1"/>
                <w:color w:val="auto"/>
              </w:rPr>
              <w:t>Exhibit</w:t>
            </w:r>
          </w:p>
        </w:tc>
        <w:tc>
          <w:tcPr>
            <w:tcW w:w="3080" w:type="dxa"/>
            <w:vAlign w:val="bottom"/>
            <w:vMerge w:val="restart"/>
          </w:tcPr>
          <w:p>
            <w:pPr>
              <w:ind w:left="2220"/>
              <w:spacing w:after="0"/>
              <w:rPr>
                <w:sz w:val="20"/>
                <w:szCs w:val="20"/>
                <w:color w:val="auto"/>
              </w:rPr>
            </w:pPr>
            <w:r>
              <w:rPr>
                <w:rFonts w:ascii="Times New Roman" w:cs="Times New Roman" w:eastAsia="Times New Roman" w:hAnsi="Times New Roman"/>
                <w:sz w:val="17"/>
                <w:szCs w:val="17"/>
                <w:b w:val="1"/>
                <w:bCs w:val="1"/>
                <w:color w:val="auto"/>
                <w:w w:val="99"/>
              </w:rPr>
              <w:t>Description</w:t>
            </w:r>
          </w:p>
        </w:tc>
        <w:tc>
          <w:tcPr>
            <w:tcW w:w="0" w:type="dxa"/>
            <w:vAlign w:val="bottom"/>
          </w:tcPr>
          <w:p>
            <w:pPr>
              <w:spacing w:after="0"/>
              <w:rPr>
                <w:sz w:val="1"/>
                <w:szCs w:val="1"/>
                <w:color w:val="auto"/>
              </w:rPr>
            </w:pPr>
          </w:p>
        </w:tc>
      </w:tr>
      <w:tr>
        <w:trPr>
          <w:trHeight w:val="235"/>
        </w:trPr>
        <w:tc>
          <w:tcPr>
            <w:tcW w:w="3400" w:type="dxa"/>
            <w:vAlign w:val="bottom"/>
          </w:tcPr>
          <w:p>
            <w:pPr>
              <w:jc w:val="center"/>
              <w:ind w:right="2293"/>
              <w:spacing w:after="0"/>
              <w:rPr>
                <w:sz w:val="20"/>
                <w:szCs w:val="20"/>
                <w:color w:val="auto"/>
              </w:rPr>
            </w:pPr>
            <w:r>
              <w:rPr>
                <w:rFonts w:ascii="Times New Roman" w:cs="Times New Roman" w:eastAsia="Times New Roman" w:hAnsi="Times New Roman"/>
                <w:sz w:val="17"/>
                <w:szCs w:val="17"/>
                <w:b w:val="1"/>
                <w:bCs w:val="1"/>
                <w:color w:val="auto"/>
              </w:rPr>
              <w:t>Number</w:t>
            </w:r>
          </w:p>
        </w:tc>
        <w:tc>
          <w:tcPr>
            <w:tcW w:w="30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33655</wp:posOffset>
            </wp:positionV>
            <wp:extent cx="697103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71030" cy="8255"/>
                    </a:xfrm>
                    <a:prstGeom prst="rect">
                      <a:avLst/>
                    </a:prstGeom>
                    <a:noFill/>
                  </pic:spPr>
                </pic:pic>
              </a:graphicData>
            </a:graphic>
          </wp:anchor>
        </w:drawing>
      </w:r>
    </w:p>
    <w:p>
      <w:pPr>
        <w:spacing w:after="0" w:line="171" w:lineRule="exact"/>
        <w:rPr>
          <w:sz w:val="20"/>
          <w:szCs w:val="20"/>
          <w:color w:val="auto"/>
        </w:rPr>
      </w:pPr>
    </w:p>
    <w:p>
      <w:pPr>
        <w:jc w:val="right"/>
        <w:ind w:left="400"/>
        <w:spacing w:after="0" w:line="228"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1.1      </w:t>
      </w:r>
      <w:hyperlink r:id="rId65">
        <w:r>
          <w:rPr>
            <w:rFonts w:ascii="Times New Roman" w:cs="Times New Roman" w:eastAsia="Times New Roman" w:hAnsi="Times New Roman"/>
            <w:sz w:val="17"/>
            <w:szCs w:val="17"/>
            <w:u w:val="single" w:color="auto"/>
            <w:color w:val="0000FF"/>
          </w:rPr>
          <w:t>Underwriting Agreement, dated May 7, 2024, among the Company, RBC Capital Markets, LLC, Goldman Sachs &amp; Co. LLC, BMO Capital</w:t>
        </w:r>
      </w:hyperlink>
      <w:r>
        <w:rPr>
          <w:rFonts w:ascii="Times New Roman" w:cs="Times New Roman" w:eastAsia="Times New Roman" w:hAnsi="Times New Roman"/>
          <w:sz w:val="17"/>
          <w:szCs w:val="17"/>
          <w:color w:val="auto"/>
        </w:rPr>
        <w:t xml:space="preserve"> </w:t>
      </w:r>
      <w:hyperlink r:id="rId65">
        <w:r>
          <w:rPr>
            <w:rFonts w:ascii="Times New Roman" w:cs="Times New Roman" w:eastAsia="Times New Roman" w:hAnsi="Times New Roman"/>
            <w:sz w:val="17"/>
            <w:szCs w:val="17"/>
            <w:u w:val="single" w:color="auto"/>
            <w:color w:val="0000FF"/>
          </w:rPr>
          <w:t>Markets Corp., Citigroup Global Markets Inc. and Truist Securities, Inc. acting as representatives of several underwriters named therein</w:t>
        </w:r>
      </w:hyperlink>
    </w:p>
    <w:p>
      <w:pPr>
        <w:spacing w:after="0" w:line="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7"/>
          <w:szCs w:val="17"/>
          <w:color w:val="auto"/>
        </w:rPr>
        <w:t>(incorporated herein by reference to Exhibit 1.1 to our Form 8-K, filed on May 8, 2024)</w:t>
      </w:r>
    </w:p>
    <w:p>
      <w:pPr>
        <w:spacing w:after="0" w:line="1" w:lineRule="exact"/>
        <w:rPr>
          <w:sz w:val="20"/>
          <w:szCs w:val="20"/>
          <w:color w:val="auto"/>
        </w:rPr>
      </w:pPr>
    </w:p>
    <w:p>
      <w:pPr>
        <w:ind w:left="400"/>
        <w:spacing w:after="0"/>
        <w:tabs>
          <w:tab w:leader="none" w:pos="11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3.1</w:t>
      </w:r>
      <w:r>
        <w:rPr>
          <w:sz w:val="20"/>
          <w:szCs w:val="20"/>
          <w:color w:val="auto"/>
        </w:rPr>
        <w:tab/>
      </w:r>
      <w:hyperlink r:id="rId66">
        <w:r>
          <w:rPr>
            <w:rFonts w:ascii="Times New Roman" w:cs="Times New Roman" w:eastAsia="Times New Roman" w:hAnsi="Times New Roman"/>
            <w:sz w:val="17"/>
            <w:szCs w:val="17"/>
            <w:u w:val="single" w:color="auto"/>
            <w:color w:val="0000FF"/>
          </w:rPr>
          <w:t xml:space="preserve">Third Amended and Restated Certificate of Incorporation </w:t>
        </w:r>
      </w:hyperlink>
      <w:r>
        <w:rPr>
          <w:rFonts w:ascii="Times New Roman" w:cs="Times New Roman" w:eastAsia="Times New Roman" w:hAnsi="Times New Roman"/>
          <w:sz w:val="17"/>
          <w:szCs w:val="17"/>
          <w:color w:val="000000"/>
        </w:rPr>
        <w:t>(incorporated</w:t>
      </w:r>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herein by reference to Exhibit 3.1 to our Form 8-K, filed on May 10,</w:t>
      </w:r>
    </w:p>
    <w:p>
      <w:pPr>
        <w:ind w:left="1140"/>
        <w:spacing w:after="0"/>
        <w:rPr>
          <w:sz w:val="20"/>
          <w:szCs w:val="20"/>
          <w:color w:val="auto"/>
        </w:rPr>
      </w:pPr>
      <w:r>
        <w:rPr>
          <w:rFonts w:ascii="Times New Roman" w:cs="Times New Roman" w:eastAsia="Times New Roman" w:hAnsi="Times New Roman"/>
          <w:sz w:val="17"/>
          <w:szCs w:val="17"/>
          <w:color w:val="auto"/>
        </w:rPr>
        <w:t>2024)</w:t>
      </w:r>
    </w:p>
    <w:p>
      <w:pPr>
        <w:spacing w:after="0" w:line="20" w:lineRule="exact"/>
        <w:rPr>
          <w:sz w:val="20"/>
          <w:szCs w:val="20"/>
          <w:color w:val="auto"/>
        </w:rPr>
      </w:pPr>
    </w:p>
    <w:p>
      <w:pPr>
        <w:ind w:left="400"/>
        <w:spacing w:after="0"/>
        <w:tabs>
          <w:tab w:leader="none" w:pos="11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3.2</w:t>
      </w:r>
      <w:r>
        <w:rPr>
          <w:sz w:val="20"/>
          <w:szCs w:val="20"/>
          <w:color w:val="auto"/>
        </w:rPr>
        <w:tab/>
      </w:r>
      <w:hyperlink r:id="rId67">
        <w:r>
          <w:rPr>
            <w:rFonts w:ascii="Times New Roman" w:cs="Times New Roman" w:eastAsia="Times New Roman" w:hAnsi="Times New Roman"/>
            <w:sz w:val="17"/>
            <w:szCs w:val="17"/>
            <w:u w:val="single" w:color="auto"/>
            <w:color w:val="0000FF"/>
          </w:rPr>
          <w:t xml:space="preserve">Fifth Amended and Restated Bylaws </w:t>
        </w:r>
      </w:hyperlink>
      <w:r>
        <w:rPr>
          <w:rFonts w:ascii="Times New Roman" w:cs="Times New Roman" w:eastAsia="Times New Roman" w:hAnsi="Times New Roman"/>
          <w:sz w:val="17"/>
          <w:szCs w:val="17"/>
          <w:color w:val="000000"/>
        </w:rPr>
        <w:t>(incorporated</w:t>
      </w:r>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herein by reference to Exhibit 3.2 to our Form 8-K, filed on May 10, 2024)</w:t>
      </w:r>
    </w:p>
    <w:p>
      <w:pPr>
        <w:spacing w:after="0" w:line="32" w:lineRule="exact"/>
        <w:rPr>
          <w:sz w:val="20"/>
          <w:szCs w:val="20"/>
          <w:color w:val="auto"/>
        </w:rPr>
      </w:pPr>
    </w:p>
    <w:p>
      <w:pPr>
        <w:ind w:left="1140" w:hanging="733"/>
        <w:spacing w:after="0" w:line="241" w:lineRule="auto"/>
        <w:tabs>
          <w:tab w:leader="none" w:pos="1120" w:val="left"/>
        </w:tabs>
        <w:rPr>
          <w:rFonts w:ascii="Times New Roman" w:cs="Times New Roman" w:eastAsia="Times New Roman" w:hAnsi="Times New Roman"/>
          <w:sz w:val="17"/>
          <w:szCs w:val="17"/>
          <w:color w:val="0000FF"/>
        </w:rPr>
      </w:pPr>
      <w:r>
        <w:rPr>
          <w:rFonts w:ascii="Times New Roman" w:cs="Times New Roman" w:eastAsia="Times New Roman" w:hAnsi="Times New Roman"/>
          <w:sz w:val="17"/>
          <w:szCs w:val="17"/>
          <w:color w:val="auto"/>
        </w:rPr>
        <w:t>4.1</w:t>
      </w:r>
      <w:r>
        <w:rPr>
          <w:sz w:val="20"/>
          <w:szCs w:val="20"/>
          <w:color w:val="auto"/>
        </w:rPr>
        <w:tab/>
      </w:r>
      <w:hyperlink r:id="rId68">
        <w:r>
          <w:rPr>
            <w:rFonts w:ascii="Times New Roman" w:cs="Times New Roman" w:eastAsia="Times New Roman" w:hAnsi="Times New Roman"/>
            <w:sz w:val="17"/>
            <w:szCs w:val="17"/>
            <w:u w:val="single" w:color="auto"/>
            <w:color w:val="0000FF"/>
          </w:rPr>
          <w:t>Indenture, dated as of May 21, 2024, by and between NMI Holdings, Inc. and The Bank of New York Mellon Trust Company, N.A. as</w:t>
        </w:r>
      </w:hyperlink>
      <w:r>
        <w:rPr>
          <w:rFonts w:ascii="Times New Roman" w:cs="Times New Roman" w:eastAsia="Times New Roman" w:hAnsi="Times New Roman"/>
          <w:sz w:val="17"/>
          <w:szCs w:val="17"/>
          <w:u w:val="single" w:color="auto"/>
          <w:color w:val="0000FF"/>
        </w:rPr>
        <w:t xml:space="preserve"> </w:t>
      </w:r>
      <w:hyperlink r:id="rId68">
        <w:r>
          <w:rPr>
            <w:rFonts w:ascii="Times New Roman" w:cs="Times New Roman" w:eastAsia="Times New Roman" w:hAnsi="Times New Roman"/>
            <w:sz w:val="17"/>
            <w:szCs w:val="17"/>
            <w:u w:val="single" w:color="auto"/>
            <w:color w:val="0000FF"/>
          </w:rPr>
          <w:t>Trustee</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(incorporated herein by reference to Exhibit 4.1 to our Form 8-K, filed on May 21, 2024)</w:t>
        </w:r>
      </w:hyperlink>
    </w:p>
    <w:p>
      <w:pPr>
        <w:spacing w:after="0" w:line="7" w:lineRule="exact"/>
        <w:rPr>
          <w:sz w:val="20"/>
          <w:szCs w:val="20"/>
          <w:color w:val="auto"/>
        </w:rPr>
      </w:pPr>
    </w:p>
    <w:p>
      <w:pPr>
        <w:ind w:left="1140" w:hanging="733"/>
        <w:spacing w:after="0" w:line="247" w:lineRule="auto"/>
        <w:tabs>
          <w:tab w:leader="none" w:pos="1120" w:val="left"/>
        </w:tabs>
        <w:rPr>
          <w:rFonts w:ascii="Times New Roman" w:cs="Times New Roman" w:eastAsia="Times New Roman" w:hAnsi="Times New Roman"/>
          <w:sz w:val="17"/>
          <w:szCs w:val="17"/>
          <w:color w:val="0000FF"/>
        </w:rPr>
      </w:pPr>
      <w:r>
        <w:rPr>
          <w:rFonts w:ascii="Times New Roman" w:cs="Times New Roman" w:eastAsia="Times New Roman" w:hAnsi="Times New Roman"/>
          <w:sz w:val="17"/>
          <w:szCs w:val="17"/>
          <w:color w:val="auto"/>
        </w:rPr>
        <w:t>4.2</w:t>
      </w:r>
      <w:r>
        <w:rPr>
          <w:sz w:val="20"/>
          <w:szCs w:val="20"/>
          <w:color w:val="auto"/>
        </w:rPr>
        <w:tab/>
      </w:r>
      <w:hyperlink r:id="rId69">
        <w:r>
          <w:rPr>
            <w:rFonts w:ascii="Times New Roman" w:cs="Times New Roman" w:eastAsia="Times New Roman" w:hAnsi="Times New Roman"/>
            <w:sz w:val="17"/>
            <w:szCs w:val="17"/>
            <w:u w:val="single" w:color="auto"/>
            <w:color w:val="0000FF"/>
          </w:rPr>
          <w:t>Supplemental Indenture, dated as of May 21, 2024, by and between NMI Holdings, Inc. and The Bank of New York Mellon Trust Company,</w:t>
        </w:r>
      </w:hyperlink>
      <w:r>
        <w:rPr>
          <w:rFonts w:ascii="Times New Roman" w:cs="Times New Roman" w:eastAsia="Times New Roman" w:hAnsi="Times New Roman"/>
          <w:sz w:val="17"/>
          <w:szCs w:val="17"/>
          <w:u w:val="single" w:color="auto"/>
          <w:color w:val="0000FF"/>
        </w:rPr>
        <w:t xml:space="preserve"> </w:t>
      </w:r>
      <w:hyperlink r:id="rId69">
        <w:r>
          <w:rPr>
            <w:rFonts w:ascii="Times New Roman" w:cs="Times New Roman" w:eastAsia="Times New Roman" w:hAnsi="Times New Roman"/>
            <w:sz w:val="17"/>
            <w:szCs w:val="17"/>
            <w:u w:val="single" w:color="auto"/>
            <w:color w:val="0000FF"/>
          </w:rPr>
          <w:t>N.A. as Trustee</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(including the form of the Notes) (incorporated herein by reference to Exhibit 4.2 to our Form 8-K, filed on May 21, 2024)</w:t>
        </w:r>
      </w:hyperlink>
    </w:p>
    <w:p>
      <w:pPr>
        <w:spacing w:after="0" w:line="3" w:lineRule="exact"/>
        <w:rPr>
          <w:sz w:val="20"/>
          <w:szCs w:val="20"/>
          <w:color w:val="auto"/>
        </w:rPr>
      </w:pPr>
    </w:p>
    <w:p>
      <w:pPr>
        <w:ind w:left="400"/>
        <w:spacing w:after="0"/>
        <w:tabs>
          <w:tab w:leader="none" w:pos="11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4.3</w:t>
      </w:r>
      <w:r>
        <w:rPr>
          <w:sz w:val="20"/>
          <w:szCs w:val="20"/>
          <w:color w:val="auto"/>
        </w:rPr>
        <w:tab/>
      </w:r>
      <w:hyperlink r:id="rId70">
        <w:r>
          <w:rPr>
            <w:rFonts w:ascii="Times New Roman" w:cs="Times New Roman" w:eastAsia="Times New Roman" w:hAnsi="Times New Roman"/>
            <w:sz w:val="17"/>
            <w:szCs w:val="17"/>
            <w:u w:val="single" w:color="auto"/>
            <w:color w:val="0000FF"/>
          </w:rPr>
          <w:t xml:space="preserve">Description of Securities </w:t>
        </w:r>
      </w:hyperlink>
      <w:r>
        <w:rPr>
          <w:rFonts w:ascii="Times New Roman" w:cs="Times New Roman" w:eastAsia="Times New Roman" w:hAnsi="Times New Roman"/>
          <w:sz w:val="17"/>
          <w:szCs w:val="17"/>
          <w:color w:val="000000"/>
        </w:rPr>
        <w:t>(incorporated</w:t>
      </w:r>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herein by reference to Exhibit 4.4 to our Form 10-Q, filed on July 31, 2024)</w:t>
      </w:r>
    </w:p>
    <w:p>
      <w:pPr>
        <w:spacing w:after="0" w:line="32" w:lineRule="exact"/>
        <w:rPr>
          <w:sz w:val="20"/>
          <w:szCs w:val="20"/>
          <w:color w:val="auto"/>
        </w:rPr>
      </w:pPr>
    </w:p>
    <w:p>
      <w:pPr>
        <w:ind w:left="1140" w:hanging="845"/>
        <w:spacing w:after="0" w:line="241" w:lineRule="auto"/>
        <w:tabs>
          <w:tab w:leader="none" w:pos="11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10.1 ~</w:t>
      </w:r>
      <w:r>
        <w:rPr>
          <w:sz w:val="20"/>
          <w:szCs w:val="20"/>
          <w:color w:val="auto"/>
        </w:rPr>
        <w:tab/>
      </w:r>
      <w:hyperlink r:id="rId71">
        <w:r>
          <w:rPr>
            <w:rFonts w:ascii="Times New Roman" w:cs="Times New Roman" w:eastAsia="Times New Roman" w:hAnsi="Times New Roman"/>
            <w:sz w:val="17"/>
            <w:szCs w:val="17"/>
            <w:u w:val="single" w:color="auto"/>
            <w:color w:val="0000FF"/>
          </w:rPr>
          <w:t xml:space="preserve">NMI Holdings, Inc. 2012 Stock Incentive Plan </w:t>
        </w:r>
      </w:hyperlink>
      <w:r>
        <w:rPr>
          <w:rFonts w:ascii="Times New Roman" w:cs="Times New Roman" w:eastAsia="Times New Roman" w:hAnsi="Times New Roman"/>
          <w:sz w:val="17"/>
          <w:szCs w:val="17"/>
          <w:color w:val="000000"/>
        </w:rPr>
        <w:t>(incorporated</w:t>
      </w:r>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herein by reference to Exhibit 10.1 to our Form S-1 Registration Statement</w:t>
      </w:r>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(Registration No. 333-191635), filed on October 9, 2013)</w:t>
      </w:r>
    </w:p>
    <w:p>
      <w:pPr>
        <w:spacing w:after="0" w:line="7" w:lineRule="exact"/>
        <w:rPr>
          <w:sz w:val="20"/>
          <w:szCs w:val="20"/>
          <w:color w:val="auto"/>
        </w:rPr>
      </w:pPr>
    </w:p>
    <w:p>
      <w:pPr>
        <w:ind w:left="1140" w:right="260" w:hanging="845"/>
        <w:spacing w:after="0" w:line="247" w:lineRule="auto"/>
        <w:tabs>
          <w:tab w:leader="none" w:pos="11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10.2 ~</w:t>
      </w:r>
      <w:r>
        <w:rPr>
          <w:sz w:val="20"/>
          <w:szCs w:val="20"/>
          <w:color w:val="auto"/>
        </w:rPr>
        <w:tab/>
      </w:r>
      <w:hyperlink r:id="rId72">
        <w:r>
          <w:rPr>
            <w:rFonts w:ascii="Times New Roman" w:cs="Times New Roman" w:eastAsia="Times New Roman" w:hAnsi="Times New Roman"/>
            <w:sz w:val="17"/>
            <w:szCs w:val="17"/>
            <w:u w:val="single" w:color="auto"/>
            <w:color w:val="0000FF"/>
          </w:rPr>
          <w:t xml:space="preserve">Form of NMI Holdings, Inc. 2012 Stock Incentive Plan Nonqualified Stock Option Award Agreement (For CEO and CFO) </w:t>
        </w:r>
      </w:hyperlink>
      <w:r>
        <w:rPr>
          <w:rFonts w:ascii="Times New Roman" w:cs="Times New Roman" w:eastAsia="Times New Roman" w:hAnsi="Times New Roman"/>
          <w:sz w:val="17"/>
          <w:szCs w:val="17"/>
          <w:color w:val="000000"/>
        </w:rPr>
        <w:t>(incorporated</w:t>
      </w:r>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herein by reference to Exhibit 10.5 to our Form S-1 Registration Statement (Registration No. 333-191635), filed on October 9, 2013)</w:t>
      </w:r>
    </w:p>
    <w:p>
      <w:pPr>
        <w:spacing w:after="0" w:line="3" w:lineRule="exact"/>
        <w:rPr>
          <w:sz w:val="20"/>
          <w:szCs w:val="20"/>
          <w:color w:val="auto"/>
        </w:rPr>
      </w:pPr>
    </w:p>
    <w:p>
      <w:pPr>
        <w:ind w:left="1140" w:right="380" w:hanging="845"/>
        <w:spacing w:after="0" w:line="247" w:lineRule="auto"/>
        <w:tabs>
          <w:tab w:leader="none" w:pos="11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10.3 ~</w:t>
      </w:r>
      <w:r>
        <w:rPr>
          <w:sz w:val="20"/>
          <w:szCs w:val="20"/>
          <w:color w:val="auto"/>
        </w:rPr>
        <w:tab/>
      </w:r>
      <w:hyperlink r:id="rId73">
        <w:r>
          <w:rPr>
            <w:rFonts w:ascii="Times New Roman" w:cs="Times New Roman" w:eastAsia="Times New Roman" w:hAnsi="Times New Roman"/>
            <w:sz w:val="17"/>
            <w:szCs w:val="17"/>
            <w:u w:val="single" w:color="auto"/>
            <w:color w:val="0000FF"/>
          </w:rPr>
          <w:t xml:space="preserve">Form of NMI Holdings, Inc. 2012 Stock Incentive Plan Nonqualified Stock Option Award Agreement (For Management) </w:t>
        </w:r>
      </w:hyperlink>
      <w:r>
        <w:rPr>
          <w:rFonts w:ascii="Times New Roman" w:cs="Times New Roman" w:eastAsia="Times New Roman" w:hAnsi="Times New Roman"/>
          <w:sz w:val="17"/>
          <w:szCs w:val="17"/>
          <w:color w:val="000000"/>
        </w:rPr>
        <w:t>(incorporated</w:t>
      </w:r>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herein by reference to Exhibit 10.6 to our Form S-1 Registration Statement (Registration No. 333-191635), filed on October 9, 2013)</w:t>
      </w:r>
    </w:p>
    <w:p>
      <w:pPr>
        <w:spacing w:after="0" w:line="3" w:lineRule="exact"/>
        <w:rPr>
          <w:sz w:val="20"/>
          <w:szCs w:val="20"/>
          <w:color w:val="auto"/>
        </w:rPr>
      </w:pPr>
    </w:p>
    <w:p>
      <w:pPr>
        <w:ind w:left="1140" w:right="20" w:hanging="845"/>
        <w:spacing w:after="0" w:line="228" w:lineRule="auto"/>
        <w:tabs>
          <w:tab w:leader="none" w:pos="11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10.4 ~</w:t>
      </w:r>
      <w:r>
        <w:rPr>
          <w:sz w:val="20"/>
          <w:szCs w:val="20"/>
          <w:color w:val="auto"/>
        </w:rPr>
        <w:tab/>
      </w:r>
      <w:hyperlink r:id="rId74">
        <w:r>
          <w:rPr>
            <w:rFonts w:ascii="Times New Roman" w:cs="Times New Roman" w:eastAsia="Times New Roman" w:hAnsi="Times New Roman"/>
            <w:sz w:val="17"/>
            <w:szCs w:val="17"/>
            <w:u w:val="single" w:color="auto"/>
            <w:color w:val="0000FF"/>
          </w:rPr>
          <w:t>Form of NMI Holdings, Inc. 2012 Stock Incentive Plan Nonqualified Stock Option Award Agreement (For Non-Employee Directors)</w:t>
        </w:r>
      </w:hyperlink>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(incorporated herein by reference to Exhibit 10.7 to our Form S-1 Registration Statement (Registration No. 333-191635), filed on October 9,</w:t>
      </w:r>
    </w:p>
    <w:p>
      <w:pPr>
        <w:spacing w:after="0" w:line="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7"/>
          <w:szCs w:val="17"/>
          <w:color w:val="auto"/>
        </w:rPr>
        <w:t>2013)</w:t>
      </w:r>
    </w:p>
    <w:p>
      <w:pPr>
        <w:spacing w:after="0" w:line="12" w:lineRule="exact"/>
        <w:rPr>
          <w:sz w:val="20"/>
          <w:szCs w:val="20"/>
          <w:color w:val="auto"/>
        </w:rPr>
      </w:pPr>
    </w:p>
    <w:p>
      <w:pPr>
        <w:ind w:left="1140" w:right="80" w:hanging="845"/>
        <w:spacing w:after="0" w:line="241" w:lineRule="auto"/>
        <w:tabs>
          <w:tab w:leader="none" w:pos="11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10.5 ~</w:t>
      </w:r>
      <w:r>
        <w:rPr>
          <w:sz w:val="20"/>
          <w:szCs w:val="20"/>
          <w:color w:val="auto"/>
        </w:rPr>
        <w:tab/>
      </w:r>
      <w:hyperlink r:id="rId75">
        <w:r>
          <w:rPr>
            <w:rFonts w:ascii="Times New Roman" w:cs="Times New Roman" w:eastAsia="Times New Roman" w:hAnsi="Times New Roman"/>
            <w:sz w:val="17"/>
            <w:szCs w:val="17"/>
            <w:u w:val="single" w:color="auto"/>
            <w:color w:val="0000FF"/>
          </w:rPr>
          <w:t xml:space="preserve">Form of NMI Holdings, Inc. 2012 Stock Incentive Plan Nonqualified Stock Option Award Agreement (For CEO/CFO) </w:t>
        </w:r>
      </w:hyperlink>
      <w:r>
        <w:rPr>
          <w:rFonts w:ascii="Times New Roman" w:cs="Times New Roman" w:eastAsia="Times New Roman" w:hAnsi="Times New Roman"/>
          <w:sz w:val="17"/>
          <w:szCs w:val="17"/>
          <w:color w:val="000000"/>
        </w:rPr>
        <w:t>(incorporated</w:t>
      </w:r>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herein</w:t>
      </w:r>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by reference to Exhibit 10.8 to our Form 10-K, filed on February 17, 2017)</w:t>
      </w:r>
    </w:p>
    <w:p>
      <w:pPr>
        <w:spacing w:after="0" w:line="7" w:lineRule="exact"/>
        <w:rPr>
          <w:sz w:val="20"/>
          <w:szCs w:val="20"/>
          <w:color w:val="auto"/>
        </w:rPr>
      </w:pPr>
    </w:p>
    <w:p>
      <w:pPr>
        <w:ind w:left="1140" w:right="40" w:hanging="845"/>
        <w:spacing w:after="0" w:line="247" w:lineRule="auto"/>
        <w:tabs>
          <w:tab w:leader="none" w:pos="11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10.6 ~</w:t>
      </w:r>
      <w:r>
        <w:rPr>
          <w:sz w:val="20"/>
          <w:szCs w:val="20"/>
          <w:color w:val="auto"/>
        </w:rPr>
        <w:tab/>
      </w:r>
      <w:hyperlink r:id="rId76">
        <w:r>
          <w:rPr>
            <w:rFonts w:ascii="Times New Roman" w:cs="Times New Roman" w:eastAsia="Times New Roman" w:hAnsi="Times New Roman"/>
            <w:sz w:val="17"/>
            <w:szCs w:val="17"/>
            <w:u w:val="single" w:color="auto"/>
            <w:color w:val="0000FF"/>
          </w:rPr>
          <w:t xml:space="preserve">Form of NMI Holdings, Inc. 2012 Stock Incentive Plan Nonqualified Stock Option Award Agreement (For Employees) </w:t>
        </w:r>
      </w:hyperlink>
      <w:r>
        <w:rPr>
          <w:rFonts w:ascii="Times New Roman" w:cs="Times New Roman" w:eastAsia="Times New Roman" w:hAnsi="Times New Roman"/>
          <w:sz w:val="17"/>
          <w:szCs w:val="17"/>
          <w:color w:val="000000"/>
        </w:rPr>
        <w:t>(incorporated</w:t>
      </w:r>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herein</w:t>
      </w:r>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by reference to Exhibit 10.9 to our Form 10-K, filed on February 17, 2017)</w:t>
      </w:r>
    </w:p>
    <w:p>
      <w:pPr>
        <w:spacing w:after="0" w:line="3" w:lineRule="exact"/>
        <w:rPr>
          <w:sz w:val="20"/>
          <w:szCs w:val="20"/>
          <w:color w:val="auto"/>
        </w:rPr>
      </w:pPr>
    </w:p>
    <w:p>
      <w:pPr>
        <w:ind w:left="1140" w:right="320" w:hanging="845"/>
        <w:spacing w:after="0" w:line="247" w:lineRule="auto"/>
        <w:tabs>
          <w:tab w:leader="none" w:pos="11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10.7 ~</w:t>
      </w:r>
      <w:r>
        <w:rPr>
          <w:sz w:val="20"/>
          <w:szCs w:val="20"/>
          <w:color w:val="auto"/>
        </w:rPr>
        <w:tab/>
      </w:r>
      <w:hyperlink r:id="rId77">
        <w:r>
          <w:rPr>
            <w:rFonts w:ascii="Times New Roman" w:cs="Times New Roman" w:eastAsia="Times New Roman" w:hAnsi="Times New Roman"/>
            <w:sz w:val="17"/>
            <w:szCs w:val="17"/>
            <w:u w:val="single" w:color="auto"/>
            <w:color w:val="0000FF"/>
          </w:rPr>
          <w:t xml:space="preserve">Form of NMI Holdings, Inc. 2012 Stock Incentive Plan Nonqualified Stock Option Agreement (For Employees) </w:t>
        </w:r>
      </w:hyperlink>
      <w:r>
        <w:rPr>
          <w:rFonts w:ascii="Times New Roman" w:cs="Times New Roman" w:eastAsia="Times New Roman" w:hAnsi="Times New Roman"/>
          <w:sz w:val="17"/>
          <w:szCs w:val="17"/>
          <w:color w:val="000000"/>
        </w:rPr>
        <w:t>(incorporated</w:t>
      </w:r>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herein by</w:t>
      </w:r>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reference to Exhibit 10.32 to our Form 10-Q, filed on May 2, 2019)</w:t>
      </w:r>
    </w:p>
    <w:p>
      <w:pPr>
        <w:spacing w:after="0" w:line="3" w:lineRule="exact"/>
        <w:rPr>
          <w:sz w:val="20"/>
          <w:szCs w:val="20"/>
          <w:color w:val="auto"/>
        </w:rPr>
      </w:pPr>
    </w:p>
    <w:p>
      <w:pPr>
        <w:ind w:left="1140" w:hanging="845"/>
        <w:spacing w:after="0" w:line="247" w:lineRule="auto"/>
        <w:tabs>
          <w:tab w:leader="none" w:pos="11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10.8 ~</w:t>
      </w:r>
      <w:r>
        <w:rPr>
          <w:sz w:val="20"/>
          <w:szCs w:val="20"/>
          <w:color w:val="auto"/>
        </w:rPr>
        <w:tab/>
      </w:r>
      <w:hyperlink r:id="rId78">
        <w:r>
          <w:rPr>
            <w:rFonts w:ascii="Times New Roman" w:cs="Times New Roman" w:eastAsia="Times New Roman" w:hAnsi="Times New Roman"/>
            <w:sz w:val="17"/>
            <w:szCs w:val="17"/>
            <w:u w:val="single" w:color="auto"/>
            <w:color w:val="0000FF"/>
          </w:rPr>
          <w:t xml:space="preserve">NMI Holdings, Inc. Amended and Restated 2014 Omnibus Incentive Plan </w:t>
        </w:r>
      </w:hyperlink>
      <w:r>
        <w:rPr>
          <w:rFonts w:ascii="Times New Roman" w:cs="Times New Roman" w:eastAsia="Times New Roman" w:hAnsi="Times New Roman"/>
          <w:sz w:val="17"/>
          <w:szCs w:val="17"/>
          <w:color w:val="000000"/>
        </w:rPr>
        <w:t>(incorporated</w:t>
      </w:r>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herein by reference to Appendix A to our 2022</w:t>
      </w:r>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Annual Proxy Statement, filed on March 29, 2022)</w:t>
      </w:r>
    </w:p>
    <w:p>
      <w:pPr>
        <w:ind w:left="280"/>
        <w:spacing w:after="0" w:line="236" w:lineRule="auto"/>
        <w:tabs>
          <w:tab w:leader="none" w:pos="11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10.9 ~</w:t>
      </w:r>
      <w:r>
        <w:rPr>
          <w:sz w:val="20"/>
          <w:szCs w:val="20"/>
          <w:color w:val="auto"/>
        </w:rPr>
        <w:tab/>
      </w:r>
      <w:hyperlink r:id="rId79">
        <w:r>
          <w:rPr>
            <w:rFonts w:ascii="Times New Roman" w:cs="Times New Roman" w:eastAsia="Times New Roman" w:hAnsi="Times New Roman"/>
            <w:sz w:val="17"/>
            <w:szCs w:val="17"/>
            <w:u w:val="single" w:color="auto"/>
            <w:color w:val="0000FF"/>
          </w:rPr>
          <w:t>Form of NMI Holdings, Inc. Amended and Restated 2014 Omnibus Incentive Plan Nonqualified Stock Option Award Agreement (For CEO)</w:t>
        </w:r>
      </w:hyperlink>
    </w:p>
    <w:p>
      <w:pPr>
        <w:ind w:left="1140"/>
        <w:spacing w:after="0"/>
        <w:rPr>
          <w:sz w:val="20"/>
          <w:szCs w:val="20"/>
          <w:color w:val="auto"/>
        </w:rPr>
      </w:pPr>
      <w:r>
        <w:rPr>
          <w:rFonts w:ascii="Times New Roman" w:cs="Times New Roman" w:eastAsia="Times New Roman" w:hAnsi="Times New Roman"/>
          <w:sz w:val="17"/>
          <w:szCs w:val="17"/>
          <w:color w:val="auto"/>
        </w:rPr>
        <w:t>(incorporated herein by reference to Exhibit 10.23 to our Form 10-Q filed on August 1, 2017)</w:t>
      </w:r>
    </w:p>
    <w:p>
      <w:pPr>
        <w:spacing w:after="0" w:line="20" w:lineRule="exact"/>
        <w:rPr>
          <w:sz w:val="20"/>
          <w:szCs w:val="20"/>
          <w:color w:val="auto"/>
        </w:rPr>
      </w:pPr>
    </w:p>
    <w:p>
      <w:pPr>
        <w:ind w:left="1140" w:hanging="889"/>
        <w:spacing w:after="0" w:line="247" w:lineRule="auto"/>
        <w:tabs>
          <w:tab w:leader="none" w:pos="1120" w:val="left"/>
        </w:tabs>
        <w:rPr>
          <w:rFonts w:ascii="Times New Roman" w:cs="Times New Roman" w:eastAsia="Times New Roman" w:hAnsi="Times New Roman"/>
          <w:sz w:val="17"/>
          <w:szCs w:val="17"/>
          <w:color w:val="0000FF"/>
        </w:rPr>
      </w:pPr>
      <w:r>
        <w:rPr>
          <w:rFonts w:ascii="Times New Roman" w:cs="Times New Roman" w:eastAsia="Times New Roman" w:hAnsi="Times New Roman"/>
          <w:sz w:val="17"/>
          <w:szCs w:val="17"/>
          <w:color w:val="auto"/>
        </w:rPr>
        <w:t>10.10 ~</w:t>
      </w:r>
      <w:r>
        <w:rPr>
          <w:sz w:val="20"/>
          <w:szCs w:val="20"/>
          <w:color w:val="auto"/>
        </w:rPr>
        <w:tab/>
      </w:r>
      <w:hyperlink r:id="rId80">
        <w:r>
          <w:rPr>
            <w:rFonts w:ascii="Times New Roman" w:cs="Times New Roman" w:eastAsia="Times New Roman" w:hAnsi="Times New Roman"/>
            <w:sz w:val="17"/>
            <w:szCs w:val="17"/>
            <w:u w:val="single" w:color="auto"/>
            <w:color w:val="0000FF"/>
          </w:rPr>
          <w:t>Form of NMI Holdings, Inc. Amended and Restated 2014 Omnibus Incentive Plan Nonqualified Stock Option Award Agreement (For</w:t>
        </w:r>
      </w:hyperlink>
      <w:r>
        <w:rPr>
          <w:rFonts w:ascii="Times New Roman" w:cs="Times New Roman" w:eastAsia="Times New Roman" w:hAnsi="Times New Roman"/>
          <w:sz w:val="17"/>
          <w:szCs w:val="17"/>
          <w:u w:val="single" w:color="auto"/>
          <w:color w:val="0000FF"/>
        </w:rPr>
        <w:t xml:space="preserve"> </w:t>
      </w:r>
      <w:hyperlink r:id="rId80">
        <w:r>
          <w:rPr>
            <w:rFonts w:ascii="Times New Roman" w:cs="Times New Roman" w:eastAsia="Times New Roman" w:hAnsi="Times New Roman"/>
            <w:sz w:val="17"/>
            <w:szCs w:val="17"/>
            <w:u w:val="single" w:color="auto"/>
            <w:color w:val="0000FF"/>
          </w:rPr>
          <w:t>Executive Officers and Employees</w:t>
        </w:r>
        <w:r>
          <w:rPr>
            <w:rFonts w:ascii="Times New Roman" w:cs="Times New Roman" w:eastAsia="Times New Roman" w:hAnsi="Times New Roman"/>
            <w:sz w:val="17"/>
            <w:szCs w:val="17"/>
            <w:color w:val="000000"/>
          </w:rPr>
          <w:t>) (incorporated herein by reference to Exhibit 10.24 to our Form 10-Q filed on August 1, 2017)</w:t>
        </w:r>
      </w:hyperlink>
    </w:p>
    <w:p>
      <w:pPr>
        <w:spacing w:after="0" w:line="3" w:lineRule="exact"/>
        <w:rPr>
          <w:sz w:val="20"/>
          <w:szCs w:val="20"/>
          <w:color w:val="auto"/>
        </w:rPr>
      </w:pPr>
    </w:p>
    <w:p>
      <w:pPr>
        <w:ind w:left="1140" w:hanging="886"/>
        <w:spacing w:after="0" w:line="247" w:lineRule="auto"/>
        <w:tabs>
          <w:tab w:leader="none" w:pos="1120" w:val="left"/>
        </w:tabs>
        <w:rPr>
          <w:rFonts w:ascii="Times New Roman" w:cs="Times New Roman" w:eastAsia="Times New Roman" w:hAnsi="Times New Roman"/>
          <w:sz w:val="17"/>
          <w:szCs w:val="17"/>
          <w:color w:val="0000FF"/>
        </w:rPr>
      </w:pPr>
      <w:r>
        <w:rPr>
          <w:rFonts w:ascii="Times New Roman" w:cs="Times New Roman" w:eastAsia="Times New Roman" w:hAnsi="Times New Roman"/>
          <w:sz w:val="17"/>
          <w:szCs w:val="17"/>
          <w:color w:val="auto"/>
        </w:rPr>
        <w:t>10.11 ~</w:t>
      </w:r>
      <w:r>
        <w:rPr>
          <w:sz w:val="20"/>
          <w:szCs w:val="20"/>
          <w:color w:val="auto"/>
        </w:rPr>
        <w:tab/>
      </w:r>
      <w:hyperlink r:id="rId81">
        <w:r>
          <w:rPr>
            <w:rFonts w:ascii="Times New Roman" w:cs="Times New Roman" w:eastAsia="Times New Roman" w:hAnsi="Times New Roman"/>
            <w:sz w:val="17"/>
            <w:szCs w:val="17"/>
            <w:u w:val="single" w:color="auto"/>
            <w:color w:val="0000FF"/>
          </w:rPr>
          <w:t>Form of NMI Holdings, Inc. Amended and Restated 2014 Omnibus Incentive Plan Restricted Stock Unit Award Agreement (Performance</w:t>
        </w:r>
      </w:hyperlink>
      <w:r>
        <w:rPr>
          <w:rFonts w:ascii="Times New Roman" w:cs="Times New Roman" w:eastAsia="Times New Roman" w:hAnsi="Times New Roman"/>
          <w:sz w:val="17"/>
          <w:szCs w:val="17"/>
          <w:u w:val="single" w:color="auto"/>
          <w:color w:val="0000FF"/>
        </w:rPr>
        <w:t xml:space="preserve"> </w:t>
      </w:r>
      <w:hyperlink r:id="rId81">
        <w:r>
          <w:rPr>
            <w:rFonts w:ascii="Times New Roman" w:cs="Times New Roman" w:eastAsia="Times New Roman" w:hAnsi="Times New Roman"/>
            <w:sz w:val="17"/>
            <w:szCs w:val="17"/>
            <w:u w:val="single" w:color="auto"/>
            <w:color w:val="0000FF"/>
          </w:rPr>
          <w:t>Based)</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(incorporated herein by reference to Exhibit 10.38 to our Form 10-Q, filed on May 7, 2020)</w:t>
        </w:r>
      </w:hyperlink>
    </w:p>
    <w:p>
      <w:pPr>
        <w:spacing w:after="0" w:line="3" w:lineRule="exact"/>
        <w:rPr>
          <w:sz w:val="20"/>
          <w:szCs w:val="20"/>
          <w:color w:val="auto"/>
        </w:rPr>
      </w:pPr>
    </w:p>
    <w:p>
      <w:pPr>
        <w:ind w:left="1140" w:hanging="889"/>
        <w:spacing w:after="0" w:line="247" w:lineRule="auto"/>
        <w:tabs>
          <w:tab w:leader="none" w:pos="1120" w:val="left"/>
        </w:tabs>
        <w:rPr>
          <w:rFonts w:ascii="Times New Roman" w:cs="Times New Roman" w:eastAsia="Times New Roman" w:hAnsi="Times New Roman"/>
          <w:sz w:val="17"/>
          <w:szCs w:val="17"/>
          <w:color w:val="0000FF"/>
        </w:rPr>
      </w:pPr>
      <w:r>
        <w:rPr>
          <w:rFonts w:ascii="Times New Roman" w:cs="Times New Roman" w:eastAsia="Times New Roman" w:hAnsi="Times New Roman"/>
          <w:sz w:val="17"/>
          <w:szCs w:val="17"/>
          <w:color w:val="auto"/>
        </w:rPr>
        <w:t>10.12 ~</w:t>
      </w:r>
      <w:r>
        <w:rPr>
          <w:sz w:val="20"/>
          <w:szCs w:val="20"/>
          <w:color w:val="auto"/>
        </w:rPr>
        <w:tab/>
      </w:r>
      <w:hyperlink r:id="rId82">
        <w:r>
          <w:rPr>
            <w:rFonts w:ascii="Times New Roman" w:cs="Times New Roman" w:eastAsia="Times New Roman" w:hAnsi="Times New Roman"/>
            <w:sz w:val="17"/>
            <w:szCs w:val="17"/>
            <w:u w:val="single" w:color="auto"/>
            <w:color w:val="0000FF"/>
          </w:rPr>
          <w:t>Form of NMI Holdings, Inc. Amended and Restated 2014 Omnibus Incentive Plan Restricted Stock Unit Award Agreement (For</w:t>
        </w:r>
      </w:hyperlink>
      <w:r>
        <w:rPr>
          <w:rFonts w:ascii="Times New Roman" w:cs="Times New Roman" w:eastAsia="Times New Roman" w:hAnsi="Times New Roman"/>
          <w:sz w:val="17"/>
          <w:szCs w:val="17"/>
          <w:u w:val="single" w:color="auto"/>
          <w:color w:val="0000FF"/>
        </w:rPr>
        <w:t xml:space="preserve"> </w:t>
      </w:r>
      <w:hyperlink r:id="rId82">
        <w:r>
          <w:rPr>
            <w:rFonts w:ascii="Times New Roman" w:cs="Times New Roman" w:eastAsia="Times New Roman" w:hAnsi="Times New Roman"/>
            <w:sz w:val="17"/>
            <w:szCs w:val="17"/>
            <w:u w:val="single" w:color="auto"/>
            <w:color w:val="0000FF"/>
          </w:rPr>
          <w:t>Independent Directors)</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(incorporated herein by reference to Exhibit 10.12 to our Form 10-K, filed on February 15, 2024)</w:t>
        </w:r>
      </w:hyperlink>
    </w:p>
    <w:p>
      <w:pPr>
        <w:spacing w:after="0" w:line="3" w:lineRule="exact"/>
        <w:rPr>
          <w:sz w:val="20"/>
          <w:szCs w:val="20"/>
          <w:color w:val="auto"/>
        </w:rPr>
      </w:pPr>
    </w:p>
    <w:p>
      <w:pPr>
        <w:ind w:left="1140" w:hanging="889"/>
        <w:spacing w:after="0" w:line="247" w:lineRule="auto"/>
        <w:tabs>
          <w:tab w:leader="none" w:pos="1120" w:val="left"/>
        </w:tabs>
        <w:rPr>
          <w:rFonts w:ascii="Times New Roman" w:cs="Times New Roman" w:eastAsia="Times New Roman" w:hAnsi="Times New Roman"/>
          <w:sz w:val="17"/>
          <w:szCs w:val="17"/>
          <w:color w:val="0000FF"/>
        </w:rPr>
      </w:pPr>
      <w:r>
        <w:rPr>
          <w:rFonts w:ascii="Times New Roman" w:cs="Times New Roman" w:eastAsia="Times New Roman" w:hAnsi="Times New Roman"/>
          <w:sz w:val="17"/>
          <w:szCs w:val="17"/>
          <w:color w:val="auto"/>
        </w:rPr>
        <w:t>10.13 ~</w:t>
      </w:r>
      <w:r>
        <w:rPr>
          <w:sz w:val="20"/>
          <w:szCs w:val="20"/>
          <w:color w:val="auto"/>
        </w:rPr>
        <w:tab/>
      </w:r>
      <w:hyperlink r:id="rId82">
        <w:r>
          <w:rPr>
            <w:rFonts w:ascii="Times New Roman" w:cs="Times New Roman" w:eastAsia="Times New Roman" w:hAnsi="Times New Roman"/>
            <w:sz w:val="17"/>
            <w:szCs w:val="17"/>
            <w:u w:val="single" w:color="auto"/>
            <w:color w:val="0000FF"/>
          </w:rPr>
          <w:t>Form of NMI Holdings, Inc. Amended and Restated 2014 Omnibus Incentive Plan Restricted Stock Unit Award Agreement (For</w:t>
        </w:r>
      </w:hyperlink>
      <w:r>
        <w:rPr>
          <w:rFonts w:ascii="Times New Roman" w:cs="Times New Roman" w:eastAsia="Times New Roman" w:hAnsi="Times New Roman"/>
          <w:sz w:val="17"/>
          <w:szCs w:val="17"/>
          <w:u w:val="single" w:color="auto"/>
          <w:color w:val="0000FF"/>
        </w:rPr>
        <w:t xml:space="preserve"> </w:t>
      </w:r>
      <w:hyperlink r:id="rId82">
        <w:r>
          <w:rPr>
            <w:rFonts w:ascii="Times New Roman" w:cs="Times New Roman" w:eastAsia="Times New Roman" w:hAnsi="Times New Roman"/>
            <w:sz w:val="17"/>
            <w:szCs w:val="17"/>
            <w:u w:val="single" w:color="auto"/>
            <w:color w:val="0000FF"/>
          </w:rPr>
          <w:t>Employees</w:t>
        </w:r>
        <w:r>
          <w:rPr>
            <w:rFonts w:ascii="Times New Roman" w:cs="Times New Roman" w:eastAsia="Times New Roman" w:hAnsi="Times New Roman"/>
            <w:sz w:val="17"/>
            <w:szCs w:val="17"/>
            <w:color w:val="000000"/>
          </w:rPr>
          <w:t>) (incorporated herein by reference to Exhibit 10.34 to our Form 10-Q, filed on May 2, 2019)</w:t>
        </w:r>
      </w:hyperlink>
    </w:p>
    <w:p>
      <w:pPr>
        <w:spacing w:after="0" w:line="3" w:lineRule="exact"/>
        <w:rPr>
          <w:sz w:val="20"/>
          <w:szCs w:val="20"/>
          <w:color w:val="auto"/>
        </w:rPr>
      </w:pPr>
    </w:p>
    <w:p>
      <w:pPr>
        <w:ind w:left="1140" w:hanging="889"/>
        <w:spacing w:after="0" w:line="247" w:lineRule="auto"/>
        <w:tabs>
          <w:tab w:leader="none" w:pos="1120" w:val="left"/>
        </w:tabs>
        <w:rPr>
          <w:rFonts w:ascii="Times New Roman" w:cs="Times New Roman" w:eastAsia="Times New Roman" w:hAnsi="Times New Roman"/>
          <w:sz w:val="17"/>
          <w:szCs w:val="17"/>
          <w:color w:val="0000FF"/>
        </w:rPr>
      </w:pPr>
      <w:r>
        <w:rPr>
          <w:rFonts w:ascii="Times New Roman" w:cs="Times New Roman" w:eastAsia="Times New Roman" w:hAnsi="Times New Roman"/>
          <w:sz w:val="17"/>
          <w:szCs w:val="17"/>
          <w:color w:val="auto"/>
        </w:rPr>
        <w:t>10.14 ~</w:t>
      </w:r>
      <w:r>
        <w:rPr>
          <w:sz w:val="20"/>
          <w:szCs w:val="20"/>
          <w:color w:val="auto"/>
        </w:rPr>
        <w:tab/>
      </w:r>
      <w:hyperlink r:id="rId83">
        <w:r>
          <w:rPr>
            <w:rFonts w:ascii="Times New Roman" w:cs="Times New Roman" w:eastAsia="Times New Roman" w:hAnsi="Times New Roman"/>
            <w:sz w:val="17"/>
            <w:szCs w:val="17"/>
            <w:u w:val="single" w:color="auto"/>
            <w:color w:val="0000FF"/>
          </w:rPr>
          <w:t>Form of NMI Holdings, Inc. Amended and Restated 2014 Omnibus Incentive Plan Restricted Stock Unit Award Agreement (For</w:t>
        </w:r>
      </w:hyperlink>
      <w:r>
        <w:rPr>
          <w:rFonts w:ascii="Times New Roman" w:cs="Times New Roman" w:eastAsia="Times New Roman" w:hAnsi="Times New Roman"/>
          <w:sz w:val="17"/>
          <w:szCs w:val="17"/>
          <w:u w:val="single" w:color="auto"/>
          <w:color w:val="0000FF"/>
        </w:rPr>
        <w:t xml:space="preserve"> </w:t>
      </w:r>
      <w:hyperlink r:id="rId83">
        <w:r>
          <w:rPr>
            <w:rFonts w:ascii="Times New Roman" w:cs="Times New Roman" w:eastAsia="Times New Roman" w:hAnsi="Times New Roman"/>
            <w:sz w:val="17"/>
            <w:szCs w:val="17"/>
            <w:u w:val="single" w:color="auto"/>
            <w:color w:val="0000FF"/>
          </w:rPr>
          <w:t>Executives)</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(incorporated herein by reference to Exhibit 10.22 to our Form 10-K, filed on February 15, 2024)</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960"/>
          </w:cols>
          <w:pgMar w:left="320" w:top="982" w:right="619" w:bottom="1440" w:gutter="0" w:footer="0" w:header="0"/>
        </w:sectPr>
      </w:pPr>
    </w:p>
    <w:bookmarkStart w:id="53" w:name="page54"/>
    <w:bookmarkEnd w:id="53"/>
    <w:p>
      <w:pPr>
        <w:ind w:left="900" w:hanging="889"/>
        <w:spacing w:after="0" w:line="247" w:lineRule="auto"/>
        <w:tabs>
          <w:tab w:leader="none" w:pos="880" w:val="left"/>
        </w:tabs>
        <w:rPr>
          <w:rFonts w:ascii="Times New Roman" w:cs="Times New Roman" w:eastAsia="Times New Roman" w:hAnsi="Times New Roman"/>
          <w:sz w:val="17"/>
          <w:szCs w:val="17"/>
          <w:color w:val="0000FF"/>
        </w:rPr>
      </w:pPr>
      <w:r>
        <w:rPr>
          <w:rFonts w:ascii="Times New Roman" w:cs="Times New Roman" w:eastAsia="Times New Roman" w:hAnsi="Times New Roman"/>
          <w:sz w:val="17"/>
          <w:szCs w:val="17"/>
          <w:color w:val="auto"/>
        </w:rPr>
        <w:t>10.15 ~</w:t>
      </w:r>
      <w:r>
        <w:rPr>
          <w:sz w:val="20"/>
          <w:szCs w:val="20"/>
          <w:color w:val="auto"/>
        </w:rPr>
        <w:tab/>
      </w:r>
      <w:hyperlink r:id="rId85">
        <w:r>
          <w:rPr>
            <w:rFonts w:ascii="Times New Roman" w:cs="Times New Roman" w:eastAsia="Times New Roman" w:hAnsi="Times New Roman"/>
            <w:sz w:val="17"/>
            <w:szCs w:val="17"/>
            <w:u w:val="single" w:color="auto"/>
            <w:color w:val="0000FF"/>
          </w:rPr>
          <w:t>Form of NMI Holdings, Inc. Amended and Restated 2014 Omnibus Incentive Plan Restricted Stock Unit Award Agreement (For</w:t>
        </w:r>
      </w:hyperlink>
      <w:r>
        <w:rPr>
          <w:rFonts w:ascii="Times New Roman" w:cs="Times New Roman" w:eastAsia="Times New Roman" w:hAnsi="Times New Roman"/>
          <w:sz w:val="17"/>
          <w:szCs w:val="17"/>
          <w:u w:val="single" w:color="auto"/>
          <w:color w:val="0000FF"/>
        </w:rPr>
        <w:t xml:space="preserve"> </w:t>
      </w:r>
      <w:hyperlink r:id="rId85">
        <w:r>
          <w:rPr>
            <w:rFonts w:ascii="Times New Roman" w:cs="Times New Roman" w:eastAsia="Times New Roman" w:hAnsi="Times New Roman"/>
            <w:sz w:val="17"/>
            <w:szCs w:val="17"/>
            <w:u w:val="single" w:color="auto"/>
            <w:color w:val="0000FF"/>
          </w:rPr>
          <w:t>Employees)</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(incorporated herein by reference to Exhibit 10.23 to our Form 10-K, filed on February 15, 2024)</w:t>
        </w:r>
      </w:hyperlink>
    </w:p>
    <w:p>
      <w:pPr>
        <w:spacing w:after="0" w:line="3" w:lineRule="exact"/>
        <w:rPr>
          <w:sz w:val="20"/>
          <w:szCs w:val="20"/>
          <w:color w:val="auto"/>
        </w:rPr>
      </w:pPr>
    </w:p>
    <w:p>
      <w:pPr>
        <w:ind w:left="900" w:hanging="889"/>
        <w:spacing w:after="0" w:line="247" w:lineRule="auto"/>
        <w:tabs>
          <w:tab w:leader="none" w:pos="880" w:val="left"/>
        </w:tabs>
        <w:rPr>
          <w:rFonts w:ascii="Times New Roman" w:cs="Times New Roman" w:eastAsia="Times New Roman" w:hAnsi="Times New Roman"/>
          <w:sz w:val="17"/>
          <w:szCs w:val="17"/>
          <w:color w:val="0000FF"/>
        </w:rPr>
      </w:pPr>
      <w:r>
        <w:rPr>
          <w:rFonts w:ascii="Times New Roman" w:cs="Times New Roman" w:eastAsia="Times New Roman" w:hAnsi="Times New Roman"/>
          <w:sz w:val="17"/>
          <w:szCs w:val="17"/>
          <w:color w:val="auto"/>
        </w:rPr>
        <w:t>10.16 ~</w:t>
      </w:r>
      <w:r>
        <w:rPr>
          <w:sz w:val="20"/>
          <w:szCs w:val="20"/>
          <w:color w:val="auto"/>
        </w:rPr>
        <w:tab/>
      </w:r>
      <w:hyperlink r:id="rId86">
        <w:r>
          <w:rPr>
            <w:rFonts w:ascii="Times New Roman" w:cs="Times New Roman" w:eastAsia="Times New Roman" w:hAnsi="Times New Roman"/>
            <w:sz w:val="17"/>
            <w:szCs w:val="17"/>
            <w:u w:val="single" w:color="auto"/>
            <w:color w:val="0000FF"/>
          </w:rPr>
          <w:t>Form of NMI Holdings, Inc. Amended and Restated 2014 Omnibus Incentive Plan Restricted Stock Unit Award Agreement (Performance</w:t>
        </w:r>
      </w:hyperlink>
      <w:r>
        <w:rPr>
          <w:rFonts w:ascii="Times New Roman" w:cs="Times New Roman" w:eastAsia="Times New Roman" w:hAnsi="Times New Roman"/>
          <w:sz w:val="17"/>
          <w:szCs w:val="17"/>
          <w:u w:val="single" w:color="auto"/>
          <w:color w:val="0000FF"/>
        </w:rPr>
        <w:t xml:space="preserve"> </w:t>
      </w:r>
      <w:hyperlink r:id="rId86">
        <w:r>
          <w:rPr>
            <w:rFonts w:ascii="Times New Roman" w:cs="Times New Roman" w:eastAsia="Times New Roman" w:hAnsi="Times New Roman"/>
            <w:sz w:val="17"/>
            <w:szCs w:val="17"/>
            <w:u w:val="single" w:color="auto"/>
            <w:color w:val="0000FF"/>
          </w:rPr>
          <w:t>Based)</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(incorporated herein by reference to Exhibit 10.24 to our Form 10-K, filed on February 15, 2024)</w:t>
        </w:r>
      </w:hyperlink>
    </w:p>
    <w:p>
      <w:pPr>
        <w:spacing w:after="0" w:line="236" w:lineRule="auto"/>
        <w:tabs>
          <w:tab w:leader="none" w:pos="8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10.17 ~</w:t>
      </w:r>
      <w:r>
        <w:rPr>
          <w:sz w:val="20"/>
          <w:szCs w:val="20"/>
          <w:color w:val="auto"/>
        </w:rPr>
        <w:tab/>
      </w:r>
      <w:hyperlink r:id="rId87">
        <w:r>
          <w:rPr>
            <w:rFonts w:ascii="Times New Roman" w:cs="Times New Roman" w:eastAsia="Times New Roman" w:hAnsi="Times New Roman"/>
            <w:sz w:val="17"/>
            <w:szCs w:val="17"/>
            <w:u w:val="single" w:color="auto"/>
            <w:color w:val="0000FF"/>
          </w:rPr>
          <w:t>Form of NMI Holdings, Inc. Amended and Restated 2014 Omnibus Incentive Plan Nonqualified Stock Option Agreement (For Employees</w:t>
        </w:r>
      </w:hyperlink>
      <w:r>
        <w:rPr>
          <w:rFonts w:ascii="Times New Roman" w:cs="Times New Roman" w:eastAsia="Times New Roman" w:hAnsi="Times New Roman"/>
          <w:sz w:val="17"/>
          <w:szCs w:val="17"/>
          <w:color w:val="000000"/>
        </w:rPr>
        <w:t>)</w:t>
      </w:r>
    </w:p>
    <w:p>
      <w:pPr>
        <w:ind w:left="900"/>
        <w:spacing w:after="0"/>
        <w:rPr>
          <w:sz w:val="20"/>
          <w:szCs w:val="20"/>
          <w:color w:val="auto"/>
        </w:rPr>
      </w:pPr>
      <w:r>
        <w:rPr>
          <w:rFonts w:ascii="Times New Roman" w:cs="Times New Roman" w:eastAsia="Times New Roman" w:hAnsi="Times New Roman"/>
          <w:sz w:val="17"/>
          <w:szCs w:val="17"/>
          <w:color w:val="auto"/>
        </w:rPr>
        <w:t>(incorporated herein by reference to Exhibit 10.35 to our Form 10-Q, filed on May 2, 2019)</w:t>
      </w:r>
    </w:p>
    <w:p>
      <w:pPr>
        <w:spacing w:after="0" w:line="20" w:lineRule="exact"/>
        <w:rPr>
          <w:sz w:val="20"/>
          <w:szCs w:val="20"/>
          <w:color w:val="auto"/>
        </w:rPr>
      </w:pPr>
    </w:p>
    <w:p>
      <w:pPr>
        <w:ind w:left="900" w:hanging="889"/>
        <w:spacing w:after="0" w:line="247" w:lineRule="auto"/>
        <w:tabs>
          <w:tab w:leader="none" w:pos="880" w:val="left"/>
        </w:tabs>
        <w:rPr>
          <w:rFonts w:ascii="Times New Roman" w:cs="Times New Roman" w:eastAsia="Times New Roman" w:hAnsi="Times New Roman"/>
          <w:sz w:val="17"/>
          <w:szCs w:val="17"/>
          <w:color w:val="0000FF"/>
        </w:rPr>
      </w:pPr>
      <w:r>
        <w:rPr>
          <w:rFonts w:ascii="Times New Roman" w:cs="Times New Roman" w:eastAsia="Times New Roman" w:hAnsi="Times New Roman"/>
          <w:sz w:val="17"/>
          <w:szCs w:val="17"/>
          <w:color w:val="auto"/>
        </w:rPr>
        <w:t>10.18 ~</w:t>
      </w:r>
      <w:r>
        <w:rPr>
          <w:sz w:val="20"/>
          <w:szCs w:val="20"/>
          <w:color w:val="auto"/>
        </w:rPr>
        <w:tab/>
      </w:r>
      <w:hyperlink r:id="rId88">
        <w:r>
          <w:rPr>
            <w:rFonts w:ascii="Times New Roman" w:cs="Times New Roman" w:eastAsia="Times New Roman" w:hAnsi="Times New Roman"/>
            <w:sz w:val="17"/>
            <w:szCs w:val="17"/>
            <w:u w:val="single" w:color="auto"/>
            <w:color w:val="0000FF"/>
          </w:rPr>
          <w:t>Form of NMI Holdings, Inc. Amended and Restated 2014 Omnibus Incentive Plan Restricted Stock Unit Award Agreement (For</w:t>
        </w:r>
      </w:hyperlink>
      <w:r>
        <w:rPr>
          <w:rFonts w:ascii="Times New Roman" w:cs="Times New Roman" w:eastAsia="Times New Roman" w:hAnsi="Times New Roman"/>
          <w:sz w:val="17"/>
          <w:szCs w:val="17"/>
          <w:u w:val="single" w:color="auto"/>
          <w:color w:val="0000FF"/>
        </w:rPr>
        <w:t xml:space="preserve"> </w:t>
      </w:r>
      <w:hyperlink r:id="rId88">
        <w:r>
          <w:rPr>
            <w:rFonts w:ascii="Times New Roman" w:cs="Times New Roman" w:eastAsia="Times New Roman" w:hAnsi="Times New Roman"/>
            <w:sz w:val="17"/>
            <w:szCs w:val="17"/>
            <w:u w:val="single" w:color="auto"/>
            <w:color w:val="0000FF"/>
          </w:rPr>
          <w:t>Executives)</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(incorporated herein by reference to Exhibit 10.18 to our Form 10-K, filed on February 14, 2025)</w:t>
        </w:r>
      </w:hyperlink>
    </w:p>
    <w:p>
      <w:pPr>
        <w:spacing w:after="0" w:line="3" w:lineRule="exact"/>
        <w:rPr>
          <w:sz w:val="20"/>
          <w:szCs w:val="20"/>
          <w:color w:val="auto"/>
        </w:rPr>
      </w:pPr>
    </w:p>
    <w:p>
      <w:pPr>
        <w:ind w:left="900" w:hanging="889"/>
        <w:spacing w:after="0" w:line="247" w:lineRule="auto"/>
        <w:tabs>
          <w:tab w:leader="none" w:pos="880" w:val="left"/>
        </w:tabs>
        <w:rPr>
          <w:rFonts w:ascii="Times New Roman" w:cs="Times New Roman" w:eastAsia="Times New Roman" w:hAnsi="Times New Roman"/>
          <w:sz w:val="17"/>
          <w:szCs w:val="17"/>
          <w:color w:val="0000FF"/>
        </w:rPr>
      </w:pPr>
      <w:r>
        <w:rPr>
          <w:rFonts w:ascii="Times New Roman" w:cs="Times New Roman" w:eastAsia="Times New Roman" w:hAnsi="Times New Roman"/>
          <w:sz w:val="17"/>
          <w:szCs w:val="17"/>
          <w:color w:val="auto"/>
        </w:rPr>
        <w:t>10.19 ~</w:t>
      </w:r>
      <w:r>
        <w:rPr>
          <w:sz w:val="20"/>
          <w:szCs w:val="20"/>
          <w:color w:val="auto"/>
        </w:rPr>
        <w:tab/>
      </w:r>
      <w:hyperlink r:id="rId89">
        <w:r>
          <w:rPr>
            <w:rFonts w:ascii="Times New Roman" w:cs="Times New Roman" w:eastAsia="Times New Roman" w:hAnsi="Times New Roman"/>
            <w:sz w:val="17"/>
            <w:szCs w:val="17"/>
            <w:u w:val="single" w:color="auto"/>
            <w:color w:val="0000FF"/>
          </w:rPr>
          <w:t>Form of NMI Holdings, Inc. Amended and Restated 2014 Omnibus Incentive Plan Restricted Stock Unit Award Agreement (For</w:t>
        </w:r>
      </w:hyperlink>
      <w:r>
        <w:rPr>
          <w:rFonts w:ascii="Times New Roman" w:cs="Times New Roman" w:eastAsia="Times New Roman" w:hAnsi="Times New Roman"/>
          <w:sz w:val="17"/>
          <w:szCs w:val="17"/>
          <w:u w:val="single" w:color="auto"/>
          <w:color w:val="0000FF"/>
        </w:rPr>
        <w:t xml:space="preserve"> </w:t>
      </w:r>
      <w:hyperlink r:id="rId89">
        <w:r>
          <w:rPr>
            <w:rFonts w:ascii="Times New Roman" w:cs="Times New Roman" w:eastAsia="Times New Roman" w:hAnsi="Times New Roman"/>
            <w:sz w:val="17"/>
            <w:szCs w:val="17"/>
            <w:u w:val="single" w:color="auto"/>
            <w:color w:val="0000FF"/>
          </w:rPr>
          <w:t>Employees)</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(incorporated herein by reference to Exhibit 10.19 to our Form 10-K, filed on February 14, 2025)</w:t>
        </w:r>
      </w:hyperlink>
    </w:p>
    <w:p>
      <w:pPr>
        <w:spacing w:after="0" w:line="3" w:lineRule="exact"/>
        <w:rPr>
          <w:sz w:val="20"/>
          <w:szCs w:val="20"/>
          <w:color w:val="auto"/>
        </w:rPr>
      </w:pPr>
    </w:p>
    <w:p>
      <w:pPr>
        <w:ind w:left="900" w:hanging="889"/>
        <w:spacing w:after="0" w:line="247" w:lineRule="auto"/>
        <w:tabs>
          <w:tab w:leader="none" w:pos="880" w:val="left"/>
        </w:tabs>
        <w:rPr>
          <w:rFonts w:ascii="Times New Roman" w:cs="Times New Roman" w:eastAsia="Times New Roman" w:hAnsi="Times New Roman"/>
          <w:sz w:val="17"/>
          <w:szCs w:val="17"/>
          <w:color w:val="0000FF"/>
        </w:rPr>
      </w:pPr>
      <w:r>
        <w:rPr>
          <w:rFonts w:ascii="Times New Roman" w:cs="Times New Roman" w:eastAsia="Times New Roman" w:hAnsi="Times New Roman"/>
          <w:sz w:val="17"/>
          <w:szCs w:val="17"/>
          <w:color w:val="auto"/>
        </w:rPr>
        <w:t>10.20 ~</w:t>
      </w:r>
      <w:r>
        <w:rPr>
          <w:sz w:val="20"/>
          <w:szCs w:val="20"/>
          <w:color w:val="auto"/>
        </w:rPr>
        <w:tab/>
      </w:r>
      <w:hyperlink r:id="rId90">
        <w:r>
          <w:rPr>
            <w:rFonts w:ascii="Times New Roman" w:cs="Times New Roman" w:eastAsia="Times New Roman" w:hAnsi="Times New Roman"/>
            <w:sz w:val="17"/>
            <w:szCs w:val="17"/>
            <w:u w:val="single" w:color="auto"/>
            <w:color w:val="0000FF"/>
          </w:rPr>
          <w:t>Form of NMI Holdings, Inc. Amended and Restated 2014 Omnibus Incentive Plan Restricted Stock Unit Award Agreement (Performance</w:t>
        </w:r>
      </w:hyperlink>
      <w:r>
        <w:rPr>
          <w:rFonts w:ascii="Times New Roman" w:cs="Times New Roman" w:eastAsia="Times New Roman" w:hAnsi="Times New Roman"/>
          <w:sz w:val="17"/>
          <w:szCs w:val="17"/>
          <w:u w:val="single" w:color="auto"/>
          <w:color w:val="0000FF"/>
        </w:rPr>
        <w:t xml:space="preserve"> </w:t>
      </w:r>
      <w:hyperlink r:id="rId90">
        <w:r>
          <w:rPr>
            <w:rFonts w:ascii="Times New Roman" w:cs="Times New Roman" w:eastAsia="Times New Roman" w:hAnsi="Times New Roman"/>
            <w:sz w:val="17"/>
            <w:szCs w:val="17"/>
            <w:u w:val="single" w:color="auto"/>
            <w:color w:val="0000FF"/>
          </w:rPr>
          <w:t>Based)</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(incorporated herein by reference to Exhibit 10.20 to our Form 10-K, filed on February 14, 2025)</w:t>
        </w:r>
      </w:hyperlink>
    </w:p>
    <w:p>
      <w:pPr>
        <w:spacing w:after="0" w:line="3" w:lineRule="exact"/>
        <w:rPr>
          <w:sz w:val="20"/>
          <w:szCs w:val="20"/>
          <w:color w:val="auto"/>
        </w:rPr>
      </w:pPr>
    </w:p>
    <w:p>
      <w:pPr>
        <w:ind w:left="900" w:hanging="889"/>
        <w:spacing w:after="0" w:line="247" w:lineRule="auto"/>
        <w:tabs>
          <w:tab w:leader="none" w:pos="8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10.21 ~</w:t>
      </w:r>
      <w:r>
        <w:rPr>
          <w:sz w:val="20"/>
          <w:szCs w:val="20"/>
          <w:color w:val="auto"/>
        </w:rPr>
        <w:tab/>
      </w:r>
      <w:hyperlink r:id="rId91">
        <w:r>
          <w:rPr>
            <w:rFonts w:ascii="Times New Roman" w:cs="Times New Roman" w:eastAsia="Times New Roman" w:hAnsi="Times New Roman"/>
            <w:sz w:val="17"/>
            <w:szCs w:val="17"/>
            <w:u w:val="single" w:color="auto"/>
            <w:color w:val="0000FF"/>
          </w:rPr>
          <w:t xml:space="preserve">Form of Indemnification Agreement between NMI Holdings, Inc. and its directors and certain executive officers </w:t>
        </w:r>
      </w:hyperlink>
      <w:r>
        <w:rPr>
          <w:rFonts w:ascii="Times New Roman" w:cs="Times New Roman" w:eastAsia="Times New Roman" w:hAnsi="Times New Roman"/>
          <w:sz w:val="17"/>
          <w:szCs w:val="17"/>
          <w:color w:val="000000"/>
        </w:rPr>
        <w:t>(incorporated</w:t>
      </w:r>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herein by</w:t>
      </w:r>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reference to Exhibit 10.1 to our Form 8-K, filed on November 25, 2014)</w:t>
      </w:r>
    </w:p>
    <w:p>
      <w:pPr>
        <w:spacing w:after="0" w:line="3" w:lineRule="exact"/>
        <w:rPr>
          <w:sz w:val="20"/>
          <w:szCs w:val="20"/>
          <w:color w:val="auto"/>
        </w:rPr>
      </w:pPr>
    </w:p>
    <w:p>
      <w:pPr>
        <w:ind w:left="900" w:hanging="889"/>
        <w:spacing w:after="0" w:line="247" w:lineRule="auto"/>
        <w:tabs>
          <w:tab w:leader="none" w:pos="8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10.22 ~</w:t>
      </w:r>
      <w:r>
        <w:rPr>
          <w:sz w:val="20"/>
          <w:szCs w:val="20"/>
          <w:color w:val="auto"/>
        </w:rPr>
        <w:tab/>
      </w:r>
      <w:hyperlink r:id="rId92">
        <w:r>
          <w:rPr>
            <w:rFonts w:ascii="Times New Roman" w:cs="Times New Roman" w:eastAsia="Times New Roman" w:hAnsi="Times New Roman"/>
            <w:sz w:val="17"/>
            <w:szCs w:val="17"/>
            <w:u w:val="single" w:color="auto"/>
            <w:color w:val="0000FF"/>
          </w:rPr>
          <w:t xml:space="preserve">NMI Holdings, Inc. Amended and Restated Severance Benefit Plan </w:t>
        </w:r>
      </w:hyperlink>
      <w:r>
        <w:rPr>
          <w:rFonts w:ascii="Times New Roman" w:cs="Times New Roman" w:eastAsia="Times New Roman" w:hAnsi="Times New Roman"/>
          <w:sz w:val="17"/>
          <w:szCs w:val="17"/>
          <w:color w:val="000000"/>
        </w:rPr>
        <w:t>(incorporated</w:t>
      </w:r>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herein by reference to Exhibit 10.22 to our Form 10-Q,</w:t>
      </w:r>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filed on November 5, 2025)</w:t>
      </w:r>
    </w:p>
    <w:p>
      <w:pPr>
        <w:spacing w:after="0" w:line="3" w:lineRule="exact"/>
        <w:rPr>
          <w:sz w:val="20"/>
          <w:szCs w:val="20"/>
          <w:color w:val="auto"/>
        </w:rPr>
      </w:pPr>
    </w:p>
    <w:p>
      <w:pPr>
        <w:ind w:left="900" w:hanging="889"/>
        <w:spacing w:after="0" w:line="247" w:lineRule="auto"/>
        <w:tabs>
          <w:tab w:leader="none" w:pos="8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10.23 ~</w:t>
      </w:r>
      <w:r>
        <w:rPr>
          <w:sz w:val="20"/>
          <w:szCs w:val="20"/>
          <w:color w:val="auto"/>
        </w:rPr>
        <w:tab/>
      </w:r>
      <w:hyperlink r:id="rId93">
        <w:r>
          <w:rPr>
            <w:rFonts w:ascii="Times New Roman" w:cs="Times New Roman" w:eastAsia="Times New Roman" w:hAnsi="Times New Roman"/>
            <w:sz w:val="17"/>
            <w:szCs w:val="17"/>
            <w:u w:val="single" w:color="auto"/>
            <w:color w:val="0000FF"/>
          </w:rPr>
          <w:t xml:space="preserve">NMI Holdings, Inc. Amended and Restated Change in Control Severance Benefit Plan </w:t>
        </w:r>
      </w:hyperlink>
      <w:r>
        <w:rPr>
          <w:rFonts w:ascii="Times New Roman" w:cs="Times New Roman" w:eastAsia="Times New Roman" w:hAnsi="Times New Roman"/>
          <w:sz w:val="17"/>
          <w:szCs w:val="17"/>
          <w:color w:val="000000"/>
        </w:rPr>
        <w:t>(incorporated</w:t>
      </w:r>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herein by reference to Exhibit 10.23 to</w:t>
      </w:r>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our Form 10-Q, filed on November 5, 2025)</w:t>
      </w:r>
    </w:p>
    <w:p>
      <w:pPr>
        <w:spacing w:after="0" w:line="236" w:lineRule="auto"/>
        <w:tabs>
          <w:tab w:leader="none" w:pos="8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10.24 ~</w:t>
      </w:r>
      <w:r>
        <w:rPr>
          <w:sz w:val="20"/>
          <w:szCs w:val="20"/>
          <w:color w:val="auto"/>
        </w:rPr>
        <w:tab/>
      </w:r>
      <w:hyperlink r:id="rId94">
        <w:r>
          <w:rPr>
            <w:rFonts w:ascii="Times New Roman" w:cs="Times New Roman" w:eastAsia="Times New Roman" w:hAnsi="Times New Roman"/>
            <w:sz w:val="17"/>
            <w:szCs w:val="17"/>
            <w:u w:val="single" w:color="auto"/>
            <w:color w:val="0000FF"/>
          </w:rPr>
          <w:t xml:space="preserve">Offer Letter by and between NMI Holdings, Inc. and William Leatherberry, dated July 11, 2014 </w:t>
        </w:r>
      </w:hyperlink>
      <w:r>
        <w:rPr>
          <w:rFonts w:ascii="Times New Roman" w:cs="Times New Roman" w:eastAsia="Times New Roman" w:hAnsi="Times New Roman"/>
          <w:sz w:val="17"/>
          <w:szCs w:val="17"/>
          <w:color w:val="000000"/>
        </w:rPr>
        <w:t>(incorporated</w:t>
      </w:r>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herein by reference to Exhibit</w:t>
      </w:r>
    </w:p>
    <w:p>
      <w:pPr>
        <w:ind w:left="900"/>
        <w:spacing w:after="0"/>
        <w:rPr>
          <w:sz w:val="20"/>
          <w:szCs w:val="20"/>
          <w:color w:val="auto"/>
        </w:rPr>
      </w:pPr>
      <w:r>
        <w:rPr>
          <w:rFonts w:ascii="Times New Roman" w:cs="Times New Roman" w:eastAsia="Times New Roman" w:hAnsi="Times New Roman"/>
          <w:sz w:val="17"/>
          <w:szCs w:val="17"/>
          <w:color w:val="auto"/>
        </w:rPr>
        <w:t>10.10 to our Form 10-Q, filed on April 28, 2016)</w:t>
      </w:r>
    </w:p>
    <w:p>
      <w:pPr>
        <w:spacing w:after="0" w:line="20" w:lineRule="exact"/>
        <w:rPr>
          <w:sz w:val="20"/>
          <w:szCs w:val="20"/>
          <w:color w:val="auto"/>
        </w:rPr>
      </w:pPr>
    </w:p>
    <w:p>
      <w:pPr>
        <w:ind w:left="900" w:hanging="889"/>
        <w:spacing w:after="0" w:line="247" w:lineRule="auto"/>
        <w:tabs>
          <w:tab w:leader="none" w:pos="8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10.25 ~</w:t>
      </w:r>
      <w:r>
        <w:rPr>
          <w:sz w:val="20"/>
          <w:szCs w:val="20"/>
          <w:color w:val="auto"/>
        </w:rPr>
        <w:tab/>
      </w:r>
      <w:hyperlink r:id="rId95">
        <w:r>
          <w:rPr>
            <w:rFonts w:ascii="Times New Roman" w:cs="Times New Roman" w:eastAsia="Times New Roman" w:hAnsi="Times New Roman"/>
            <w:sz w:val="17"/>
            <w:szCs w:val="17"/>
            <w:u w:val="single" w:color="auto"/>
            <w:color w:val="0000FF"/>
          </w:rPr>
          <w:t xml:space="preserve">Employment Letter by and between NMI Holdings, Inc. and Bradley M. Shuster, effective as of January 1, 2019 </w:t>
        </w:r>
      </w:hyperlink>
      <w:r>
        <w:rPr>
          <w:rFonts w:ascii="Times New Roman" w:cs="Times New Roman" w:eastAsia="Times New Roman" w:hAnsi="Times New Roman"/>
          <w:sz w:val="17"/>
          <w:szCs w:val="17"/>
          <w:color w:val="000000"/>
        </w:rPr>
        <w:t>(incorporated</w:t>
      </w:r>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herein by</w:t>
      </w:r>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reference to Exhibit 10.1 to our Form 8-K, filed on December 28, 2018)</w:t>
      </w:r>
    </w:p>
    <w:p>
      <w:pPr>
        <w:spacing w:after="0" w:line="49" w:lineRule="exact"/>
        <w:rPr>
          <w:sz w:val="20"/>
          <w:szCs w:val="20"/>
          <w:color w:val="auto"/>
        </w:rPr>
      </w:pPr>
    </w:p>
    <w:p>
      <w:pPr>
        <w:spacing w:after="0"/>
        <w:tabs>
          <w:tab w:leader="none" w:pos="8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10.26 ~</w:t>
      </w:r>
      <w:r>
        <w:rPr>
          <w:sz w:val="20"/>
          <w:szCs w:val="20"/>
          <w:color w:val="auto"/>
        </w:rPr>
        <w:tab/>
      </w:r>
      <w:hyperlink r:id="rId96">
        <w:r>
          <w:rPr>
            <w:rFonts w:ascii="Times New Roman" w:cs="Times New Roman" w:eastAsia="Times New Roman" w:hAnsi="Times New Roman"/>
            <w:sz w:val="17"/>
            <w:szCs w:val="17"/>
            <w:u w:val="single" w:color="auto"/>
            <w:color w:val="0000FF"/>
          </w:rPr>
          <w:t xml:space="preserve">Offer Letter by and between NMI Holdings, Inc. and Adam Pollitzer, dated September 9, 2021 </w:t>
        </w:r>
      </w:hyperlink>
      <w:r>
        <w:rPr>
          <w:rFonts w:ascii="Times New Roman" w:cs="Times New Roman" w:eastAsia="Times New Roman" w:hAnsi="Times New Roman"/>
          <w:sz w:val="17"/>
          <w:szCs w:val="17"/>
          <w:color w:val="000000"/>
        </w:rPr>
        <w:t>(incorporated</w:t>
      </w:r>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herein by reference to Exhibit</w:t>
      </w:r>
    </w:p>
    <w:p>
      <w:pPr>
        <w:ind w:left="900"/>
        <w:spacing w:after="0"/>
        <w:rPr>
          <w:sz w:val="20"/>
          <w:szCs w:val="20"/>
          <w:color w:val="auto"/>
        </w:rPr>
      </w:pPr>
      <w:r>
        <w:rPr>
          <w:rFonts w:ascii="Times New Roman" w:cs="Times New Roman" w:eastAsia="Times New Roman" w:hAnsi="Times New Roman"/>
          <w:sz w:val="17"/>
          <w:szCs w:val="17"/>
          <w:color w:val="auto"/>
        </w:rPr>
        <w:t>10.1 to our Form 8-K, filed on September 9, 2021)</w:t>
      </w:r>
    </w:p>
    <w:p>
      <w:pPr>
        <w:spacing w:after="0" w:line="14" w:lineRule="exact"/>
        <w:rPr>
          <w:sz w:val="20"/>
          <w:szCs w:val="20"/>
          <w:color w:val="auto"/>
        </w:rPr>
      </w:pPr>
    </w:p>
    <w:p>
      <w:pPr>
        <w:spacing w:after="0"/>
        <w:tabs>
          <w:tab w:leader="none" w:pos="8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10.27 ~</w:t>
      </w:r>
      <w:r>
        <w:rPr>
          <w:sz w:val="20"/>
          <w:szCs w:val="20"/>
          <w:color w:val="auto"/>
        </w:rPr>
        <w:tab/>
      </w:r>
      <w:hyperlink r:id="rId97">
        <w:r>
          <w:rPr>
            <w:rFonts w:ascii="Times New Roman" w:cs="Times New Roman" w:eastAsia="Times New Roman" w:hAnsi="Times New Roman"/>
            <w:sz w:val="17"/>
            <w:szCs w:val="17"/>
            <w:u w:val="single" w:color="auto"/>
            <w:color w:val="0000FF"/>
          </w:rPr>
          <w:t>Offer Letter by and between NMI Holdings, Inc. and Aurora Swithenbank, dated March 1, 202</w:t>
        </w:r>
      </w:hyperlink>
      <w:r>
        <w:rPr>
          <w:rFonts w:ascii="Times New Roman" w:cs="Times New Roman" w:eastAsia="Times New Roman" w:hAnsi="Times New Roman"/>
          <w:sz w:val="17"/>
          <w:szCs w:val="17"/>
          <w:color w:val="000000"/>
        </w:rPr>
        <w:t>4</w:t>
      </w:r>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(incorporated herein by reference to Exhibit</w:t>
      </w:r>
    </w:p>
    <w:p>
      <w:pPr>
        <w:ind w:left="900"/>
        <w:spacing w:after="0"/>
        <w:rPr>
          <w:sz w:val="20"/>
          <w:szCs w:val="20"/>
          <w:color w:val="auto"/>
        </w:rPr>
      </w:pPr>
      <w:r>
        <w:rPr>
          <w:rFonts w:ascii="Times New Roman" w:cs="Times New Roman" w:eastAsia="Times New Roman" w:hAnsi="Times New Roman"/>
          <w:sz w:val="17"/>
          <w:szCs w:val="17"/>
          <w:color w:val="auto"/>
        </w:rPr>
        <w:t>10.1 to our Form 8-K, filed on March 4, 2024)</w:t>
      </w:r>
    </w:p>
    <w:p>
      <w:pPr>
        <w:spacing w:after="0" w:line="20" w:lineRule="exact"/>
        <w:rPr>
          <w:sz w:val="20"/>
          <w:szCs w:val="20"/>
          <w:color w:val="auto"/>
        </w:rPr>
      </w:pPr>
    </w:p>
    <w:p>
      <w:pPr>
        <w:ind w:left="900" w:hanging="889"/>
        <w:spacing w:after="0" w:line="247" w:lineRule="auto"/>
        <w:tabs>
          <w:tab w:leader="none" w:pos="8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10.28 ~</w:t>
      </w:r>
      <w:r>
        <w:rPr>
          <w:sz w:val="20"/>
          <w:szCs w:val="20"/>
          <w:color w:val="auto"/>
        </w:rPr>
        <w:tab/>
      </w:r>
      <w:hyperlink r:id="rId98">
        <w:r>
          <w:rPr>
            <w:rFonts w:ascii="Times New Roman" w:cs="Times New Roman" w:eastAsia="Times New Roman" w:hAnsi="Times New Roman"/>
            <w:sz w:val="17"/>
            <w:szCs w:val="17"/>
            <w:u w:val="single" w:color="auto"/>
            <w:color w:val="0000FF"/>
          </w:rPr>
          <w:t xml:space="preserve">Separation Agreement by and between NMI Holdings, Inc. and Ravi Mallela, dated March 1, 2024 </w:t>
        </w:r>
      </w:hyperlink>
      <w:r>
        <w:rPr>
          <w:rFonts w:ascii="Times New Roman" w:cs="Times New Roman" w:eastAsia="Times New Roman" w:hAnsi="Times New Roman"/>
          <w:sz w:val="17"/>
          <w:szCs w:val="17"/>
          <w:color w:val="000000"/>
        </w:rPr>
        <w:t>(incorporated</w:t>
      </w:r>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herein by reference to</w:t>
      </w:r>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Exhibit 10.2 to our Form 8-K, filed on March 4, 2024)</w:t>
      </w:r>
    </w:p>
    <w:p>
      <w:pPr>
        <w:spacing w:after="0" w:line="3" w:lineRule="exact"/>
        <w:rPr>
          <w:sz w:val="20"/>
          <w:szCs w:val="20"/>
          <w:color w:val="auto"/>
        </w:rPr>
      </w:pPr>
    </w:p>
    <w:p>
      <w:pPr>
        <w:jc w:val="right"/>
        <w:spacing w:after="0" w:line="228"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10.29 +    </w:t>
      </w:r>
      <w:hyperlink r:id="rId99">
        <w:r>
          <w:rPr>
            <w:rFonts w:ascii="Times New Roman" w:cs="Times New Roman" w:eastAsia="Times New Roman" w:hAnsi="Times New Roman"/>
            <w:sz w:val="17"/>
            <w:szCs w:val="17"/>
            <w:u w:val="single" w:color="auto"/>
            <w:color w:val="0000FF"/>
          </w:rPr>
          <w:t>Commitment Letter dated July 12, 2013 for Bulk Fannie Mae-Paid Loss-on-Sale Mortgage Insurance on the Portfolio of approximately</w:t>
        </w:r>
      </w:hyperlink>
      <w:r>
        <w:rPr>
          <w:rFonts w:ascii="Times New Roman" w:cs="Times New Roman" w:eastAsia="Times New Roman" w:hAnsi="Times New Roman"/>
          <w:sz w:val="17"/>
          <w:szCs w:val="17"/>
          <w:color w:val="auto"/>
        </w:rPr>
        <w:t xml:space="preserve"> </w:t>
      </w:r>
      <w:hyperlink r:id="rId99">
        <w:r>
          <w:rPr>
            <w:rFonts w:ascii="Times New Roman" w:cs="Times New Roman" w:eastAsia="Times New Roman" w:hAnsi="Times New Roman"/>
            <w:sz w:val="17"/>
            <w:szCs w:val="17"/>
            <w:u w:val="single" w:color="auto"/>
            <w:color w:val="0000FF"/>
          </w:rPr>
          <w:t>$5.46 billion Purchased by Fannie Mae and Identified by Fannie Mae as Deal No. 2013 MIRT 01 and by the Company as Policy No. P-</w:t>
        </w:r>
      </w:hyperlink>
    </w:p>
    <w:p>
      <w:pPr>
        <w:spacing w:after="0" w:line="1" w:lineRule="exact"/>
        <w:rPr>
          <w:sz w:val="20"/>
          <w:szCs w:val="20"/>
          <w:color w:val="auto"/>
        </w:rPr>
      </w:pPr>
    </w:p>
    <w:p>
      <w:pPr>
        <w:ind w:left="900"/>
        <w:spacing w:after="0" w:line="231" w:lineRule="auto"/>
        <w:rPr>
          <w:rFonts w:ascii="Times New Roman" w:cs="Times New Roman" w:eastAsia="Times New Roman" w:hAnsi="Times New Roman"/>
          <w:sz w:val="17"/>
          <w:szCs w:val="17"/>
          <w:color w:val="0000FF"/>
        </w:rPr>
      </w:pPr>
      <w:hyperlink r:id="rId99">
        <w:r>
          <w:rPr>
            <w:rFonts w:ascii="Times New Roman" w:cs="Times New Roman" w:eastAsia="Times New Roman" w:hAnsi="Times New Roman"/>
            <w:sz w:val="17"/>
            <w:szCs w:val="17"/>
            <w:u w:val="single" w:color="auto"/>
            <w:color w:val="0000FF"/>
          </w:rPr>
          <w:t>0001-01</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(incorporated herein by reference to Exhibit 10.14 to our Form S-1 Registration Statement (Registration No. 333-191635), filed on</w:t>
        </w:r>
      </w:hyperlink>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October 9, 2013)</w:t>
      </w:r>
    </w:p>
    <w:p>
      <w:pPr>
        <w:spacing w:after="0" w:line="1" w:lineRule="exact"/>
        <w:rPr>
          <w:sz w:val="20"/>
          <w:szCs w:val="20"/>
          <w:color w:val="auto"/>
        </w:rPr>
      </w:pPr>
    </w:p>
    <w:p>
      <w:pPr>
        <w:ind w:left="900" w:hanging="820"/>
        <w:spacing w:after="0" w:line="241" w:lineRule="auto"/>
        <w:tabs>
          <w:tab w:leader="none" w:pos="880" w:val="left"/>
        </w:tabs>
        <w:rPr>
          <w:rFonts w:ascii="Times New Roman" w:cs="Times New Roman" w:eastAsia="Times New Roman" w:hAnsi="Times New Roman"/>
          <w:sz w:val="17"/>
          <w:szCs w:val="17"/>
          <w:color w:val="0000FF"/>
        </w:rPr>
      </w:pPr>
      <w:r>
        <w:rPr>
          <w:rFonts w:ascii="Times New Roman" w:cs="Times New Roman" w:eastAsia="Times New Roman" w:hAnsi="Times New Roman"/>
          <w:sz w:val="17"/>
          <w:szCs w:val="17"/>
          <w:color w:val="auto"/>
        </w:rPr>
        <w:t>10.30</w:t>
      </w:r>
      <w:r>
        <w:rPr>
          <w:sz w:val="20"/>
          <w:szCs w:val="20"/>
          <w:color w:val="auto"/>
        </w:rPr>
        <w:tab/>
      </w:r>
      <w:hyperlink r:id="rId100">
        <w:r>
          <w:rPr>
            <w:rFonts w:ascii="Times New Roman" w:cs="Times New Roman" w:eastAsia="Times New Roman" w:hAnsi="Times New Roman"/>
            <w:sz w:val="17"/>
            <w:szCs w:val="17"/>
            <w:u w:val="single" w:color="auto"/>
            <w:color w:val="0000FF"/>
          </w:rPr>
          <w:t>Credit Agreement, dated as of April 29, 2024, by and among the Company, the lenders party hereto, and Royal Bank of Canada, as the</w:t>
        </w:r>
      </w:hyperlink>
      <w:r>
        <w:rPr>
          <w:rFonts w:ascii="Times New Roman" w:cs="Times New Roman" w:eastAsia="Times New Roman" w:hAnsi="Times New Roman"/>
          <w:sz w:val="17"/>
          <w:szCs w:val="17"/>
          <w:u w:val="single" w:color="auto"/>
          <w:color w:val="0000FF"/>
        </w:rPr>
        <w:t xml:space="preserve"> </w:t>
      </w:r>
      <w:hyperlink r:id="rId100">
        <w:r>
          <w:rPr>
            <w:rFonts w:ascii="Times New Roman" w:cs="Times New Roman" w:eastAsia="Times New Roman" w:hAnsi="Times New Roman"/>
            <w:sz w:val="17"/>
            <w:szCs w:val="17"/>
            <w:u w:val="single" w:color="auto"/>
            <w:color w:val="0000FF"/>
          </w:rPr>
          <w:t>Agent</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(incorporated herein by reference to Exhibit 10.31 to our Form 10-Q, filed on May 1, 2024)</w:t>
        </w:r>
      </w:hyperlink>
    </w:p>
    <w:p>
      <w:pPr>
        <w:spacing w:after="0" w:line="7" w:lineRule="exact"/>
        <w:rPr>
          <w:sz w:val="20"/>
          <w:szCs w:val="20"/>
          <w:color w:val="auto"/>
        </w:rPr>
      </w:pPr>
    </w:p>
    <w:p>
      <w:pPr>
        <w:ind w:left="120"/>
        <w:spacing w:after="0"/>
        <w:tabs>
          <w:tab w:leader="none" w:pos="8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19.1</w:t>
      </w:r>
      <w:r>
        <w:rPr>
          <w:sz w:val="20"/>
          <w:szCs w:val="20"/>
          <w:color w:val="auto"/>
        </w:rPr>
        <w:tab/>
      </w:r>
      <w:hyperlink r:id="rId101">
        <w:r>
          <w:rPr>
            <w:rFonts w:ascii="Times New Roman" w:cs="Times New Roman" w:eastAsia="Times New Roman" w:hAnsi="Times New Roman"/>
            <w:sz w:val="17"/>
            <w:szCs w:val="17"/>
            <w:u w:val="single" w:color="auto"/>
            <w:color w:val="0000FF"/>
          </w:rPr>
          <w:t xml:space="preserve">Insider Trading and Information Policy </w:t>
        </w:r>
      </w:hyperlink>
      <w:r>
        <w:rPr>
          <w:rFonts w:ascii="Times New Roman" w:cs="Times New Roman" w:eastAsia="Times New Roman" w:hAnsi="Times New Roman"/>
          <w:sz w:val="17"/>
          <w:szCs w:val="17"/>
          <w:color w:val="000000"/>
        </w:rPr>
        <w:t>(incorporated</w:t>
      </w:r>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herein by reference to Exhibit 19.1 to our Form 10-K, filed on February 12, 2026)</w:t>
      </w:r>
    </w:p>
    <w:p>
      <w:pPr>
        <w:spacing w:after="0" w:line="32" w:lineRule="exact"/>
        <w:rPr>
          <w:sz w:val="20"/>
          <w:szCs w:val="20"/>
          <w:color w:val="auto"/>
        </w:rPr>
      </w:pPr>
    </w:p>
    <w:p>
      <w:pPr>
        <w:ind w:left="120"/>
        <w:spacing w:after="0"/>
        <w:tabs>
          <w:tab w:leader="none" w:pos="8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21.1</w:t>
      </w:r>
      <w:r>
        <w:rPr>
          <w:sz w:val="20"/>
          <w:szCs w:val="20"/>
          <w:color w:val="auto"/>
        </w:rPr>
        <w:tab/>
      </w:r>
      <w:hyperlink r:id="rId102">
        <w:r>
          <w:rPr>
            <w:rFonts w:ascii="Times New Roman" w:cs="Times New Roman" w:eastAsia="Times New Roman" w:hAnsi="Times New Roman"/>
            <w:sz w:val="17"/>
            <w:szCs w:val="17"/>
            <w:u w:val="single" w:color="auto"/>
            <w:color w:val="0000FF"/>
          </w:rPr>
          <w:t xml:space="preserve">Subsidiaries of NMI Holdings, Inc. </w:t>
        </w:r>
      </w:hyperlink>
      <w:r>
        <w:rPr>
          <w:rFonts w:ascii="Times New Roman" w:cs="Times New Roman" w:eastAsia="Times New Roman" w:hAnsi="Times New Roman"/>
          <w:sz w:val="17"/>
          <w:szCs w:val="17"/>
          <w:color w:val="000000"/>
        </w:rPr>
        <w:t>(incorporated</w:t>
      </w:r>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herein by reference to Exhibit 21.1 to our Form 10-Q, filed on October 30, 2015)</w:t>
      </w:r>
    </w:p>
    <w:p>
      <w:pPr>
        <w:spacing w:after="0" w:line="27" w:lineRule="exact"/>
        <w:rPr>
          <w:sz w:val="20"/>
          <w:szCs w:val="20"/>
          <w:color w:val="auto"/>
        </w:rPr>
      </w:pPr>
    </w:p>
    <w:p>
      <w:pPr>
        <w:ind w:left="120"/>
        <w:spacing w:after="0"/>
        <w:tabs>
          <w:tab w:leader="none" w:pos="880" w:val="left"/>
        </w:tabs>
        <w:rPr>
          <w:sz w:val="20"/>
          <w:szCs w:val="20"/>
          <w:color w:val="auto"/>
        </w:rPr>
      </w:pPr>
      <w:r>
        <w:rPr>
          <w:rFonts w:ascii="Times New Roman" w:cs="Times New Roman" w:eastAsia="Times New Roman" w:hAnsi="Times New Roman"/>
          <w:sz w:val="17"/>
          <w:szCs w:val="17"/>
          <w:color w:val="auto"/>
        </w:rPr>
        <w:t>31.1</w:t>
      </w:r>
      <w:r>
        <w:rPr>
          <w:sz w:val="20"/>
          <w:szCs w:val="20"/>
          <w:color w:val="auto"/>
        </w:rPr>
        <w:tab/>
      </w:r>
      <w:r>
        <w:rPr>
          <w:rFonts w:ascii="Times New Roman" w:cs="Times New Roman" w:eastAsia="Times New Roman" w:hAnsi="Times New Roman"/>
          <w:sz w:val="17"/>
          <w:szCs w:val="17"/>
          <w:u w:val="single" w:color="auto"/>
          <w:color w:val="0000FF"/>
        </w:rPr>
        <w:t>Principal Executive Officer's Certification Pursuant to Section 302 of the Sarbanes-Oxley Act of 2002</w:t>
      </w:r>
    </w:p>
    <w:p>
      <w:pPr>
        <w:spacing w:after="0" w:line="27" w:lineRule="exact"/>
        <w:rPr>
          <w:sz w:val="20"/>
          <w:szCs w:val="20"/>
          <w:color w:val="auto"/>
        </w:rPr>
      </w:pPr>
    </w:p>
    <w:p>
      <w:pPr>
        <w:ind w:left="120"/>
        <w:spacing w:after="0"/>
        <w:tabs>
          <w:tab w:leader="none" w:pos="880" w:val="left"/>
        </w:tabs>
        <w:rPr>
          <w:sz w:val="20"/>
          <w:szCs w:val="20"/>
          <w:color w:val="auto"/>
        </w:rPr>
      </w:pPr>
      <w:r>
        <w:rPr>
          <w:rFonts w:ascii="Times New Roman" w:cs="Times New Roman" w:eastAsia="Times New Roman" w:hAnsi="Times New Roman"/>
          <w:sz w:val="17"/>
          <w:szCs w:val="17"/>
          <w:color w:val="auto"/>
        </w:rPr>
        <w:t>31.2</w:t>
      </w:r>
      <w:r>
        <w:rPr>
          <w:sz w:val="20"/>
          <w:szCs w:val="20"/>
          <w:color w:val="auto"/>
        </w:rPr>
        <w:tab/>
      </w:r>
      <w:r>
        <w:rPr>
          <w:rFonts w:ascii="Times New Roman" w:cs="Times New Roman" w:eastAsia="Times New Roman" w:hAnsi="Times New Roman"/>
          <w:sz w:val="17"/>
          <w:szCs w:val="17"/>
          <w:u w:val="single" w:color="auto"/>
          <w:color w:val="0000FF"/>
        </w:rPr>
        <w:t>Principal Financial Officer's Certification Pursuant to Section 302 of the Sarbanes-Oxley Act of 2002</w:t>
      </w:r>
    </w:p>
    <w:p>
      <w:pPr>
        <w:spacing w:after="0" w:line="27" w:lineRule="exact"/>
        <w:rPr>
          <w:sz w:val="20"/>
          <w:szCs w:val="20"/>
          <w:color w:val="auto"/>
        </w:rPr>
      </w:pPr>
    </w:p>
    <w:p>
      <w:pPr>
        <w:ind w:left="60"/>
        <w:spacing w:after="0"/>
        <w:tabs>
          <w:tab w:leader="none" w:pos="880" w:val="left"/>
        </w:tabs>
        <w:rPr>
          <w:sz w:val="20"/>
          <w:szCs w:val="20"/>
          <w:color w:val="auto"/>
        </w:rPr>
      </w:pPr>
      <w:r>
        <w:rPr>
          <w:rFonts w:ascii="Times New Roman" w:cs="Times New Roman" w:eastAsia="Times New Roman" w:hAnsi="Times New Roman"/>
          <w:sz w:val="17"/>
          <w:szCs w:val="17"/>
          <w:color w:val="auto"/>
        </w:rPr>
        <w:t>32.1 #</w:t>
      </w:r>
      <w:r>
        <w:rPr>
          <w:sz w:val="20"/>
          <w:szCs w:val="20"/>
          <w:color w:val="auto"/>
        </w:rPr>
        <w:tab/>
      </w:r>
      <w:r>
        <w:rPr>
          <w:rFonts w:ascii="Times New Roman" w:cs="Times New Roman" w:eastAsia="Times New Roman" w:hAnsi="Times New Roman"/>
          <w:sz w:val="17"/>
          <w:szCs w:val="17"/>
          <w:u w:val="single" w:color="auto"/>
          <w:color w:val="0000FF"/>
        </w:rPr>
        <w:t>Certifications of CEO and CFO Pursuant to 18 U.S.C. Section 1350, as Adopted Pursuant to Section 906 of the Sarbanes-Oxley Act of 2002</w:t>
      </w:r>
    </w:p>
    <w:p>
      <w:pPr>
        <w:spacing w:after="0" w:line="27" w:lineRule="exact"/>
        <w:rPr>
          <w:sz w:val="20"/>
          <w:szCs w:val="20"/>
          <w:color w:val="auto"/>
        </w:rPr>
      </w:pPr>
    </w:p>
    <w:p>
      <w:pPr>
        <w:ind w:left="900" w:right="140" w:hanging="776"/>
        <w:spacing w:after="0" w:line="241" w:lineRule="auto"/>
        <w:tabs>
          <w:tab w:leader="none" w:pos="8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97.1</w:t>
      </w:r>
      <w:r>
        <w:rPr>
          <w:sz w:val="20"/>
          <w:szCs w:val="20"/>
          <w:color w:val="auto"/>
        </w:rPr>
        <w:tab/>
      </w:r>
      <w:hyperlink r:id="rId103">
        <w:r>
          <w:rPr>
            <w:rFonts w:ascii="Times New Roman" w:cs="Times New Roman" w:eastAsia="Times New Roman" w:hAnsi="Times New Roman"/>
            <w:sz w:val="17"/>
            <w:szCs w:val="17"/>
            <w:u w:val="single" w:color="auto"/>
            <w:color w:val="0000FF"/>
          </w:rPr>
          <w:t xml:space="preserve">NMI Holdings, Inc. Compensation Recovery Policy, Effective September 13, 2023 </w:t>
        </w:r>
      </w:hyperlink>
      <w:r>
        <w:rPr>
          <w:rFonts w:ascii="Times New Roman" w:cs="Times New Roman" w:eastAsia="Times New Roman" w:hAnsi="Times New Roman"/>
          <w:sz w:val="17"/>
          <w:szCs w:val="17"/>
          <w:color w:val="000000"/>
        </w:rPr>
        <w:t>(incorporated</w:t>
      </w:r>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herein by reference to Exhibit 97.1 to our</w:t>
      </w:r>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Form 10-K, filed on February 15, 2024)</w:t>
      </w:r>
    </w:p>
    <w:p>
      <w:pPr>
        <w:spacing w:after="0" w:line="7" w:lineRule="exact"/>
        <w:rPr>
          <w:sz w:val="20"/>
          <w:szCs w:val="20"/>
          <w:color w:val="auto"/>
        </w:rPr>
      </w:pPr>
    </w:p>
    <w:p>
      <w:pPr>
        <w:ind w:left="900" w:right="500" w:hanging="763"/>
        <w:spacing w:after="0" w:line="247" w:lineRule="auto"/>
        <w:tabs>
          <w:tab w:leader="none" w:pos="9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financial information from NMI Holdings, Inc.'s Quarterly Report on Form 10-Q for the quarter ended March 31, 2026 (Unaudited) formatted in XBRL (eXtensible Business Reporting Language):</w:t>
      </w:r>
    </w:p>
    <w:p>
      <w:pPr>
        <w:spacing w:after="0" w:line="2" w:lineRule="exact"/>
        <w:rPr>
          <w:rFonts w:ascii="Times New Roman" w:cs="Times New Roman" w:eastAsia="Times New Roman" w:hAnsi="Times New Roman"/>
          <w:sz w:val="17"/>
          <w:szCs w:val="17"/>
          <w:color w:val="auto"/>
        </w:rPr>
      </w:pPr>
    </w:p>
    <w:p>
      <w:pPr>
        <w:ind w:left="1100" w:hanging="207"/>
        <w:spacing w:after="0"/>
        <w:tabs>
          <w:tab w:leader="none" w:pos="1100"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Condensed Consolidated Balance Sheets as of March 31, 2026 (Unaudited) and December 31, 2025;</w:t>
      </w:r>
    </w:p>
    <w:p>
      <w:pPr>
        <w:spacing w:after="0" w:line="31" w:lineRule="exact"/>
        <w:rPr>
          <w:rFonts w:ascii="Times New Roman" w:cs="Times New Roman" w:eastAsia="Times New Roman" w:hAnsi="Times New Roman"/>
          <w:sz w:val="17"/>
          <w:szCs w:val="17"/>
          <w:color w:val="auto"/>
        </w:rPr>
      </w:pPr>
    </w:p>
    <w:p>
      <w:pPr>
        <w:ind w:left="900" w:right="280" w:hanging="7"/>
        <w:spacing w:after="0" w:line="241" w:lineRule="auto"/>
        <w:tabs>
          <w:tab w:leader="none" w:pos="1156"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Condensed Consolidated Statements of Operations and Comprehensive Income for the three months ended March 31, 2026 and 2025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74295</wp:posOffset>
            </wp:positionV>
            <wp:extent cx="716216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0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720"/>
          </w:cols>
          <w:pgMar w:left="560" w:top="1023" w:right="619" w:bottom="1440" w:gutter="0" w:footer="0" w:header="0"/>
        </w:sectPr>
      </w:pPr>
    </w:p>
    <w:bookmarkStart w:id="54" w:name="page55"/>
    <w:bookmarkEnd w:id="54"/>
    <w:p>
      <w:pPr>
        <w:ind w:left="1007" w:right="700" w:hanging="7"/>
        <w:spacing w:after="0" w:line="247" w:lineRule="auto"/>
        <w:tabs>
          <w:tab w:leader="none" w:pos="1312"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Condensed Consolidated Statements of Changes in Shareholders' Equity for the three months ended March 31, 2026 and 2025 (Unaudited);</w:t>
      </w:r>
    </w:p>
    <w:p>
      <w:pPr>
        <w:spacing w:after="0" w:line="2" w:lineRule="exact"/>
        <w:rPr>
          <w:rFonts w:ascii="Times New Roman" w:cs="Times New Roman" w:eastAsia="Times New Roman" w:hAnsi="Times New Roman"/>
          <w:sz w:val="17"/>
          <w:szCs w:val="17"/>
          <w:color w:val="auto"/>
        </w:rPr>
      </w:pPr>
    </w:p>
    <w:p>
      <w:pPr>
        <w:ind w:left="1287" w:hanging="287"/>
        <w:spacing w:after="0"/>
        <w:tabs>
          <w:tab w:leader="none" w:pos="1287"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Condensed Consolidated Statements of Cash Flows for the three months ended March 31, 2026 and 2025 (Unaudited); and</w:t>
      </w:r>
    </w:p>
    <w:p>
      <w:pPr>
        <w:spacing w:after="0" w:line="31" w:lineRule="exact"/>
        <w:rPr>
          <w:rFonts w:ascii="Times New Roman" w:cs="Times New Roman" w:eastAsia="Times New Roman" w:hAnsi="Times New Roman"/>
          <w:sz w:val="17"/>
          <w:szCs w:val="17"/>
          <w:color w:val="auto"/>
        </w:rPr>
      </w:pPr>
    </w:p>
    <w:p>
      <w:pPr>
        <w:ind w:left="1007" w:right="60" w:hanging="7"/>
        <w:spacing w:after="0" w:line="241" w:lineRule="auto"/>
        <w:tabs>
          <w:tab w:leader="none" w:pos="1254"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Notes to Condensed Consolidated Financial Statements (Unaudited). The instance document does not appear in the Interactive Data File because XBRL tags are embedded within the Inline XBRL document.</w:t>
      </w:r>
    </w:p>
    <w:p>
      <w:pPr>
        <w:spacing w:after="0" w:line="7" w:lineRule="exact"/>
        <w:rPr>
          <w:sz w:val="20"/>
          <w:szCs w:val="20"/>
          <w:color w:val="auto"/>
        </w:rPr>
      </w:pPr>
    </w:p>
    <w:p>
      <w:pPr>
        <w:ind w:left="1007" w:hanging="763"/>
        <w:spacing w:after="0" w:line="247" w:lineRule="auto"/>
        <w:tabs>
          <w:tab w:leader="none" w:pos="1007"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cover page from NMI Holdings, Inc.'s Quarterly Report on Form 10-Q for the quarter ended March 31, 2026 (formatted as Inline XBRL and contained in Exhibit 101).</w:t>
      </w:r>
    </w:p>
    <w:p>
      <w:pPr>
        <w:spacing w:after="0" w:line="281" w:lineRule="exact"/>
        <w:rPr>
          <w:rFonts w:ascii="Times New Roman" w:cs="Times New Roman" w:eastAsia="Times New Roman" w:hAnsi="Times New Roman"/>
          <w:sz w:val="17"/>
          <w:szCs w:val="17"/>
          <w:color w:val="auto"/>
        </w:rPr>
      </w:pPr>
    </w:p>
    <w:p>
      <w:pPr>
        <w:ind w:left="7"/>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  Filed herewith</w:t>
      </w:r>
    </w:p>
    <w:p>
      <w:pPr>
        <w:spacing w:after="0" w:line="25" w:lineRule="exact"/>
        <w:rPr>
          <w:sz w:val="20"/>
          <w:szCs w:val="20"/>
          <w:color w:val="auto"/>
        </w:rPr>
      </w:pPr>
    </w:p>
    <w:p>
      <w:pPr>
        <w:ind w:left="267" w:hanging="267"/>
        <w:spacing w:after="0"/>
        <w:tabs>
          <w:tab w:leader="none" w:pos="267"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Indicates a management contract or compensatory plan or contract.</w:t>
      </w:r>
    </w:p>
    <w:p>
      <w:pPr>
        <w:spacing w:after="0" w:line="25" w:lineRule="exact"/>
        <w:rPr>
          <w:sz w:val="20"/>
          <w:szCs w:val="20"/>
          <w:color w:val="auto"/>
        </w:rPr>
      </w:pPr>
    </w:p>
    <w:p>
      <w:pPr>
        <w:ind w:left="267" w:hanging="267"/>
        <w:spacing w:after="0"/>
        <w:tabs>
          <w:tab w:leader="none" w:pos="267"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Confidential treatment granted as to certain portions, which portions have been filed separately with the SEC.</w:t>
      </w:r>
    </w:p>
    <w:p>
      <w:pPr>
        <w:spacing w:after="0" w:line="25" w:lineRule="exact"/>
        <w:rPr>
          <w:sz w:val="20"/>
          <w:szCs w:val="20"/>
          <w:color w:val="auto"/>
        </w:rPr>
      </w:pPr>
    </w:p>
    <w:p>
      <w:pPr>
        <w:ind w:left="267" w:right="60" w:hanging="267"/>
        <w:spacing w:after="0" w:line="224" w:lineRule="auto"/>
        <w:tabs>
          <w:tab w:leader="none" w:pos="267"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accordance with Item 601(b)(32)(ii) of Regulation S-K and SEC Release No. 34-47986, the certifications furnished in Exhibit 32.1 hereto are deemed to accompany this Form 10-Q and will not be deemed "filed" for purposes of Section 18 of the Exchange Act or deemed to be incorporated by reference into any filing under the Exchange Act or the Securities Act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66"/>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-93345</wp:posOffset>
            </wp:positionH>
            <wp:positionV relativeFrom="paragraph">
              <wp:posOffset>74295</wp:posOffset>
            </wp:positionV>
            <wp:extent cx="716216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0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807"/>
          </w:cols>
          <w:pgMar w:left="453" w:top="1023" w:right="63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64" w:lineRule="exact"/>
        <w:rPr>
          <w:sz w:val="20"/>
          <w:szCs w:val="20"/>
          <w:color w:val="auto"/>
        </w:rPr>
      </w:pPr>
    </w:p>
    <w:p>
      <w:pPr>
        <w:ind w:firstLine="627"/>
        <w:spacing w:after="0" w:line="295"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24"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7"/>
          <w:szCs w:val="17"/>
          <w:b w:val="1"/>
          <w:bCs w:val="1"/>
          <w:color w:val="auto"/>
        </w:rPr>
        <w:t>NMI HOLDINGS, INC.</w:t>
      </w:r>
    </w:p>
    <w:p>
      <w:pPr>
        <w:spacing w:after="0" w:line="3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Date: April 30, 2026</w:t>
      </w:r>
    </w:p>
    <w:p>
      <w:pPr>
        <w:spacing w:after="0" w:line="270"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7"/>
          <w:szCs w:val="17"/>
          <w:color w:val="auto"/>
        </w:rPr>
        <w:t>By: /s/ Aurora Swithenbank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3138805</wp:posOffset>
            </wp:positionH>
            <wp:positionV relativeFrom="paragraph">
              <wp:posOffset>-3810</wp:posOffset>
            </wp:positionV>
            <wp:extent cx="15208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06">
                      <a:extLst>
                        <a:ext uri="{28A0092B-C50C-407E-A947-70E740481C1C}"/>
                      </a:extLst>
                    </a:blip>
                    <a:srcRect/>
                    <a:stretch>
                      <a:fillRect/>
                    </a:stretch>
                  </pic:blipFill>
                  <pic:spPr bwMode="auto">
                    <a:xfrm>
                      <a:off x="0" y="0"/>
                      <a:ext cx="1520825" cy="8255"/>
                    </a:xfrm>
                    <a:prstGeom prst="rect">
                      <a:avLst/>
                    </a:prstGeom>
                    <a:noFill/>
                  </pic:spPr>
                </pic:pic>
              </a:graphicData>
            </a:graphic>
          </wp:anchor>
        </w:drawing>
      </w:r>
    </w:p>
    <w:p>
      <w:pPr>
        <w:spacing w:after="0" w:line="46"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7"/>
          <w:szCs w:val="17"/>
          <w:color w:val="auto"/>
        </w:rPr>
        <w:t>Name: Aurora Swithenbank</w:t>
      </w:r>
    </w:p>
    <w:p>
      <w:pPr>
        <w:spacing w:after="0" w:line="3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7"/>
          <w:szCs w:val="17"/>
          <w:color w:val="auto"/>
        </w:rPr>
        <w:t>Title: Chief Financial Officer and Duly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56</w:t>
      </w:r>
    </w:p>
    <w:p>
      <w:pPr>
        <w:sectPr>
          <w:pgSz w:w="11900" w:h="16838" w:orient="portrait"/>
          <w:cols w:equalWidth="0" w:num="1">
            <w:col w:w="11240"/>
          </w:cols>
          <w:pgMar w:left="320" w:top="1034" w:right="3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PRINCIPAL EXECUTIVE OFFICER’S CERTIFICATION PURSUANT TO</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302 OF THE SARBANES-OXLEY ACT OF 2002</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Adam S. Pollitzer, certify that:</w:t>
      </w:r>
    </w:p>
    <w:p>
      <w:pPr>
        <w:spacing w:after="0" w:line="118" w:lineRule="exact"/>
        <w:rPr>
          <w:sz w:val="20"/>
          <w:szCs w:val="20"/>
          <w:color w:val="auto"/>
        </w:rPr>
      </w:pPr>
    </w:p>
    <w:p>
      <w:pPr>
        <w:ind w:left="320" w:hanging="315"/>
        <w:spacing w:after="0"/>
        <w:tabs>
          <w:tab w:leader="none" w:pos="3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NMI Holdings, Inc.;</w:t>
      </w:r>
    </w:p>
    <w:p>
      <w:pPr>
        <w:spacing w:after="0" w:line="170" w:lineRule="exact"/>
        <w:rPr>
          <w:rFonts w:ascii="Times New Roman" w:cs="Times New Roman" w:eastAsia="Times New Roman" w:hAnsi="Times New Roman"/>
          <w:sz w:val="17"/>
          <w:szCs w:val="17"/>
          <w:color w:val="auto"/>
        </w:rPr>
      </w:pPr>
    </w:p>
    <w:p>
      <w:pPr>
        <w:ind w:left="320" w:hanging="315"/>
        <w:spacing w:after="0" w:line="295" w:lineRule="auto"/>
        <w:tabs>
          <w:tab w:leader="none" w:pos="3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Times New Roman" w:cs="Times New Roman" w:eastAsia="Times New Roman" w:hAnsi="Times New Roman"/>
          <w:sz w:val="17"/>
          <w:szCs w:val="17"/>
          <w:color w:val="auto"/>
        </w:rPr>
      </w:pPr>
    </w:p>
    <w:p>
      <w:pPr>
        <w:ind w:left="320" w:hanging="315"/>
        <w:spacing w:after="0" w:line="295" w:lineRule="auto"/>
        <w:tabs>
          <w:tab w:leader="none" w:pos="3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Times New Roman" w:cs="Times New Roman" w:eastAsia="Times New Roman" w:hAnsi="Times New Roman"/>
          <w:sz w:val="17"/>
          <w:szCs w:val="17"/>
          <w:color w:val="auto"/>
        </w:rPr>
      </w:pPr>
    </w:p>
    <w:p>
      <w:pPr>
        <w:jc w:val="both"/>
        <w:ind w:left="320" w:hanging="315"/>
        <w:spacing w:after="0" w:line="276" w:lineRule="auto"/>
        <w:tabs>
          <w:tab w:leader="none" w:pos="3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9" w:lineRule="exact"/>
        <w:rPr>
          <w:rFonts w:ascii="Times New Roman" w:cs="Times New Roman" w:eastAsia="Times New Roman" w:hAnsi="Times New Roman"/>
          <w:sz w:val="17"/>
          <w:szCs w:val="17"/>
          <w:color w:val="auto"/>
        </w:rPr>
      </w:pPr>
    </w:p>
    <w:p>
      <w:pPr>
        <w:jc w:val="both"/>
        <w:ind w:left="940" w:hanging="308"/>
        <w:spacing w:after="0" w:line="276" w:lineRule="auto"/>
        <w:tabs>
          <w:tab w:leader="none" w:pos="932"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9" w:lineRule="exact"/>
        <w:rPr>
          <w:rFonts w:ascii="Times New Roman" w:cs="Times New Roman" w:eastAsia="Times New Roman" w:hAnsi="Times New Roman"/>
          <w:sz w:val="17"/>
          <w:szCs w:val="17"/>
          <w:color w:val="auto"/>
        </w:rPr>
      </w:pPr>
    </w:p>
    <w:p>
      <w:pPr>
        <w:jc w:val="both"/>
        <w:ind w:left="940" w:hanging="308"/>
        <w:spacing w:after="0" w:line="276" w:lineRule="auto"/>
        <w:tabs>
          <w:tab w:leader="none" w:pos="928"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9" w:lineRule="exact"/>
        <w:rPr>
          <w:rFonts w:ascii="Times New Roman" w:cs="Times New Roman" w:eastAsia="Times New Roman" w:hAnsi="Times New Roman"/>
          <w:sz w:val="17"/>
          <w:szCs w:val="17"/>
          <w:color w:val="auto"/>
        </w:rPr>
      </w:pPr>
    </w:p>
    <w:p>
      <w:pPr>
        <w:ind w:left="940" w:hanging="308"/>
        <w:spacing w:after="0" w:line="295" w:lineRule="auto"/>
        <w:tabs>
          <w:tab w:leader="none" w:pos="932"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4" w:lineRule="exact"/>
        <w:rPr>
          <w:rFonts w:ascii="Times New Roman" w:cs="Times New Roman" w:eastAsia="Times New Roman" w:hAnsi="Times New Roman"/>
          <w:sz w:val="17"/>
          <w:szCs w:val="17"/>
          <w:color w:val="auto"/>
        </w:rPr>
      </w:pPr>
    </w:p>
    <w:p>
      <w:pPr>
        <w:jc w:val="both"/>
        <w:ind w:left="940" w:hanging="308"/>
        <w:spacing w:after="0" w:line="276" w:lineRule="auto"/>
        <w:tabs>
          <w:tab w:leader="none" w:pos="928"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9" w:lineRule="exact"/>
        <w:rPr>
          <w:rFonts w:ascii="Times New Roman" w:cs="Times New Roman" w:eastAsia="Times New Roman" w:hAnsi="Times New Roman"/>
          <w:sz w:val="17"/>
          <w:szCs w:val="17"/>
          <w:color w:val="auto"/>
        </w:rPr>
      </w:pPr>
    </w:p>
    <w:p>
      <w:pPr>
        <w:ind w:left="320" w:hanging="315"/>
        <w:spacing w:after="0" w:line="295" w:lineRule="auto"/>
        <w:tabs>
          <w:tab w:leader="none" w:pos="3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Times New Roman" w:cs="Times New Roman" w:eastAsia="Times New Roman" w:hAnsi="Times New Roman"/>
          <w:sz w:val="17"/>
          <w:szCs w:val="17"/>
          <w:color w:val="auto"/>
        </w:rPr>
      </w:pPr>
    </w:p>
    <w:p>
      <w:pPr>
        <w:ind w:left="940" w:hanging="308"/>
        <w:spacing w:after="0" w:line="295" w:lineRule="auto"/>
        <w:tabs>
          <w:tab w:leader="none" w:pos="932"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7"/>
          <w:szCs w:val="17"/>
          <w:color w:val="auto"/>
        </w:rPr>
      </w:pPr>
    </w:p>
    <w:p>
      <w:pPr>
        <w:ind w:left="940" w:right="280" w:hanging="308"/>
        <w:spacing w:after="0" w:line="295" w:lineRule="auto"/>
        <w:tabs>
          <w:tab w:leader="none" w:pos="928"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26" w:lineRule="exact"/>
        <w:rPr>
          <w:sz w:val="20"/>
          <w:szCs w:val="20"/>
          <w:color w:val="auto"/>
        </w:rPr>
      </w:pPr>
    </w:p>
    <w:tbl>
      <w:tblPr>
        <w:tblLayout w:type="fixed"/>
        <w:tblInd w:w="800" w:type="dxa"/>
        <w:tblCellMar>
          <w:top w:w="0" w:type="dxa"/>
          <w:left w:w="0" w:type="dxa"/>
          <w:bottom w:w="0" w:type="dxa"/>
          <w:right w:w="0" w:type="dxa"/>
        </w:tblCellMar>
      </w:tblPr>
      <w:tr>
        <w:trPr>
          <w:trHeight w:val="195"/>
        </w:trPr>
        <w:tc>
          <w:tcPr>
            <w:tcW w:w="5500" w:type="dxa"/>
            <w:vAlign w:val="bottom"/>
          </w:tcPr>
          <w:p>
            <w:pPr>
              <w:spacing w:after="0"/>
              <w:rPr>
                <w:sz w:val="20"/>
                <w:szCs w:val="20"/>
                <w:color w:val="auto"/>
              </w:rPr>
            </w:pPr>
            <w:r>
              <w:rPr>
                <w:rFonts w:ascii="Times New Roman" w:cs="Times New Roman" w:eastAsia="Times New Roman" w:hAnsi="Times New Roman"/>
                <w:sz w:val="17"/>
                <w:szCs w:val="17"/>
                <w:color w:val="auto"/>
              </w:rPr>
              <w:t>April 30, 2026</w:t>
            </w:r>
          </w:p>
        </w:tc>
        <w:tc>
          <w:tcPr>
            <w:tcW w:w="2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 Adam S. Pollitzer</w:t>
            </w:r>
          </w:p>
        </w:tc>
      </w:tr>
      <w:tr>
        <w:trPr>
          <w:trHeight w:val="236"/>
        </w:trPr>
        <w:tc>
          <w:tcPr>
            <w:tcW w:w="5500" w:type="dxa"/>
            <w:vAlign w:val="bottom"/>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Adam S. Pollitzer</w:t>
            </w:r>
          </w:p>
        </w:tc>
        <w:tc>
          <w:tcPr>
            <w:tcW w:w="580" w:type="dxa"/>
            <w:vAlign w:val="bottom"/>
          </w:tcPr>
          <w:p>
            <w:pPr>
              <w:spacing w:after="0"/>
              <w:rPr>
                <w:sz w:val="20"/>
                <w:szCs w:val="20"/>
                <w:color w:val="auto"/>
              </w:rPr>
            </w:pPr>
          </w:p>
        </w:tc>
      </w:tr>
      <w:tr>
        <w:trPr>
          <w:trHeight w:val="222"/>
        </w:trPr>
        <w:tc>
          <w:tcPr>
            <w:tcW w:w="5500" w:type="dxa"/>
            <w:vAlign w:val="bottom"/>
          </w:tcPr>
          <w:p>
            <w:pPr>
              <w:spacing w:after="0"/>
              <w:rPr>
                <w:sz w:val="19"/>
                <w:szCs w:val="19"/>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Chief Executive Officer</w:t>
            </w:r>
          </w:p>
        </w:tc>
      </w:tr>
      <w:tr>
        <w:trPr>
          <w:trHeight w:val="227"/>
        </w:trPr>
        <w:tc>
          <w:tcPr>
            <w:tcW w:w="5500" w:type="dxa"/>
            <w:vAlign w:val="bottom"/>
          </w:tcPr>
          <w:p>
            <w:pPr>
              <w:spacing w:after="0"/>
              <w:rPr>
                <w:sz w:val="19"/>
                <w:szCs w:val="19"/>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(Principal Executive Officer)</w:t>
            </w:r>
          </w:p>
        </w:tc>
      </w:tr>
    </w:tbl>
    <w:p>
      <w:pPr>
        <w:sectPr>
          <w:pgSz w:w="11900" w:h="16838" w:orient="portrait"/>
          <w:cols w:equalWidth="0" w:num="1">
            <w:col w:w="11240"/>
          </w:cols>
          <w:pgMar w:left="320" w:top="171" w:right="3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PRINCIPAL FINANCIAL OFFICER’S CERTIFICATION PURSUANT TO</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302 OF THE SARBANES-OXLEY ACT OF 2002</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Aurora Swithenbank, certify that:</w:t>
      </w:r>
    </w:p>
    <w:p>
      <w:pPr>
        <w:spacing w:after="0" w:line="170" w:lineRule="exact"/>
        <w:rPr>
          <w:sz w:val="20"/>
          <w:szCs w:val="20"/>
          <w:color w:val="auto"/>
        </w:rPr>
      </w:pPr>
    </w:p>
    <w:p>
      <w:pPr>
        <w:ind w:left="320" w:hanging="315"/>
        <w:spacing w:after="0"/>
        <w:tabs>
          <w:tab w:leader="none" w:pos="3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NMI Holdings, Inc.;</w:t>
      </w:r>
    </w:p>
    <w:p>
      <w:pPr>
        <w:spacing w:after="0" w:line="170" w:lineRule="exact"/>
        <w:rPr>
          <w:rFonts w:ascii="Times New Roman" w:cs="Times New Roman" w:eastAsia="Times New Roman" w:hAnsi="Times New Roman"/>
          <w:sz w:val="17"/>
          <w:szCs w:val="17"/>
          <w:color w:val="auto"/>
        </w:rPr>
      </w:pPr>
    </w:p>
    <w:p>
      <w:pPr>
        <w:ind w:left="320" w:hanging="315"/>
        <w:spacing w:after="0" w:line="295" w:lineRule="auto"/>
        <w:tabs>
          <w:tab w:leader="none" w:pos="3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Times New Roman" w:cs="Times New Roman" w:eastAsia="Times New Roman" w:hAnsi="Times New Roman"/>
          <w:sz w:val="17"/>
          <w:szCs w:val="17"/>
          <w:color w:val="auto"/>
        </w:rPr>
      </w:pPr>
    </w:p>
    <w:p>
      <w:pPr>
        <w:ind w:left="320" w:hanging="315"/>
        <w:spacing w:after="0" w:line="295" w:lineRule="auto"/>
        <w:tabs>
          <w:tab w:leader="none" w:pos="3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Times New Roman" w:cs="Times New Roman" w:eastAsia="Times New Roman" w:hAnsi="Times New Roman"/>
          <w:sz w:val="17"/>
          <w:szCs w:val="17"/>
          <w:color w:val="auto"/>
        </w:rPr>
      </w:pPr>
    </w:p>
    <w:p>
      <w:pPr>
        <w:ind w:left="320" w:hanging="315"/>
        <w:spacing w:after="0" w:line="295" w:lineRule="auto"/>
        <w:tabs>
          <w:tab w:leader="none" w:pos="3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for the registrant and have:</w:t>
      </w:r>
    </w:p>
    <w:p>
      <w:pPr>
        <w:spacing w:after="0" w:line="94" w:lineRule="exact"/>
        <w:rPr>
          <w:rFonts w:ascii="Times New Roman" w:cs="Times New Roman" w:eastAsia="Times New Roman" w:hAnsi="Times New Roman"/>
          <w:sz w:val="17"/>
          <w:szCs w:val="17"/>
          <w:color w:val="auto"/>
        </w:rPr>
      </w:pPr>
    </w:p>
    <w:p>
      <w:pPr>
        <w:jc w:val="both"/>
        <w:ind w:left="780" w:hanging="305"/>
        <w:spacing w:after="0" w:line="276" w:lineRule="auto"/>
        <w:tabs>
          <w:tab w:leader="none" w:pos="770"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9" w:lineRule="exact"/>
        <w:rPr>
          <w:rFonts w:ascii="Times New Roman" w:cs="Times New Roman" w:eastAsia="Times New Roman" w:hAnsi="Times New Roman"/>
          <w:sz w:val="17"/>
          <w:szCs w:val="17"/>
          <w:color w:val="auto"/>
        </w:rPr>
      </w:pPr>
    </w:p>
    <w:p>
      <w:pPr>
        <w:jc w:val="both"/>
        <w:ind w:left="780" w:hanging="305"/>
        <w:spacing w:after="0" w:line="276" w:lineRule="auto"/>
        <w:tabs>
          <w:tab w:leader="none" w:pos="780"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9" w:lineRule="exact"/>
        <w:rPr>
          <w:rFonts w:ascii="Times New Roman" w:cs="Times New Roman" w:eastAsia="Times New Roman" w:hAnsi="Times New Roman"/>
          <w:sz w:val="17"/>
          <w:szCs w:val="17"/>
          <w:color w:val="auto"/>
        </w:rPr>
      </w:pPr>
    </w:p>
    <w:p>
      <w:pPr>
        <w:ind w:left="780" w:hanging="305"/>
        <w:spacing w:after="0" w:line="295" w:lineRule="auto"/>
        <w:tabs>
          <w:tab w:leader="none" w:pos="770"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4" w:lineRule="exact"/>
        <w:rPr>
          <w:rFonts w:ascii="Times New Roman" w:cs="Times New Roman" w:eastAsia="Times New Roman" w:hAnsi="Times New Roman"/>
          <w:sz w:val="17"/>
          <w:szCs w:val="17"/>
          <w:color w:val="auto"/>
        </w:rPr>
      </w:pPr>
    </w:p>
    <w:p>
      <w:pPr>
        <w:jc w:val="both"/>
        <w:ind w:left="780" w:hanging="305"/>
        <w:spacing w:after="0" w:line="276" w:lineRule="auto"/>
        <w:tabs>
          <w:tab w:leader="none" w:pos="780"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9" w:lineRule="exact"/>
        <w:rPr>
          <w:rFonts w:ascii="Times New Roman" w:cs="Times New Roman" w:eastAsia="Times New Roman" w:hAnsi="Times New Roman"/>
          <w:sz w:val="17"/>
          <w:szCs w:val="17"/>
          <w:color w:val="auto"/>
        </w:rPr>
      </w:pPr>
    </w:p>
    <w:p>
      <w:pPr>
        <w:ind w:left="320" w:hanging="315"/>
        <w:spacing w:after="0" w:line="295" w:lineRule="auto"/>
        <w:tabs>
          <w:tab w:leader="none" w:pos="3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Times New Roman" w:cs="Times New Roman" w:eastAsia="Times New Roman" w:hAnsi="Times New Roman"/>
          <w:sz w:val="17"/>
          <w:szCs w:val="17"/>
          <w:color w:val="auto"/>
        </w:rPr>
      </w:pPr>
    </w:p>
    <w:p>
      <w:pPr>
        <w:ind w:left="780" w:hanging="305"/>
        <w:spacing w:after="0" w:line="295" w:lineRule="auto"/>
        <w:tabs>
          <w:tab w:leader="none" w:pos="770"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7"/>
          <w:szCs w:val="17"/>
          <w:color w:val="auto"/>
        </w:rPr>
      </w:pPr>
    </w:p>
    <w:p>
      <w:pPr>
        <w:ind w:left="780" w:hanging="305"/>
        <w:spacing w:after="0" w:line="295" w:lineRule="auto"/>
        <w:tabs>
          <w:tab w:leader="none" w:pos="780"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26"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5640" w:type="dxa"/>
            <w:vAlign w:val="bottom"/>
          </w:tcPr>
          <w:p>
            <w:pPr>
              <w:spacing w:after="0"/>
              <w:rPr>
                <w:sz w:val="20"/>
                <w:szCs w:val="20"/>
                <w:color w:val="auto"/>
              </w:rPr>
            </w:pPr>
            <w:r>
              <w:rPr>
                <w:rFonts w:ascii="Times New Roman" w:cs="Times New Roman" w:eastAsia="Times New Roman" w:hAnsi="Times New Roman"/>
                <w:sz w:val="17"/>
                <w:szCs w:val="17"/>
                <w:color w:val="auto"/>
              </w:rPr>
              <w:t>April 30, 2026</w:t>
            </w:r>
          </w:p>
        </w:tc>
        <w:tc>
          <w:tcPr>
            <w:tcW w:w="1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 Aurora Swithenbank</w:t>
            </w:r>
          </w:p>
        </w:tc>
      </w:tr>
      <w:tr>
        <w:trPr>
          <w:trHeight w:val="236"/>
        </w:trPr>
        <w:tc>
          <w:tcPr>
            <w:tcW w:w="5640" w:type="dxa"/>
            <w:vAlign w:val="bottom"/>
          </w:tcPr>
          <w:p>
            <w:pPr>
              <w:spacing w:after="0"/>
              <w:rPr>
                <w:sz w:val="20"/>
                <w:szCs w:val="20"/>
                <w:color w:val="auto"/>
              </w:rPr>
            </w:pPr>
          </w:p>
        </w:tc>
        <w:tc>
          <w:tcPr>
            <w:tcW w:w="16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Aurora Swithenbank</w:t>
            </w:r>
          </w:p>
        </w:tc>
        <w:tc>
          <w:tcPr>
            <w:tcW w:w="320" w:type="dxa"/>
            <w:vAlign w:val="bottom"/>
          </w:tcPr>
          <w:p>
            <w:pPr>
              <w:spacing w:after="0"/>
              <w:rPr>
                <w:sz w:val="20"/>
                <w:szCs w:val="20"/>
                <w:color w:val="auto"/>
              </w:rPr>
            </w:pPr>
          </w:p>
        </w:tc>
      </w:tr>
      <w:tr>
        <w:trPr>
          <w:trHeight w:val="222"/>
        </w:trPr>
        <w:tc>
          <w:tcPr>
            <w:tcW w:w="5640" w:type="dxa"/>
            <w:vAlign w:val="bottom"/>
          </w:tcPr>
          <w:p>
            <w:pPr>
              <w:spacing w:after="0"/>
              <w:rPr>
                <w:sz w:val="19"/>
                <w:szCs w:val="19"/>
                <w:color w:val="auto"/>
              </w:rPr>
            </w:pPr>
          </w:p>
        </w:tc>
        <w:tc>
          <w:tcPr>
            <w:tcW w:w="1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Chief Financial Officer</w:t>
            </w:r>
          </w:p>
        </w:tc>
      </w:tr>
      <w:tr>
        <w:trPr>
          <w:trHeight w:val="227"/>
        </w:trPr>
        <w:tc>
          <w:tcPr>
            <w:tcW w:w="5640" w:type="dxa"/>
            <w:vAlign w:val="bottom"/>
          </w:tcPr>
          <w:p>
            <w:pPr>
              <w:spacing w:after="0"/>
              <w:rPr>
                <w:sz w:val="19"/>
                <w:szCs w:val="19"/>
                <w:color w:val="auto"/>
              </w:rPr>
            </w:pPr>
          </w:p>
        </w:tc>
        <w:tc>
          <w:tcPr>
            <w:tcW w:w="1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(Principal Financial Officer)</w:t>
            </w:r>
          </w:p>
        </w:tc>
      </w:tr>
    </w:tbl>
    <w:p>
      <w:pPr>
        <w:sectPr>
          <w:pgSz w:w="11900" w:h="16838" w:orient="portrait"/>
          <w:cols w:equalWidth="0" w:num="1">
            <w:col w:w="11240"/>
          </w:cols>
          <w:pgMar w:left="320" w:top="171" w:right="3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CEO AND CFO PURSUANT TO</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395"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In connection with the Quarterly Report of NMI Holdings, Inc. (the "Company") on Form 10-Q for the quarter ended March 31, 2026, as filed with the Securities and Exchange Commission on the date hereof (the "Report"), each of the undersigned officers of the Company certifies pursuant to 18 U.S.C. Section 1350, as adopted pursuant to Section 906 of the Sarbanes-Oxley Act of 2002, that, to the best of such officer's knowledge: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April 30, 2026</w:t>
      </w:r>
    </w:p>
    <w:p>
      <w:pPr>
        <w:spacing w:after="0" w:line="23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7"/>
          <w:szCs w:val="17"/>
          <w:color w:val="auto"/>
        </w:rPr>
        <w:t>/s/ Adam S. Pollitzer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3557270</wp:posOffset>
            </wp:positionH>
            <wp:positionV relativeFrom="paragraph">
              <wp:posOffset>-3810</wp:posOffset>
            </wp:positionV>
            <wp:extent cx="128079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07">
                      <a:extLst>
                        <a:ext uri="{28A0092B-C50C-407E-A947-70E740481C1C}"/>
                      </a:extLst>
                    </a:blip>
                    <a:srcRect/>
                    <a:stretch>
                      <a:fillRect/>
                    </a:stretch>
                  </pic:blipFill>
                  <pic:spPr bwMode="auto">
                    <a:xfrm>
                      <a:off x="0" y="0"/>
                      <a:ext cx="1280795" cy="8255"/>
                    </a:xfrm>
                    <a:prstGeom prst="rect">
                      <a:avLst/>
                    </a:prstGeom>
                    <a:noFill/>
                  </pic:spPr>
                </pic:pic>
              </a:graphicData>
            </a:graphic>
          </wp:anchor>
        </w:drawing>
      </w:r>
    </w:p>
    <w:p>
      <w:pPr>
        <w:spacing w:after="0" w:line="1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7"/>
          <w:szCs w:val="17"/>
          <w:color w:val="auto"/>
        </w:rPr>
        <w:t>Adam S. Pollitzer</w:t>
      </w:r>
    </w:p>
    <w:p>
      <w:pPr>
        <w:spacing w:after="0" w:line="2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7"/>
          <w:szCs w:val="17"/>
          <w:color w:val="auto"/>
        </w:rPr>
        <w:t>Chief Executive Officer</w:t>
      </w:r>
    </w:p>
    <w:p>
      <w:pPr>
        <w:spacing w:after="0" w:line="2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7"/>
          <w:szCs w:val="17"/>
          <w:color w:val="auto"/>
        </w:rPr>
        <w:t>(Principal Executive Officer)</w:t>
      </w:r>
    </w:p>
    <w:p>
      <w:pPr>
        <w:spacing w:after="0" w:line="2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April 30, 2026</w:t>
      </w:r>
    </w:p>
    <w:p>
      <w:pPr>
        <w:spacing w:after="0" w:line="2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u w:val="single" w:color="auto"/>
          <w:color w:val="auto"/>
        </w:rPr>
        <w:t>/s/ Aurora Swithenbank</w:t>
      </w:r>
    </w:p>
    <w:p>
      <w:pPr>
        <w:spacing w:after="0" w:line="3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Aurora Swithenbank</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(Principal Financial Officer)</w:t>
      </w:r>
    </w:p>
    <w:p>
      <w:pPr>
        <w:spacing w:after="0" w:line="257"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A signed original of this written statement required by Section 906, or other document authenticating, acknowledging, or otherwise adopting the signatures that appear in typed form within the electronic version of this written statement required by Section 906, has been provided to NMI Holdings, Inc. and will be retained by NMI Holdings, Inc. and furnished to the Securities and Exchange Commission or its staff upon request.</w:t>
      </w:r>
    </w:p>
    <w:sectPr>
      <w:pgSz w:w="11900" w:h="16838" w:orient="portrait"/>
      <w:cols w:equalWidth="0" w:num="1">
        <w:col w:w="11240"/>
      </w:cols>
      <w:pgMar w:left="320" w:top="17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1)"/>
      <w:numFmt w:val="decimal"/>
      <w:start w:val="1"/>
    </w:lvl>
  </w:abstractNum>
  <w:abstractNum w:abstractNumId="5">
    <w:nsid w:val="431BD7B7"/>
    <w:multiLevelType w:val="hybridMultilevel"/>
    <w:lvl w:ilvl="0">
      <w:lvlJc w:val="left"/>
      <w:lvlText w:val="(%1)"/>
      <w:numFmt w:val="decimal"/>
      <w:start w:val="1"/>
    </w:lvl>
  </w:abstractNum>
  <w:abstractNum w:abstractNumId="6">
    <w:nsid w:val="3F2DBA31"/>
    <w:multiLevelType w:val="hybridMultilevel"/>
    <w:lvl w:ilvl="0">
      <w:lvlJc w:val="left"/>
      <w:lvlText w:val="(%1)"/>
      <w:numFmt w:val="decimal"/>
      <w:start w:val="1"/>
    </w:lvl>
  </w:abstractNum>
  <w:abstractNum w:abstractNumId="7">
    <w:nsid w:val="7C83E458"/>
    <w:multiLevelType w:val="hybridMultilevel"/>
    <w:lvl w:ilvl="0">
      <w:lvlJc w:val="left"/>
      <w:lvlText w:val="(%1)"/>
      <w:numFmt w:val="decimal"/>
      <w:start w:val="1"/>
    </w:lvl>
  </w:abstractNum>
  <w:abstractNum w:abstractNumId="8">
    <w:nsid w:val="257130A3"/>
    <w:multiLevelType w:val="hybridMultilevel"/>
    <w:lvl w:ilvl="0">
      <w:lvlJc w:val="left"/>
      <w:lvlText w:val="(%1)"/>
      <w:numFmt w:val="decimal"/>
      <w:start w:val="1"/>
    </w:lvl>
  </w:abstractNum>
  <w:abstractNum w:abstractNumId="9">
    <w:nsid w:val="62BBD95A"/>
    <w:multiLevelType w:val="hybridMultilevel"/>
    <w:lvl w:ilvl="0">
      <w:lvlJc w:val="left"/>
      <w:lvlText w:val="(%1)"/>
      <w:numFmt w:val="decimal"/>
      <w:start w:val="3"/>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1)"/>
      <w:numFmt w:val="decimal"/>
      <w:start w:val="1"/>
    </w:lvl>
  </w:abstractNum>
  <w:abstractNum w:abstractNumId="12">
    <w:nsid w:val="333AB105"/>
    <w:multiLevelType w:val="hybridMultilevel"/>
    <w:lvl w:ilvl="0">
      <w:lvlJc w:val="left"/>
      <w:lvlText w:val="(%1)"/>
      <w:numFmt w:val="decimal"/>
      <w:start w:val="1"/>
    </w:lvl>
  </w:abstractNum>
  <w:abstractNum w:abstractNumId="13">
    <w:nsid w:val="721DA317"/>
    <w:multiLevelType w:val="hybridMultilevel"/>
    <w:lvl w:ilvl="0">
      <w:lvlJc w:val="left"/>
      <w:lvlText w:val="(%1)"/>
      <w:numFmt w:val="decimal"/>
      <w:start w:val="1"/>
    </w:lvl>
  </w:abstractNum>
  <w:abstractNum w:abstractNumId="14">
    <w:nsid w:val="2443A858"/>
    <w:multiLevelType w:val="hybridMultilevel"/>
    <w:lvl w:ilvl="0">
      <w:lvlJc w:val="left"/>
      <w:lvlText w:val="(%1)"/>
      <w:numFmt w:val="decimal"/>
      <w:start w:val="1"/>
    </w:lvl>
  </w:abstractNum>
  <w:abstractNum w:abstractNumId="15">
    <w:nsid w:val="2D1D5AE9"/>
    <w:multiLevelType w:val="hybridMultilevel"/>
    <w:lvl w:ilvl="0">
      <w:lvlJc w:val="left"/>
      <w:lvlText w:val="(%1)"/>
      <w:numFmt w:val="decimal"/>
      <w:start w:val="1"/>
    </w:lvl>
  </w:abstractNum>
  <w:abstractNum w:abstractNumId="16">
    <w:nsid w:val="6763845E"/>
    <w:multiLevelType w:val="hybridMultilevel"/>
    <w:lvl w:ilvl="0">
      <w:lvlJc w:val="left"/>
      <w:lvlText w:val="(%1)"/>
      <w:numFmt w:val="decimal"/>
      <w:start w:val="1"/>
    </w:lvl>
  </w:abstractNum>
  <w:abstractNum w:abstractNumId="17">
    <w:nsid w:val="75A2A8D4"/>
    <w:multiLevelType w:val="hybridMultilevel"/>
    <w:lvl w:ilvl="0">
      <w:lvlJc w:val="left"/>
      <w:lvlText w:val="(%1)"/>
      <w:numFmt w:val="decimal"/>
      <w:start w:val="1"/>
    </w:lvl>
  </w:abstractNum>
  <w:abstractNum w:abstractNumId="18">
    <w:nsid w:val="8EDBDAB"/>
    <w:multiLevelType w:val="hybridMultilevel"/>
    <w:lvl w:ilvl="0">
      <w:lvlJc w:val="left"/>
      <w:lvlText w:val="•"/>
      <w:numFmt w:val="bullet"/>
      <w:start w:val="1"/>
    </w:lvl>
  </w:abstractNum>
  <w:abstractNum w:abstractNumId="19">
    <w:nsid w:val="79838CB2"/>
    <w:multiLevelType w:val="hybridMultilevel"/>
    <w:lvl w:ilvl="0">
      <w:lvlJc w:val="left"/>
      <w:lvlText w:val="(%1)"/>
      <w:numFmt w:val="decimal"/>
      <w:start w:val="1"/>
    </w:lvl>
  </w:abstractNum>
  <w:abstractNum w:abstractNumId="20">
    <w:nsid w:val="4353D0CD"/>
    <w:multiLevelType w:val="hybridMultilevel"/>
    <w:lvl w:ilvl="0">
      <w:lvlJc w:val="left"/>
      <w:lvlText w:val="•"/>
      <w:numFmt w:val="bullet"/>
      <w:start w:val="1"/>
    </w:lvl>
  </w:abstractNum>
  <w:abstractNum w:abstractNumId="21">
    <w:nsid w:val="B03E0C6"/>
    <w:multiLevelType w:val="hybridMultilevel"/>
    <w:lvl w:ilvl="0">
      <w:lvlJc w:val="left"/>
      <w:lvlText w:val="(%1)"/>
      <w:numFmt w:val="decimal"/>
      <w:start w:val="1"/>
    </w:lvl>
  </w:abstractNum>
  <w:abstractNum w:abstractNumId="22">
    <w:nsid w:val="189A769B"/>
    <w:multiLevelType w:val="hybridMultilevel"/>
    <w:lvl w:ilvl="0">
      <w:lvlJc w:val="left"/>
      <w:lvlText w:val="%1"/>
      <w:numFmt w:val="decimal"/>
      <w:start w:val="101"/>
    </w:lvl>
    <w:lvl w:ilvl="1">
      <w:lvlJc w:val="left"/>
      <w:lvlText w:val="(%2)"/>
      <w:numFmt w:val="lowerRoman"/>
      <w:start w:val="1"/>
    </w:lvl>
  </w:abstractNum>
  <w:abstractNum w:abstractNumId="23">
    <w:nsid w:val="54E49EB4"/>
    <w:multiLevelType w:val="hybridMultilevel"/>
    <w:lvl w:ilvl="0">
      <w:lvlJc w:val="left"/>
      <w:lvlText w:val="(%1)"/>
      <w:numFmt w:val="lowerRoman"/>
      <w:start w:val="3"/>
    </w:lvl>
  </w:abstractNum>
  <w:abstractNum w:abstractNumId="24">
    <w:nsid w:val="71F32454"/>
    <w:multiLevelType w:val="hybridMultilevel"/>
    <w:lvl w:ilvl="0">
      <w:lvlJc w:val="left"/>
      <w:lvlText w:val="*"/>
      <w:numFmt w:val="bullet"/>
      <w:start w:val="1"/>
    </w:lvl>
    <w:lvl w:ilvl="1">
      <w:lvlJc w:val="left"/>
      <w:lvlText w:val="%2"/>
      <w:numFmt w:val="decimal"/>
      <w:start w:val="104"/>
    </w:lvl>
  </w:abstractNum>
  <w:abstractNum w:abstractNumId="25">
    <w:nsid w:val="2CA88611"/>
    <w:multiLevelType w:val="hybridMultilevel"/>
    <w:lvl w:ilvl="0">
      <w:lvlJc w:val="left"/>
      <w:lvlText w:val="~"/>
      <w:numFmt w:val="bullet"/>
      <w:start w:val="1"/>
    </w:lvl>
  </w:abstractNum>
  <w:abstractNum w:abstractNumId="26">
    <w:nsid w:val="836C40E"/>
    <w:multiLevelType w:val="hybridMultilevel"/>
    <w:lvl w:ilvl="0">
      <w:lvlJc w:val="left"/>
      <w:lvlText w:val="+"/>
      <w:numFmt w:val="bullet"/>
      <w:start w:val="1"/>
    </w:lvl>
  </w:abstractNum>
  <w:abstractNum w:abstractNumId="27">
    <w:nsid w:val="2901D82"/>
    <w:multiLevelType w:val="hybridMultilevel"/>
    <w:lvl w:ilvl="0">
      <w:lvlJc w:val="left"/>
      <w:lvlText w:val="#"/>
      <w:numFmt w:val="bullet"/>
      <w:start w:val="1"/>
    </w:lvl>
  </w:abstractNum>
  <w:abstractNum w:abstractNumId="28">
    <w:nsid w:val="3A95F874"/>
    <w:multiLevelType w:val="hybridMultilevel"/>
    <w:lvl w:ilvl="0">
      <w:lvlJc w:val="left"/>
      <w:lvlText w:val="%1."/>
      <w:numFmt w:val="decimal"/>
      <w:start w:val="1"/>
    </w:lvl>
    <w:lvl w:ilvl="1">
      <w:lvlJc w:val="left"/>
      <w:lvlText w:val="%2)"/>
      <w:numFmt w:val="lowerLetter"/>
      <w:start w:val="1"/>
    </w:lvl>
  </w:abstractNum>
  <w:abstractNum w:abstractNumId="29">
    <w:nsid w:val="813864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84" Type="http://schemas.openxmlformats.org/officeDocument/2006/relationships/image" Target="media/image58.png"/><Relationship Id="rId104" Type="http://schemas.openxmlformats.org/officeDocument/2006/relationships/image" Target="media/image59.png"/><Relationship Id="rId105" Type="http://schemas.openxmlformats.org/officeDocument/2006/relationships/image" Target="media/image60.png"/><Relationship Id="rId106" Type="http://schemas.openxmlformats.org/officeDocument/2006/relationships/image" Target="media/image61.png"/><Relationship Id="rId107" Type="http://schemas.openxmlformats.org/officeDocument/2006/relationships/image" Target="media/image62.png"/><Relationship Id="rId65" Type="http://schemas.openxmlformats.org/officeDocument/2006/relationships/hyperlink" Target="https://www.sec.gov/Archives/edgar/data/1547903/000119312524134340/d816160dex11.htm" TargetMode="External"/><Relationship Id="rId66" Type="http://schemas.openxmlformats.org/officeDocument/2006/relationships/hyperlink" Target="https://www.sec.gov/Archives/edgar/data/1547903/000154790324000111/nmih-certificateofincorpor.htm" TargetMode="External"/><Relationship Id="rId67" Type="http://schemas.openxmlformats.org/officeDocument/2006/relationships/hyperlink" Target="https://www.sec.gov/Archives/edgar/data/1547903/000154790324000111/fifthamendedandrestatedbyl.htm" TargetMode="External"/><Relationship Id="rId68" Type="http://schemas.openxmlformats.org/officeDocument/2006/relationships/hyperlink" Target="https://www.sec.gov/Archives/edgar/data/1547903/000119312524144008/d768666dex41.htm" TargetMode="External"/><Relationship Id="rId69" Type="http://schemas.openxmlformats.org/officeDocument/2006/relationships/hyperlink" Target="https://www.sec.gov/Archives/edgar/data/1547903/000119312524144008/d768666dex42.htm" TargetMode="External"/><Relationship Id="rId70" Type="http://schemas.openxmlformats.org/officeDocument/2006/relationships/hyperlink" Target="https://www.sec.gov/Archives/edgar/data/1547903/000154790324000139/exhibit44nmihdescriptionof.htm" TargetMode="External"/><Relationship Id="rId71" Type="http://schemas.openxmlformats.org/officeDocument/2006/relationships/hyperlink" Target="https://www.sec.gov/Archives/edgar/data/1547903/000154790313000020/a101nmiholdingsinc2012stoc.htm" TargetMode="External"/><Relationship Id="rId72" Type="http://schemas.openxmlformats.org/officeDocument/2006/relationships/hyperlink" Target="https://www.sec.gov/Archives/edgar/data/1547903/000154790313000020/a105formofnonqualifiedstoc.htm" TargetMode="External"/><Relationship Id="rId73" Type="http://schemas.openxmlformats.org/officeDocument/2006/relationships/hyperlink" Target="https://www.sec.gov/Archives/edgar/data/1547903/000154790313000020/a106formofnonqualifiedstoc.htm" TargetMode="External"/><Relationship Id="rId74" Type="http://schemas.openxmlformats.org/officeDocument/2006/relationships/hyperlink" Target="https://www.sec.gov/Archives/edgar/data/1547903/000154790313000020/a107formofnonqualifiedstoc.htm" TargetMode="External"/><Relationship Id="rId75" Type="http://schemas.openxmlformats.org/officeDocument/2006/relationships/hyperlink" Target="https://www.sec.gov/Archives/edgar/data/1547903/000154790317000032/exhibit108-2012stockincent.htm" TargetMode="External"/><Relationship Id="rId76" Type="http://schemas.openxmlformats.org/officeDocument/2006/relationships/hyperlink" Target="https://www.sec.gov/Archives/edgar/data/1547903/000154790317000032/exhibit109-2012stockincent.htm" TargetMode="External"/><Relationship Id="rId77" Type="http://schemas.openxmlformats.org/officeDocument/2006/relationships/hyperlink" Target="https://www.sec.gov/Archives/edgar/data/1547903/000154790319000064/exhibit1032.htm" TargetMode="External"/><Relationship Id="rId78" Type="http://schemas.openxmlformats.org/officeDocument/2006/relationships/hyperlink" Target="https://www.sec.gov/ix?doc=/Archives/edgar/data/1547903/000154790324000103/nmih-20240331.htm" TargetMode="External"/><Relationship Id="rId79" Type="http://schemas.openxmlformats.org/officeDocument/2006/relationships/hyperlink" Target="https://www.sec.gov/Archives/edgar/data/1547903/000154790317000100/ex1023nqsceo.htm" TargetMode="External"/><Relationship Id="rId80" Type="http://schemas.openxmlformats.org/officeDocument/2006/relationships/hyperlink" Target="https://www.sec.gov/Archives/edgar/data/1547903/000154790317000100/ex1024nqseoee.htm" TargetMode="External"/><Relationship Id="rId81" Type="http://schemas.openxmlformats.org/officeDocument/2006/relationships/hyperlink" Target="https://www.sec.gov/Archives/edgar/data/1547903/000154790320000045/ex1038202010q.htm" TargetMode="External"/><Relationship Id="rId82" Type="http://schemas.openxmlformats.org/officeDocument/2006/relationships/hyperlink" Target="https://www.sec.gov/Archives/edgar/data/1547903/000154790325000026/ex1012rsuagreementforindep.htm" TargetMode="External"/><Relationship Id="rId83" Type="http://schemas.openxmlformats.org/officeDocument/2006/relationships/hyperlink" Target="https://www.sec.gov/Archives/edgar/data/1547903/000154790324000035/ex1022ye2023rsuawardagreem.htm" TargetMode="External"/><Relationship Id="rId85" Type="http://schemas.openxmlformats.org/officeDocument/2006/relationships/hyperlink" Target="https://www.sec.gov/Archives/edgar/data/1547903/000154790324000035/ex1023ye2023rsuawardagreem.htm" TargetMode="External"/><Relationship Id="rId86" Type="http://schemas.openxmlformats.org/officeDocument/2006/relationships/hyperlink" Target="https://www.sec.gov/Archives/edgar/data/1547903/000154790324000035/ex1024ye2023rsuawardagreem.htm" TargetMode="External"/><Relationship Id="rId87" Type="http://schemas.openxmlformats.org/officeDocument/2006/relationships/hyperlink" Target="https://www.sec.gov/Archives/edgar/data/1547903/000154790319000064/exhibit1035.htm" TargetMode="External"/><Relationship Id="rId88" Type="http://schemas.openxmlformats.org/officeDocument/2006/relationships/hyperlink" Target="https://www.sec.gov/Archives/edgar/data/1547903/000154790325000026/ex1018rsuagreementforexecu.htm" TargetMode="External"/><Relationship Id="rId89" Type="http://schemas.openxmlformats.org/officeDocument/2006/relationships/hyperlink" Target="https://www.sec.gov/Archives/edgar/data/1547903/000154790325000026/ex1019rsuagreementforemplo.htm" TargetMode="External"/><Relationship Id="rId90" Type="http://schemas.openxmlformats.org/officeDocument/2006/relationships/hyperlink" Target="https://www.sec.gov/Archives/edgar/data/1547903/000154790325000026/ex1020rsuagreementperforma.htm" TargetMode="External"/><Relationship Id="rId91" Type="http://schemas.openxmlformats.org/officeDocument/2006/relationships/hyperlink" Target="https://www.sec.gov/Archives/edgar/data/1547903/000154790314000146/exhibit101november252014.htm" TargetMode="External"/><Relationship Id="rId92" Type="http://schemas.openxmlformats.org/officeDocument/2006/relationships/hyperlink" Target="https://www.sec.gov/Archives/edgar/data/1547903/000154790325000103/ex1022nmiharseverancebenef.htm" TargetMode="External"/><Relationship Id="rId93" Type="http://schemas.openxmlformats.org/officeDocument/2006/relationships/hyperlink" Target="https://www.sec.gov/Archives/edgar/data/1547903/000154790325000103/ex1023nmiharcicseverancebe.htm" TargetMode="External"/><Relationship Id="rId94" Type="http://schemas.openxmlformats.org/officeDocument/2006/relationships/hyperlink" Target="https://www.sec.gov/Archives/edgar/data/1547903/000154790316000230/exhibit1010leatherberrybil.htm" TargetMode="External"/><Relationship Id="rId95" Type="http://schemas.openxmlformats.org/officeDocument/2006/relationships/hyperlink" Target="https://www.sec.gov/Archives/edgar/data/1547903/000154790318000137/exhibit101shuster.htm" TargetMode="External"/><Relationship Id="rId96" Type="http://schemas.openxmlformats.org/officeDocument/2006/relationships/hyperlink" Target="https://www.sec.gov/Archives/edgar/data/0001547903/000154790321000153/exhibit101-nmihxapollitz.htm" TargetMode="External"/><Relationship Id="rId97" Type="http://schemas.openxmlformats.org/officeDocument/2006/relationships/hyperlink" Target="https://www.sec.gov/Archives/edgar/data/1547903/000154790324000041/nmih-aswithenbankofferlett.htm" TargetMode="External"/><Relationship Id="rId98" Type="http://schemas.openxmlformats.org/officeDocument/2006/relationships/hyperlink" Target="https://www.sec.gov/Archives/edgar/data/1547903/000154790324000041/nmih-rmallelaseparationagr.htm" TargetMode="External"/><Relationship Id="rId99" Type="http://schemas.openxmlformats.org/officeDocument/2006/relationships/hyperlink" Target="https://www.sec.gov/Archives/edgar/data/1547903/000154790313000020/a1014commitmentletterforbu.htm" TargetMode="External"/><Relationship Id="rId100" Type="http://schemas.openxmlformats.org/officeDocument/2006/relationships/hyperlink" Target="https://www.sec.gov/Archives/edgar/data/1547903/000154790324000103/ex1031q12024.htm" TargetMode="External"/><Relationship Id="rId101" Type="http://schemas.openxmlformats.org/officeDocument/2006/relationships/hyperlink" Target="https://www.sec.gov/Archives/edgar/data/1547903/000154790326000011/ex191insidertradingandinfo.htm" TargetMode="External"/><Relationship Id="rId102" Type="http://schemas.openxmlformats.org/officeDocument/2006/relationships/hyperlink" Target="https://www.sec.gov/Archives/edgar/data/1547903/000154790315000133/exhibit211subsidiariesofnm.htm" TargetMode="External"/><Relationship Id="rId103" Type="http://schemas.openxmlformats.org/officeDocument/2006/relationships/hyperlink" Target="https://www.sec.gov/Archives/edgar/data/1547903/000154790324000035/ex971ye2023compensationrec.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2026-05-01T08:35:57Z</dcterms:created>
  <dcterms:modified xsi:type="dcterms:W3CDTF">2026-05-01T08:35:57Z</dcterms:modified>
</cp:coreProperties>
</file>