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32"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9" w:lineRule="exact"/>
        <w:rPr>
          <w:sz w:val="24"/>
          <w:szCs w:val="24"/>
          <w:color w:val="auto"/>
        </w:rPr>
      </w:pPr>
    </w:p>
    <w:p>
      <w:pPr>
        <w:ind w:left="680"/>
        <w:spacing w:after="0"/>
        <w:tabs>
          <w:tab w:leader="none" w:pos="59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b w:val="1"/>
          <w:bCs w:val="1"/>
          <w:color w:val="auto"/>
        </w:rPr>
        <w:t>September 30, 2020</w:t>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46" w:lineRule="exact"/>
        <w:rPr>
          <w:sz w:val="24"/>
          <w:szCs w:val="24"/>
          <w:color w:val="auto"/>
        </w:rPr>
      </w:pPr>
    </w:p>
    <w:p>
      <w:pPr>
        <w:ind w:left="640" w:right="1920" w:hanging="403"/>
        <w:spacing w:after="0" w:line="293" w:lineRule="auto"/>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001-36174</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4340" w:type="dxa"/>
            <w:vAlign w:val="bottom"/>
            <w:gridSpan w:val="2"/>
          </w:tcPr>
          <w:p>
            <w:pPr>
              <w:jc w:val="center"/>
              <w:ind w:left="376"/>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spacing w:after="0"/>
              <w:rPr>
                <w:sz w:val="19"/>
                <w:szCs w:val="19"/>
                <w:color w:val="auto"/>
              </w:rPr>
            </w:pPr>
          </w:p>
        </w:tc>
        <w:tc>
          <w:tcPr>
            <w:tcW w:w="4560" w:type="dxa"/>
            <w:vAlign w:val="bottom"/>
            <w:gridSpan w:val="2"/>
          </w:tcPr>
          <w:p>
            <w:pPr>
              <w:jc w:val="right"/>
              <w:ind w:right="2636"/>
              <w:spacing w:after="0"/>
              <w:rPr>
                <w:sz w:val="20"/>
                <w:szCs w:val="20"/>
                <w:color w:val="auto"/>
              </w:rPr>
            </w:pPr>
            <w:r>
              <w:rPr>
                <w:rFonts w:ascii="Arial" w:cs="Arial" w:eastAsia="Arial" w:hAnsi="Arial"/>
                <w:sz w:val="18"/>
                <w:szCs w:val="18"/>
                <w:b w:val="1"/>
                <w:bCs w:val="1"/>
                <w:color w:val="auto"/>
              </w:rPr>
              <w:t>45-4914248</w:t>
            </w:r>
          </w:p>
        </w:tc>
      </w:tr>
      <w:tr>
        <w:trPr>
          <w:trHeight w:val="186"/>
        </w:trPr>
        <w:tc>
          <w:tcPr>
            <w:tcW w:w="4340" w:type="dxa"/>
            <w:vAlign w:val="bottom"/>
            <w:gridSpan w:val="2"/>
          </w:tcPr>
          <w:p>
            <w:pPr>
              <w:jc w:val="center"/>
              <w:ind w:left="376"/>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60" w:type="dxa"/>
            <w:vAlign w:val="bottom"/>
          </w:tcPr>
          <w:p>
            <w:pPr>
              <w:spacing w:after="0"/>
              <w:rPr>
                <w:sz w:val="16"/>
                <w:szCs w:val="16"/>
                <w:color w:val="auto"/>
              </w:rPr>
            </w:pPr>
          </w:p>
        </w:tc>
        <w:tc>
          <w:tcPr>
            <w:tcW w:w="4560" w:type="dxa"/>
            <w:vAlign w:val="bottom"/>
            <w:gridSpan w:val="2"/>
          </w:tcPr>
          <w:p>
            <w:pPr>
              <w:jc w:val="center"/>
              <w:ind w:right="1636"/>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40"/>
        </w:trPr>
        <w:tc>
          <w:tcPr>
            <w:tcW w:w="2500" w:type="dxa"/>
            <w:vAlign w:val="bottom"/>
          </w:tcPr>
          <w:p>
            <w:pPr>
              <w:ind w:left="860"/>
              <w:spacing w:after="0"/>
              <w:rPr>
                <w:sz w:val="20"/>
                <w:szCs w:val="20"/>
                <w:color w:val="auto"/>
              </w:rPr>
            </w:pPr>
            <w:r>
              <w:rPr>
                <w:rFonts w:ascii="Arial" w:cs="Arial" w:eastAsia="Arial" w:hAnsi="Arial"/>
                <w:sz w:val="18"/>
                <w:szCs w:val="18"/>
                <w:b w:val="1"/>
                <w:bCs w:val="1"/>
                <w:color w:val="auto"/>
              </w:rPr>
              <w:t>2100 Powell Street</w:t>
            </w:r>
          </w:p>
        </w:tc>
        <w:tc>
          <w:tcPr>
            <w:tcW w:w="1840" w:type="dxa"/>
            <w:vAlign w:val="bottom"/>
          </w:tcPr>
          <w:p>
            <w:pPr>
              <w:ind w:left="200"/>
              <w:spacing w:after="0"/>
              <w:rPr>
                <w:sz w:val="20"/>
                <w:szCs w:val="20"/>
                <w:color w:val="auto"/>
              </w:rPr>
            </w:pPr>
            <w:r>
              <w:rPr>
                <w:rFonts w:ascii="Arial" w:cs="Arial" w:eastAsia="Arial" w:hAnsi="Arial"/>
                <w:sz w:val="18"/>
                <w:szCs w:val="18"/>
                <w:b w:val="1"/>
                <w:bCs w:val="1"/>
                <w:color w:val="auto"/>
              </w:rPr>
              <w:t>Emeryville , CA</w:t>
            </w:r>
          </w:p>
        </w:tc>
        <w:tc>
          <w:tcPr>
            <w:tcW w:w="2360" w:type="dxa"/>
            <w:vAlign w:val="bottom"/>
          </w:tcPr>
          <w:p>
            <w:pPr>
              <w:spacing w:after="0"/>
              <w:rPr>
                <w:sz w:val="24"/>
                <w:szCs w:val="24"/>
                <w:color w:val="auto"/>
              </w:rPr>
            </w:pPr>
          </w:p>
        </w:tc>
        <w:tc>
          <w:tcPr>
            <w:tcW w:w="4560" w:type="dxa"/>
            <w:vAlign w:val="bottom"/>
            <w:gridSpan w:val="2"/>
          </w:tcPr>
          <w:p>
            <w:pPr>
              <w:jc w:val="right"/>
              <w:ind w:right="2836"/>
              <w:spacing w:after="0"/>
              <w:rPr>
                <w:sz w:val="20"/>
                <w:szCs w:val="20"/>
                <w:color w:val="auto"/>
              </w:rPr>
            </w:pPr>
            <w:r>
              <w:rPr>
                <w:rFonts w:ascii="Arial" w:cs="Arial" w:eastAsia="Arial" w:hAnsi="Arial"/>
                <w:sz w:val="18"/>
                <w:szCs w:val="18"/>
                <w:b w:val="1"/>
                <w:bCs w:val="1"/>
                <w:color w:val="auto"/>
              </w:rPr>
              <w:t>94608</w:t>
            </w:r>
          </w:p>
        </w:tc>
      </w:tr>
      <w:tr>
        <w:trPr>
          <w:trHeight w:val="186"/>
        </w:trPr>
        <w:tc>
          <w:tcPr>
            <w:tcW w:w="434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120" w:type="dxa"/>
            <w:vAlign w:val="bottom"/>
          </w:tcPr>
          <w:p>
            <w:pPr>
              <w:jc w:val="center"/>
              <w:ind w:right="2096"/>
              <w:spacing w:after="0"/>
              <w:rPr>
                <w:sz w:val="20"/>
                <w:szCs w:val="20"/>
                <w:color w:val="auto"/>
              </w:rPr>
            </w:pPr>
            <w:r>
              <w:rPr>
                <w:rFonts w:ascii="Arial" w:cs="Arial" w:eastAsia="Arial" w:hAnsi="Arial"/>
                <w:sz w:val="14"/>
                <w:szCs w:val="14"/>
                <w:b w:val="1"/>
                <w:bCs w:val="1"/>
                <w:color w:val="auto"/>
                <w:w w:val="95"/>
              </w:rPr>
              <w:t>(Zip Code)</w:t>
            </w:r>
          </w:p>
        </w:tc>
      </w:tr>
      <w:tr>
        <w:trPr>
          <w:trHeight w:val="556"/>
        </w:trPr>
        <w:tc>
          <w:tcPr>
            <w:tcW w:w="2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6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(855) 530-6642</w:t>
            </w:r>
          </w:p>
        </w:tc>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86"/>
        </w:trPr>
        <w:tc>
          <w:tcPr>
            <w:tcW w:w="2500" w:type="dxa"/>
            <w:vAlign w:val="bottom"/>
          </w:tcPr>
          <w:p>
            <w:pPr>
              <w:spacing w:after="0"/>
              <w:rPr>
                <w:sz w:val="16"/>
                <w:szCs w:val="16"/>
                <w:color w:val="auto"/>
              </w:rPr>
            </w:pPr>
          </w:p>
        </w:tc>
        <w:tc>
          <w:tcPr>
            <w:tcW w:w="8760" w:type="dxa"/>
            <w:vAlign w:val="bottom"/>
            <w:gridSpan w:val="4"/>
          </w:tcPr>
          <w:p>
            <w:pPr>
              <w:jc w:val="center"/>
              <w:ind w:right="243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23"/>
        </w:trPr>
        <w:tc>
          <w:tcPr>
            <w:tcW w:w="2500" w:type="dxa"/>
            <w:vAlign w:val="bottom"/>
          </w:tcPr>
          <w:p>
            <w:pPr>
              <w:spacing w:after="0"/>
              <w:rPr>
                <w:sz w:val="24"/>
                <w:szCs w:val="24"/>
                <w:color w:val="auto"/>
              </w:rPr>
            </w:pPr>
          </w:p>
        </w:tc>
        <w:tc>
          <w:tcPr>
            <w:tcW w:w="8760" w:type="dxa"/>
            <w:vAlign w:val="bottom"/>
            <w:gridSpan w:val="4"/>
          </w:tcPr>
          <w:p>
            <w:pPr>
              <w:jc w:val="center"/>
              <w:ind w:right="2416"/>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135"/>
        </w:trPr>
        <w:tc>
          <w:tcPr>
            <w:tcW w:w="4340" w:type="dxa"/>
            <w:vAlign w:val="bottom"/>
            <w:tcBorders>
              <w:bottom w:val="single" w:sz="8" w:color="auto"/>
            </w:tcBorders>
            <w:gridSpan w:val="2"/>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120" w:type="dxa"/>
            <w:vAlign w:val="bottom"/>
            <w:tcBorders>
              <w:bottom w:val="single" w:sz="8" w:color="auto"/>
            </w:tcBorders>
          </w:tcPr>
          <w:p>
            <w:pPr>
              <w:spacing w:after="0"/>
              <w:rPr>
                <w:sz w:val="11"/>
                <w:szCs w:val="11"/>
                <w:color w:val="auto"/>
              </w:rPr>
            </w:pPr>
          </w:p>
        </w:tc>
      </w:tr>
      <w:tr>
        <w:trPr>
          <w:trHeight w:val="223"/>
        </w:trPr>
        <w:tc>
          <w:tcPr>
            <w:tcW w:w="43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2"/>
              </w:rPr>
              <w:t>Trading Symbol(s)</w:t>
            </w:r>
          </w:p>
        </w:tc>
        <w:tc>
          <w:tcPr>
            <w:tcW w:w="440" w:type="dxa"/>
            <w:vAlign w:val="bottom"/>
            <w:tcBorders>
              <w:bottom w:val="single" w:sz="8" w:color="auto"/>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3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3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rPr>
              <w:t>NMIH</w:t>
            </w:r>
          </w:p>
        </w:tc>
        <w:tc>
          <w:tcPr>
            <w:tcW w:w="440" w:type="dxa"/>
            <w:vAlign w:val="bottom"/>
            <w:tcBorders>
              <w:bottom w:val="single" w:sz="8" w:color="auto"/>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94" w:lineRule="exact"/>
        <w:rPr>
          <w:sz w:val="24"/>
          <w:szCs w:val="24"/>
          <w:color w:val="auto"/>
        </w:rPr>
      </w:pPr>
    </w:p>
    <w:p>
      <w:pPr>
        <w:jc w:val="both"/>
        <w:ind w:right="2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20"/>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560" w:type="dxa"/>
        <w:tblCellMar>
          <w:top w:w="0" w:type="dxa"/>
          <w:left w:w="0" w:type="dxa"/>
          <w:bottom w:w="0" w:type="dxa"/>
          <w:right w:w="0" w:type="dxa"/>
        </w:tblCellMar>
      </w:tblPr>
      <w:tr>
        <w:trPr>
          <w:trHeight w:val="223"/>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164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60" w:type="dxa"/>
            <w:vAlign w:val="bottom"/>
          </w:tcPr>
          <w:p>
            <w:pPr>
              <w:ind w:left="72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common stock, $0.01 par value per share, of the registrant outstanding on November 3, 2020 was 84,813,362 shares.</w:t>
      </w:r>
    </w:p>
    <w:p>
      <w:pPr>
        <w:sectPr>
          <w:pgSz w:w="11900" w:h="16838" w:orient="portrait"/>
          <w:cols w:equalWidth="0" w:num="1">
            <w:col w:w="11260"/>
          </w:cols>
          <w:pgMar w:left="320" w:top="1035" w:right="319" w:bottom="1440" w:gutter="0" w:footer="0" w:header="0"/>
        </w:sectPr>
      </w:pPr>
    </w:p>
    <w:p>
      <w:pPr>
        <w:spacing w:after="0" w:line="200" w:lineRule="exact"/>
        <w:rPr>
          <w:sz w:val="24"/>
          <w:szCs w:val="24"/>
          <w:color w:val="auto"/>
        </w:rPr>
      </w:pPr>
    </w:p>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035"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300" w:type="dxa"/>
            <w:vAlign w:val="bottom"/>
          </w:tcPr>
          <w:p>
            <w:pPr>
              <w:ind w:left="2700"/>
              <w:spacing w:after="0"/>
              <w:rPr>
                <w:sz w:val="20"/>
                <w:szCs w:val="20"/>
                <w:color w:val="auto"/>
              </w:rPr>
            </w:pPr>
            <w:r>
              <w:rPr>
                <w:rFonts w:ascii="Arial" w:cs="Arial" w:eastAsia="Arial" w:hAnsi="Arial"/>
                <w:sz w:val="18"/>
                <w:szCs w:val="18"/>
                <w:b w:val="1"/>
                <w:bCs w:val="1"/>
                <w:color w:val="auto"/>
              </w:rPr>
              <w:t>TABLE OF CONTENTS</w:t>
            </w:r>
          </w:p>
        </w:tc>
        <w:tc>
          <w:tcPr>
            <w:tcW w:w="1980" w:type="dxa"/>
            <w:vAlign w:val="bottom"/>
          </w:tcPr>
          <w:p>
            <w:pPr>
              <w:spacing w:after="0"/>
              <w:rPr>
                <w:sz w:val="20"/>
                <w:szCs w:val="20"/>
                <w:color w:val="auto"/>
              </w:rPr>
            </w:pPr>
          </w:p>
        </w:tc>
      </w:tr>
      <w:tr>
        <w:trPr>
          <w:trHeight w:val="243"/>
        </w:trPr>
        <w:tc>
          <w:tcPr>
            <w:tcW w:w="1960" w:type="dxa"/>
            <w:vAlign w:val="bottom"/>
            <w:gridSpan w:val="2"/>
          </w:tcPr>
          <w:p>
            <w:pPr>
              <w:spacing w:after="0"/>
              <w:rPr>
                <w:sz w:val="21"/>
                <w:szCs w:val="21"/>
                <w:color w:val="auto"/>
              </w:rPr>
            </w:pPr>
          </w:p>
        </w:tc>
        <w:tc>
          <w:tcPr>
            <w:tcW w:w="73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29"/>
        </w:trPr>
        <w:tc>
          <w:tcPr>
            <w:tcW w:w="9260" w:type="dxa"/>
            <w:vAlign w:val="bottom"/>
            <w:gridSpan w:val="3"/>
            <w:shd w:val="clear" w:color="auto" w:fill="CCEEFF"/>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Cautionary Note Regarding Forward Looking Statements</w:t>
              </w:r>
            </w:hyperlink>
          </w:p>
        </w:tc>
        <w:tc>
          <w:tcPr>
            <w:tcW w:w="1980" w:type="dxa"/>
            <w:vAlign w:val="bottom"/>
            <w:shd w:val="clear" w:color="auto" w:fill="CCEEFF"/>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29"/>
        </w:trPr>
        <w:tc>
          <w:tcPr>
            <w:tcW w:w="1040" w:type="dxa"/>
            <w:vAlign w:val="bottom"/>
          </w:tcPr>
          <w:p>
            <w:pPr>
              <w:ind w:left="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w:t>
              </w:r>
            </w:hyperlink>
          </w:p>
        </w:tc>
        <w:tc>
          <w:tcPr>
            <w:tcW w:w="9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9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30"/>
        </w:trPr>
        <w:tc>
          <w:tcPr>
            <w:tcW w:w="1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Item 1.</w:t>
            </w:r>
          </w:p>
        </w:tc>
        <w:tc>
          <w:tcPr>
            <w:tcW w:w="822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1980" w:type="dxa"/>
            <w:vAlign w:val="bottom"/>
            <w:shd w:val="clear" w:color="auto" w:fill="CCEEFF"/>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29"/>
        </w:trPr>
        <w:tc>
          <w:tcPr>
            <w:tcW w:w="1040" w:type="dxa"/>
            <w:vAlign w:val="bottom"/>
          </w:tcPr>
          <w:p>
            <w:pPr>
              <w:ind w:left="120"/>
              <w:spacing w:after="0"/>
              <w:rPr>
                <w:sz w:val="20"/>
                <w:szCs w:val="20"/>
                <w:color w:val="auto"/>
              </w:rPr>
            </w:pPr>
            <w:r>
              <w:rPr>
                <w:rFonts w:ascii="Arial" w:cs="Arial" w:eastAsia="Arial" w:hAnsi="Arial"/>
                <w:sz w:val="18"/>
                <w:szCs w:val="18"/>
                <w:color w:val="auto"/>
              </w:rPr>
              <w:t>Item 2.</w:t>
            </w:r>
          </w:p>
        </w:tc>
        <w:tc>
          <w:tcPr>
            <w:tcW w:w="8220" w:type="dxa"/>
            <w:vAlign w:val="bottom"/>
            <w:gridSpan w:val="2"/>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Management's Discussion and Analysis of Financial Condition and Results of Operations</w:t>
              </w:r>
            </w:hyperlink>
          </w:p>
        </w:tc>
        <w:tc>
          <w:tcPr>
            <w:tcW w:w="198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r>
      <w:tr>
        <w:trPr>
          <w:trHeight w:val="230"/>
        </w:trPr>
        <w:tc>
          <w:tcPr>
            <w:tcW w:w="1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Item 3.</w:t>
            </w:r>
          </w:p>
        </w:tc>
        <w:tc>
          <w:tcPr>
            <w:tcW w:w="822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Quantitative and Qualitative Disclosures About Market Risk</w:t>
              </w:r>
            </w:hyperlink>
          </w:p>
        </w:tc>
        <w:tc>
          <w:tcPr>
            <w:tcW w:w="1980" w:type="dxa"/>
            <w:vAlign w:val="bottom"/>
            <w:shd w:val="clear" w:color="auto" w:fill="CCEEFF"/>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57</w:t>
              </w:r>
            </w:hyperlink>
          </w:p>
        </w:tc>
      </w:tr>
      <w:tr>
        <w:trPr>
          <w:trHeight w:val="229"/>
        </w:trPr>
        <w:tc>
          <w:tcPr>
            <w:tcW w:w="1040" w:type="dxa"/>
            <w:vAlign w:val="bottom"/>
          </w:tcPr>
          <w:p>
            <w:pPr>
              <w:ind w:left="120"/>
              <w:spacing w:after="0"/>
              <w:rPr>
                <w:sz w:val="20"/>
                <w:szCs w:val="20"/>
                <w:color w:val="auto"/>
              </w:rPr>
            </w:pPr>
            <w:r>
              <w:rPr>
                <w:rFonts w:ascii="Arial" w:cs="Arial" w:eastAsia="Arial" w:hAnsi="Arial"/>
                <w:sz w:val="18"/>
                <w:szCs w:val="18"/>
                <w:color w:val="auto"/>
              </w:rPr>
              <w:t>Item 4.</w:t>
            </w:r>
          </w:p>
        </w:tc>
        <w:tc>
          <w:tcPr>
            <w:tcW w:w="8220" w:type="dxa"/>
            <w:vAlign w:val="bottom"/>
            <w:gridSpan w:val="2"/>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Controls and Procedures</w:t>
              </w:r>
            </w:hyperlink>
          </w:p>
        </w:tc>
        <w:tc>
          <w:tcPr>
            <w:tcW w:w="198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58</w:t>
              </w:r>
            </w:hyperlink>
          </w:p>
        </w:tc>
      </w:tr>
      <w:tr>
        <w:trPr>
          <w:trHeight w:val="229"/>
        </w:trPr>
        <w:tc>
          <w:tcPr>
            <w:tcW w:w="1040" w:type="dxa"/>
            <w:vAlign w:val="bottom"/>
            <w:shd w:val="clear" w:color="auto" w:fill="CCEEFF"/>
          </w:tcPr>
          <w:p>
            <w:pPr>
              <w:ind w:left="20"/>
              <w:spacing w:after="0"/>
              <w:rPr>
                <w:rFonts w:ascii="Arial" w:cs="Arial" w:eastAsia="Arial" w:hAnsi="Arial"/>
                <w:sz w:val="18"/>
                <w:szCs w:val="18"/>
                <w:b w:val="1"/>
                <w:bCs w:val="1"/>
                <w:u w:val="single" w:color="auto"/>
                <w:color w:val="0000FF"/>
              </w:rPr>
            </w:pPr>
            <w:hyperlink w:anchor="page58">
              <w:r>
                <w:rPr>
                  <w:rFonts w:ascii="Arial" w:cs="Arial" w:eastAsia="Arial" w:hAnsi="Arial"/>
                  <w:sz w:val="18"/>
                  <w:szCs w:val="18"/>
                  <w:b w:val="1"/>
                  <w:bCs w:val="1"/>
                  <w:u w:val="single" w:color="auto"/>
                  <w:color w:val="0000FF"/>
                </w:rPr>
                <w:t>PART II</w:t>
              </w:r>
            </w:hyperlink>
          </w:p>
        </w:tc>
        <w:tc>
          <w:tcPr>
            <w:tcW w:w="920" w:type="dxa"/>
            <w:vAlign w:val="bottom"/>
            <w:shd w:val="clear" w:color="auto" w:fill="CCEEFF"/>
          </w:tcPr>
          <w:p>
            <w:pPr>
              <w:spacing w:after="0"/>
              <w:rPr>
                <w:sz w:val="19"/>
                <w:szCs w:val="19"/>
                <w:color w:val="auto"/>
              </w:rPr>
            </w:pPr>
          </w:p>
        </w:tc>
        <w:tc>
          <w:tcPr>
            <w:tcW w:w="7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59</w:t>
              </w:r>
            </w:hyperlink>
          </w:p>
        </w:tc>
      </w:tr>
      <w:tr>
        <w:trPr>
          <w:trHeight w:val="230"/>
        </w:trPr>
        <w:tc>
          <w:tcPr>
            <w:tcW w:w="1040" w:type="dxa"/>
            <w:vAlign w:val="bottom"/>
          </w:tcPr>
          <w:p>
            <w:pPr>
              <w:ind w:left="120"/>
              <w:spacing w:after="0"/>
              <w:rPr>
                <w:sz w:val="20"/>
                <w:szCs w:val="20"/>
                <w:color w:val="auto"/>
              </w:rPr>
            </w:pPr>
            <w:r>
              <w:rPr>
                <w:rFonts w:ascii="Arial" w:cs="Arial" w:eastAsia="Arial" w:hAnsi="Arial"/>
                <w:sz w:val="18"/>
                <w:szCs w:val="18"/>
                <w:color w:val="auto"/>
              </w:rPr>
              <w:t>Item 1.</w:t>
            </w:r>
          </w:p>
        </w:tc>
        <w:tc>
          <w:tcPr>
            <w:tcW w:w="8220" w:type="dxa"/>
            <w:vAlign w:val="bottom"/>
            <w:gridSpan w:val="2"/>
          </w:tcPr>
          <w:p>
            <w:pPr>
              <w:ind w:left="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Legal Proceedings</w:t>
              </w:r>
            </w:hyperlink>
          </w:p>
        </w:tc>
        <w:tc>
          <w:tcPr>
            <w:tcW w:w="198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59</w:t>
              </w:r>
            </w:hyperlink>
          </w:p>
        </w:tc>
      </w:tr>
      <w:tr>
        <w:trPr>
          <w:trHeight w:val="229"/>
        </w:trPr>
        <w:tc>
          <w:tcPr>
            <w:tcW w:w="1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Item 1A.</w:t>
            </w:r>
          </w:p>
        </w:tc>
        <w:tc>
          <w:tcPr>
            <w:tcW w:w="920" w:type="dxa"/>
            <w:vAlign w:val="bottom"/>
            <w:shd w:val="clear" w:color="auto" w:fill="CCEEFF"/>
          </w:tcPr>
          <w:p>
            <w:pPr>
              <w:ind w:left="20"/>
              <w:spacing w:after="0"/>
              <w:rPr>
                <w:rFonts w:ascii="Arial" w:cs="Arial" w:eastAsia="Arial" w:hAnsi="Arial"/>
                <w:sz w:val="18"/>
                <w:szCs w:val="18"/>
                <w:u w:val="single" w:color="auto"/>
                <w:color w:val="0000FF"/>
                <w:w w:val="87"/>
                <w:shd w:val="clear" w:color="auto" w:fill="CCEEFF"/>
              </w:rPr>
            </w:pPr>
            <w:hyperlink w:anchor="page59">
              <w:r>
                <w:rPr>
                  <w:rFonts w:ascii="Arial" w:cs="Arial" w:eastAsia="Arial" w:hAnsi="Arial"/>
                  <w:sz w:val="18"/>
                  <w:szCs w:val="18"/>
                  <w:u w:val="single" w:color="auto"/>
                  <w:color w:val="0000FF"/>
                  <w:w w:val="87"/>
                  <w:shd w:val="clear" w:color="auto" w:fill="CCEEFF"/>
                </w:rPr>
                <w:t>Risk Factors</w:t>
              </w:r>
            </w:hyperlink>
          </w:p>
        </w:tc>
        <w:tc>
          <w:tcPr>
            <w:tcW w:w="7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59</w:t>
              </w:r>
            </w:hyperlink>
          </w:p>
        </w:tc>
      </w:tr>
      <w:tr>
        <w:trPr>
          <w:trHeight w:val="229"/>
        </w:trPr>
        <w:tc>
          <w:tcPr>
            <w:tcW w:w="1040" w:type="dxa"/>
            <w:vAlign w:val="bottom"/>
          </w:tcPr>
          <w:p>
            <w:pPr>
              <w:ind w:left="120"/>
              <w:spacing w:after="0"/>
              <w:rPr>
                <w:sz w:val="20"/>
                <w:szCs w:val="20"/>
                <w:color w:val="auto"/>
              </w:rPr>
            </w:pPr>
            <w:r>
              <w:rPr>
                <w:rFonts w:ascii="Arial" w:cs="Arial" w:eastAsia="Arial" w:hAnsi="Arial"/>
                <w:sz w:val="18"/>
                <w:szCs w:val="18"/>
                <w:color w:val="auto"/>
              </w:rPr>
              <w:t>Item 6.</w:t>
            </w:r>
          </w:p>
        </w:tc>
        <w:tc>
          <w:tcPr>
            <w:tcW w:w="8220" w:type="dxa"/>
            <w:vAlign w:val="bottom"/>
            <w:gridSpan w:val="2"/>
          </w:tcPr>
          <w:p>
            <w:pPr>
              <w:ind w:left="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Exhibits</w:t>
              </w:r>
            </w:hyperlink>
          </w:p>
        </w:tc>
        <w:tc>
          <w:tcPr>
            <w:tcW w:w="198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63</w:t>
              </w:r>
            </w:hyperlink>
          </w:p>
        </w:tc>
      </w:tr>
      <w:tr>
        <w:trPr>
          <w:trHeight w:val="230"/>
        </w:trPr>
        <w:tc>
          <w:tcPr>
            <w:tcW w:w="1040" w:type="dxa"/>
            <w:vAlign w:val="bottom"/>
            <w:shd w:val="clear" w:color="auto" w:fill="CCEEFF"/>
          </w:tcPr>
          <w:p>
            <w:pPr>
              <w:ind w:left="20"/>
              <w:spacing w:after="0"/>
              <w:rPr>
                <w:rFonts w:ascii="Arial" w:cs="Arial" w:eastAsia="Arial" w:hAnsi="Arial"/>
                <w:sz w:val="18"/>
                <w:szCs w:val="18"/>
                <w:b w:val="1"/>
                <w:bCs w:val="1"/>
                <w:u w:val="single" w:color="auto"/>
                <w:color w:val="0000FF"/>
              </w:rPr>
            </w:pPr>
            <w:hyperlink w:anchor="page65">
              <w:r>
                <w:rPr>
                  <w:rFonts w:ascii="Arial" w:cs="Arial" w:eastAsia="Arial" w:hAnsi="Arial"/>
                  <w:sz w:val="18"/>
                  <w:szCs w:val="18"/>
                  <w:b w:val="1"/>
                  <w:bCs w:val="1"/>
                  <w:u w:val="single" w:color="auto"/>
                  <w:color w:val="0000FF"/>
                </w:rPr>
                <w:t>Signatures</w:t>
              </w:r>
            </w:hyperlink>
          </w:p>
        </w:tc>
        <w:tc>
          <w:tcPr>
            <w:tcW w:w="920" w:type="dxa"/>
            <w:vAlign w:val="bottom"/>
            <w:shd w:val="clear" w:color="auto" w:fill="CCEEFF"/>
          </w:tcPr>
          <w:p>
            <w:pPr>
              <w:spacing w:after="0"/>
              <w:rPr>
                <w:sz w:val="19"/>
                <w:szCs w:val="19"/>
                <w:color w:val="auto"/>
              </w:rPr>
            </w:pPr>
          </w:p>
        </w:tc>
        <w:tc>
          <w:tcPr>
            <w:tcW w:w="7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75"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"perceive,"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0" w:lineRule="exact"/>
        <w:rPr>
          <w:sz w:val="20"/>
          <w:szCs w:val="20"/>
          <w:color w:val="auto"/>
        </w:rPr>
      </w:pPr>
    </w:p>
    <w:p>
      <w:pPr>
        <w:jc w:val="both"/>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relating to the coronavirus (COVID-19) pandemic and the measures taken by governmental authorities and other third parties to combat it, including their impact on the global economy, the U.S. housing, real estate, housing finance and mortgage insurance markets, and our business, operations and personnel;</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 generally, or with first time homebuyers or on very high loan-to-value mortgages;</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71" w:lineRule="exact"/>
        <w:rPr>
          <w:rFonts w:ascii="Arial" w:cs="Arial" w:eastAsia="Arial" w:hAnsi="Arial"/>
          <w:sz w:val="18"/>
          <w:szCs w:val="18"/>
          <w:color w:val="auto"/>
        </w:rPr>
      </w:pPr>
    </w:p>
    <w:p>
      <w:pPr>
        <w:jc w:val="both"/>
        <w:ind w:left="980" w:hanging="324"/>
        <w:spacing w:after="0" w:line="31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94"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71" w:lineRule="exact"/>
        <w:rPr>
          <w:rFonts w:ascii="Arial" w:cs="Arial" w:eastAsia="Arial" w:hAnsi="Arial"/>
          <w:sz w:val="18"/>
          <w:szCs w:val="18"/>
          <w:color w:val="auto"/>
        </w:rPr>
      </w:pPr>
    </w:p>
    <w:p>
      <w:pPr>
        <w:jc w:val="both"/>
        <w:ind w:left="980" w:hanging="324"/>
        <w:spacing w:after="0" w:line="31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adoption of new or changes to existing laws and regulations that impact our business or financial condition directly or the mortgage insurance industry generally or their enforcement and implementation by regulators, including any action by the Consumer Financial Protection Bureau to address the planned expiration of the "QM Patch" under the Dodd-Frank Act Ability to Repay/Qualified Mortgage rule;</w:t>
      </w:r>
    </w:p>
    <w:p>
      <w:pPr>
        <w:spacing w:after="0" w:line="94" w:lineRule="exact"/>
        <w:rPr>
          <w:rFonts w:ascii="Arial" w:cs="Arial" w:eastAsia="Arial" w:hAnsi="Arial"/>
          <w:sz w:val="16"/>
          <w:szCs w:val="16"/>
          <w:color w:val="auto"/>
        </w:rPr>
      </w:pPr>
    </w:p>
    <w:p>
      <w:pPr>
        <w:ind w:left="9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to the GSEs' role in the secondary mortgage market or other changes that could affect the residential mortgage industry generally or mortgage insurance in particular;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116"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 w:name="page4"/>
    <w:bookmarkEnd w:id="3"/>
    <w:p>
      <w:pPr>
        <w:jc w:val="both"/>
        <w:ind w:left="980" w:hanging="324"/>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94"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adverse impacts arising from natural disasters, including, with respect to affected areas, a decline in new business, adverse effects on home prices, and an increase in notices of default on insured mortgages;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17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II, Item 1A of this Report and in Part I, Item 1A, of our Annual Report on Form 10-K for the year ended December 31, 2019 (2019 10-K), and in Part II, Item 1A of our Quarterly Report on Form 10-Q for the quarter ended June 30, 2020, as subsequently updated in other reports we file from time to time with the U.S. Securities and Exchange Commission (SEC).</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the "Company"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Condensed Consolidated Balance Sheets as of September 30, 2020 (Unaudited) and December 31, 2019</w:t>
            </w:r>
          </w:p>
        </w:tc>
        <w:tc>
          <w:tcPr>
            <w:tcW w:w="580" w:type="dxa"/>
            <w:vAlign w:val="bottom"/>
            <w:shd w:val="clear" w:color="auto" w:fill="CCEEFF"/>
          </w:tcPr>
          <w:p>
            <w:pPr>
              <w:jc w:val="right"/>
              <w:spacing w:after="0"/>
              <w:rPr>
                <w:rFonts w:ascii="Arial" w:cs="Arial" w:eastAsia="Arial" w:hAnsi="Arial"/>
                <w:sz w:val="18"/>
                <w:szCs w:val="18"/>
                <w:u w:val="single" w:color="auto"/>
                <w:color w:val="0000FF"/>
                <w:shd w:val="clear" w:color="auto" w:fill="CCEEFF"/>
              </w:rPr>
            </w:pPr>
            <w:hyperlink w:anchor="page5">
              <w:r>
                <w:rPr>
                  <w:rFonts w:ascii="Arial" w:cs="Arial" w:eastAsia="Arial" w:hAnsi="Arial"/>
                  <w:sz w:val="18"/>
                  <w:szCs w:val="18"/>
                  <w:u w:val="single" w:color="auto"/>
                  <w:color w:val="0000FF"/>
                  <w:shd w:val="clear" w:color="auto" w:fill="CCEEFF"/>
                </w:rPr>
                <w:t>6</w:t>
              </w:r>
            </w:hyperlink>
          </w:p>
        </w:tc>
        <w:tc>
          <w:tcPr>
            <w:tcW w:w="0" w:type="dxa"/>
            <w:vAlign w:val="bottom"/>
          </w:tcPr>
          <w:p>
            <w:pPr>
              <w:spacing w:after="0"/>
              <w:rPr>
                <w:sz w:val="1"/>
                <w:szCs w:val="1"/>
                <w:color w:val="auto"/>
              </w:rPr>
            </w:pPr>
          </w:p>
        </w:tc>
      </w:tr>
      <w:tr>
        <w:trPr>
          <w:trHeight w:val="175"/>
        </w:trPr>
        <w:tc>
          <w:tcPr>
            <w:tcW w:w="10660" w:type="dxa"/>
            <w:vAlign w:val="bottom"/>
          </w:tcPr>
          <w:p>
            <w:pPr>
              <w:ind w:left="20"/>
              <w:spacing w:after="0" w:line="176" w:lineRule="exact"/>
              <w:rPr>
                <w:sz w:val="20"/>
                <w:szCs w:val="20"/>
                <w:color w:val="auto"/>
              </w:rPr>
            </w:pPr>
            <w:r>
              <w:rPr>
                <w:rFonts w:ascii="Arial" w:cs="Arial" w:eastAsia="Arial" w:hAnsi="Arial"/>
                <w:sz w:val="18"/>
                <w:szCs w:val="18"/>
                <w:color w:val="auto"/>
                <w:w w:val="93"/>
              </w:rPr>
              <w:t>Condensed Consolidated Statements of Operations and Comprehensive Income for the three and nine months ended September 30, 2020 and</w:t>
            </w:r>
          </w:p>
        </w:tc>
        <w:tc>
          <w:tcPr>
            <w:tcW w:w="580" w:type="dxa"/>
            <w:vAlign w:val="bottom"/>
            <w:vMerge w:val="restart"/>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30"/>
        </w:trPr>
        <w:tc>
          <w:tcPr>
            <w:tcW w:w="10660" w:type="dxa"/>
            <w:vAlign w:val="bottom"/>
          </w:tcPr>
          <w:p>
            <w:pPr>
              <w:ind w:left="20"/>
              <w:spacing w:after="0"/>
              <w:rPr>
                <w:sz w:val="20"/>
                <w:szCs w:val="20"/>
                <w:color w:val="auto"/>
              </w:rPr>
            </w:pPr>
            <w:r>
              <w:rPr>
                <w:rFonts w:ascii="Arial" w:cs="Arial" w:eastAsia="Arial" w:hAnsi="Arial"/>
                <w:sz w:val="18"/>
                <w:szCs w:val="18"/>
                <w:color w:val="auto"/>
              </w:rPr>
              <w:t>2019 (Unaudited)</w:t>
            </w: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Condensed Consolidated Statements of Changes in Shareholders' Equity for the nine months ended September 30, 2020 and 2019 (Unaudited)</w:t>
            </w:r>
          </w:p>
        </w:tc>
        <w:tc>
          <w:tcPr>
            <w:tcW w:w="580" w:type="dxa"/>
            <w:vAlign w:val="bottom"/>
            <w:shd w:val="clear" w:color="auto" w:fill="CCEEFF"/>
          </w:tcPr>
          <w:p>
            <w:pPr>
              <w:jc w:val="right"/>
              <w:spacing w:after="0"/>
              <w:rPr>
                <w:rFonts w:ascii="Arial" w:cs="Arial" w:eastAsia="Arial" w:hAnsi="Arial"/>
                <w:sz w:val="18"/>
                <w:szCs w:val="18"/>
                <w:u w:val="single" w:color="auto"/>
                <w:color w:val="0000FF"/>
                <w:shd w:val="clear" w:color="auto" w:fill="CCEEFF"/>
              </w:rPr>
            </w:pPr>
            <w:hyperlink w:anchor="page7">
              <w:r>
                <w:rPr>
                  <w:rFonts w:ascii="Arial" w:cs="Arial" w:eastAsia="Arial" w:hAnsi="Arial"/>
                  <w:sz w:val="18"/>
                  <w:szCs w:val="18"/>
                  <w:u w:val="single" w:color="auto"/>
                  <w:color w:val="0000FF"/>
                  <w:shd w:val="clear" w:color="auto" w:fill="CCEEFF"/>
                </w:rPr>
                <w:t>8</w:t>
              </w:r>
            </w:hyperlink>
          </w:p>
        </w:tc>
        <w:tc>
          <w:tcPr>
            <w:tcW w:w="0" w:type="dxa"/>
            <w:vAlign w:val="bottom"/>
          </w:tcPr>
          <w:p>
            <w:pPr>
              <w:spacing w:after="0"/>
              <w:rPr>
                <w:sz w:val="1"/>
                <w:szCs w:val="1"/>
                <w:color w:val="auto"/>
              </w:rPr>
            </w:pPr>
          </w:p>
        </w:tc>
      </w:tr>
      <w:tr>
        <w:trPr>
          <w:trHeight w:val="229"/>
        </w:trPr>
        <w:tc>
          <w:tcPr>
            <w:tcW w:w="10660" w:type="dxa"/>
            <w:vAlign w:val="bottom"/>
          </w:tcPr>
          <w:p>
            <w:pPr>
              <w:ind w:left="20"/>
              <w:spacing w:after="0"/>
              <w:rPr>
                <w:sz w:val="20"/>
                <w:szCs w:val="20"/>
                <w:color w:val="auto"/>
              </w:rPr>
            </w:pPr>
            <w:r>
              <w:rPr>
                <w:rFonts w:ascii="Arial" w:cs="Arial" w:eastAsia="Arial" w:hAnsi="Arial"/>
                <w:sz w:val="18"/>
                <w:szCs w:val="18"/>
                <w:color w:val="auto"/>
              </w:rPr>
              <w:t>Condensed Consolidated Statements of Cash Flows for the nine months ended September 30, 2020 and 2019 (Unaudited)</w:t>
            </w:r>
          </w:p>
        </w:tc>
        <w:tc>
          <w:tcPr>
            <w:tcW w:w="58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10</w:t>
              </w:r>
            </w:hyperlink>
          </w:p>
        </w:tc>
        <w:tc>
          <w:tcPr>
            <w:tcW w:w="0" w:type="dxa"/>
            <w:vAlign w:val="bottom"/>
          </w:tcPr>
          <w:p>
            <w:pPr>
              <w:spacing w:after="0"/>
              <w:rPr>
                <w:sz w:val="1"/>
                <w:szCs w:val="1"/>
                <w:color w:val="auto"/>
              </w:rPr>
            </w:pPr>
          </w:p>
        </w:tc>
      </w:tr>
      <w:tr>
        <w:trPr>
          <w:trHeight w:val="230"/>
        </w:trPr>
        <w:tc>
          <w:tcPr>
            <w:tcW w:w="10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to Condensed Consolidated Financial Statements (Unaudited)</w:t>
            </w:r>
          </w:p>
        </w:tc>
        <w:tc>
          <w:tcPr>
            <w:tcW w:w="580" w:type="dxa"/>
            <w:vAlign w:val="bottom"/>
            <w:shd w:val="clear" w:color="auto" w:fill="CCEEFF"/>
          </w:tcPr>
          <w:p>
            <w:pPr>
              <w:jc w:val="right"/>
              <w:spacing w:after="0"/>
              <w:rPr>
                <w:rFonts w:ascii="Arial" w:cs="Arial" w:eastAsia="Arial" w:hAnsi="Arial"/>
                <w:sz w:val="18"/>
                <w:szCs w:val="18"/>
                <w:u w:val="single" w:color="auto"/>
                <w:color w:val="0000FF"/>
                <w:shd w:val="clear" w:color="auto" w:fill="CCEEFF"/>
              </w:rPr>
            </w:pPr>
            <w:hyperlink w:anchor="page10">
              <w:r>
                <w:rPr>
                  <w:rFonts w:ascii="Arial" w:cs="Arial" w:eastAsia="Arial" w:hAnsi="Arial"/>
                  <w:sz w:val="18"/>
                  <w:szCs w:val="18"/>
                  <w:u w:val="single" w:color="auto"/>
                  <w:color w:val="0000FF"/>
                  <w:shd w:val="clear" w:color="auto" w:fill="CCEEFF"/>
                </w:rPr>
                <w:t>11</w:t>
              </w:r>
            </w:hyperlink>
          </w:p>
        </w:tc>
        <w:tc>
          <w:tcPr>
            <w:tcW w:w="0" w:type="dxa"/>
            <w:vAlign w:val="bottom"/>
          </w:tcPr>
          <w:p>
            <w:pPr>
              <w:spacing w:after="0"/>
              <w:rPr>
                <w:sz w:val="1"/>
                <w:szCs w:val="1"/>
                <w:color w:val="auto"/>
              </w:rPr>
            </w:pPr>
          </w:p>
        </w:tc>
      </w:tr>
      <w:tr>
        <w:trPr>
          <w:trHeight w:val="1242"/>
        </w:trPr>
        <w:tc>
          <w:tcPr>
            <w:tcW w:w="10660" w:type="dxa"/>
            <w:vAlign w:val="bottom"/>
          </w:tcPr>
          <w:p>
            <w:pPr>
              <w:ind w:left="558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3380" w:type="dxa"/>
            <w:vAlign w:val="bottom"/>
            <w:gridSpan w:val="4"/>
          </w:tcPr>
          <w:p>
            <w:pPr>
              <w:jc w:val="right"/>
              <w:ind w:right="611"/>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76"/>
        </w:trPr>
        <w:tc>
          <w:tcPr>
            <w:tcW w:w="7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Fixed maturities, available-for-sale, at fair value (amortized cost of $1,624,970 and $1,113,779 as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1,689,815</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1,140,940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2020 and December 31, 2019, respectively)</w:t>
            </w:r>
          </w:p>
        </w:tc>
        <w:tc>
          <w:tcPr>
            <w:tcW w:w="18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20"/>
              <w:spacing w:after="0" w:line="176" w:lineRule="exact"/>
              <w:rPr>
                <w:sz w:val="20"/>
                <w:szCs w:val="20"/>
                <w:color w:val="auto"/>
              </w:rPr>
            </w:pPr>
            <w:r>
              <w:rPr>
                <w:rFonts w:ascii="Arial" w:cs="Arial" w:eastAsia="Arial" w:hAnsi="Arial"/>
                <w:sz w:val="18"/>
                <w:szCs w:val="18"/>
                <w:color w:val="auto"/>
                <w:w w:val="92"/>
              </w:rPr>
              <w:t>Cash and cash equivalents (including restricted cash of $5,555 and $2,662 as of September 30, 2020</w:t>
            </w:r>
          </w:p>
        </w:tc>
        <w:tc>
          <w:tcPr>
            <w:tcW w:w="18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194,199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41,089</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and December 31, 2019, respectively)</w:t>
            </w:r>
          </w:p>
        </w:tc>
        <w:tc>
          <w:tcPr>
            <w:tcW w:w="18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46,085</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Accrued investment income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Deferred policy acquisition costs, net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63,194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59,972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Software and equipment,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26,096</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Intangible assets and goodwill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reinsurance premiums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Reinsurance recoverable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17,180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16,232</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2,081,820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1,364,818</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145,764</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116,008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136,642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39,904</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23,752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funds withheld</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14,310</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Warrant liability, at fair value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liability,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56,360</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10,025</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434,398</w:t>
            </w:r>
          </w:p>
        </w:tc>
        <w:tc>
          <w:tcPr>
            <w:tcW w:w="0" w:type="dxa"/>
            <w:vAlign w:val="bottom"/>
          </w:tcPr>
          <w:p>
            <w:pPr>
              <w:spacing w:after="0"/>
              <w:rPr>
                <w:sz w:val="1"/>
                <w:szCs w:val="1"/>
                <w:color w:val="auto"/>
              </w:rPr>
            </w:pPr>
          </w:p>
        </w:tc>
      </w:tr>
      <w:tr>
        <w:trPr>
          <w:trHeight w:val="209"/>
        </w:trPr>
        <w:tc>
          <w:tcPr>
            <w:tcW w:w="76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Common stock - class A shares, $0.01 par value; 84,808,516 and 68,358,074 shares issued and</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outstanding as of September 30, 2020 and December 31, 2019, respectively (250,000,000 shares</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authorized)</w:t>
            </w:r>
          </w:p>
        </w:tc>
        <w:tc>
          <w:tcPr>
            <w:tcW w:w="18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930,906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707,003</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net of tax</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17,288</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205,445</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1,307,556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930,420</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2,081,820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1,364,818</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Reinsurance recoverable has been reclassified from "Other assets" in the prior period.</w:t>
      </w:r>
    </w:p>
    <w:p>
      <w:pPr>
        <w:spacing w:after="0" w:line="227" w:lineRule="exact"/>
        <w:rPr>
          <w:sz w:val="20"/>
          <w:szCs w:val="20"/>
          <w:color w:val="auto"/>
        </w:rPr>
      </w:pPr>
    </w:p>
    <w:p>
      <w:pPr>
        <w:ind w:left="5100"/>
        <w:spacing w:after="0"/>
        <w:rPr>
          <w:sz w:val="20"/>
          <w:szCs w:val="20"/>
          <w:color w:val="auto"/>
        </w:rPr>
      </w:pPr>
      <w:r>
        <w:rPr>
          <w:rFonts w:ascii="Arial" w:cs="Arial" w:eastAsia="Arial" w:hAnsi="Arial"/>
          <w:sz w:val="16"/>
          <w:szCs w:val="16"/>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ONDENSED CONSOLIDATED STATEMENTS OF OPERATIONS AND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 September 30,</w:t>
            </w:r>
          </w:p>
        </w:tc>
        <w:tc>
          <w:tcPr>
            <w:tcW w:w="240" w:type="dxa"/>
            <w:vAlign w:val="bottom"/>
          </w:tcPr>
          <w:p>
            <w:pPr>
              <w:spacing w:after="0"/>
              <w:rPr>
                <w:sz w:val="16"/>
                <w:szCs w:val="16"/>
                <w:color w:val="auto"/>
              </w:rPr>
            </w:pPr>
          </w:p>
        </w:tc>
        <w:tc>
          <w:tcPr>
            <w:tcW w:w="30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5"/>
          </w:tcPr>
          <w:p>
            <w:pPr>
              <w:ind w:left="180"/>
              <w:spacing w:after="0"/>
              <w:rPr>
                <w:sz w:val="20"/>
                <w:szCs w:val="20"/>
                <w:color w:val="auto"/>
              </w:rPr>
            </w:pPr>
            <w:r>
              <w:rPr>
                <w:rFonts w:ascii="Arial" w:cs="Arial" w:eastAsia="Arial" w:hAnsi="Arial"/>
                <w:sz w:val="14"/>
                <w:szCs w:val="14"/>
                <w:i w:val="1"/>
                <w:iCs w:val="1"/>
                <w:color w:val="auto"/>
              </w:rPr>
              <w:t>(In Thousands, except for per share data)</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249,499</w:t>
            </w: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22,894</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investment (losses) gains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323,380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273,874</w:t>
            </w: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claims and claim expenses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r>
        <w:trPr>
          <w:trHeight w:val="229"/>
        </w:trPr>
        <w:tc>
          <w:tcPr>
            <w:tcW w:w="4520" w:type="dxa"/>
            <w:vAlign w:val="bottom"/>
          </w:tcPr>
          <w:p>
            <w:pPr>
              <w:ind w:left="220"/>
              <w:spacing w:after="0" w:line="230" w:lineRule="exact"/>
              <w:rPr>
                <w:sz w:val="20"/>
                <w:szCs w:val="20"/>
                <w:color w:val="auto"/>
              </w:rPr>
            </w:pPr>
            <w:r>
              <w:rPr>
                <w:rFonts w:ascii="Arial" w:cs="Arial" w:eastAsia="Arial" w:hAnsi="Arial"/>
                <w:sz w:val="18"/>
                <w:szCs w:val="18"/>
                <w:color w:val="auto"/>
              </w:rPr>
              <w:t>Underwriting and operating expenses</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33,969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96,616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95,325</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Service expenses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29"/>
        </w:trPr>
        <w:tc>
          <w:tcPr>
            <w:tcW w:w="45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9,111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Loss (gain) from change in fair value of warrant liability</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166,890</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120,010</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153,864</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32,102</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121,762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84,805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67,849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75,695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67,381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69,520</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121,762</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Unrealized gains in accumulated other comprehensive</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income, net of tax expense of $2,494 and $1,376 for the</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three months ended September 30, 2020 and 2019,</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respectively, and $7,655 and $8,991 for the nine months</w:t>
            </w:r>
          </w:p>
        </w:tc>
        <w:tc>
          <w:tcPr>
            <w:tcW w:w="2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28,799</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33,824</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ended September 30, 2020 and 2019, respectively</w:t>
            </w:r>
          </w:p>
        </w:tc>
        <w:tc>
          <w:tcPr>
            <w:tcW w:w="2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220"/>
              <w:spacing w:after="0" w:line="176" w:lineRule="exact"/>
              <w:rPr>
                <w:sz w:val="20"/>
                <w:szCs w:val="20"/>
                <w:color w:val="auto"/>
              </w:rPr>
            </w:pPr>
            <w:r>
              <w:rPr>
                <w:rFonts w:ascii="Arial" w:cs="Arial" w:eastAsia="Arial" w:hAnsi="Arial"/>
                <w:sz w:val="18"/>
                <w:szCs w:val="18"/>
                <w:color w:val="auto"/>
                <w:w w:val="99"/>
              </w:rPr>
              <w:t>Reclassification adjustment for realized losses (gains)</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tcPr>
          <w:p>
            <w:pPr>
              <w:ind w:left="220"/>
              <w:spacing w:after="0" w:line="176" w:lineRule="exact"/>
              <w:rPr>
                <w:sz w:val="20"/>
                <w:szCs w:val="20"/>
                <w:color w:val="auto"/>
              </w:rPr>
            </w:pPr>
            <w:r>
              <w:rPr>
                <w:rFonts w:ascii="Arial" w:cs="Arial" w:eastAsia="Arial" w:hAnsi="Arial"/>
                <w:sz w:val="18"/>
                <w:szCs w:val="18"/>
                <w:color w:val="auto"/>
                <w:w w:val="92"/>
              </w:rPr>
              <w:t>included in net income, net of tax (benefit) expense of ($1)</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220"/>
              <w:spacing w:after="0" w:line="176" w:lineRule="exact"/>
              <w:rPr>
                <w:sz w:val="20"/>
                <w:szCs w:val="20"/>
                <w:color w:val="auto"/>
              </w:rPr>
            </w:pPr>
            <w:r>
              <w:rPr>
                <w:rFonts w:ascii="Arial" w:cs="Arial" w:eastAsia="Arial" w:hAnsi="Arial"/>
                <w:sz w:val="18"/>
                <w:szCs w:val="18"/>
                <w:color w:val="auto"/>
                <w:w w:val="94"/>
              </w:rPr>
              <w:t>and $17 for the three months ended September 30, 2020</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220"/>
              <w:spacing w:after="0" w:line="176" w:lineRule="exact"/>
              <w:rPr>
                <w:sz w:val="20"/>
                <w:szCs w:val="20"/>
                <w:color w:val="auto"/>
              </w:rPr>
            </w:pPr>
            <w:r>
              <w:rPr>
                <w:rFonts w:ascii="Arial" w:cs="Arial" w:eastAsia="Arial" w:hAnsi="Arial"/>
                <w:sz w:val="18"/>
                <w:szCs w:val="18"/>
                <w:color w:val="auto"/>
                <w:w w:val="94"/>
              </w:rPr>
              <w:t>and 2019, respectively, and ($258) and ($46) for the nine</w:t>
            </w:r>
          </w:p>
        </w:tc>
        <w:tc>
          <w:tcPr>
            <w:tcW w:w="2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1"/>
              </w:rPr>
              <w:t>months ended September 30, 2020 and 2019, respectively</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153,069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155,759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Certain "Underwriting and operating expenses" have been reclassified as "Service expenses" in prior periods.</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16"/>
          <w:szCs w:val="16"/>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320" w:type="dxa"/>
            <w:vAlign w:val="bottom"/>
            <w:gridSpan w:val="3"/>
            <w:vMerge w:val="restart"/>
          </w:tcPr>
          <w:p>
            <w:pPr>
              <w:jc w:val="right"/>
              <w:ind w:right="291"/>
              <w:spacing w:after="0"/>
              <w:rPr>
                <w:sz w:val="20"/>
                <w:szCs w:val="20"/>
                <w:color w:val="auto"/>
              </w:rPr>
            </w:pPr>
            <w:r>
              <w:rPr>
                <w:rFonts w:ascii="Arial" w:cs="Arial" w:eastAsia="Arial" w:hAnsi="Arial"/>
                <w:sz w:val="14"/>
                <w:szCs w:val="14"/>
                <w:b w:val="1"/>
                <w:bCs w:val="1"/>
                <w:color w:val="auto"/>
              </w:rPr>
              <w:t>Common Stock - Class A</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Accumulated 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4000" w:type="dxa"/>
            <w:vAlign w:val="bottom"/>
          </w:tcPr>
          <w:p>
            <w:pPr>
              <w:spacing w:after="0"/>
              <w:rPr>
                <w:sz w:val="8"/>
                <w:szCs w:val="8"/>
                <w:color w:val="auto"/>
              </w:rPr>
            </w:pPr>
          </w:p>
        </w:tc>
        <w:tc>
          <w:tcPr>
            <w:tcW w:w="2320" w:type="dxa"/>
            <w:vAlign w:val="bottom"/>
            <w:tcBorders>
              <w:bottom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jc w:val="right"/>
              <w:ind w:right="173"/>
              <w:spacing w:after="0" w:line="102"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8"/>
                <w:szCs w:val="8"/>
                <w:color w:val="auto"/>
              </w:rPr>
            </w:pPr>
          </w:p>
        </w:tc>
        <w:tc>
          <w:tcPr>
            <w:tcW w:w="1160" w:type="dxa"/>
            <w:vAlign w:val="bottom"/>
          </w:tcPr>
          <w:p>
            <w:pPr>
              <w:jc w:val="right"/>
              <w:ind w:right="73"/>
              <w:spacing w:after="0" w:line="102" w:lineRule="exact"/>
              <w:rPr>
                <w:sz w:val="20"/>
                <w:szCs w:val="20"/>
                <w:color w:val="auto"/>
              </w:rPr>
            </w:pPr>
            <w:r>
              <w:rPr>
                <w:rFonts w:ascii="Arial" w:cs="Arial" w:eastAsia="Arial" w:hAnsi="Arial"/>
                <w:sz w:val="11"/>
                <w:szCs w:val="11"/>
                <w:b w:val="1"/>
                <w:bCs w:val="1"/>
                <w:color w:val="auto"/>
              </w:rPr>
              <w:t>Comprehensive</w:t>
            </w:r>
          </w:p>
        </w:tc>
        <w:tc>
          <w:tcPr>
            <w:tcW w:w="200" w:type="dxa"/>
            <w:vAlign w:val="bottom"/>
          </w:tcPr>
          <w:p>
            <w:pPr>
              <w:spacing w:after="0"/>
              <w:rPr>
                <w:sz w:val="8"/>
                <w:szCs w:val="8"/>
                <w:color w:val="auto"/>
              </w:rPr>
            </w:pPr>
          </w:p>
        </w:tc>
        <w:tc>
          <w:tcPr>
            <w:tcW w:w="940" w:type="dxa"/>
            <w:vAlign w:val="bottom"/>
          </w:tcPr>
          <w:p>
            <w:pPr>
              <w:jc w:val="right"/>
              <w:ind w:right="193"/>
              <w:spacing w:after="0" w:line="102" w:lineRule="exact"/>
              <w:rPr>
                <w:sz w:val="20"/>
                <w:szCs w:val="20"/>
                <w:color w:val="auto"/>
              </w:rPr>
            </w:pPr>
            <w:r>
              <w:rPr>
                <w:rFonts w:ascii="Arial" w:cs="Arial" w:eastAsia="Arial" w:hAnsi="Arial"/>
                <w:sz w:val="11"/>
                <w:szCs w:val="11"/>
                <w:b w:val="1"/>
                <w:bCs w:val="1"/>
                <w:color w:val="auto"/>
              </w:rPr>
              <w:t>Retained</w:t>
            </w: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000" w:type="dxa"/>
            <w:vAlign w:val="bottom"/>
          </w:tcPr>
          <w:p>
            <w:pPr>
              <w:spacing w:after="0"/>
              <w:rPr>
                <w:sz w:val="17"/>
                <w:szCs w:val="17"/>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4"/>
              </w:rPr>
              <w:t>Paid-in Capital</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Earnings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3"/>
          </w:tcPr>
          <w:p>
            <w:pPr>
              <w:jc w:val="right"/>
              <w:ind w:right="633"/>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707,003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205,445</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930,420</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Common stock: class A shares issued related to</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warrant exercises</w:t>
            </w: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Common stock: class A shares issued under stock</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Change in unrealized investment gains/losses, net of</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(12,824)</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of $3,409</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58,271</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706,021</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263,716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974,890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0"/>
              </w:rPr>
              <w:t>Common stock: class A shares issued related to public</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00" w:type="dxa"/>
            <w:vAlign w:val="bottom"/>
            <w:vMerge w:val="continue"/>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15,870</w:t>
            </w: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219,528</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2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219,687</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offering</w:t>
            </w:r>
          </w:p>
        </w:tc>
        <w:tc>
          <w:tcPr>
            <w:tcW w:w="11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Common stock: class A shares issued under stock</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Change in unrealized investment gains/losses, net of</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33,211</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33,211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of $8,829</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26,848</w:t>
            </w:r>
          </w:p>
        </w:tc>
        <w:tc>
          <w:tcPr>
            <w:tcW w:w="0" w:type="dxa"/>
            <w:vAlign w:val="bottom"/>
          </w:tcPr>
          <w:p>
            <w:pPr>
              <w:spacing w:after="0"/>
              <w:rPr>
                <w:sz w:val="1"/>
                <w:szCs w:val="1"/>
                <w:color w:val="auto"/>
              </w:rPr>
            </w:pPr>
          </w:p>
        </w:tc>
      </w:tr>
      <w:tr>
        <w:trPr>
          <w:trHeight w:val="221"/>
        </w:trPr>
        <w:tc>
          <w:tcPr>
            <w:tcW w:w="40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Balances, June 30, 2020</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84,805</w:t>
            </w:r>
          </w:p>
        </w:tc>
        <w:tc>
          <w:tcPr>
            <w:tcW w:w="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848</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927,950</w:t>
            </w:r>
          </w:p>
        </w:tc>
        <w:tc>
          <w:tcPr>
            <w:tcW w:w="1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37,675</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290,564</w:t>
            </w:r>
          </w:p>
        </w:tc>
        <w:tc>
          <w:tcPr>
            <w:tcW w:w="3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1,257,037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8"/>
              </w:rPr>
              <w:t>Common stock: class A shares issued under stock</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00" w:type="dxa"/>
            <w:vAlign w:val="bottom"/>
            <w:vMerge w:val="continue"/>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Change in unrealized investment gains, net of tax</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9,384</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expense of $2,494</w:t>
            </w: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38,179</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38,179</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Balances, September 30, 2020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84,809</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930,906</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328,743</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1,307,556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hanging="332"/>
        <w:spacing w:after="0" w:line="286" w:lineRule="auto"/>
        <w:tabs>
          <w:tab w:leader="none" w:pos="289" w:val="left"/>
        </w:tabs>
        <w:numPr>
          <w:ilvl w:val="0"/>
          <w:numId w:val="7"/>
        </w:numPr>
        <w:rPr>
          <w:rFonts w:ascii="Arial" w:cs="Arial" w:eastAsia="Arial" w:hAnsi="Arial"/>
          <w:sz w:val="13"/>
          <w:szCs w:val="13"/>
          <w:color w:val="auto"/>
        </w:rPr>
      </w:pPr>
      <w:r>
        <w:rPr>
          <w:rFonts w:ascii="Arial" w:cs="Arial" w:eastAsia="Arial" w:hAnsi="Arial"/>
          <w:sz w:val="13"/>
          <w:szCs w:val="13"/>
          <w:color w:val="auto"/>
        </w:rPr>
        <w:t>During the three months ended March 31, 2020, we issued 6,474 common shares with a par value of $0.01 in connection with the exercise of warrants, which is not identifiable in this schedule due to rounding. During the three months ended June 30, 2020 and September 30, 2020, we issued 61,226 and 3,750 common shares, respectively, with a par value of $0.01 in connection with the exercise of options, and vesting of restricted stock units granted under our stock plans, which are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320" w:type="dxa"/>
            <w:vAlign w:val="bottom"/>
            <w:gridSpan w:val="3"/>
            <w:vMerge w:val="restart"/>
          </w:tcPr>
          <w:p>
            <w:pPr>
              <w:jc w:val="right"/>
              <w:ind w:right="311"/>
              <w:spacing w:after="0"/>
              <w:rPr>
                <w:sz w:val="20"/>
                <w:szCs w:val="20"/>
                <w:color w:val="auto"/>
              </w:rPr>
            </w:pPr>
            <w:r>
              <w:rPr>
                <w:rFonts w:ascii="Arial" w:cs="Arial" w:eastAsia="Arial" w:hAnsi="Arial"/>
                <w:sz w:val="14"/>
                <w:szCs w:val="14"/>
                <w:b w:val="1"/>
                <w:bCs w:val="1"/>
                <w:color w:val="auto"/>
              </w:rPr>
              <w:t>Common Stock - Class A</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Accumulated Other</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980" w:type="dxa"/>
            <w:vAlign w:val="bottom"/>
          </w:tcPr>
          <w:p>
            <w:pPr>
              <w:spacing w:after="0"/>
              <w:rPr>
                <w:sz w:val="8"/>
                <w:szCs w:val="8"/>
                <w:color w:val="auto"/>
              </w:rPr>
            </w:pPr>
          </w:p>
        </w:tc>
        <w:tc>
          <w:tcPr>
            <w:tcW w:w="2320" w:type="dxa"/>
            <w:vAlign w:val="bottom"/>
            <w:tcBorders>
              <w:bottom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right"/>
              <w:ind w:right="193"/>
              <w:spacing w:after="0" w:line="102" w:lineRule="exact"/>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8"/>
                <w:szCs w:val="8"/>
                <w:color w:val="auto"/>
              </w:rPr>
            </w:pPr>
          </w:p>
        </w:tc>
        <w:tc>
          <w:tcPr>
            <w:tcW w:w="1140" w:type="dxa"/>
            <w:vAlign w:val="bottom"/>
          </w:tcPr>
          <w:p>
            <w:pPr>
              <w:jc w:val="right"/>
              <w:ind w:right="72"/>
              <w:spacing w:after="0" w:line="102" w:lineRule="exact"/>
              <w:rPr>
                <w:sz w:val="20"/>
                <w:szCs w:val="20"/>
                <w:color w:val="auto"/>
              </w:rPr>
            </w:pPr>
            <w:r>
              <w:rPr>
                <w:rFonts w:ascii="Arial" w:cs="Arial" w:eastAsia="Arial" w:hAnsi="Arial"/>
                <w:sz w:val="11"/>
                <w:szCs w:val="11"/>
                <w:b w:val="1"/>
                <w:bCs w:val="1"/>
                <w:color w:val="auto"/>
              </w:rPr>
              <w:t>Comprehensive</w:t>
            </w: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980" w:type="dxa"/>
            <w:vAlign w:val="bottom"/>
          </w:tcPr>
          <w:p>
            <w:pPr>
              <w:spacing w:after="0"/>
              <w:rPr>
                <w:sz w:val="17"/>
                <w:szCs w:val="17"/>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Income</w:t>
            </w: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Retained Earnings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3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
          </w:tcPr>
          <w:p>
            <w:pPr>
              <w:jc w:val="right"/>
              <w:ind w:right="672"/>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682,181</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701,500</w:t>
            </w:r>
          </w:p>
        </w:tc>
        <w:tc>
          <w:tcPr>
            <w:tcW w:w="0" w:type="dxa"/>
            <w:vAlign w:val="bottom"/>
          </w:tcPr>
          <w:p>
            <w:pPr>
              <w:spacing w:after="0"/>
              <w:rPr>
                <w:sz w:val="1"/>
                <w:szCs w:val="1"/>
                <w:color w:val="auto"/>
              </w:rPr>
            </w:pPr>
          </w:p>
        </w:tc>
      </w:tr>
      <w:tr>
        <w:trPr>
          <w:trHeight w:val="176"/>
        </w:trPr>
        <w:tc>
          <w:tcPr>
            <w:tcW w:w="3980" w:type="dxa"/>
            <w:vAlign w:val="bottom"/>
          </w:tcPr>
          <w:p>
            <w:pPr>
              <w:ind w:left="20"/>
              <w:spacing w:after="0" w:line="176" w:lineRule="exact"/>
              <w:rPr>
                <w:sz w:val="20"/>
                <w:szCs w:val="20"/>
                <w:color w:val="auto"/>
              </w:rPr>
            </w:pPr>
            <w:r>
              <w:rPr>
                <w:rFonts w:ascii="Arial" w:cs="Arial" w:eastAsia="Arial" w:hAnsi="Arial"/>
                <w:sz w:val="18"/>
                <w:szCs w:val="18"/>
                <w:color w:val="auto"/>
              </w:rPr>
              <w:t>Common stock: class A shares issued related to</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944</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warrant exercises</w:t>
            </w: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Common stock: class A shares issued under stock</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Change in unrealized investment gains/losses, net of</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15,016</w:t>
            </w: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of $3,992</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32,899</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32,899</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684,635</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751,881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Common stock: class A shares issued related to</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980" w:type="dxa"/>
            <w:vAlign w:val="bottom"/>
            <w:vMerge w:val="continue"/>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3,835</w:t>
            </w:r>
          </w:p>
        </w:tc>
        <w:tc>
          <w:tcPr>
            <w:tcW w:w="1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warrants</w:t>
            </w:r>
          </w:p>
        </w:tc>
        <w:tc>
          <w:tcPr>
            <w:tcW w:w="11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Common stock: class A shares issued under stock</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Change in unrealized investment gains/losses, net of</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of $3,686</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39,100</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Balances, June 30, 2019</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67,768</w:t>
            </w: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677</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692,163</w:t>
            </w:r>
          </w:p>
        </w:tc>
        <w:tc>
          <w:tcPr>
            <w:tcW w:w="160" w:type="dxa"/>
            <w:vAlign w:val="bottom"/>
            <w:tcBorders>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14,052</w:t>
            </w:r>
          </w:p>
        </w:tc>
        <w:tc>
          <w:tcPr>
            <w:tcW w:w="3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105,487</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812,379</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Common stock: class A shares issued related to</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980" w:type="dxa"/>
            <w:vAlign w:val="bottom"/>
            <w:vMerge w:val="continue"/>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2,176</w:t>
            </w:r>
          </w:p>
        </w:tc>
        <w:tc>
          <w:tcPr>
            <w:tcW w:w="1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warrants</w:t>
            </w: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Common stock: class A shares issued under stock</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 net of shares withheld for employee taxes</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Change in unrealized investment gains/losses, net of</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of $1,359</w:t>
            </w: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49,763</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49,763</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September 30, 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698,393</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19,165</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155,250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873,487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40" w:hanging="332"/>
        <w:spacing w:after="0" w:line="273" w:lineRule="auto"/>
        <w:tabs>
          <w:tab w:leader="none" w:pos="281" w:val="left"/>
        </w:tabs>
        <w:numPr>
          <w:ilvl w:val="0"/>
          <w:numId w:val="8"/>
        </w:numPr>
        <w:rPr>
          <w:rFonts w:ascii="Arial" w:cs="Arial" w:eastAsia="Arial" w:hAnsi="Arial"/>
          <w:sz w:val="14"/>
          <w:szCs w:val="14"/>
          <w:color w:val="auto"/>
        </w:rPr>
      </w:pPr>
      <w:r>
        <w:rPr>
          <w:rFonts w:ascii="Arial" w:cs="Arial" w:eastAsia="Arial" w:hAnsi="Arial"/>
          <w:sz w:val="14"/>
          <w:szCs w:val="14"/>
          <w:color w:val="auto"/>
        </w:rPr>
        <w:t>During the three months ended March 31, 2019, we issued 39,195 common shares with a par value of $0.01 in connection with the exercise of warrants, which is not identifiable in this schedule due to rounding.</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580" w:type="dxa"/>
            <w:vAlign w:val="bottom"/>
            <w:tcBorders>
              <w:bottom w:val="single" w:sz="8" w:color="auto"/>
            </w:tcBorders>
            <w:gridSpan w:val="5"/>
          </w:tcPr>
          <w:p>
            <w:pPr>
              <w:jc w:val="right"/>
              <w:ind w:right="415"/>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6"/>
        </w:trPr>
        <w:tc>
          <w:tcPr>
            <w:tcW w:w="766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r>
      <w:tr>
        <w:trPr>
          <w:trHeight w:val="198"/>
        </w:trPr>
        <w:tc>
          <w:tcPr>
            <w:tcW w:w="7660" w:type="dxa"/>
            <w:vAlign w:val="bottom"/>
          </w:tcPr>
          <w:p>
            <w:pPr>
              <w:ind w:left="20"/>
              <w:spacing w:after="0"/>
              <w:rPr>
                <w:sz w:val="20"/>
                <w:szCs w:val="20"/>
                <w:color w:val="auto"/>
              </w:rPr>
            </w:pPr>
            <w:r>
              <w:rPr>
                <w:rFonts w:ascii="Arial" w:cs="Arial" w:eastAsia="Arial" w:hAnsi="Arial"/>
                <w:sz w:val="17"/>
                <w:szCs w:val="17"/>
                <w:color w:val="auto"/>
              </w:rPr>
              <w:t>Cash flows from operating activities</w:t>
            </w:r>
          </w:p>
        </w:tc>
        <w:tc>
          <w:tcPr>
            <w:tcW w:w="1020" w:type="dxa"/>
            <w:vAlign w:val="bottom"/>
          </w:tcPr>
          <w:p>
            <w:pPr>
              <w:spacing w:after="0"/>
              <w:rPr>
                <w:sz w:val="17"/>
                <w:szCs w:val="17"/>
                <w:color w:val="auto"/>
              </w:rPr>
            </w:pPr>
          </w:p>
        </w:tc>
        <w:tc>
          <w:tcPr>
            <w:tcW w:w="1380" w:type="dxa"/>
            <w:vAlign w:val="bottom"/>
            <w:gridSpan w:val="3"/>
          </w:tcPr>
          <w:p>
            <w:pPr>
              <w:jc w:val="right"/>
              <w:ind w:right="95"/>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7"/>
                <w:szCs w:val="17"/>
                <w:color w:val="auto"/>
              </w:rPr>
            </w:pPr>
          </w:p>
        </w:tc>
      </w:tr>
      <w:tr>
        <w:trPr>
          <w:trHeight w:val="217"/>
        </w:trPr>
        <w:tc>
          <w:tcPr>
            <w:tcW w:w="7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121,762</w:t>
            </w:r>
          </w:p>
        </w:tc>
      </w:tr>
      <w:tr>
        <w:trPr>
          <w:trHeight w:val="216"/>
        </w:trPr>
        <w:tc>
          <w:tcPr>
            <w:tcW w:w="7660" w:type="dxa"/>
            <w:vAlign w:val="bottom"/>
          </w:tcPr>
          <w:p>
            <w:pPr>
              <w:ind w:left="1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realized investment (gains) losses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r>
      <w:tr>
        <w:trPr>
          <w:trHeight w:val="216"/>
        </w:trPr>
        <w:tc>
          <w:tcPr>
            <w:tcW w:w="7660" w:type="dxa"/>
            <w:vAlign w:val="bottom"/>
          </w:tcPr>
          <w:p>
            <w:pPr>
              <w:ind w:left="220"/>
              <w:spacing w:after="0"/>
              <w:rPr>
                <w:sz w:val="20"/>
                <w:szCs w:val="20"/>
                <w:color w:val="auto"/>
              </w:rPr>
            </w:pPr>
            <w:r>
              <w:rPr>
                <w:rFonts w:ascii="Arial" w:cs="Arial" w:eastAsia="Arial" w:hAnsi="Arial"/>
                <w:sz w:val="17"/>
                <w:szCs w:val="17"/>
                <w:color w:val="auto"/>
              </w:rPr>
              <w:t>(Gain) loss from change in fair value of warrant liability</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6,025</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6,661</w:t>
            </w:r>
          </w:p>
        </w:tc>
      </w:tr>
      <w:tr>
        <w:trPr>
          <w:trHeight w:val="216"/>
        </w:trPr>
        <w:tc>
          <w:tcPr>
            <w:tcW w:w="7660" w:type="dxa"/>
            <w:vAlign w:val="bottom"/>
          </w:tcPr>
          <w:p>
            <w:pPr>
              <w:ind w:left="220"/>
              <w:spacing w:after="0"/>
              <w:rPr>
                <w:sz w:val="20"/>
                <w:szCs w:val="20"/>
                <w:color w:val="auto"/>
              </w:rPr>
            </w:pPr>
            <w:r>
              <w:rPr>
                <w:rFonts w:ascii="Arial" w:cs="Arial" w:eastAsia="Arial" w:hAnsi="Arial"/>
                <w:sz w:val="17"/>
                <w:szCs w:val="17"/>
                <w:color w:val="auto"/>
              </w:rPr>
              <w:t>Net amortization of premium on investment securities</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943</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debt discount and debt issuance costs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w:t>
            </w:r>
          </w:p>
        </w:tc>
      </w:tr>
      <w:tr>
        <w:trPr>
          <w:trHeight w:val="216"/>
        </w:trPr>
        <w:tc>
          <w:tcPr>
            <w:tcW w:w="766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33,178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31,991</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compensation expense</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9,855</w:t>
            </w:r>
          </w:p>
        </w:tc>
      </w:tr>
      <w:tr>
        <w:trPr>
          <w:trHeight w:val="216"/>
        </w:trPr>
        <w:tc>
          <w:tcPr>
            <w:tcW w:w="766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Premiums receivable</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(9,723)</w:t>
            </w:r>
          </w:p>
        </w:tc>
      </w:tr>
      <w:tr>
        <w:trPr>
          <w:trHeight w:val="216"/>
        </w:trPr>
        <w:tc>
          <w:tcPr>
            <w:tcW w:w="7660" w:type="dxa"/>
            <w:vAlign w:val="bottom"/>
          </w:tcPr>
          <w:p>
            <w:pPr>
              <w:ind w:left="340"/>
              <w:spacing w:after="0"/>
              <w:rPr>
                <w:sz w:val="20"/>
                <w:szCs w:val="20"/>
                <w:color w:val="auto"/>
              </w:rPr>
            </w:pPr>
            <w:r>
              <w:rPr>
                <w:rFonts w:ascii="Arial" w:cs="Arial" w:eastAsia="Arial" w:hAnsi="Arial"/>
                <w:sz w:val="17"/>
                <w:szCs w:val="17"/>
                <w:color w:val="auto"/>
              </w:rPr>
              <w:t>Accrued investment income</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(1,191)</w:t>
            </w:r>
          </w:p>
        </w:tc>
      </w:tr>
      <w:tr>
        <w:trPr>
          <w:trHeight w:val="216"/>
        </w:trPr>
        <w:tc>
          <w:tcPr>
            <w:tcW w:w="7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w:t>
            </w:r>
          </w:p>
        </w:tc>
      </w:tr>
      <w:tr>
        <w:trPr>
          <w:trHeight w:val="216"/>
        </w:trPr>
        <w:tc>
          <w:tcPr>
            <w:tcW w:w="7660" w:type="dxa"/>
            <w:vAlign w:val="bottom"/>
          </w:tcPr>
          <w:p>
            <w:pPr>
              <w:ind w:left="340"/>
              <w:spacing w:after="0"/>
              <w:rPr>
                <w:sz w:val="20"/>
                <w:szCs w:val="20"/>
                <w:color w:val="auto"/>
              </w:rPr>
            </w:pPr>
            <w:r>
              <w:rPr>
                <w:rFonts w:ascii="Arial" w:cs="Arial" w:eastAsia="Arial" w:hAnsi="Arial"/>
                <w:sz w:val="17"/>
                <w:szCs w:val="17"/>
                <w:color w:val="auto"/>
              </w:rPr>
              <w:t>Deferred policy acquisition costs, net</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(9,802)</w:t>
            </w:r>
          </w:p>
        </w:tc>
      </w:tr>
      <w:tr>
        <w:trPr>
          <w:trHeight w:val="216"/>
        </w:trPr>
        <w:tc>
          <w:tcPr>
            <w:tcW w:w="7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assets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(8,428)</w:t>
            </w:r>
          </w:p>
        </w:tc>
      </w:tr>
      <w:tr>
        <w:trPr>
          <w:trHeight w:val="216"/>
        </w:trPr>
        <w:tc>
          <w:tcPr>
            <w:tcW w:w="7660" w:type="dxa"/>
            <w:vAlign w:val="bottom"/>
          </w:tcPr>
          <w:p>
            <w:pPr>
              <w:ind w:left="340"/>
              <w:spacing w:after="0"/>
              <w:rPr>
                <w:sz w:val="20"/>
                <w:szCs w:val="20"/>
                <w:color w:val="auto"/>
              </w:rPr>
            </w:pPr>
            <w:r>
              <w:rPr>
                <w:rFonts w:ascii="Arial" w:cs="Arial" w:eastAsia="Arial" w:hAnsi="Arial"/>
                <w:sz w:val="17"/>
                <w:szCs w:val="17"/>
                <w:color w:val="auto"/>
              </w:rPr>
              <w:t>Unearned premiums</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(20,634)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(13,747)</w:t>
            </w:r>
          </w:p>
        </w:tc>
      </w:tr>
      <w:tr>
        <w:trPr>
          <w:trHeight w:val="216"/>
        </w:trPr>
        <w:tc>
          <w:tcPr>
            <w:tcW w:w="7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Reserve for insurance claims and claim expenses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63,478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7,694</w:t>
            </w:r>
          </w:p>
        </w:tc>
      </w:tr>
      <w:tr>
        <w:trPr>
          <w:trHeight w:val="216"/>
        </w:trPr>
        <w:tc>
          <w:tcPr>
            <w:tcW w:w="7660" w:type="dxa"/>
            <w:vAlign w:val="bottom"/>
          </w:tcPr>
          <w:p>
            <w:pPr>
              <w:ind w:left="340"/>
              <w:spacing w:after="0"/>
              <w:rPr>
                <w:sz w:val="20"/>
                <w:szCs w:val="20"/>
                <w:color w:val="auto"/>
              </w:rPr>
            </w:pPr>
            <w:r>
              <w:rPr>
                <w:rFonts w:ascii="Arial" w:cs="Arial" w:eastAsia="Arial" w:hAnsi="Arial"/>
                <w:sz w:val="17"/>
                <w:szCs w:val="17"/>
                <w:color w:val="auto"/>
              </w:rPr>
              <w:t>Reinsurance recoverable</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(12,241)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(1,308)</w:t>
            </w:r>
          </w:p>
        </w:tc>
      </w:tr>
      <w:tr>
        <w:trPr>
          <w:trHeight w:val="216"/>
        </w:trPr>
        <w:tc>
          <w:tcPr>
            <w:tcW w:w="7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Reinsurance balances, net</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w:t>
            </w:r>
          </w:p>
        </w:tc>
      </w:tr>
      <w:tr>
        <w:trPr>
          <w:trHeight w:val="216"/>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Accounts payable and accrued expenses</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18,017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w:t>
            </w:r>
          </w:p>
        </w:tc>
      </w:tr>
      <w:tr>
        <w:trPr>
          <w:trHeight w:val="210"/>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214,977</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139,567</w:t>
            </w:r>
          </w:p>
        </w:tc>
      </w:tr>
      <w:tr>
        <w:trPr>
          <w:trHeight w:val="196"/>
        </w:trPr>
        <w:tc>
          <w:tcPr>
            <w:tcW w:w="766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 of short-term investments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(41,872)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(190,122)</w:t>
            </w:r>
          </w:p>
        </w:tc>
      </w:tr>
      <w:tr>
        <w:trPr>
          <w:trHeight w:val="216"/>
        </w:trPr>
        <w:tc>
          <w:tcPr>
            <w:tcW w:w="7660" w:type="dxa"/>
            <w:vAlign w:val="bottom"/>
          </w:tcPr>
          <w:p>
            <w:pPr>
              <w:ind w:left="120"/>
              <w:spacing w:after="0"/>
              <w:rPr>
                <w:sz w:val="20"/>
                <w:szCs w:val="20"/>
                <w:color w:val="auto"/>
              </w:rPr>
            </w:pPr>
            <w:r>
              <w:rPr>
                <w:rFonts w:ascii="Arial" w:cs="Arial" w:eastAsia="Arial" w:hAnsi="Arial"/>
                <w:sz w:val="17"/>
                <w:szCs w:val="17"/>
                <w:color w:val="auto"/>
              </w:rPr>
              <w:t>Purchase of fixed-maturity investments, available-for-sale</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0"/>
              </w:rPr>
              <w:t>(902,524)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(186,793)</w:t>
            </w:r>
          </w:p>
        </w:tc>
      </w:tr>
      <w:tr>
        <w:trPr>
          <w:trHeight w:val="229"/>
        </w:trPr>
        <w:tc>
          <w:tcPr>
            <w:tcW w:w="7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maturity of short-term investments</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200,105</w:t>
            </w:r>
          </w:p>
        </w:tc>
      </w:tr>
      <w:tr>
        <w:trPr>
          <w:trHeight w:val="216"/>
        </w:trPr>
        <w:tc>
          <w:tcPr>
            <w:tcW w:w="7660" w:type="dxa"/>
            <w:vAlign w:val="bottom"/>
          </w:tcPr>
          <w:p>
            <w:pPr>
              <w:ind w:left="12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346,931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66,996</w:t>
            </w: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Software and equipment</w:t>
            </w:r>
          </w:p>
        </w:tc>
        <w:tc>
          <w:tcPr>
            <w:tcW w:w="1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(9,102)</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(7,449)</w:t>
            </w:r>
          </w:p>
        </w:tc>
      </w:tr>
      <w:tr>
        <w:trPr>
          <w:trHeight w:val="21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investing activities</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(520,878)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(117,263)</w:t>
            </w:r>
          </w:p>
        </w:tc>
      </w:tr>
      <w:tr>
        <w:trPr>
          <w:trHeight w:val="196"/>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7660" w:type="dxa"/>
            <w:vAlign w:val="bottom"/>
          </w:tcPr>
          <w:p>
            <w:pPr>
              <w:ind w:left="120"/>
              <w:spacing w:after="0"/>
              <w:rPr>
                <w:sz w:val="20"/>
                <w:szCs w:val="20"/>
                <w:color w:val="auto"/>
              </w:rPr>
            </w:pPr>
            <w:r>
              <w:rPr>
                <w:rFonts w:ascii="Arial" w:cs="Arial" w:eastAsia="Arial" w:hAnsi="Arial"/>
                <w:sz w:val="17"/>
                <w:szCs w:val="17"/>
                <w:color w:val="auto"/>
              </w:rPr>
              <w:t>Proceeds from issuance of common stock related to public offering, net of issuance costs</w:t>
            </w: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219,687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13,733</w:t>
            </w:r>
          </w:p>
        </w:tc>
      </w:tr>
      <w:tr>
        <w:trPr>
          <w:trHeight w:val="216"/>
        </w:trPr>
        <w:tc>
          <w:tcPr>
            <w:tcW w:w="7660" w:type="dxa"/>
            <w:vAlign w:val="bottom"/>
          </w:tcPr>
          <w:p>
            <w:pPr>
              <w:ind w:left="120"/>
              <w:spacing w:after="0"/>
              <w:rPr>
                <w:sz w:val="20"/>
                <w:szCs w:val="20"/>
                <w:color w:val="auto"/>
              </w:rPr>
            </w:pPr>
            <w:r>
              <w:rPr>
                <w:rFonts w:ascii="Arial" w:cs="Arial" w:eastAsia="Arial" w:hAnsi="Arial"/>
                <w:sz w:val="17"/>
                <w:szCs w:val="17"/>
                <w:color w:val="auto"/>
              </w:rPr>
              <w:t>Taxes paid related to net share settlement of equity awards</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(7,465)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(14,317)</w:t>
            </w: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senior secured notes</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60" w:type="dxa"/>
            <w:vAlign w:val="bottom"/>
          </w:tcPr>
          <w:p>
            <w:pPr>
              <w:ind w:left="120"/>
              <w:spacing w:after="0"/>
              <w:rPr>
                <w:sz w:val="20"/>
                <w:szCs w:val="20"/>
                <w:color w:val="auto"/>
              </w:rPr>
            </w:pPr>
            <w:r>
              <w:rPr>
                <w:rFonts w:ascii="Arial" w:cs="Arial" w:eastAsia="Arial" w:hAnsi="Arial"/>
                <w:sz w:val="17"/>
                <w:szCs w:val="17"/>
                <w:color w:val="auto"/>
              </w:rPr>
              <w:t>Repayments of term loan</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0"/>
              </w:rPr>
              <w:t>(147,750)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(1,125)</w:t>
            </w: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Payments of debt issuance costs</w:t>
            </w:r>
          </w:p>
        </w:tc>
        <w:tc>
          <w:tcPr>
            <w:tcW w:w="1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(8,868)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459,011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(1,709)</w:t>
            </w:r>
          </w:p>
        </w:tc>
      </w:tr>
      <w:tr>
        <w:trPr>
          <w:trHeight w:val="74"/>
        </w:trPr>
        <w:tc>
          <w:tcPr>
            <w:tcW w:w="76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1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153,110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20,595</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1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41,089</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25,294</w:t>
            </w:r>
          </w:p>
        </w:tc>
      </w:tr>
      <w:tr>
        <w:trPr>
          <w:trHeight w:val="210"/>
        </w:trPr>
        <w:tc>
          <w:tcPr>
            <w:tcW w:w="766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194,199</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45,889</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1"/>
        </w:trPr>
        <w:tc>
          <w:tcPr>
            <w:tcW w:w="76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7"/>
                <w:szCs w:val="17"/>
                <w:color w:val="auto"/>
              </w:rPr>
              <w:t>Supplemental disclosures of cash flow information</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paid</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8,060</w:t>
            </w:r>
          </w:p>
        </w:tc>
      </w:tr>
      <w:tr>
        <w:trPr>
          <w:trHeight w:val="216"/>
        </w:trPr>
        <w:tc>
          <w:tcPr>
            <w:tcW w:w="7660" w:type="dxa"/>
            <w:vAlign w:val="bottom"/>
          </w:tcPr>
          <w:p>
            <w:pPr>
              <w:ind w:left="220"/>
              <w:spacing w:after="0"/>
              <w:rPr>
                <w:sz w:val="20"/>
                <w:szCs w:val="20"/>
                <w:color w:val="auto"/>
              </w:rPr>
            </w:pPr>
            <w:r>
              <w:rPr>
                <w:rFonts w:ascii="Arial" w:cs="Arial" w:eastAsia="Arial" w:hAnsi="Arial"/>
                <w:sz w:val="17"/>
                <w:szCs w:val="17"/>
                <w:color w:val="auto"/>
              </w:rPr>
              <w:t>Income taxes refunded</w:t>
            </w:r>
          </w:p>
        </w:tc>
        <w:tc>
          <w:tcPr>
            <w:tcW w:w="1020" w:type="dxa"/>
            <w:vAlign w:val="bottom"/>
          </w:tcPr>
          <w:p>
            <w:pPr>
              <w:jc w:val="right"/>
              <w:ind w:right="839"/>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560" w:type="dxa"/>
            <w:vAlign w:val="bottom"/>
          </w:tcPr>
          <w:p>
            <w:pPr>
              <w:jc w:val="right"/>
              <w:ind w:right="37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119</w:t>
            </w:r>
          </w:p>
        </w:tc>
      </w:tr>
    </w:tbl>
    <w:p>
      <w:pPr>
        <w:spacing w:after="0" w:line="53"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Reinsurance recoverable have been reclassified from "Reinsurance balance, net" in the prior period.</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wholly-owned subsidiary, NMI Services, Inc. (NMIS), through which we offer outsourced loan review services to mortgage loan originators.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2019, included in our 2019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reclassifications to previously reported financial information have been made to conform to current period presentation. The results of operations for the interim period may not be indicative of the results that may be expected for the full year ending December 31, 2020.</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 Developments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30, 2020, the World Health Organization (WHO) declared the outbreak of COVID-19 a global health emergency and characterized the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outbreak as a global pandemic on March 11, 2020. In an effort to stem contagion and control the COVID-19 pandemic, the population at large has severely curtailed day-to-day activity and local, state and federal regulators have imposed a broad set of restrictions on personal and business conduct nationwide. The COVID-19 pandemic, along with the widespread public and regulatory response, has caused a dramatic slowdown in U.S. and global economic activity and a record number of Americans have been furloughed or laid-off.</w:t>
      </w:r>
    </w:p>
    <w:p>
      <w:pPr>
        <w:spacing w:after="0" w:line="13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The global dislocation caused by COVID-19 is unprecedented and, while there is broad hope for medical advances that might relieve the crisis and provide for a near-term return to normalized activity, it is not known how long the dislocation will persist and if or when any such medical advances may</w:t>
      </w:r>
    </w:p>
    <w:p>
      <w:pPr>
        <w:spacing w:after="0"/>
        <w:rPr>
          <w:sz w:val="20"/>
          <w:szCs w:val="20"/>
          <w:color w:val="auto"/>
        </w:rPr>
      </w:pPr>
      <w:r>
        <w:rPr>
          <w:rFonts w:ascii="Arial" w:cs="Arial" w:eastAsia="Arial" w:hAnsi="Arial"/>
          <w:sz w:val="16"/>
          <w:szCs w:val="16"/>
          <w:color w:val="auto"/>
        </w:rPr>
        <w:t>be developed or made available. In response to the COVID-19 outbreak and continuing uncertainties, we activated our business continuity program to</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ensure our employees are safe and able to continue serving our customers and their borrowers without interruption. We have also sought to broadly assess the impact that the COVID-19 outbreak has had and may continue to have on the U.S economy and housing market, and the implications for the mortgage insurance market, and our business performance and financial position, including our new business production, default and claims experience, and investment portfolio results. Given the uncertainty that remains, we cannot fully assess or estimate the ultimate impact of COVID-19.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w:t>
      </w:r>
      <w:r>
        <w:rPr>
          <w:rFonts w:ascii="Arial" w:cs="Arial" w:eastAsia="Arial" w:hAnsi="Arial"/>
          <w:sz w:val="18"/>
          <w:szCs w:val="18"/>
          <w:color w:val="auto"/>
        </w:rPr>
        <w:t xml:space="preserve"> </w:t>
      </w:r>
      <w:r>
        <w:rPr>
          <w:rFonts w:ascii="Arial" w:cs="Arial" w:eastAsia="Arial" w:hAnsi="Arial"/>
          <w:sz w:val="18"/>
          <w:szCs w:val="18"/>
          <w:i w:val="1"/>
          <w:iCs w:val="1"/>
          <w:color w:val="auto"/>
        </w:rPr>
        <w:t>Notes to Consolidated Financial Statements - Note 2 - Summary of Accounting Principles</w:t>
      </w:r>
      <w:r>
        <w:rPr>
          <w:rFonts w:ascii="Arial" w:cs="Arial" w:eastAsia="Arial" w:hAnsi="Arial"/>
          <w:sz w:val="18"/>
          <w:szCs w:val="18"/>
          <w:color w:val="auto"/>
        </w:rPr>
        <w:t>" of our 2019 10-K, other than as noted in "</w:t>
      </w:r>
      <w:r>
        <w:rPr>
          <w:rFonts w:ascii="Arial" w:cs="Arial" w:eastAsia="Arial" w:hAnsi="Arial"/>
          <w:sz w:val="18"/>
          <w:szCs w:val="18"/>
          <w:i w:val="1"/>
          <w:iCs w:val="1"/>
          <w:color w:val="auto"/>
        </w:rPr>
        <w:t>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Premium Receivables,</w:t>
      </w:r>
      <w:r>
        <w:rPr>
          <w:rFonts w:ascii="Arial" w:cs="Arial" w:eastAsia="Arial" w:hAnsi="Arial"/>
          <w:sz w:val="18"/>
          <w:szCs w:val="18"/>
          <w:color w:val="auto"/>
        </w:rPr>
        <w:t>" "</w:t>
      </w:r>
      <w:r>
        <w:rPr>
          <w:rFonts w:ascii="Arial" w:cs="Arial" w:eastAsia="Arial" w:hAnsi="Arial"/>
          <w:sz w:val="18"/>
          <w:szCs w:val="18"/>
          <w:i w:val="1"/>
          <w:iCs w:val="1"/>
          <w:color w:val="auto"/>
        </w:rPr>
        <w:t>Reinsurance</w:t>
      </w:r>
      <w:r>
        <w:rPr>
          <w:rFonts w:ascii="Arial" w:cs="Arial" w:eastAsia="Arial" w:hAnsi="Arial"/>
          <w:sz w:val="18"/>
          <w:szCs w:val="18"/>
          <w:color w:val="auto"/>
        </w:rPr>
        <w:t>" and "</w:t>
      </w:r>
      <w:r>
        <w:rPr>
          <w:rFonts w:ascii="Arial" w:cs="Arial" w:eastAsia="Arial" w:hAnsi="Arial"/>
          <w:sz w:val="18"/>
          <w:szCs w:val="18"/>
          <w:i w:val="1"/>
          <w:iCs w:val="1"/>
          <w:color w:val="auto"/>
        </w:rPr>
        <w:t>Recent Accounting Pronouncements - Adopted</w:t>
      </w:r>
      <w:r>
        <w:rPr>
          <w:rFonts w:ascii="Arial" w:cs="Arial" w:eastAsia="Arial" w:hAnsi="Arial"/>
          <w:sz w:val="18"/>
          <w:szCs w:val="18"/>
          <w:color w:val="auto"/>
        </w:rPr>
        <w:t>" below.</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hold all investments on an available-for-sale basis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w:t>
      </w:r>
      <w:r>
        <w:rPr>
          <w:rFonts w:ascii="Arial" w:cs="Arial" w:eastAsia="Arial" w:hAnsi="Arial"/>
          <w:sz w:val="16"/>
          <w:szCs w:val="16"/>
          <w:i w:val="1"/>
          <w:iCs w:val="1"/>
          <w:color w:val="auto"/>
        </w:rPr>
        <w:t>Realized Investment Loss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securities in an unrealized loss position where a sale is not intended or likely to be required, we further assess if the decline in fair value below amortized cost is driven by a credit related impairment, considering several items including, but not limited to:</w:t>
      </w:r>
    </w:p>
    <w:p>
      <w:pPr>
        <w:spacing w:after="0" w:line="11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severity of the decline in fair value;</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financial condition of the issuer;</w:t>
      </w:r>
    </w:p>
    <w:p>
      <w:pPr>
        <w:spacing w:after="0" w:line="147"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of the issuer to make scheduled interest or principal payments;</w:t>
      </w: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21"/>
          <w:szCs w:val="21"/>
          <w:color w:val="auto"/>
        </w:rPr>
      </w:pPr>
      <w:r>
        <w:rPr>
          <w:rFonts w:ascii="Arial" w:cs="Arial" w:eastAsia="Arial" w:hAnsi="Arial"/>
          <w:sz w:val="17"/>
          <w:szCs w:val="17"/>
          <w:color w:val="auto"/>
        </w:rPr>
        <w:t>recent rating downgrades of the applicable security or issuer by one or more nationally recognized statistical ratings organization; and</w:t>
      </w:r>
    </w:p>
    <w:p>
      <w:pPr>
        <w:spacing w:after="0" w:line="165" w:lineRule="exact"/>
        <w:rPr>
          <w:rFonts w:ascii="Arial" w:cs="Arial" w:eastAsia="Arial" w:hAnsi="Arial"/>
          <w:sz w:val="21"/>
          <w:szCs w:val="21"/>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other adverse conditions related to or impacting the security or issuer.</w:t>
      </w:r>
    </w:p>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the extent we determine that a security impairment is credit-related, an impairment loss is recognized through the statement of operations as a provision for credit loss expense, and presented as a "Realized Investment Loss." 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"Realized Investment Gain or Loss." The portion of a security impairment attributed to other non-credit related factors is recognized in other comprehensive income, net of taxes.</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elected to present accrued interest receivable separately from available for sale securities on our consolidated balance sheet. Accrued interest receivable was $9.8 million as of September 30, 2020 and is included in "</w:t>
      </w:r>
      <w:r>
        <w:rPr>
          <w:rFonts w:ascii="Arial" w:cs="Arial" w:eastAsia="Arial" w:hAnsi="Arial"/>
          <w:sz w:val="18"/>
          <w:szCs w:val="18"/>
          <w:i w:val="1"/>
          <w:iCs w:val="1"/>
          <w:color w:val="auto"/>
        </w:rPr>
        <w:t>Accrued Investment Income.</w:t>
      </w:r>
      <w:r>
        <w:rPr>
          <w:rFonts w:ascii="Arial" w:cs="Arial" w:eastAsia="Arial" w:hAnsi="Arial"/>
          <w:sz w:val="18"/>
          <w:szCs w:val="18"/>
          <w:color w:val="auto"/>
        </w:rPr>
        <w:t>" We have elected not to measure an allowance for credit losses for accrued interest receivable on available for sale securities. Accrued interest for available for sale securities is written off against interest income when the receivable has aged 90 days past due. We did not write off any accrued interest receivable during the three or nine months ended September 30, 2020.</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Receivable</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did not establish an allowance for credit loss at September 30, 2020.</w:t>
      </w:r>
    </w:p>
    <w:p>
      <w:pPr>
        <w:spacing w:after="0" w:line="1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Premiums receivable may be written off prior to 120 days in the ordinary course of business for non-credit events including, but not limited to, the modification or refinancing of an underlying insured loan. We have established a reserve for premium write-offs based on historical experience; such reserve was deemed to be immaterial at September 30, 2020.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529"/>
        </w:rPr>
        <w:t>We account for premiums, claims and claim expenses that are ceded to reinsurers on a basis consistent with that which we use to account for the original policies we issue and pursuant to the terms of our reinsurance contracts. We account for premiums ceded or otherwise paid to reinsurers as a reduction to premium revenue.</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NMIC has entered into quota share reinsurance treaties effective September 1, 2016 (the 2016 QSR Transaction), January 1, 2018 (the 2018 QSR Transaction) and April 1, 2020 (the 2020 QSR Transaction), which we refer to collectively as the QSR Transactions. We earn profit and ceding commissions in connection with the QSR Transactions. Profit commissions represent a percentage of the profits recognized by reinsurers that are returned to us, based on the level of claims and claim expenses that we cede. We recognize any profit commissions we earn as increases to premium revenue. Ceding commissions are calculated as a percentage of ceded written premiums under the 2016 QSR Transaction and as a percentage of ceded earned premiums under the 2018 and 2020 QSR Transactions, and are intended to cover our costs of acquiring and servicing direct policies. We recognize any ceding commissions we earn in a manner consistent with our recognition of earnings on the underlying insurance policies, over the terms of the policies reinsured. We account for ceding commissions earned as a reduction to underwriting and operating expenses.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the QSR Transactions, we cede a portion of claims and claim expense reserves to our reinsurers, and account for such ceded reserves as "</w:t>
      </w:r>
      <w:r>
        <w:rPr>
          <w:rFonts w:ascii="Arial" w:cs="Arial" w:eastAsia="Arial" w:hAnsi="Arial"/>
          <w:sz w:val="16"/>
          <w:szCs w:val="16"/>
          <w:i w:val="1"/>
          <w:iCs w:val="1"/>
          <w:color w:val="auto"/>
        </w:rPr>
        <w:t>Reinsurance Recoverables</w:t>
      </w:r>
      <w:r>
        <w:rPr>
          <w:rFonts w:ascii="Arial" w:cs="Arial" w:eastAsia="Arial" w:hAnsi="Arial"/>
          <w:sz w:val="16"/>
          <w:szCs w:val="16"/>
          <w:color w:val="auto"/>
        </w:rPr>
        <w:t>" on the consolidated balance sheets and such ceded claims as reductions to claims expenses on the consolidated statements of operations. As of September 30, 2020, we had $17.2 million of reinsurance recoverables under the QSR Transactions. 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recoverables if we do not expect to recover amounts due from one or more of our reinsurance counterparties, and report our reinsurance recoverables net of such allowance, if any. We actively monitor the counterparty credit profiles of our reinsurers and each is required to partially collateralize its obligations under the terms of our QSR Transactions. As of September 30, 2020, we did not recognize any allowance for credit loss with respect to our reinsurance recoverables.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Interest Entities</w:t>
      </w:r>
    </w:p>
    <w:p>
      <w:pPr>
        <w:spacing w:after="0" w:line="171" w:lineRule="exact"/>
        <w:rPr>
          <w:sz w:val="20"/>
          <w:szCs w:val="20"/>
          <w:color w:val="auto"/>
        </w:rPr>
      </w:pPr>
    </w:p>
    <w:p>
      <w:pPr>
        <w:jc w:val="both"/>
        <w:ind w:firstLine="206"/>
        <w:spacing w:after="0" w:line="287" w:lineRule="auto"/>
        <w:rPr>
          <w:sz w:val="20"/>
          <w:szCs w:val="20"/>
          <w:color w:val="auto"/>
        </w:rPr>
      </w:pPr>
      <w:r>
        <w:rPr>
          <w:rFonts w:ascii="Arial" w:cs="Arial" w:eastAsia="Arial" w:hAnsi="Arial"/>
          <w:sz w:val="16"/>
          <w:szCs w:val="16"/>
          <w:color w:val="auto"/>
        </w:rPr>
        <w:t xml:space="preserve">NMIC is a party to reinsurance agreements with Oaktown Re Ltd., Oaktown Re II Ltd., Oaktown Re III Ltd. and Oaktown Re IV Ltd. (special purpose reinsurance entities collectively referred to as the Oaktown Re Vehicles) effective May 2, 2017, July 25, 2018, July 30, 2019 and July 30, 2020, respectively. At inception of the respective reinsurance agreements, we determined that each of the Oaktown Re Vehicles were variable interest entities (VIEs), as defined under GAAP Accounting Standards Codification (ASC) 810, because they did not have sufficient equity at risk to finance their respective activities. We evaluated the VIEs at inception to determine whether NMIC was the primary beneficiary under each deal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Arial" w:cs="Arial" w:eastAsia="Arial" w:hAnsi="Arial"/>
          <w:sz w:val="16"/>
          <w:szCs w:val="16"/>
          <w:i w:val="1"/>
          <w:iCs w:val="1"/>
          <w:color w:val="auto"/>
        </w:rPr>
        <w:t>i.e.</w:t>
      </w:r>
      <w:r>
        <w:rPr>
          <w:rFonts w:ascii="Arial" w:cs="Arial" w:eastAsia="Arial" w:hAnsi="Arial"/>
          <w:sz w:val="16"/>
          <w:szCs w:val="16"/>
          <w:color w:val="auto"/>
        </w:rPr>
        <w:t>,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 We concluded that we are not the primary beneficiary of each VIE and as such, we do not consolidate them in our consolidated financial statements.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June 2016, the Financial Accounting Standard Board (FASB) issued Accounting Standards Update (ASU) 2016-13, </w:t>
      </w:r>
      <w:r>
        <w:rPr>
          <w:rFonts w:ascii="Arial" w:cs="Arial" w:eastAsia="Arial" w:hAnsi="Arial"/>
          <w:sz w:val="16"/>
          <w:szCs w:val="16"/>
          <w:i w:val="1"/>
          <w:iCs w:val="1"/>
          <w:color w:val="auto"/>
        </w:rPr>
        <w:t xml:space="preserve">Financial Instruments-Credit Losses (Topic 326) </w:t>
      </w:r>
      <w:r>
        <w:rPr>
          <w:rFonts w:ascii="Arial" w:cs="Arial" w:eastAsia="Arial" w:hAnsi="Arial"/>
          <w:sz w:val="16"/>
          <w:szCs w:val="16"/>
          <w:color w:val="auto"/>
        </w:rPr>
        <w:t>and subsequently issued amendments to the initial guidance: ASU 2019-04,</w:t>
      </w:r>
      <w:r>
        <w:rPr>
          <w:rFonts w:ascii="Arial" w:cs="Arial" w:eastAsia="Arial" w:hAnsi="Arial"/>
          <w:sz w:val="16"/>
          <w:szCs w:val="16"/>
          <w:i w:val="1"/>
          <w:iCs w:val="1"/>
          <w:color w:val="auto"/>
        </w:rPr>
        <w:t xml:space="preserve"> Codification Improvements to Topic 326</w:t>
      </w:r>
      <w:r>
        <w:rPr>
          <w:rFonts w:ascii="Arial" w:cs="Arial" w:eastAsia="Arial" w:hAnsi="Arial"/>
          <w:sz w:val="16"/>
          <w:szCs w:val="16"/>
          <w:color w:val="auto"/>
        </w:rPr>
        <w:t>,</w:t>
      </w:r>
      <w:r>
        <w:rPr>
          <w:rFonts w:ascii="Arial" w:cs="Arial" w:eastAsia="Arial" w:hAnsi="Arial"/>
          <w:sz w:val="16"/>
          <w:szCs w:val="16"/>
          <w:i w:val="1"/>
          <w:iCs w:val="1"/>
          <w:color w:val="auto"/>
        </w:rPr>
        <w:t xml:space="preserve"> Financial Instruments-Credit Losses (Topic 815)</w:t>
      </w:r>
      <w:r>
        <w:rPr>
          <w:rFonts w:ascii="Arial" w:cs="Arial" w:eastAsia="Arial" w:hAnsi="Arial"/>
          <w:sz w:val="16"/>
          <w:szCs w:val="16"/>
          <w:color w:val="auto"/>
        </w:rPr>
        <w:t>,</w:t>
      </w:r>
      <w:r>
        <w:rPr>
          <w:rFonts w:ascii="Arial" w:cs="Arial" w:eastAsia="Arial" w:hAnsi="Arial"/>
          <w:sz w:val="16"/>
          <w:szCs w:val="16"/>
          <w:i w:val="1"/>
          <w:iCs w:val="1"/>
          <w:color w:val="auto"/>
        </w:rPr>
        <w:t xml:space="preserve"> Derivatives and Hedging</w:t>
      </w:r>
      <w:r>
        <w:rPr>
          <w:rFonts w:ascii="Arial" w:cs="Arial" w:eastAsia="Arial" w:hAnsi="Arial"/>
          <w:sz w:val="16"/>
          <w:szCs w:val="16"/>
          <w:color w:val="auto"/>
        </w:rPr>
        <w:t>, and Topic 825,</w:t>
      </w:r>
      <w:r>
        <w:rPr>
          <w:rFonts w:ascii="Arial" w:cs="Arial" w:eastAsia="Arial" w:hAnsi="Arial"/>
          <w:sz w:val="16"/>
          <w:szCs w:val="16"/>
          <w:i w:val="1"/>
          <w:iCs w:val="1"/>
          <w:color w:val="auto"/>
        </w:rPr>
        <w:t xml:space="preserve"> Financial Instruments</w:t>
      </w:r>
      <w:r>
        <w:rPr>
          <w:rFonts w:ascii="Arial" w:cs="Arial" w:eastAsia="Arial" w:hAnsi="Arial"/>
          <w:sz w:val="16"/>
          <w:szCs w:val="16"/>
          <w:color w:val="auto"/>
        </w:rPr>
        <w:t>, ASU 2019-05,</w:t>
      </w:r>
      <w:r>
        <w:rPr>
          <w:rFonts w:ascii="Arial" w:cs="Arial" w:eastAsia="Arial" w:hAnsi="Arial"/>
          <w:sz w:val="16"/>
          <w:szCs w:val="16"/>
          <w:i w:val="1"/>
          <w:iCs w:val="1"/>
          <w:color w:val="auto"/>
        </w:rPr>
        <w:t xml:space="preserve"> Financial Instruments-Credit Losses: Targeted Transition Relief</w:t>
      </w:r>
      <w:r>
        <w:rPr>
          <w:rFonts w:ascii="Arial" w:cs="Arial" w:eastAsia="Arial" w:hAnsi="Arial"/>
          <w:sz w:val="16"/>
          <w:szCs w:val="16"/>
          <w:color w:val="auto"/>
        </w:rPr>
        <w:t>, and ASU 2019-11, C</w:t>
      </w:r>
      <w:r>
        <w:rPr>
          <w:rFonts w:ascii="Arial" w:cs="Arial" w:eastAsia="Arial" w:hAnsi="Arial"/>
          <w:sz w:val="16"/>
          <w:szCs w:val="16"/>
          <w:i w:val="1"/>
          <w:iCs w:val="1"/>
          <w:color w:val="auto"/>
        </w:rPr>
        <w:t>odification Improvements to Topic 326, Financial Instruments-Credit Losses</w:t>
      </w:r>
      <w:r>
        <w:rPr>
          <w:rFonts w:ascii="Arial" w:cs="Arial" w:eastAsia="Arial" w:hAnsi="Arial"/>
          <w:sz w:val="16"/>
          <w:szCs w:val="16"/>
          <w:color w:val="auto"/>
        </w:rPr>
        <w:t>. These updates will</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companies to measure and establish reserves for lifetime expected credit losses on many financial assets held at a given reporting date. Under the guidance, the methodology for measuring lifetime credit losses shifts from an incurred loss model, whereby losses are only recognized once probable and estimable, to a current expected credit loss (CECL) model, whereby losses are recognized upfront based on a future economic forecast. Credit losses relating to available-for-sale fixed maturity securities are recorded through an allowance for credit losses, rather than a write-down of the asset as was required, with the amount of the allowance limited to the amount by which fair value is less than amortized cost. The length of time an available-for sale fixed maturity security has been held in an unrealized loss position will no longer impact its credit loss determination. We adopted these updates on January 1, 2020. Adoption of the updated standards did not have a material impact on our consolidated financial statements, and had no impact on our accounting for insurance claims and claim expenses as these items are not in scope of the guidance.</w:t>
      </w:r>
    </w:p>
    <w:p>
      <w:pPr>
        <w:spacing w:after="0" w:line="1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This update modifies the fair value measurement disclosure requirements of ASC 820. We adopted this ASU on January 1, 2020 and determined it did not have a material impact on our consolidated financial statements.</w:t>
      </w:r>
    </w:p>
    <w:p>
      <w:pPr>
        <w:spacing w:after="0" w:line="13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w:t>
      </w:r>
      <w:r>
        <w:rPr>
          <w:rFonts w:ascii="Arial" w:cs="Arial" w:eastAsia="Arial" w:hAnsi="Arial"/>
          <w:sz w:val="16"/>
          <w:szCs w:val="16"/>
          <w:color w:val="auto"/>
        </w:rPr>
        <w:t>. This update applies to cloud computing arrangements structured as service contracts, and provides companies with guidance on the criteria for capitalizing implementation, set-up and other up-front costs incurred in association with these arrangements. We adopted this ASU on January 1, 2020 and applied it on a prospective basis for eligible costs incurred after the effective date. The adoption of this ASU did not have a material impact on our consolidated financial statements.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 August 2018, the FASB issued ASU 2018-12, </w:t>
      </w:r>
      <w:r>
        <w:rPr>
          <w:rFonts w:ascii="Arial" w:cs="Arial" w:eastAsia="Arial" w:hAnsi="Arial"/>
          <w:sz w:val="18"/>
          <w:szCs w:val="18"/>
          <w:i w:val="1"/>
          <w:iCs w:val="1"/>
          <w:color w:val="auto"/>
        </w:rPr>
        <w:t>Targeted Improvements to the Accounting for Long-Duration Contracts</w:t>
      </w:r>
      <w:r>
        <w:rPr>
          <w:rFonts w:ascii="Arial" w:cs="Arial" w:eastAsia="Arial" w:hAnsi="Arial"/>
          <w:sz w:val="18"/>
          <w:szCs w:val="18"/>
          <w:color w:val="auto"/>
        </w:rPr>
        <w:t>. This update provides guidance to the existing recognition, measurement, presentation and disclosure requirements for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long-duration contracts issued by an insurance entity. The FASB subsequently issued ASU 2019-09 in November 2019, which amended the effective date for this standard. The standard will now take effect for public business entities for fiscal years, and interim periods within those fiscal years, beginning after December 15, 2021. We are currently evaluating the impact the adoption of this ASU will have, if any, on our consolidated financial statements.</w:t>
      </w:r>
    </w:p>
    <w:p>
      <w:pPr>
        <w:spacing w:after="0" w:line="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This update eliminates certain exceptions for recognizing deferred taxes for investments, performing intra-period allocations and calculating income taxes in interim periods. The ASU also includes guidance to reduce complexity in certain income tax areas, including recognizing deferred taxes for tax goodwill and allocating taxes to members of a consolidated group. The standard will take effect for public business entities for fiscal years, and interim periods within those fiscal years, beginning after December 15, 2020. We will adopt these updates on January 1, 2021 and do not expect them to have material impacts on our consolidated financial statements.</w:t>
      </w:r>
    </w:p>
    <w:p>
      <w:pPr>
        <w:spacing w:after="0" w:line="1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This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in 2021. The ASU includes optional expedients and exceptions for applying GAAP to contracts, hedging relationships and other transactions affected by reference rate reform if certain criteria are met. The standard is effective immediately through December 31, 2022 for all entities that have contracts, hedging relationships, and other transactions that reference LIBOR or another reference rate expected to be discontinued because of reference rate reform. We are currently evaluating the impact the adoption of this ASU would have, if any, to our contract modifications that are affected by the discontinuation of LIBOR.</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Contracts in Entity's Own Equity (Subtopic 815-40)</w:t>
      </w:r>
      <w:r>
        <w:rPr>
          <w:rFonts w:ascii="Arial" w:cs="Arial" w:eastAsia="Arial" w:hAnsi="Arial"/>
          <w:sz w:val="18"/>
          <w:szCs w:val="18"/>
          <w:color w:val="auto"/>
        </w:rPr>
        <w:t>. This update simplifies the accounting for convertible instruments and contracts on an entity's own</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including warrants, eliminating certain triggers for derivative accounting. The standard will take effect for public business entities for fiscal years, and interim periods within those fiscal years, beginning after December 15, 2021. Early adoption is permitted, but no earlier than fiscal years beginning after December 15, 2020. We are currently evaluating the impact the adoption of this ASU will have, if any, on our consolidated financial statements, including our warrant liability.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hold all investments on an available-for-sale basis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w:t>
      </w:r>
      <w:r>
        <w:rPr>
          <w:rFonts w:ascii="Arial" w:cs="Arial" w:eastAsia="Arial" w:hAnsi="Arial"/>
          <w:sz w:val="16"/>
          <w:szCs w:val="16"/>
          <w:i w:val="1"/>
          <w:iCs w:val="1"/>
          <w:color w:val="auto"/>
        </w:rPr>
        <w:t>Realized Investment Loss</w:t>
      </w:r>
      <w:r>
        <w:rPr>
          <w:rFonts w:ascii="Arial" w:cs="Arial" w:eastAsia="Arial" w:hAnsi="Arial"/>
          <w:sz w:val="16"/>
          <w:szCs w:val="16"/>
          <w:color w:val="auto"/>
        </w:rPr>
        <w:t>." To the extent we determine that a security impairment is credit-related, an impairment loss is recognized through the statement of operations as a provision for credit loss expense. The portion of a security impairment attributed to other non-credit related factors is recognized in other comprehensive income, net of taxes.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Gross Unrealized</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Losses</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2"/>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September 30, 2020</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0" w:type="dxa"/>
            <w:vAlign w:val="bottom"/>
            <w:gridSpan w:val="3"/>
          </w:tcPr>
          <w:p>
            <w:pPr>
              <w:jc w:val="right"/>
              <w:ind w:right="696"/>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4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rPr>
              <w:t>U.S. Treasury securities and obligations of U.S.</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31,204</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6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33,597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318,436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11,139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329,551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1,144,217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1,193,097</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133,214</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1,624,614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1,689,459</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1,689,815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2"/>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right"/>
              <w:ind w:right="9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4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rPr>
              <w:t>U.S. Treasury securities and obligations of U.S.</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48,203</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48,929</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189,530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190,216</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684,881</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172,642</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1,096,668</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44,174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44,272</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1,113,779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1,140,940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did not own any mortgage-backed securities in our asset-backed securities portfolio at September 30, 2020 or December 31, 2019. We periodically recognize unsettled trades payable or receivable in connection with our investing activity. Unsettled trades payable represent funds due for investments purchased at period end. Unsettled trades receivable represent funds due for investments sold at period end.</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breakdown of the fair value of our corporate debt securities by issuer industry group as of September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920" w:type="dxa"/>
            <w:vAlign w:val="bottom"/>
            <w:gridSpan w:val="2"/>
          </w:tcPr>
          <w:p>
            <w:pPr>
              <w:ind w:left="300"/>
              <w:spacing w:after="0"/>
              <w:rPr>
                <w:sz w:val="20"/>
                <w:szCs w:val="20"/>
                <w:color w:val="auto"/>
              </w:rPr>
            </w:pPr>
            <w:r>
              <w:rPr>
                <w:rFonts w:ascii="Arial" w:cs="Arial" w:eastAsia="Arial" w:hAnsi="Arial"/>
                <w:sz w:val="14"/>
                <w:szCs w:val="14"/>
                <w:b w:val="1"/>
                <w:bCs w:val="1"/>
                <w:color w:val="auto"/>
              </w:rPr>
              <w:t>September 30, 2020</w:t>
            </w:r>
          </w:p>
        </w:tc>
        <w:tc>
          <w:tcPr>
            <w:tcW w:w="1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Consumer</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26</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4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September 30, 2020 and December 31, 2019, approximately $5.7 million and $5.5 million, respectively, of our cash and investments were held in the form of U.S. Treasury securities on deposit with various state insurance departments to satisfy regulatory requirements.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amortized cost and fair value of available-for-sale securities as of September 30, 2020 and December 31, 2019,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September 30, 2020</w:t>
            </w:r>
          </w:p>
        </w:tc>
        <w:tc>
          <w:tcPr>
            <w:tcW w:w="3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14"/>
                <w:szCs w:val="14"/>
                <w:color w:val="auto"/>
              </w:rPr>
            </w:pPr>
          </w:p>
        </w:tc>
        <w:tc>
          <w:tcPr>
            <w:tcW w:w="1200" w:type="dxa"/>
            <w:vAlign w:val="bottom"/>
          </w:tcPr>
          <w:p>
            <w:pPr>
              <w:jc w:val="right"/>
              <w:ind w:right="6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0"/>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79,742</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80,330</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479,455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504,960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912,664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947,919</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22,352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23,392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130,757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133,214</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1,624,970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1,689,815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3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14"/>
                <w:szCs w:val="14"/>
                <w:color w:val="auto"/>
              </w:rPr>
            </w:pPr>
          </w:p>
        </w:tc>
        <w:tc>
          <w:tcPr>
            <w:tcW w:w="1200" w:type="dxa"/>
            <w:vAlign w:val="bottom"/>
          </w:tcPr>
          <w:p>
            <w:pPr>
              <w:jc w:val="right"/>
              <w:ind w:right="6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1"/>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138,776</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139,113</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406,986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417,208</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380,737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394,180</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17,127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17,797</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170,153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172,642</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1,113,779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1,140,940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2020, the investment portfolio had gross unrealized losses of $0.8 million, of which $28 thousand had been in an unrealized loss position for a period of 12 months or longer. For those securities in an unrealized loss position, the length of time the length of time the securities were in such a position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00" w:type="dxa"/>
            <w:vAlign w:val="bottom"/>
            <w:gridSpan w:val="7"/>
          </w:tcPr>
          <w:p>
            <w:pPr>
              <w:ind w:left="720"/>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6"/>
                <w:szCs w:val="16"/>
                <w:color w:val="auto"/>
              </w:rPr>
            </w:pPr>
          </w:p>
        </w:tc>
        <w:tc>
          <w:tcPr>
            <w:tcW w:w="2900" w:type="dxa"/>
            <w:vAlign w:val="bottom"/>
            <w:gridSpan w:val="6"/>
          </w:tcPr>
          <w:p>
            <w:pPr>
              <w:ind w:left="720"/>
              <w:spacing w:after="0"/>
              <w:rPr>
                <w:sz w:val="20"/>
                <w:szCs w:val="20"/>
                <w:color w:val="auto"/>
              </w:rPr>
            </w:pPr>
            <w:r>
              <w:rPr>
                <w:rFonts w:ascii="Arial" w:cs="Arial" w:eastAsia="Arial" w:hAnsi="Arial"/>
                <w:sz w:val="14"/>
                <w:szCs w:val="14"/>
                <w:b w:val="1"/>
                <w:bCs w:val="1"/>
                <w:color w:val="auto"/>
              </w:rPr>
              <w:t>12 Months or Greater</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6"/>
              </w:rPr>
              <w:t># of</w:t>
            </w: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6"/>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8"/>
              </w:rPr>
              <w:t># of</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216"/>
              <w:spacing w:after="0"/>
              <w:rPr>
                <w:sz w:val="20"/>
                <w:szCs w:val="20"/>
                <w:color w:val="auto"/>
              </w:rPr>
            </w:pPr>
            <w:r>
              <w:rPr>
                <w:rFonts w:ascii="Arial" w:cs="Arial" w:eastAsia="Arial" w:hAnsi="Arial"/>
                <w:sz w:val="14"/>
                <w:szCs w:val="14"/>
                <w:b w:val="1"/>
                <w:bCs w:val="1"/>
                <w:color w:val="auto"/>
                <w:w w:val="98"/>
              </w:rPr>
              <w:t>Fair Value</w:t>
            </w:r>
          </w:p>
        </w:tc>
        <w:tc>
          <w:tcPr>
            <w:tcW w:w="820" w:type="dxa"/>
            <w:vAlign w:val="bottom"/>
            <w:tcBorders>
              <w:top w:val="single" w:sz="8" w:color="auto"/>
            </w:tcBorders>
          </w:tcPr>
          <w:p>
            <w:pPr>
              <w:jc w:val="center"/>
              <w:ind w:right="56"/>
              <w:spacing w:after="0" w:line="135"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8"/>
              </w:rPr>
              <w:t># of</w:t>
            </w:r>
          </w:p>
        </w:tc>
        <w:tc>
          <w:tcPr>
            <w:tcW w:w="1000" w:type="dxa"/>
            <w:vAlign w:val="bottom"/>
            <w:tcBorders>
              <w:top w:val="single" w:sz="8" w:color="auto"/>
            </w:tcBorders>
            <w:gridSpan w:val="2"/>
            <w:vMerge w:val="restart"/>
          </w:tcPr>
          <w:p>
            <w:pPr>
              <w:jc w:val="right"/>
              <w:ind w:right="135"/>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160"/>
              <w:spacing w:after="0" w:line="135"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86"/>
        </w:trPr>
        <w:tc>
          <w:tcPr>
            <w:tcW w:w="2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As of September 30, 2020</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101,088</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980" w:type="dxa"/>
            <w:vAlign w:val="bottom"/>
          </w:tcPr>
          <w:p>
            <w:pPr>
              <w:jc w:val="right"/>
              <w:ind w:right="136"/>
              <w:spacing w:after="0"/>
              <w:rPr>
                <w:sz w:val="20"/>
                <w:szCs w:val="20"/>
                <w:color w:val="auto"/>
              </w:rPr>
            </w:pPr>
            <w:r>
              <w:rPr>
                <w:rFonts w:ascii="Arial" w:cs="Arial" w:eastAsia="Arial" w:hAnsi="Arial"/>
                <w:sz w:val="18"/>
                <w:szCs w:val="18"/>
                <w:color w:val="auto"/>
              </w:rPr>
              <w:t>33</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101,121</w:t>
            </w: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2,724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gridSpan w:val="7"/>
          </w:tcPr>
          <w:p>
            <w:pPr>
              <w:ind w:left="740"/>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24"/>
                <w:szCs w:val="24"/>
                <w:color w:val="auto"/>
              </w:rPr>
            </w:pPr>
          </w:p>
        </w:tc>
        <w:tc>
          <w:tcPr>
            <w:tcW w:w="2900" w:type="dxa"/>
            <w:vAlign w:val="bottom"/>
            <w:gridSpan w:val="6"/>
          </w:tcPr>
          <w:p>
            <w:pPr>
              <w:ind w:left="720"/>
              <w:spacing w:after="0"/>
              <w:rPr>
                <w:sz w:val="20"/>
                <w:szCs w:val="20"/>
                <w:color w:val="auto"/>
              </w:rPr>
            </w:pPr>
            <w:r>
              <w:rPr>
                <w:rFonts w:ascii="Arial" w:cs="Arial" w:eastAsia="Arial" w:hAnsi="Arial"/>
                <w:sz w:val="14"/>
                <w:szCs w:val="14"/>
                <w:b w:val="1"/>
                <w:bCs w:val="1"/>
                <w:color w:val="auto"/>
              </w:rPr>
              <w:t>12 Months or Greater</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8"/>
              </w:rPr>
              <w:t># of</w:t>
            </w: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8"/>
              </w:rPr>
              <w:t># of</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216"/>
              <w:spacing w:after="0"/>
              <w:rPr>
                <w:sz w:val="20"/>
                <w:szCs w:val="20"/>
                <w:color w:val="auto"/>
              </w:rPr>
            </w:pPr>
            <w:r>
              <w:rPr>
                <w:rFonts w:ascii="Arial" w:cs="Arial" w:eastAsia="Arial" w:hAnsi="Arial"/>
                <w:sz w:val="14"/>
                <w:szCs w:val="14"/>
                <w:b w:val="1"/>
                <w:bCs w:val="1"/>
                <w:color w:val="auto"/>
                <w:w w:val="98"/>
              </w:rPr>
              <w:t>Fair Value</w:t>
            </w:r>
          </w:p>
        </w:tc>
        <w:tc>
          <w:tcPr>
            <w:tcW w:w="840" w:type="dxa"/>
            <w:vAlign w:val="bottom"/>
            <w:tcBorders>
              <w:top w:val="single" w:sz="8" w:color="auto"/>
            </w:tcBorders>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6"/>
              </w:rPr>
              <w:t># of</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0"/>
              </w:rPr>
              <w:t>Unrealized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ind w:left="18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4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rPr>
              <w:t>U.S. Treasury securities and</w:t>
            </w: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obligations of U.S. government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12,001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40" w:type="dxa"/>
            <w:vAlign w:val="bottom"/>
            <w:gridSpan w:val="3"/>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12,001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8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940" w:type="dxa"/>
            <w:vAlign w:val="bottom"/>
            <w:gridSpan w:val="3"/>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92,844</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999</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93,843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23,976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54,457</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19,236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2,988</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22,224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154,562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27,963 $</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Allowance for credit losses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September 30, 2020, we did not recognize an allowance for credit loss for any security in the investment portfolio and we did not record any provision for credit loss for investment securities during the three and nine months ended September 30, 2020. Based on current facts and circumstances, we believe the unrealized losses as of September 30, 2020 are not indicative of the ultimate collectability of the current amortized cost of the securities.</w:t>
      </w:r>
    </w:p>
    <w:p>
      <w:pPr>
        <w:spacing w:after="0" w:line="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2019, we recognized $0.4 million other-than-temporarily impaired (OTTI) losses in connection with the planned sale of a security that was disposed of in April 2019.</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net investment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3560" w:type="dxa"/>
            <w:vAlign w:val="bottom"/>
            <w:gridSpan w:val="6"/>
          </w:tcPr>
          <w:p>
            <w:pPr>
              <w:ind w:left="420"/>
              <w:spacing w:after="0"/>
              <w:rPr>
                <w:sz w:val="20"/>
                <w:szCs w:val="20"/>
                <w:color w:val="auto"/>
              </w:rPr>
            </w:pPr>
            <w:r>
              <w:rPr>
                <w:rFonts w:ascii="Arial" w:cs="Arial" w:eastAsia="Arial" w:hAnsi="Arial"/>
                <w:sz w:val="14"/>
                <w:szCs w:val="14"/>
                <w:b w:val="1"/>
                <w:bCs w:val="1"/>
                <w:color w:val="auto"/>
              </w:rPr>
              <w:t>For the three months ended September 30,</w:t>
            </w:r>
          </w:p>
        </w:tc>
        <w:tc>
          <w:tcPr>
            <w:tcW w:w="420" w:type="dxa"/>
            <w:vAlign w:val="bottom"/>
          </w:tcPr>
          <w:p>
            <w:pPr>
              <w:spacing w:after="0"/>
              <w:rPr>
                <w:sz w:val="16"/>
                <w:szCs w:val="16"/>
                <w:color w:val="auto"/>
              </w:rPr>
            </w:pPr>
          </w:p>
        </w:tc>
        <w:tc>
          <w:tcPr>
            <w:tcW w:w="304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w w:val="92"/>
              </w:rPr>
              <w:t>For the nine months ended September 30,</w:t>
            </w:r>
          </w:p>
        </w:tc>
      </w:tr>
      <w:tr>
        <w:trPr>
          <w:trHeight w:val="187"/>
        </w:trPr>
        <w:tc>
          <w:tcPr>
            <w:tcW w:w="422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180"/>
        </w:trPr>
        <w:tc>
          <w:tcPr>
            <w:tcW w:w="4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w:t>
            </w:r>
          </w:p>
        </w:tc>
      </w:tr>
      <w:tr>
        <w:trPr>
          <w:trHeight w:val="229"/>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expenses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22,894</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realized investment gains (losses):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w w:val="91"/>
              </w:rPr>
              <w:t>For the nine months ended September 30,</w:t>
            </w:r>
          </w:p>
        </w:tc>
      </w:tr>
      <w:tr>
        <w:trPr>
          <w:trHeight w:val="187"/>
        </w:trPr>
        <w:tc>
          <w:tcPr>
            <w:tcW w:w="4300" w:type="dxa"/>
            <w:vAlign w:val="bottom"/>
          </w:tcPr>
          <w:p>
            <w:pPr>
              <w:spacing w:after="0"/>
              <w:rPr>
                <w:sz w:val="16"/>
                <w:szCs w:val="16"/>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180"/>
        </w:trPr>
        <w:tc>
          <w:tcPr>
            <w:tcW w:w="4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i w:val="1"/>
                <w:iCs w:val="1"/>
                <w:color w:val="auto"/>
                <w:w w:val="91"/>
              </w:rPr>
              <w:t>(In Thousands)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investment gains</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86"/>
              </w:rPr>
              <w:t>297</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Gross realized investment losses</w:t>
            </w:r>
          </w:p>
        </w:tc>
        <w:tc>
          <w:tcPr>
            <w:tcW w:w="1180" w:type="dxa"/>
            <w:vAlign w:val="bottom"/>
          </w:tcPr>
          <w:p>
            <w:pPr>
              <w:spacing w:after="0"/>
              <w:rPr>
                <w:sz w:val="19"/>
                <w:szCs w:val="19"/>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center"/>
              <w:ind w:left="755"/>
              <w:spacing w:after="0"/>
              <w:rPr>
                <w:sz w:val="20"/>
                <w:szCs w:val="20"/>
                <w:color w:val="auto"/>
              </w:rPr>
            </w:pPr>
            <w:r>
              <w:rPr>
                <w:rFonts w:ascii="Arial" w:cs="Arial" w:eastAsia="Arial" w:hAnsi="Arial"/>
                <w:sz w:val="18"/>
                <w:szCs w:val="18"/>
                <w:color w:val="auto"/>
                <w:w w:val="95"/>
              </w:rPr>
              <w:t>(516)</w:t>
            </w:r>
          </w:p>
        </w:tc>
      </w:tr>
      <w:tr>
        <w:trPr>
          <w:trHeight w:val="24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investment (losses) gains</w:t>
            </w: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0"/>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10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95"/>
              </w:rPr>
              <w:t>(219)</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1 - Fair value measurements based on quoted prices in active markets that we have the ability to access for identical assets or liabilities.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price data generally is obtained from exchange or dealer markets. We do not adjust the quoted price for such instruments.</w:t>
      </w:r>
    </w:p>
    <w:p>
      <w:pPr>
        <w:spacing w:after="0" w:line="15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3"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right="270"/>
              <w:spacing w:after="0"/>
              <w:rPr>
                <w:sz w:val="20"/>
                <w:szCs w:val="20"/>
                <w:color w:val="auto"/>
              </w:rPr>
            </w:pPr>
            <w:r>
              <w:rPr>
                <w:rFonts w:ascii="Arial" w:cs="Arial" w:eastAsia="Arial" w:hAnsi="Arial"/>
                <w:sz w:val="14"/>
                <w:szCs w:val="14"/>
                <w:b w:val="1"/>
                <w:bCs w:val="1"/>
                <w:color w:val="auto"/>
                <w:w w:val="92"/>
              </w:rPr>
              <w:t>Fair Value Measurements Using</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20" w:type="dxa"/>
            <w:vAlign w:val="bottom"/>
          </w:tcPr>
          <w:p>
            <w:pPr>
              <w:spacing w:after="0"/>
              <w:rPr>
                <w:sz w:val="11"/>
                <w:szCs w:val="11"/>
                <w:color w:val="auto"/>
              </w:rPr>
            </w:pPr>
          </w:p>
        </w:tc>
        <w:tc>
          <w:tcPr>
            <w:tcW w:w="1300" w:type="dxa"/>
            <w:vAlign w:val="bottom"/>
          </w:tcPr>
          <w:p>
            <w:pPr>
              <w:jc w:val="center"/>
              <w:ind w:right="336"/>
              <w:spacing w:after="0" w:line="135" w:lineRule="exact"/>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1"/>
                <w:szCs w:val="11"/>
                <w:color w:val="auto"/>
              </w:rPr>
            </w:pPr>
          </w:p>
        </w:tc>
        <w:tc>
          <w:tcPr>
            <w:tcW w:w="14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2020</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U.S. Treasury securities and obligations of U.S.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33,597</w:t>
            </w:r>
          </w:p>
        </w:tc>
        <w:tc>
          <w:tcPr>
            <w:tcW w:w="3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33,597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18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329,551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329,551</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1,193,097</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133,214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133,214</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194,555</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228,152</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1,655,862</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1,884,014</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1"/>
        </w:trPr>
        <w:tc>
          <w:tcPr>
            <w:tcW w:w="4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right="270"/>
              <w:spacing w:after="0"/>
              <w:rPr>
                <w:sz w:val="20"/>
                <w:szCs w:val="20"/>
                <w:color w:val="auto"/>
              </w:rPr>
            </w:pPr>
            <w:r>
              <w:rPr>
                <w:rFonts w:ascii="Arial" w:cs="Arial" w:eastAsia="Arial" w:hAnsi="Arial"/>
                <w:sz w:val="14"/>
                <w:szCs w:val="14"/>
                <w:b w:val="1"/>
                <w:bCs w:val="1"/>
                <w:color w:val="auto"/>
                <w:w w:val="92"/>
              </w:rPr>
              <w:t>Fair Value Measurements Using</w:t>
            </w: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20" w:type="dxa"/>
            <w:vAlign w:val="bottom"/>
          </w:tcPr>
          <w:p>
            <w:pPr>
              <w:spacing w:after="0"/>
              <w:rPr>
                <w:sz w:val="11"/>
                <w:szCs w:val="11"/>
                <w:color w:val="auto"/>
              </w:rPr>
            </w:pPr>
          </w:p>
        </w:tc>
        <w:tc>
          <w:tcPr>
            <w:tcW w:w="1300" w:type="dxa"/>
            <w:vAlign w:val="bottom"/>
          </w:tcPr>
          <w:p>
            <w:pPr>
              <w:jc w:val="center"/>
              <w:ind w:right="336"/>
              <w:spacing w:after="0" w:line="135" w:lineRule="exact"/>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1"/>
                <w:szCs w:val="11"/>
                <w:color w:val="auto"/>
              </w:rPr>
            </w:pPr>
          </w:p>
        </w:tc>
        <w:tc>
          <w:tcPr>
            <w:tcW w:w="14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04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U.S. Treasury securities and obligations of U.S.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48,929</w:t>
            </w:r>
          </w:p>
        </w:tc>
        <w:tc>
          <w:tcPr>
            <w:tcW w:w="3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48,929</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18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190,216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190,216</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684,881</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172,642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172,642</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134,290</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1,047,739</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1,182,029</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transfers between Level 2 and Level 3 of the fair value hierarchy during the nine months ended September 30, 2020, 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w w:val="98"/>
              </w:rPr>
              <w:t>For the nine months ended September 30,</w:t>
            </w: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2019</w:t>
            </w:r>
          </w:p>
        </w:tc>
      </w:tr>
      <w:tr>
        <w:trPr>
          <w:trHeight w:val="223"/>
        </w:trPr>
        <w:tc>
          <w:tcPr>
            <w:tcW w:w="7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gridSpan w:val="3"/>
          </w:tcPr>
          <w:p>
            <w:pPr>
              <w:jc w:val="right"/>
              <w:ind w:right="30"/>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19"/>
                <w:szCs w:val="19"/>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88"/>
              </w:rPr>
              <w:t>7,296</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 included in earnings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(4,286)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center"/>
              <w:ind w:left="474"/>
              <w:spacing w:after="0"/>
              <w:rPr>
                <w:sz w:val="20"/>
                <w:szCs w:val="20"/>
                <w:color w:val="auto"/>
              </w:rPr>
            </w:pPr>
            <w:r>
              <w:rPr>
                <w:rFonts w:ascii="Arial" w:cs="Arial" w:eastAsia="Arial" w:hAnsi="Arial"/>
                <w:sz w:val="18"/>
                <w:szCs w:val="18"/>
                <w:color w:val="auto"/>
                <w:w w:val="88"/>
              </w:rPr>
              <w:t>6,025</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 on warrant exercise</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54"/>
              <w:spacing w:after="0"/>
              <w:rPr>
                <w:sz w:val="20"/>
                <w:szCs w:val="20"/>
                <w:color w:val="auto"/>
              </w:rPr>
            </w:pPr>
            <w:r>
              <w:rPr>
                <w:rFonts w:ascii="Arial" w:cs="Arial" w:eastAsia="Arial" w:hAnsi="Arial"/>
                <w:sz w:val="18"/>
                <w:szCs w:val="18"/>
                <w:color w:val="auto"/>
                <w:w w:val="94"/>
              </w:rPr>
              <w:t>(6,957)</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Balance, September 30</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center"/>
              <w:ind w:left="474"/>
              <w:spacing w:after="0"/>
              <w:rPr>
                <w:sz w:val="20"/>
                <w:szCs w:val="20"/>
                <w:color w:val="auto"/>
              </w:rPr>
            </w:pPr>
            <w:r>
              <w:rPr>
                <w:rFonts w:ascii="Arial" w:cs="Arial" w:eastAsia="Arial" w:hAnsi="Arial"/>
                <w:sz w:val="18"/>
                <w:szCs w:val="18"/>
                <w:color w:val="auto"/>
                <w:w w:val="88"/>
              </w:rPr>
              <w:t>6,364</w:t>
            </w: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outlines the key inputs and assumptions used to calculate the fair value of the warrant liability in the Black-Scholes option-pricing model as of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September 30,</w:t>
            </w:r>
          </w:p>
        </w:tc>
        <w:tc>
          <w:tcPr>
            <w:tcW w:w="1160" w:type="dxa"/>
            <w:vAlign w:val="bottom"/>
            <w:tcBorders>
              <w:bottom w:val="single" w:sz="8" w:color="auto"/>
            </w:tcBorders>
          </w:tcPr>
          <w:p>
            <w:pPr>
              <w:spacing w:after="0"/>
              <w:rPr>
                <w:sz w:val="16"/>
                <w:szCs w:val="16"/>
                <w:color w:val="auto"/>
              </w:rPr>
            </w:pPr>
          </w:p>
        </w:tc>
      </w:tr>
      <w:tr>
        <w:trPr>
          <w:trHeight w:val="187"/>
        </w:trPr>
        <w:tc>
          <w:tcPr>
            <w:tcW w:w="74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2019</w:t>
            </w:r>
          </w:p>
        </w:tc>
      </w:tr>
      <w:tr>
        <w:trPr>
          <w:trHeight w:val="224"/>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price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26.26</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0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0.13 %</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w:t>
            </w:r>
          </w:p>
        </w:tc>
        <w:tc>
          <w:tcPr>
            <w:tcW w:w="10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1.56 years</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 years</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75.3 %</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bl>
    <w:p>
      <w:pPr>
        <w:spacing w:after="0" w:line="1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changes in fair value of the warrant liability for the nine months ended September 30, 2020 and 2019 are primarily attributable to changes in the price of our common stock during the respective periods, with additional impact related to changes in other Black-Scholes model inputs. The change in fair value of the warrant liability for the nine months ended September 30, 2019 also reflects the impact of the exercises of outstanding warrants.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19, 2020, we issued $400 million aggregate principal amount of senior secured notes that mature on June 1, 2025 (the Notes). At September 30, 2020, the Notes were carried at a cost of $393.0 million, net of unamortized debt issuance costs of $7.0 million, and had a fair value of $427.5 million as assessed under our Level 2 hierarchy. At December 31, 2019, our 2018 Term Loan was carried at a cost of $145.8 million, net of unamortized debt issuance costs of $2.0 million, and had a fair value of $147.8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Secured Notes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September 30, 2020, we had $400 million aggregate principal amount of senior secured notes outstanding. The Notes were issued pursuant to an indenture dated June 19, 2020 (the Indenture) and bear interest at a rate of 7.375%, payable semi-annually on June 1 and December 1. A portion of the proceeds from the Notes offering were used to repay the outstanding amount due under our $150 million term loan (2018 Term Loan) and to pay underwriting fees incurred in connection with the offering. Remaining proceeds of $244.4 million are available for general corporate purposes, including to support the growth of our new business production and operations.</w:t>
      </w:r>
    </w:p>
    <w:p>
      <w:pPr>
        <w:spacing w:after="0" w:line="13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Notes, or (2) the principal value of the Notes plus the present value of all future interest payments. At any time on or after March 1, 2025, we may elect to redeem the Notes in whole or in part at a price equal to 100% of the aggregate principal amount of the Notes to be redeemed plus accrued and unpaid interest thereon. From time to time prior to June 1, 2022, we may also elect to use proceeds raised from one or more equity offerings to redeem up to 40% of the aggregate principal amount of the Notes at a price equal to 107.375% of the aggregate principal amount thereof plus accrued and unpaid interest thereon,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At September 30, 2020, $7.0 million of unamortized debt issuance costs remained.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nine months ended September 30, 2020 includes $2.6 million of costs related to the extinguishment of the 2018 Term Loan and issuance of the Notes.</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subject to certain covenants under the Notes (as defined in the Indenture), including, but not limited to, a maximum debt-to-total capitalization ratio of 35%. We were in compliance with all Notes covenants as of September 30, 2020.</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2020 Revolving Credit Facility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20, 2020, we amended our $85 million three-year secured revolving credit facility (the 2018 Revolving Credit Facility), increasing borrowing capacity under the facility to $100 million, extending its maturity date from May 24, 2021 to February 22, 2023, and reducing the interest cost related to both undrawn commitments and drawn borrowings under the facility (as amended, the 2020 Revolving Credit Facility). Borrowings under the 2020 Revolving Credit Facility may be used for general corporate purposes, including to support the growth of our new business production and operations, and accrue interest at a variable rate equal to, at our discretion, (i) a base rate (as defined in our existing credit agreement (the Credit Agreement), subject to a floor of 1.00% per annum) plus a margin of 0.375% to 1.875% per annum or (ii) the Eurodollar Rate (subject to a floor of —% per annum) plus a margin of 1.375% to 2.875% per annum, based on the applicable corporate credit rating at the time. As of September 30, 2020, no borrowings were drawn under the 2020 Revolving Credit Facility.</w:t>
      </w:r>
    </w:p>
    <w:p>
      <w:pPr>
        <w:spacing w:after="0" w:line="13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2020 Revolving Credit Facility, we are required to pay a quarterly commitment fee on the average daily undrawn amount of 0.175% to 0.525%, based on the applicable corporate credit rating at the time. As of September 30, 2020, the applicable commitment fee was 0.35%. For the three and nine months ended September 30, 2020, we recorded $0.1 million and $0.3 million of commitment fees in interest expense, respectively.</w:t>
      </w:r>
    </w:p>
    <w:p>
      <w:pPr>
        <w:spacing w:after="0" w:line="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incurred debt issuance costs of $0.8 million in connection with the 2020 Revolving Credit Facility and had $0.6 million of unamortized debt issuance costs associated with the 2018 Revolving Credit Facility remaining at the time of its amendment and replacement. Combined unamortized debt issuance will be amortized through interest expense on a straight-line basis over the contractual life of the 2020 Revolving Credit Facility. At September 30, 2020, remaining unamortized deferred debt issuance costs were $1.1 million.</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certain covenants under the 2020 Revolving Credit Facility, including, but not limited to, the following: a maximum debt-to-total capitalization ratio of 35%, a minimum liquidity requirement, compliance with the PMIERs financial requirements (subject to any GSE approved waivers), and minimum consolidated net worth and statutory capital requirements (respectively, as defined therein). We were in compliance with all covenants at September 30,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6"/>
                <w:szCs w:val="16"/>
                <w:color w:val="auto"/>
              </w:rPr>
            </w:pPr>
          </w:p>
        </w:tc>
        <w:tc>
          <w:tcPr>
            <w:tcW w:w="2860" w:type="dxa"/>
            <w:vAlign w:val="bottom"/>
            <w:gridSpan w:val="4"/>
          </w:tcPr>
          <w:p>
            <w:pPr>
              <w:ind w:left="560"/>
              <w:spacing w:after="0"/>
              <w:rPr>
                <w:sz w:val="20"/>
                <w:szCs w:val="20"/>
                <w:color w:val="auto"/>
              </w:rPr>
            </w:pPr>
            <w:r>
              <w:rPr>
                <w:rFonts w:ascii="Arial" w:cs="Arial" w:eastAsia="Arial" w:hAnsi="Arial"/>
                <w:sz w:val="14"/>
                <w:szCs w:val="14"/>
                <w:b w:val="1"/>
                <w:bCs w:val="1"/>
                <w:color w:val="auto"/>
              </w:rPr>
              <w:t>For the nine months ended</w:t>
            </w:r>
          </w:p>
        </w:tc>
      </w:tr>
      <w:tr>
        <w:trPr>
          <w:trHeight w:val="187"/>
        </w:trPr>
        <w:tc>
          <w:tcPr>
            <w:tcW w:w="5240" w:type="dxa"/>
            <w:vAlign w:val="bottom"/>
          </w:tcPr>
          <w:p>
            <w:pPr>
              <w:spacing w:after="0"/>
              <w:rPr>
                <w:sz w:val="16"/>
                <w:szCs w:val="16"/>
                <w:color w:val="auto"/>
              </w:rPr>
            </w:pPr>
          </w:p>
        </w:tc>
        <w:tc>
          <w:tcPr>
            <w:tcW w:w="150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September 30, 2019</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99"/>
              </w:rPr>
              <w:t>September 30, 2019</w:t>
            </w:r>
          </w:p>
        </w:tc>
      </w:tr>
      <w:tr>
        <w:trPr>
          <w:trHeight w:val="180"/>
        </w:trPr>
        <w:tc>
          <w:tcPr>
            <w:tcW w:w="5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ind w:left="9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Direct</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119,323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100,475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660"/>
              <w:spacing w:after="0"/>
              <w:rPr>
                <w:sz w:val="20"/>
                <w:szCs w:val="20"/>
                <w:color w:val="auto"/>
              </w:rPr>
            </w:pPr>
            <w:r>
              <w:rPr>
                <w:rFonts w:ascii="Arial" w:cs="Arial" w:eastAsia="Arial" w:hAnsi="Arial"/>
                <w:sz w:val="18"/>
                <w:szCs w:val="18"/>
                <w:color w:val="auto"/>
                <w:w w:val="98"/>
              </w:rPr>
              <w:t>331,254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660"/>
              <w:spacing w:after="0"/>
              <w:rPr>
                <w:sz w:val="20"/>
                <w:szCs w:val="20"/>
                <w:color w:val="auto"/>
              </w:rPr>
            </w:pPr>
            <w:r>
              <w:rPr>
                <w:rFonts w:ascii="Arial" w:cs="Arial" w:eastAsia="Arial" w:hAnsi="Arial"/>
                <w:sz w:val="18"/>
                <w:szCs w:val="18"/>
                <w:color w:val="auto"/>
                <w:w w:val="98"/>
              </w:rPr>
              <w:t>274,418</w:t>
            </w:r>
          </w:p>
        </w:tc>
      </w:tr>
      <w:tr>
        <w:trPr>
          <w:trHeight w:val="229"/>
        </w:trPr>
        <w:tc>
          <w:tcPr>
            <w:tcW w:w="5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2"/>
              </w:rPr>
              <w:t>(47,952)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2"/>
              </w:rPr>
              <w:t>(31,207)</w:t>
            </w:r>
          </w:p>
        </w:tc>
      </w:tr>
      <w:tr>
        <w:trPr>
          <w:trHeight w:val="223"/>
        </w:trPr>
        <w:tc>
          <w:tcPr>
            <w:tcW w:w="5240" w:type="dxa"/>
            <w:vAlign w:val="bottom"/>
          </w:tcPr>
          <w:p>
            <w:pPr>
              <w:ind w:left="120"/>
              <w:spacing w:after="0"/>
              <w:rPr>
                <w:sz w:val="20"/>
                <w:szCs w:val="20"/>
                <w:color w:val="auto"/>
              </w:rPr>
            </w:pPr>
            <w:r>
              <w:rPr>
                <w:rFonts w:ascii="Arial" w:cs="Arial" w:eastAsia="Arial" w:hAnsi="Arial"/>
                <w:sz w:val="18"/>
                <w:szCs w:val="18"/>
                <w:color w:val="auto"/>
              </w:rPr>
              <w:t>Net premiums written</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101,822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8"/>
              </w:rPr>
              <w:t>283,302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5"/>
              </w:rPr>
              <w:t>243,211</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351,889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288,165</w:t>
            </w:r>
          </w:p>
        </w:tc>
      </w:tr>
      <w:tr>
        <w:trPr>
          <w:trHeight w:val="229"/>
        </w:trPr>
        <w:tc>
          <w:tcPr>
            <w:tcW w:w="52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2"/>
              </w:rPr>
              <w:t>(55,426)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2"/>
              </w:rPr>
              <w:t>(38,666)</w:t>
            </w:r>
          </w:p>
        </w:tc>
      </w:tr>
      <w:tr>
        <w:trPr>
          <w:trHeight w:val="248"/>
        </w:trPr>
        <w:tc>
          <w:tcPr>
            <w:tcW w:w="5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premiums earned</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8"/>
              </w:rPr>
              <w:t>296,463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8"/>
              </w:rPr>
              <w:t>249,499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Net of profit commission.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NMIC entered into excess-of-loss reinsurance agreements with the Oaktown Re Vehicles. Each agreement provides NMIC with aggregate excess-of-loss reinsurance coverage on a defined portfolio of mortgage insurance policies written during a discrete period.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makes risk premium payments to the Oaktown Re Vehicles for the applicable outstanding reinsurance coverage amount and pays an additional amount for anticipated operating expenses (capped at $300 thousand per year to Oaktown Re Ltd. and $250 thousand per year to Oaktown Re II Ltd., Oaktown Re III Ltd. and Oaktown IV Ltd.). NMIC ceded aggregate premiums to the Oaktown Re Vehicles of $6.3 million and $13.4 million during the three and nine months ended September 30, 2020 and $4.4 million and $10.3 million during the three and nine months ended September 30, 2019, respectively.</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NMIC applies claims paid on covered policies against its first layer aggregate retained loss exposure under each excess-of-loss agreement. NMIC did not cede any incurred losses on covered policies to the Oaktown Re Vehicles during the three and nine months ended September 30, 2020 and 2019, as the aggregate first layer risk retention was not exhausted for each applicable agreement during such periods.</w:t>
      </w:r>
    </w:p>
    <w:p>
      <w:pPr>
        <w:spacing w:after="0" w:line="1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We refer to NMIC's reinsurance agreements with and the insurance-linked note issuances by Oaktown Re Ltd., Oaktown Re II Ltd., Oaktown Re III Ltd. and Oaktown Re IV Ltd., individually as the 2017 ILN Transaction, 2018 ILN Transaction, 2019 ILN Transaction, and 2020-1 ILN Transaction, and collectively as the ILN Transactions.</w:t>
      </w:r>
    </w:p>
    <w:p>
      <w:pPr>
        <w:spacing w:after="0" w:line="14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respective reinsurance coverage amounts provided by the Oaktown Re Vehicles decrease from the inception of each agreement over a ten-year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Effective June 25, 2020, a Lock-Out Event was deemed to have occurred for each of the 2017, 2018 and 2019 ILN Transactions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assets will be preserved in the applicable reinsurance trust account to collateralize the excess-of-loss reinsurance coverage provided to NMIC.</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table presents the inception date, covered production period, initial and current reinsurance coverage amount, and initial and current first layer retained aggregate loss under each of the ILN Transactions. Current amounts are presented as of September 30, 2020.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Initial</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Initial First Layer</w:t>
            </w:r>
          </w:p>
        </w:tc>
        <w:tc>
          <w:tcPr>
            <w:tcW w:w="120" w:type="dxa"/>
            <w:vAlign w:val="bottom"/>
          </w:tcPr>
          <w:p>
            <w:pPr>
              <w:spacing w:after="0"/>
              <w:rPr>
                <w:sz w:val="14"/>
                <w:szCs w:val="14"/>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b w:val="1"/>
                <w:bCs w:val="1"/>
                <w:color w:val="auto"/>
                <w:w w:val="99"/>
              </w:rPr>
              <w:t>Current First</w:t>
            </w:r>
          </w:p>
        </w:tc>
        <w:tc>
          <w:tcPr>
            <w:tcW w:w="0" w:type="dxa"/>
            <w:vAlign w:val="bottom"/>
          </w:tcPr>
          <w:p>
            <w:pPr>
              <w:spacing w:after="0"/>
              <w:rPr>
                <w:sz w:val="1"/>
                <w:szCs w:val="1"/>
                <w:color w:val="auto"/>
              </w:rPr>
            </w:pPr>
          </w:p>
        </w:tc>
      </w:tr>
      <w:tr>
        <w:trPr>
          <w:trHeight w:val="135"/>
        </w:trPr>
        <w:tc>
          <w:tcPr>
            <w:tcW w:w="2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Inception Date</w:t>
            </w:r>
          </w:p>
        </w:tc>
        <w:tc>
          <w:tcPr>
            <w:tcW w:w="21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Covered Production</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Reinsurance</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Reinsurance</w:t>
            </w: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5"/>
              </w:rPr>
              <w:t>Layer Retained</w:t>
            </w:r>
          </w:p>
        </w:tc>
        <w:tc>
          <w:tcPr>
            <w:tcW w:w="0" w:type="dxa"/>
            <w:vAlign w:val="bottom"/>
          </w:tcPr>
          <w:p>
            <w:pPr>
              <w:spacing w:after="0"/>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Coverage</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Retained Loss</w:t>
            </w:r>
          </w:p>
        </w:tc>
        <w:tc>
          <w:tcPr>
            <w:tcW w:w="120" w:type="dxa"/>
            <w:vAlign w:val="bottom"/>
          </w:tcPr>
          <w:p>
            <w:pPr>
              <w:spacing w:after="0"/>
              <w:rPr>
                <w:sz w:val="16"/>
                <w:szCs w:val="16"/>
                <w:color w:val="auto"/>
              </w:rPr>
            </w:pPr>
          </w:p>
        </w:tc>
        <w:tc>
          <w:tcPr>
            <w:tcW w:w="1140" w:type="dxa"/>
            <w:vAlign w:val="bottom"/>
          </w:tcPr>
          <w:p>
            <w:pPr>
              <w:jc w:val="center"/>
              <w:ind w:right="38"/>
              <w:spacing w:after="0" w:line="189" w:lineRule="exact"/>
              <w:rPr>
                <w:sz w:val="20"/>
                <w:szCs w:val="20"/>
                <w:color w:val="auto"/>
              </w:rPr>
            </w:pPr>
            <w:r>
              <w:rPr>
                <w:rFonts w:ascii="Arial" w:cs="Arial" w:eastAsia="Arial" w:hAnsi="Arial"/>
                <w:sz w:val="14"/>
                <w:szCs w:val="14"/>
                <w:b w:val="1"/>
                <w:bCs w:val="1"/>
                <w:color w:val="auto"/>
                <w:w w:val="81"/>
              </w:rPr>
              <w:t xml:space="preserve">Loss </w:t>
            </w:r>
            <w:r>
              <w:rPr>
                <w:rFonts w:ascii="Arial" w:cs="Arial" w:eastAsia="Arial" w:hAnsi="Arial"/>
                <w:sz w:val="18"/>
                <w:szCs w:val="18"/>
                <w:b w:val="1"/>
                <w:bCs w:val="1"/>
                <w:color w:val="auto"/>
                <w:w w:val="81"/>
                <w:vertAlign w:val="superscript"/>
              </w:rPr>
              <w:t>(1)</w:t>
            </w:r>
          </w:p>
        </w:tc>
        <w:tc>
          <w:tcPr>
            <w:tcW w:w="0" w:type="dxa"/>
            <w:vAlign w:val="bottom"/>
          </w:tcPr>
          <w:p>
            <w:pPr>
              <w:spacing w:after="0"/>
              <w:rPr>
                <w:sz w:val="1"/>
                <w:szCs w:val="1"/>
                <w:color w:val="auto"/>
              </w:rPr>
            </w:pP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 ILN Transaction</w:t>
            </w: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May 2, 2017</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1/1/2013 - 12/31/2016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126,793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121,602</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2018 ILN Transaction</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25, 2018</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1/1/2017 - 5/31/2018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264,545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158,489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125,312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123,354</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ILN Transaction</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30, 2019</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6/1/2018 - 6/30/2019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123,072</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2020-1 ILN Transaction</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30, 2020</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7/1/2019 - 3/31/2020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322,076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322,076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169,514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169,514</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40" w:right="420" w:hanging="332"/>
        <w:spacing w:after="0" w:line="217" w:lineRule="auto"/>
        <w:tabs>
          <w:tab w:leader="none" w:pos="269"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2018, 2019 and 2020-1 ILN Transactions, we are required to maintain a certain level of restricted funds in premium deposit accounts with Bank of New York Mellon until the respective notes have been redeemed in full. "Cash and cash equivalents" on our condensed consolidated balance sheet includes restricted amounts of $5.6 million as of September 30, 2020. We are not required to deposit additional funds into the premium deposit accounts in the future and the restricted balances required under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is a party to three outstanding quota share reinsurance treaties – the 2016 QSR Transaction, effective September 1, 2016, the 2018 QSR Transaction, effective January 1, 2018 and the 2020 QSR Transaction, effective April 1, 2020.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Standard &amp; Poor's Rating Service (S&amp;P), A.M. Best Company, Inc. (A.M. Best) or both.</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8"/>
          <w:szCs w:val="18"/>
          <w:color w:val="212529"/>
        </w:rPr>
        <w:t>The 2016 QSR Transaction is scheduled to terminate</w:t>
      </w:r>
      <w:r>
        <w:rPr>
          <w:rFonts w:ascii="Arial" w:cs="Arial" w:eastAsia="Arial" w:hAnsi="Arial"/>
          <w:sz w:val="18"/>
          <w:szCs w:val="18"/>
          <w:color w:val="auto"/>
        </w:rPr>
        <w:t xml:space="preserve"> </w:t>
      </w:r>
      <w:r>
        <w:rPr>
          <w:rFonts w:ascii="Arial" w:cs="Arial" w:eastAsia="Arial" w:hAnsi="Arial"/>
          <w:sz w:val="18"/>
          <w:szCs w:val="18"/>
          <w:color w:val="212529"/>
        </w:rPr>
        <w:t>on December 31, 2027, except with respect to the ceded pool risk, which is scheduled to terminate on August 31, 2023. NMIC has the option, based on certain conditions and subject to a termination fee, to terminate the agreement as of December 31, 2020, or at the end of any calendar quarter thereafter, which would result in NMIC re-assuming the related risk.</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re-assuming the related risk.</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would result in NMIC re-assuming the related risk.</w:t>
      </w:r>
    </w:p>
    <w:p>
      <w:pPr>
        <w:spacing w:after="0" w:line="133"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related to the QSR Transactions: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gridSpan w:val="4"/>
          </w:tcPr>
          <w:p>
            <w:pPr>
              <w:ind w:left="64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6"/>
                <w:szCs w:val="16"/>
                <w:color w:val="auto"/>
              </w:rPr>
            </w:pPr>
          </w:p>
        </w:tc>
        <w:tc>
          <w:tcPr>
            <w:tcW w:w="3140" w:type="dxa"/>
            <w:vAlign w:val="bottom"/>
            <w:gridSpan w:val="3"/>
          </w:tcPr>
          <w:p>
            <w:pPr>
              <w:jc w:val="right"/>
              <w:ind w:right="733"/>
              <w:spacing w:after="0"/>
              <w:rPr>
                <w:sz w:val="20"/>
                <w:szCs w:val="20"/>
                <w:color w:val="auto"/>
              </w:rPr>
            </w:pPr>
            <w:r>
              <w:rPr>
                <w:rFonts w:ascii="Arial" w:cs="Arial" w:eastAsia="Arial" w:hAnsi="Arial"/>
                <w:sz w:val="14"/>
                <w:szCs w:val="14"/>
                <w:b w:val="1"/>
                <w:bCs w:val="1"/>
                <w:color w:val="auto"/>
              </w:rPr>
              <w:t>For the nine months ended</w:t>
            </w:r>
          </w:p>
        </w:tc>
      </w:tr>
      <w:tr>
        <w:trPr>
          <w:trHeight w:val="187"/>
        </w:trPr>
        <w:tc>
          <w:tcPr>
            <w:tcW w:w="45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3"/>
              </w:rPr>
              <w:t>September 30, 2020</w:t>
            </w: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September 30, 2019</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3"/>
              </w:rPr>
              <w:t>September 30, 2020</w:t>
            </w:r>
          </w:p>
        </w:tc>
        <w:tc>
          <w:tcPr>
            <w:tcW w:w="2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September 30, 2019</w:t>
            </w:r>
          </w:p>
        </w:tc>
      </w:tr>
      <w:tr>
        <w:trPr>
          <w:trHeight w:val="180"/>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4"/>
          </w:tcPr>
          <w:p>
            <w:pPr>
              <w:jc w:val="right"/>
              <w:ind w:right="1115"/>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risk-in-force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5,159,061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4,901,809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5,159,061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4,901,809</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Ceded premiums earned</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(24,517)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(70,738)</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(65,538)</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claims and claim expenses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13,401</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Ceding commission earned</w:t>
            </w:r>
          </w:p>
        </w:tc>
        <w:tc>
          <w:tcPr>
            <w:tcW w:w="14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4,798</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13,739</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12,961</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commission</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11,034</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28,718</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Ceded premiums written under the 2016 QSR Transaction are recorded on the balance sheet as prepaid reinsurance premiums and amortized to ceded premiums earned in a manner consistent with the recognition of revenue on direct premiums. Under the 2018 QSR Transaction and 2020 QSR Transactions, premiums are ceded on an earned basis as defined in the agreement. NMIC receives a 20% ceding commission for premiums ceded under the QSR Transactions. NMIC also receives a profit commission under each of the QSR Transactions, provided that the loss ratios on loans covered under the 2016 QSR Transaction, 2018 QSR Transaction and 2020 QSR Transaction, generally remain below 60%, 61% and 50%, respectively, as measured annually. Ceded claims and claim expenses under each of the QSR Transactions reduce the respective profit commission received by NMIC on a dollar-for-dollar basis.</w:t>
      </w:r>
    </w:p>
    <w:p>
      <w:pPr>
        <w:spacing w:after="0" w:line="14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$4.8 million as of September 30, 2020.</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the terms of the 2018 and 2020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reinsurance recoverable on loss reserves related to the 2018 QSR Transaction was $12.2 million as of September 30, 2020. The reinsurance recoverable on loss reserves related to the 2020 QSR Transaction was $0.2 million as of September 30,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 reported (IBNR) reserves. We also establish reserves for claim expenses, which represent the estimated cost of the claim administration process, including legal and other fees, as well as other general expenses of administering the claim settlement process. As of September 30, 2020, we had 13,765 primary loans in default and held gross reserves for insurance claims and claim expenses of $87.2 million. During the nine months ended September 30, 2020, we paid 123 claims totaling $5.6 million, including 117 claims covered under the QSR Transactions representing $1.2 million of ceded claims and claim expenses.</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September 30, 2020, 277 loans in the pool were in default. These 277 loans represented approximately $23.2 million of RIF. Due to the size of the remaining deductible, our expectation that a limited number of loans in default will progress to a claim and the expected severity on such claim submissions (all loans in the pool have loan-to-value (LTV) ratios under 80%), we did not establish any case or IBNR reserves for pool risk at September 30, 2020. In connection with the settlement of pool claims, we applied $0.9 million to the pool deductible through September 30, 2020. At September 30, 2020, the remaining pool deductible was $9.4 million. We have not paid any pool claims to date. 100% of our pool RIF is reinsured under the 2016 QSR Transaction.</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had 13,765 loans in default in our primary insured portfolio as of September 30, 2020, which represented a 3.60% default rate against 381,899 total policies in-force. We had 1,230 loans in default in our primary insured portfolio as of September 30, 2019, which represented a 0.35% default rate against 350,395 total policies in-force. The increase in our default population is primarily due to challenges borrowers are facing related to the COVID-19 outbreak and their decision to access the forbearance program for federally backed loans codified under the Coronavirus Aid, Relief, and Economic Security (CARES) Act or similar programs made available by private lenders.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assumptions about future macroeconomic factors.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 In response to the COVID-19 outbreak, the Federal Housing Financing Agency (FHFA) and GSEs have introduced new repayment and loan modification options to further assist borrowers with their transition out of forbearance programs and default status.</w:t>
      </w:r>
    </w:p>
    <w:p>
      <w:pPr>
        <w:spacing w:after="0" w:line="1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reserve setting process considers the beneficial impact of forbearance, foreclosure moratorium and other assistance programs available to defaulted borrowers. At September 30, 2020,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While we established lower reserves per defaulted loan at September 30, 2020, our total reserve position and claims and claim expenses increased as of and during the period ended September 30, 2020 due to the growth in the size of our default population.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gross reserve balances for primary insurance claims and claim expenses: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560" w:type="dxa"/>
            <w:vAlign w:val="bottom"/>
            <w:tcBorders>
              <w:bottom w:val="single" w:sz="8" w:color="auto"/>
            </w:tcBorders>
            <w:gridSpan w:val="5"/>
          </w:tcPr>
          <w:p>
            <w:pPr>
              <w:jc w:val="right"/>
              <w:ind w:right="411"/>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7"/>
        </w:trPr>
        <w:tc>
          <w:tcPr>
            <w:tcW w:w="76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r>
      <w:tr>
        <w:trPr>
          <w:trHeight w:val="181"/>
        </w:trPr>
        <w:tc>
          <w:tcPr>
            <w:tcW w:w="7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5"/>
                <w:szCs w:val="15"/>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12,811</w:t>
            </w:r>
          </w:p>
        </w:tc>
      </w:tr>
      <w:tr>
        <w:trPr>
          <w:trHeight w:val="230"/>
        </w:trPr>
        <w:tc>
          <w:tcPr>
            <w:tcW w:w="7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3"/>
                <w:szCs w:val="23"/>
                <w:color w:val="auto"/>
                <w:vertAlign w:val="superscript"/>
              </w:rPr>
              <w:t>(1)</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9,810</w:t>
            </w:r>
          </w:p>
        </w:tc>
      </w:tr>
      <w:tr>
        <w:trPr>
          <w:trHeight w:val="88"/>
        </w:trPr>
        <w:tc>
          <w:tcPr>
            <w:tcW w:w="7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incurred:</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6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w:t>
            </w:r>
          </w:p>
        </w:tc>
      </w:tr>
      <w:tr>
        <w:trPr>
          <w:trHeight w:val="230"/>
        </w:trPr>
        <w:tc>
          <w:tcPr>
            <w:tcW w:w="7680" w:type="dxa"/>
            <w:vAlign w:val="bottom"/>
            <w:tcBorders>
              <w:bottom w:val="single" w:sz="8" w:color="CCEEFF"/>
            </w:tcBorders>
          </w:tcPr>
          <w:p>
            <w:pPr>
              <w:ind w:left="480"/>
              <w:spacing w:after="0" w:line="23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w:t>
            </w:r>
          </w:p>
        </w:tc>
      </w:tr>
      <w:tr>
        <w:trPr>
          <w:trHeight w:val="223"/>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claims and claim expenses incurred</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w:t>
            </w:r>
          </w:p>
        </w:tc>
      </w:tr>
      <w:tr>
        <w:trPr>
          <w:trHeight w:val="128"/>
        </w:trPr>
        <w:tc>
          <w:tcPr>
            <w:tcW w:w="7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6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tcPr>
          <w:p>
            <w:pPr>
              <w:ind w:left="480"/>
              <w:spacing w:after="0" w:line="23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2,401</w:t>
            </w:r>
          </w:p>
        </w:tc>
      </w:tr>
      <w:tr>
        <w:trPr>
          <w:trHeight w:val="230"/>
        </w:trPr>
        <w:tc>
          <w:tcPr>
            <w:tcW w:w="76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 xml:space="preserve">Reinsurance terminations </w:t>
            </w:r>
            <w:r>
              <w:rPr>
                <w:rFonts w:ascii="Arial" w:cs="Arial" w:eastAsia="Arial" w:hAnsi="Arial"/>
                <w:sz w:val="23"/>
                <w:szCs w:val="23"/>
                <w:color w:val="auto"/>
                <w:vertAlign w:val="superscript"/>
              </w:rPr>
              <w:t>(4)</w:t>
            </w:r>
          </w:p>
        </w:tc>
        <w:tc>
          <w:tcPr>
            <w:tcW w:w="10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23"/>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claims and claim expenses paid</w:t>
            </w:r>
          </w:p>
        </w:tc>
        <w:tc>
          <w:tcPr>
            <w:tcW w:w="10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12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r>
      <w:tr>
        <w:trPr>
          <w:trHeight w:val="88"/>
        </w:trPr>
        <w:tc>
          <w:tcPr>
            <w:tcW w:w="76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70,050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16,196</w:t>
            </w:r>
          </w:p>
        </w:tc>
      </w:tr>
      <w:tr>
        <w:trPr>
          <w:trHeight w:val="230"/>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87,230</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20,505</w:t>
            </w:r>
          </w:p>
        </w:tc>
      </w:tr>
      <w:tr>
        <w:trPr>
          <w:trHeight w:val="20"/>
        </w:trPr>
        <w:tc>
          <w:tcPr>
            <w:tcW w:w="7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Related to ceded losses recoverable under the QSR Transactions. See Note 5, "</w:t>
      </w:r>
      <w:r>
        <w:rPr>
          <w:rFonts w:ascii="Arial" w:cs="Arial" w:eastAsia="Arial" w:hAnsi="Arial"/>
          <w:sz w:val="14"/>
          <w:szCs w:val="14"/>
          <w:i w:val="1"/>
          <w:iCs w:val="1"/>
          <w:color w:val="auto"/>
        </w:rPr>
        <w:t>Reinsurance</w:t>
      </w:r>
      <w:r>
        <w:rPr>
          <w:rFonts w:ascii="Arial" w:cs="Arial" w:eastAsia="Arial" w:hAnsi="Arial"/>
          <w:sz w:val="14"/>
          <w:szCs w:val="14"/>
          <w:color w:val="auto"/>
        </w:rPr>
        <w:t>" for additional information.</w:t>
      </w:r>
    </w:p>
    <w:p>
      <w:pPr>
        <w:ind w:left="340" w:hanging="332"/>
        <w:spacing w:after="0" w:line="204" w:lineRule="auto"/>
        <w:tabs>
          <w:tab w:leader="none" w:pos="259"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w:t>
      </w:r>
    </w:p>
    <w:p>
      <w:pPr>
        <w:spacing w:after="0" w:line="1" w:lineRule="exact"/>
        <w:rPr>
          <w:rFonts w:ascii="Arial" w:cs="Arial" w:eastAsia="Arial" w:hAnsi="Arial"/>
          <w:sz w:val="19"/>
          <w:szCs w:val="19"/>
          <w:color w:val="auto"/>
          <w:vertAlign w:val="superscript"/>
        </w:rPr>
      </w:pPr>
    </w:p>
    <w:p>
      <w:pPr>
        <w:ind w:left="220" w:hanging="212"/>
        <w:spacing w:after="0" w:line="198" w:lineRule="auto"/>
        <w:tabs>
          <w:tab w:leader="none" w:pos="22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Related to insured loans with defaults occurring in prior years, which have been continuously in default before the start of the current year. Amounts are presented net of reinsurance.</w:t>
      </w:r>
    </w:p>
    <w:p>
      <w:pPr>
        <w:ind w:left="340" w:hanging="332"/>
        <w:spacing w:after="0" w:line="210" w:lineRule="auto"/>
        <w:tabs>
          <w:tab w:leader="none" w:pos="232"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Represents the settlement of reinsurance recoverables in conjunction with the termination of one reinsurer under the 2016 QSR Transaction on a cut-off basis. See Note 5, "Reinsurance" for additional information.</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"claims incurred" section of the table above shows claims and claim expenses incurred on defaults occurring in current and prior years, including IBNR reserves and is presented net of reinsurance. The amount of claims incurred relating to current year defaults represents the estimated amount of claims and claim expenses to ultimately be paid on such loans. We recognized $5.5 million and $2.7 million of favorable prior year development during the nine months ended September 30, 2020 and 2019, respectively, primarily due to the curing of previously reported defaults. We may increase or decrease our claim estimates and reserves as we learn additional information about individual defaulted loans, and continue to observe and analyze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loss development trends in our portfolio. Gross reserves of $11.4 million related to prior year defaults remained as of September 30,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 based restricted stock units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 The following table reconciles the net income and the weighted average shares of common stock outstanding used in the computations of basic and diluted EPS of common stock.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400" w:type="dxa"/>
            <w:vAlign w:val="bottom"/>
            <w:gridSpan w:val="6"/>
          </w:tcPr>
          <w:p>
            <w:pPr>
              <w:ind w:left="340"/>
              <w:spacing w:after="0"/>
              <w:rPr>
                <w:sz w:val="20"/>
                <w:szCs w:val="20"/>
                <w:color w:val="auto"/>
              </w:rPr>
            </w:pPr>
            <w:r>
              <w:rPr>
                <w:rFonts w:ascii="Arial" w:cs="Arial" w:eastAsia="Arial" w:hAnsi="Arial"/>
                <w:sz w:val="14"/>
                <w:szCs w:val="14"/>
                <w:b w:val="1"/>
                <w:bCs w:val="1"/>
                <w:color w:val="auto"/>
              </w:rPr>
              <w:t>For the three months ended September 30,</w:t>
            </w:r>
          </w:p>
        </w:tc>
        <w:tc>
          <w:tcPr>
            <w:tcW w:w="240" w:type="dxa"/>
            <w:vAlign w:val="bottom"/>
          </w:tcPr>
          <w:p>
            <w:pPr>
              <w:spacing w:after="0"/>
              <w:rPr>
                <w:sz w:val="16"/>
                <w:szCs w:val="16"/>
                <w:color w:val="auto"/>
              </w:rPr>
            </w:pPr>
          </w:p>
        </w:tc>
        <w:tc>
          <w:tcPr>
            <w:tcW w:w="306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87"/>
        </w:trPr>
        <w:tc>
          <w:tcPr>
            <w:tcW w:w="454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180"/>
        </w:trPr>
        <w:tc>
          <w:tcPr>
            <w:tcW w:w="4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20" w:type="dxa"/>
            <w:vAlign w:val="bottom"/>
            <w:gridSpan w:val="5"/>
          </w:tcPr>
          <w:p>
            <w:pPr>
              <w:ind w:left="180"/>
              <w:spacing w:after="0"/>
              <w:rPr>
                <w:sz w:val="20"/>
                <w:szCs w:val="20"/>
                <w:color w:val="auto"/>
              </w:rPr>
            </w:pPr>
            <w:r>
              <w:rPr>
                <w:rFonts w:ascii="Arial" w:cs="Arial" w:eastAsia="Arial" w:hAnsi="Arial"/>
                <w:sz w:val="14"/>
                <w:szCs w:val="14"/>
                <w:i w:val="1"/>
                <w:iCs w:val="1"/>
                <w:color w:val="auto"/>
              </w:rPr>
              <w:t>(In Thousands, except for per share data)</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38,179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123,298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121,762</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84,805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67,381</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121,762</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Gain from change in fair value of warrant liability</w:t>
            </w:r>
          </w:p>
        </w:tc>
        <w:tc>
          <w:tcPr>
            <w:tcW w:w="9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w:t>
            </w:r>
          </w:p>
        </w:tc>
        <w:tc>
          <w:tcPr>
            <w:tcW w:w="98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38,179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119,012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121,762</w:t>
            </w:r>
          </w:p>
        </w:tc>
      </w:tr>
      <w:tr>
        <w:trPr>
          <w:trHeight w:val="257"/>
        </w:trPr>
        <w:tc>
          <w:tcPr>
            <w:tcW w:w="4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84,805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67,381</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issuable shares</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85,599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69,520</w:t>
            </w:r>
          </w:p>
        </w:tc>
      </w:tr>
      <w:tr>
        <w:trPr>
          <w:trHeight w:val="257"/>
        </w:trPr>
        <w:tc>
          <w:tcPr>
            <w:tcW w:w="45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shares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issued 992 thousand warrants in connection with a private placement of our common stock in April 2012. Each warrant gives the holder thereof the right to purchase one share of common stock at an exercise price equal to $10.00. The warrants were issued with an aggregate fair value of $5.1 million.</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September 30, 2020, no warrants were exercised. During the nine months ended September 30, 2020, nine thousand warrants were exercised resulting in the issuance of six thousand shares of common stock. Upon exercise, we reclassified approximately $0.2 million of warrant fair value from warrant liability to additional paid-in capital.</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September 30, 2019, 130 thousand warrants were exercised resulting in the issuance of 82 thousand shares of common stock. Upon exercise, we reclassified approximately $2.2 million of warrant fair value from warrant liability to additional paid-in capital, of which $0.9 million related to changes in fair value during the three months ended September 30, 2019. During the nine months ended September 30, 2019, 390 thousand warrants were exercised resulting in the issuance of 249 thousand shares of common stock. Upon exercise, we reclassified approximately $7.0 million of warrant fair value from warrant liability to additional paid-in capital, of which $3.2 million related to changes in fair value during the nine months ended September 30,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U.S. taxpayer and are subject to a statutory U.S. federal corporate income tax rate of 21%. NMIH files a consolidated U.S. federal and various state income tax returns on behalf of itself and its subsidiaries. Our effective tax rate on our pre-tax income was 22.6% and 21.2% for the three and nine months ended September 30, 2020, respectively, compared to 22.2% and 20.9% for the three and nine months ended September 30, 2019, respectively. Our provision for income taxes for interim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and the change in fair value of our warrant liability. Such items are treated on a discrete basis in the reporting period in which they occur.</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nine months ended September 30, 2020 represents a change in our net deferred tax liability. As of September 30, 2020, we held $7.6 million of tax and loss bonds in "Other assets" in our condensed consolidated balance sheet.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2020, we had 84.8 million outstanding shares of common stock. Holders of our common stock have no preemptive or conversion rights or other subscription rights, and there are no redemption or sinking fund provisions applicable to the common stock. Each holder of our common stock is entitled to one vote per share on all matters to be voted upon by stockholders, and there are no cumulative voting rights. Holders of common stock are entitled to receive dividends ratably if any are declared.</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8, 2020, we completed the sale of 13.8 million shares of common stock and granted the underwriters on the transaction a 15% overallotment option to purchase additional shares. The overallotment option was exercised in full, resulting in a total of 15.9 million shares of common stock issued. The common stock offering generated proceeds of $219.7 million, net of underwriting discounts, commissions and other direct offering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Regulatory Information</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Statutory Requirements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combined statutory net income (loss)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4"/>
          </w:tcPr>
          <w:p>
            <w:pPr>
              <w:ind w:left="140"/>
              <w:spacing w:after="0"/>
              <w:rPr>
                <w:sz w:val="20"/>
                <w:szCs w:val="20"/>
                <w:color w:val="auto"/>
              </w:rPr>
            </w:pPr>
            <w:r>
              <w:rPr>
                <w:rFonts w:ascii="Arial" w:cs="Arial" w:eastAsia="Arial" w:hAnsi="Arial"/>
                <w:sz w:val="14"/>
                <w:szCs w:val="14"/>
                <w:b w:val="1"/>
                <w:bCs w:val="1"/>
                <w:color w:val="auto"/>
              </w:rPr>
              <w:t>For the three months ended September 30,</w:t>
            </w:r>
          </w:p>
        </w:tc>
        <w:tc>
          <w:tcPr>
            <w:tcW w:w="340" w:type="dxa"/>
            <w:vAlign w:val="bottom"/>
          </w:tcPr>
          <w:p>
            <w:pPr>
              <w:spacing w:after="0"/>
              <w:rPr>
                <w:sz w:val="16"/>
                <w:szCs w:val="16"/>
                <w:color w:val="auto"/>
              </w:rPr>
            </w:pPr>
          </w:p>
        </w:tc>
        <w:tc>
          <w:tcPr>
            <w:tcW w:w="2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w w:val="91"/>
              </w:rPr>
              <w:t>For the nine months ended September 30,</w:t>
            </w:r>
          </w:p>
        </w:tc>
      </w:tr>
      <w:tr>
        <w:trPr>
          <w:trHeight w:val="187"/>
        </w:trPr>
        <w:tc>
          <w:tcPr>
            <w:tcW w:w="44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r>
      <w:tr>
        <w:trPr>
          <w:trHeight w:val="180"/>
        </w:trPr>
        <w:tc>
          <w:tcPr>
            <w:tcW w:w="4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3"/>
          </w:tcPr>
          <w:p>
            <w:pPr>
              <w:ind w:left="820"/>
              <w:spacing w:after="0"/>
              <w:rPr>
                <w:sz w:val="20"/>
                <w:szCs w:val="20"/>
                <w:color w:val="auto"/>
              </w:rPr>
            </w:pPr>
            <w:r>
              <w:rPr>
                <w:rFonts w:ascii="Arial" w:cs="Arial" w:eastAsia="Arial" w:hAnsi="Arial"/>
                <w:sz w:val="14"/>
                <w:szCs w:val="14"/>
                <w:i w:val="1"/>
                <w:iCs w:val="1"/>
                <w:color w:val="auto"/>
                <w:w w:val="93"/>
              </w:rPr>
              <w:t>(In Thousands)</w:t>
            </w: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net (loss) gain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(5,600)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8,055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(22,614)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treatment contrasts with the NAIC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the company's statutory capital position.</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NMIC and Re One's combined statutory surplus, contingency reserve, statutory capital and risk-to-capital (RTC) ratio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2019</w:t>
            </w:r>
          </w:p>
        </w:tc>
      </w:tr>
      <w:tr>
        <w:trPr>
          <w:trHeight w:val="185"/>
        </w:trPr>
        <w:tc>
          <w:tcPr>
            <w:tcW w:w="7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4"/>
          </w:tcPr>
          <w:p>
            <w:pPr>
              <w:jc w:val="right"/>
              <w:ind w:right="1214"/>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surplus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883,580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449,602</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707,769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531,825</w:t>
            </w:r>
          </w:p>
        </w:tc>
      </w:tr>
      <w:tr>
        <w:trPr>
          <w:trHeight w:val="223"/>
        </w:trPr>
        <w:tc>
          <w:tcPr>
            <w:tcW w:w="77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Statutory capital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1,591,349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981,427</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RTC ratio</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15.8:1</w:t>
            </w:r>
          </w:p>
        </w:tc>
      </w:tr>
    </w:tbl>
    <w:p>
      <w:pPr>
        <w:spacing w:after="0" w:line="106"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Represents the total of the statutory surplus and contingency reserve.</w:t>
      </w:r>
    </w:p>
    <w:p>
      <w:pPr>
        <w:spacing w:after="0" w:line="146" w:lineRule="exact"/>
        <w:rPr>
          <w:sz w:val="20"/>
          <w:szCs w:val="20"/>
          <w:color w:val="auto"/>
        </w:rPr>
      </w:pPr>
    </w:p>
    <w:p>
      <w:pPr>
        <w:jc w:val="both"/>
        <w:ind w:firstLine="688"/>
        <w:spacing w:after="0" w:line="277" w:lineRule="auto"/>
        <w:rPr>
          <w:sz w:val="20"/>
          <w:szCs w:val="20"/>
          <w:color w:val="auto"/>
        </w:rPr>
      </w:pPr>
      <w:r>
        <w:rPr>
          <w:rFonts w:ascii="Arial" w:cs="Arial" w:eastAsia="Arial" w:hAnsi="Arial"/>
          <w:sz w:val="18"/>
          <w:szCs w:val="18"/>
          <w:color w:val="auto"/>
        </w:rPr>
        <w:t>In June 2020, NMIH contributed approximately $445 million of capital to NMIC following completion of its respective Notes and common stock offerings.</w:t>
      </w:r>
    </w:p>
    <w:p>
      <w:pPr>
        <w:spacing w:after="0" w:line="116" w:lineRule="exact"/>
        <w:rPr>
          <w:sz w:val="20"/>
          <w:szCs w:val="20"/>
          <w:color w:val="auto"/>
        </w:rPr>
      </w:pPr>
    </w:p>
    <w:p>
      <w:pPr>
        <w:jc w:val="both"/>
        <w:ind w:firstLine="688"/>
        <w:spacing w:after="0" w:line="255" w:lineRule="auto"/>
        <w:rPr>
          <w:sz w:val="20"/>
          <w:szCs w:val="20"/>
          <w:color w:val="auto"/>
        </w:rPr>
      </w:pPr>
      <w:r>
        <w:rPr>
          <w:rFonts w:ascii="Arial" w:cs="Arial" w:eastAsia="Arial" w:hAnsi="Arial"/>
          <w:sz w:val="18"/>
          <w:szCs w:val="18"/>
          <w:color w:val="auto"/>
        </w:rPr>
        <w:t>NMIH is not subject to any limitations on its ability to pay dividends except those generally applicable to corporations that are incorporated in Delaware. Delaware corporate law provides that dividends are only payable out of a corporation's capital surplus or, subject to certain limitations, recent net profits. NMIC and Re One are subject to certain rules and regulations prescribed by jurisdictions in which they are authorized to operate and the GSEs that may restrict their ability to pay dividends to NMIH. Since inception, NMIC and Re One have not paid any dividends to NMIH. NMIC and Re One have the capacity to pay aggregate ordinary dividends as calculated under Wisconsin law of $16.1 million to NMIH during the 12-month period ending December 31, 2020.</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Wisconsin OCI has approved the allocation of interest expense on the $400 million Notes and $100 million 2020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October 29, 2020, NMIC entered into a reinsurance agreement with Oaktown Re V Ltd. (Oaktown Re V), a Bermuda domiciled special purpose reinsurer, that provides for up to $242.4 million of aggregate excess-of-loss reinsurance coverage at inception for new delinquencies on an existing portfolio of mortgage insurance policies primarily written between April 1, 2020 and September 30, 2020. For the reinsurance coverage period, NMIC will retain the first layer of $121.2 million of aggregate losses and Oaktown Re V will then provide second layer coverage up to the outstanding reinsurance coverage amount. NMIC will then retain losses in excess of the outstanding reinsurance coverage amount.</w:t>
      </w:r>
    </w:p>
    <w:p>
      <w:pPr>
        <w:spacing w:after="0" w:line="12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Oaktown Re V financed the coverage by issuing mortgage insurance-linked notes in an aggregate principal amount of $242.4 million to unaffiliated investors. The notes issued by Oaktown Re V mature on October 25, 2030; all proceeds raised were deposited into a reinsurance trust to collateralize and fund the obligations of Oaktown Re V to NMIC under the reinsurance agreement. Funds in the reinsurance trust account are required to be invested in high credit quality money market funds at all times. We refer to NMIC's reinsurance agreement with and the insurance-linked notes issued by Oaktown Re V as the 2020-2 ILN Transaction. Under the terms of the 2020-2 ILN Transaction, NMIC makes risk premium payments for the applicable outstanding reinsurance coverage amount and pays Oaktown Re V for anticipated operating expenses (capped at $250,000 per year).</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Revolving Credit Facility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30, 2020, we entered into a Joinder Agreement, among NMIH, NMIS, JPMorgan Chase Bank, N.A., as administrative Agent and Citibank, N.A., as lender, (the "Joinder") to the Company's existing Credit Agreement, increasing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aggregate principal amount of commitments under the 2020 Revolving Credit Facility from $100 million to $110 million. All other terms remained unchanged. As of the date hereof, no amounts are outstanding under the 2020 Revolving Credit Facility.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193"/>
        <w:spacing w:after="0" w:line="291" w:lineRule="auto"/>
        <w:rPr>
          <w:sz w:val="20"/>
          <w:szCs w:val="20"/>
          <w:color w:val="auto"/>
        </w:rPr>
      </w:pPr>
      <w:r>
        <w:rPr>
          <w:rFonts w:ascii="Arial" w:cs="Arial" w:eastAsia="Arial" w:hAnsi="Arial"/>
          <w:sz w:val="16"/>
          <w:szCs w:val="16"/>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2019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2019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private MI through our wholly-owned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reinsurance to NMIC on insured loans after giving effect to third-party reinsurance. Our subsidiary, NMIS, provides outsourced loan review services to mortgage loan originators.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September 30, 2020, we had master policies with 1,551 customers, including national and regional mortgage banks, money center banks, credit unions, community banks, builder-owned mortgage lenders, internet-sourced lenders and other non-bank lenders. As of September 30, 2020, we had $106.6 billion of total insurance-in-force (IIF), including primary IIF of $104.5 billion, and $26.7 billion of gross RIF, including primary RIF of $26.6 billion.</w:t>
      </w:r>
    </w:p>
    <w:p>
      <w:pPr>
        <w:spacing w:after="0" w:line="1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utilizing our proprietary Rate GPS</w:t>
      </w:r>
      <w:r>
        <w:rPr>
          <w:rFonts w:ascii="Arial" w:cs="Arial" w:eastAsia="Arial" w:hAnsi="Arial"/>
          <w:sz w:val="22"/>
          <w:szCs w:val="22"/>
          <w:color w:val="auto"/>
          <w:vertAlign w:val="superscript"/>
        </w:rPr>
        <w:t>SM</w:t>
      </w:r>
      <w:r>
        <w:rPr>
          <w:rFonts w:ascii="Arial" w:cs="Arial" w:eastAsia="Arial" w:hAnsi="Arial"/>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Our common stock trades on the NASDAQ under the symbol "NMIH." Our headquarters is located in Emeryville, California. As of September 30, 2020, we had 261 employees. Our corporate website is located at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3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COVID-19 Developments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30, 2020, the WHO declared the outbreak of the COVID-19 virus to be a global health emergency and characterized the outbreak as a global pandemic on March 11, 2020. In an effort to stem contagion and control the COVID-19 pandemic, the population at large has severely curtailed day-to-day activity and local, state and federal regulators have imposed a broad set of restrictions on personal and business conduct nationwide. The COVID-19 pandemic, along with the widespread public and regulatory response, has caused a dramatic slowdown in U.S. and global economic activity and a record number of Americans have been furloughed or laid-off.</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global dislocation caused by COVID-19 is unprecedented and, while there is broad hope for medical advances that might relieve the crisis and provide for a near-term return to normalized activity, it is not known how long the dislocation will persist and if or when any such medical advances may be developed or made available. In response to the COVID-19 outbreak and continuing uncertainties, we activated our business continuity program to ensure our employees are safe and able to continue serving our customers without interruption. We have also sought to broadly assess the impact that the COVID-19 outbreak has had and may continue to have on the U.S economy and housing market, and the implications for the mortgage insurance market, and our business performance and financial position.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Potential Impact on the U.S. Housing Market and Mortgage Insurance Industry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U.S. housing market is demonstrating notable resiliency amidst the broader economic dislocation caused by the outbreak of COVID-19. Low interest rates are helping to support housing affordability, medical concerns and lifestyle preferences are driving people to move from densely populated urban areas to suburban communities where social distancing is more easily achieved, and shelter-in-place directives are reinforcing the value of homeownership – all of which are contributing to an influx of new home buyers, record levels of purchase demand, and generally stable to rising house prices nationally.</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 possibility remains that the housing market will soften, we believe the general strength of the market coming into the COVID-19 crisis will help to mitigate the risk of a severe pullback. We observe several favorable differences in the current environment compared to the period leading up to and through the 2008 Financial Crisis – the last period of significant economic volatility in the U.S. and one noted for its significant housing market dislocation. Such differences include:</w:t>
      </w:r>
    </w:p>
    <w:p>
      <w:pPr>
        <w:spacing w:after="0" w:line="133" w:lineRule="exact"/>
        <w:rPr>
          <w:sz w:val="20"/>
          <w:szCs w:val="20"/>
          <w:color w:val="auto"/>
        </w:rPr>
      </w:pPr>
    </w:p>
    <w:p>
      <w:pPr>
        <w:ind w:left="1300" w:hanging="644"/>
        <w:spacing w:after="0" w:line="342" w:lineRule="auto"/>
        <w:tabs>
          <w:tab w:leader="none" w:pos="100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generally higher quality borrower base (as measured by weighted average FICO scores and LTV ratios) and tighter underwriting standards (with, among other items, full-documentation required to verify borrower income and asset positions) that prevail in the current market;</w:t>
      </w:r>
    </w:p>
    <w:p>
      <w:pPr>
        <w:spacing w:after="0" w:line="69" w:lineRule="exact"/>
        <w:rPr>
          <w:rFonts w:ascii="Arial" w:cs="Arial" w:eastAsia="Arial" w:hAnsi="Arial"/>
          <w:sz w:val="16"/>
          <w:szCs w:val="16"/>
          <w:color w:val="auto"/>
        </w:rPr>
      </w:pPr>
    </w:p>
    <w:p>
      <w:pPr>
        <w:ind w:left="1300" w:right="20" w:hanging="644"/>
        <w:spacing w:after="0" w:line="277" w:lineRule="auto"/>
        <w:tabs>
          <w:tab w:leader="none" w:pos="11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lower concentration of higher risk loan structures, such as negative amortizing, interest-only or short-termed option adjustable-rate mortgages being originated and outstanding in the current market;</w:t>
      </w:r>
    </w:p>
    <w:p>
      <w:pPr>
        <w:spacing w:after="0" w:line="116" w:lineRule="exact"/>
        <w:rPr>
          <w:rFonts w:ascii="Arial" w:cs="Arial" w:eastAsia="Arial" w:hAnsi="Arial"/>
          <w:sz w:val="18"/>
          <w:szCs w:val="18"/>
          <w:color w:val="auto"/>
        </w:rPr>
      </w:pPr>
    </w:p>
    <w:p>
      <w:pPr>
        <w:ind w:left="1300" w:hanging="644"/>
        <w:spacing w:after="0" w:line="263" w:lineRule="auto"/>
        <w:tabs>
          <w:tab w:leader="none" w:pos="12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meaningfully higher proportion of loans used for lower risk purposes, such as the purchase of a primary residence or rate-term refinancing in the current market, as opposed to cash-out refinancings, investment properties or second home purchases, which prevailed to a far greater degree in the lead up to the 2008 Financial Crisis;</w:t>
      </w:r>
    </w:p>
    <w:p>
      <w:pPr>
        <w:spacing w:after="0" w:line="129" w:lineRule="exact"/>
        <w:rPr>
          <w:rFonts w:ascii="Arial" w:cs="Arial" w:eastAsia="Arial" w:hAnsi="Arial"/>
          <w:sz w:val="18"/>
          <w:szCs w:val="18"/>
          <w:color w:val="auto"/>
        </w:rPr>
      </w:pPr>
    </w:p>
    <w:p>
      <w:pPr>
        <w:ind w:left="1300" w:hanging="644"/>
        <w:spacing w:after="0" w:line="263"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and immediate application by politicians, regulators, lenders, loan servicers and others of a broad toolkit of resources designed to aid distressed borrowers, including forbearance, foreclosure moratoriums and other assistance programs codified under the CARES Act enacted on March 27, 2020; and</w:t>
      </w:r>
    </w:p>
    <w:p>
      <w:pPr>
        <w:spacing w:after="0" w:line="129" w:lineRule="exact"/>
        <w:rPr>
          <w:rFonts w:ascii="Arial" w:cs="Arial" w:eastAsia="Arial" w:hAnsi="Arial"/>
          <w:sz w:val="18"/>
          <w:szCs w:val="18"/>
          <w:color w:val="auto"/>
        </w:rPr>
      </w:pPr>
    </w:p>
    <w:p>
      <w:pPr>
        <w:ind w:left="1300" w:hanging="644"/>
        <w:spacing w:after="0" w:line="263" w:lineRule="auto"/>
        <w:tabs>
          <w:tab w:leader="none" w:pos="10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broader and equally immediate application of significant fiscal and monetary stimulus by the federal government under the CARES Act and across a range of other programs designed to assist unemployed individuals and distressed businesses, as well as support the smooth functioning of various capital and risk markets.</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perceive the house price environment in the period leading up to the COVID-crisis to be anchored by more balanced market fundamentals than that in the period leading up to the 2008 Financial Crisis. We believe the 2008 Financial Crisis was directly precipitated by irresponsible behavior in the housing market that drove home prices to unsustainable heights (a so-called "bubble"). We see a causal link between the housing market and the 2008 Financial Crisis that we do not see in the COVID-19 outbreak, and we believe this will further contribute to housing market stability through the COVID-19 pandemic.</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Purchase mortgage origination volume has increased significantly as factors related to the COVID-19 crisis have spurred significant incremental demand for homeownership. Refinancing origination volume has also grown dramatically as declining mortgage rates have created refinancing opportunities for a large number of existing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0" w:name="page31"/>
    <w:bookmarkEnd w:id="30"/>
    <w:p>
      <w:pPr>
        <w:jc w:val="both"/>
        <w:ind w:firstLine="648"/>
        <w:spacing w:after="0" w:line="259" w:lineRule="auto"/>
        <w:rPr>
          <w:sz w:val="20"/>
          <w:szCs w:val="20"/>
          <w:color w:val="auto"/>
        </w:rPr>
      </w:pPr>
      <w:r>
        <w:rPr>
          <w:rFonts w:ascii="Arial" w:cs="Arial" w:eastAsia="Arial" w:hAnsi="Arial"/>
          <w:sz w:val="18"/>
          <w:szCs w:val="18"/>
          <w:color w:val="auto"/>
        </w:rPr>
        <w:t>Growth in total mortgage origination volume increases the addressable market for the U.S. mortgage insurance industry, while accelerated refinancing activity increases prepayment speed on outstanding insured mortgages. In this context, we anticipate total U.S. mortgage insurance industry new insurance written (NIW) volume will increase, potentially to record levels, while we expect the persistency of existing in-force insured risk across the industry will decline meaningfully.</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we currently observe broad resiliency in the housing and high-LTV mortgage markets and, for the reasons discussed above, expect this trend to continue in the near term, the ultimate impact of COVID-19 remains highly uncertain. See Item 1A, "</w:t>
      </w:r>
      <w:r>
        <w:rPr>
          <w:rFonts w:ascii="Arial" w:cs="Arial" w:eastAsia="Arial" w:hAnsi="Arial"/>
          <w:sz w:val="18"/>
          <w:szCs w:val="18"/>
          <w:i w:val="1"/>
          <w:iCs w:val="1"/>
          <w:color w:val="auto"/>
        </w:rPr>
        <w:t>Risk Factors - The COVID-19 outbreak could</w:t>
      </w:r>
      <w:r>
        <w:rPr>
          <w:rFonts w:ascii="Arial" w:cs="Arial" w:eastAsia="Arial" w:hAnsi="Arial"/>
          <w:sz w:val="18"/>
          <w:szCs w:val="18"/>
          <w:color w:val="auto"/>
        </w:rPr>
        <w:t xml:space="preserve"> </w:t>
      </w:r>
      <w:r>
        <w:rPr>
          <w:rFonts w:ascii="Arial" w:cs="Arial" w:eastAsia="Arial" w:hAnsi="Arial"/>
          <w:sz w:val="18"/>
          <w:szCs w:val="18"/>
          <w:i w:val="1"/>
          <w:iCs w:val="1"/>
          <w:color w:val="auto"/>
        </w:rPr>
        <w:t>materially adversely affect our business, results of operations and financial condition</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Potential Impact on NMI's Business Performance and Financial Position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had 261 employees at September 30, 2020, including 113 who typically work at our corporate headquarters in Emeryville, CA and 148 who typically work from home in locations across the country. In response to the COVID-19 outbreak, we activated our business continuity program and instituted additional work-from-home practices for our 113 Emeryville-based staff. We have transitioned our operations seamlessly and continue to positively engage with customers on a remote basis. Our IT environment, underwriting capabilities, policy servicing platform and risk architecture have continued without interruption, and our internal control environment and internal controls over financial reporting are unchanged. We have achieved this transition without incurring additional capital expenditures or operating expenses and we believe our current operating platform can continue to support our newly distributed needs for an extended period without further investment beyond that planned in the ordinary course.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Business Production</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NIW volume increased significantly following the onset of the COVID-19 pandemic driven by the broad resiliency of the housing market, growth in total mortgage origination volume and increasing size of the U.S. mortgage insurance market, as well as the continued expansion of our customer franchise. We wrote $18.5 billion of NIW during the three months ended September 30, 2020, up 41% compared to the three months ended June 30, 2020 and 31% compared to the three months ended September 30, 2019. We expect our NIW volume and total mortgage insurance industry production will remain elevated through the remainder of 2020, with the potential for total market production and our NIW volume to reach record levels.</w:t>
      </w:r>
    </w:p>
    <w:p>
      <w:pPr>
        <w:spacing w:after="0" w:line="1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we currently expect our new business production will remain elevated, the potential onset of a second viral wave, reintroduction of broad-based shelter-in-place directives, increased unemployment or other potential outcomes related to COVID-19 could drive a moderation or decline in our volume going forward.</w:t>
      </w:r>
    </w:p>
    <w:p>
      <w:pPr>
        <w:spacing w:after="0" w:line="13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We have broadly defined underwriting standards and loan-level eligibility criteria that are designed to limit our exposure to higher risk loans, and have used Rate GPS to actively shape the mix of our new business production and insured portfolio by, among other risk factors, borrower FICO score,</w:t>
      </w:r>
    </w:p>
    <w:p>
      <w:pPr>
        <w:jc w:val="both"/>
        <w:spacing w:after="0" w:line="257" w:lineRule="auto"/>
        <w:rPr>
          <w:sz w:val="20"/>
          <w:szCs w:val="20"/>
          <w:color w:val="auto"/>
        </w:rPr>
      </w:pPr>
      <w:r>
        <w:rPr>
          <w:rFonts w:ascii="Arial" w:cs="Arial" w:eastAsia="Arial" w:hAnsi="Arial"/>
          <w:sz w:val="18"/>
          <w:szCs w:val="18"/>
          <w:color w:val="auto"/>
        </w:rPr>
        <w:t>debt-to-income (DTI) ratio and LTV ratio. In the weeks following the outbreak of COVID-19, we adopted changes to our underwriting guidelines, including changes to our loan documentation requirements, asset reserve requirements, employment verification process and income continuance determinations, that have further strengthened the credit risk profile of our NIW volume and IIF. At September 30, 2020, the weighted average FICO score of our RIF was 754 and we had a 3% mix of below 680 FICO score risk. Similarly, at September 30, 2020, the weighted average LTV ratio (at origination) of our insured portfolio was 92.4% and we had a 9% mix of 97% LTV risk.</w:t>
      </w:r>
    </w:p>
    <w:p>
      <w:pPr>
        <w:spacing w:after="0" w:line="13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set our premium rates based on a broad range of individual and market variables, including property type, type of loan product, borrower credit characteristics, and lender profile. Given the significant economic dislocation caused thus far by the COVID-19 outbreak, the uncertain duration and ultimate global impact of this crisis, and the continued potential that it will have a deleterious effect on the residential housing market, we have taken action to increase the premium rates we charge on all new business production, in accordance with our filed rates and applicable rating rules.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Delinquency Trends and Claims Expense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had 13,765 defaulted loans in our primary insured portfolio at September 30, 2020, which represented a 3.60% default rate against our 381,899 total policies in-force. Our default population has increased significantly since the outbreak of the pandemic as borrowers have faced increasing challenges related to COVID-19 and chosen to access the forbearance program for federally backed loans codified under the CARES Act or other similar assistance programs made available by private lenders. At September 30, 2020, 24,809 or 6.5% of the loans we insured in our primary portfolio were enrolled in a forbearance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including 12,665 of the loans in our default population, 1,772 loans that had missed at least one payment, but not progressed into default status and 10,372 additional loans that were fully performing without any missed payments. As of October 31, 2020, our default population had decreased to 13,108, representing a 3.41% default rate and identified 23,727 loans in forbearance programs.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we are encouraged by the recent decline in our forbearance and default populations, and the rising level of cure activity amongst COVID impacted borrowers, the continued social and economic dislocation caused by the pandemic may contribute to an increase in our forbearance and default counts in future periods.</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establish reserves for claims and allocated claim expenses when we are notified that a borrower is in default. The size of the reserve we establish for each defaulted loan (and by extension our aggregate reserve and claims expense) reflects our best estimate of the future claim payment to be made under each individual policy. Our future claims exposure is a function of the number of delinquent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fully defer the payments otherwise due during the forbearance period, over an extended length of time. In response to the onset of the COVID-19 outbreak, the GSEs have introduced new repayment and loan modification options to further assist borrowers with their transition out of forbearance and back into performing status. Our reserve setting process considers the beneficial impact of forbearance, foreclosure moratorium and other assistance programs available to defaulted borrowers. At September 30, 2020,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1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master policies require insureds to file a claim no later than 60-days after completion of a foreclosure, and in connection with the claim, the insured is generally entitled to include in the claim amount (i) interest (capped at three years) and (ii) certain advances, each as incurred through the date the claim is filed. Under our master policies, a national foreclosure moratorium of the type currently required will not limit the amount of accrued interest (subject to the three-year limit) or advances that may be included in the claim amount. If the duration of the current foreclosure moratorium mandated by the GSEs is extended beyond December 31, 2020 for an extended period of time, loans in our default inventory, including those with defaults unrelated to the COVID-19 crisis that had not yet gone through foreclosure, may remain in a pre-foreclosure default status for a prolonged period of time, which would delay our receipt of certain claims for loans that do not cure and could increase the severity of claims we may ultimately be required to pay after the moratorium is lifted.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Regulatory Capital Position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 approved mortgage insurer and Wisconsin-domiciled carrier, we are required to satisfy financial and/or capitalization requirements stipulated by each of the GSEs and the Wisconsin OCI.</w:t>
      </w:r>
    </w:p>
    <w:p>
      <w:pPr>
        <w:spacing w:after="0" w:line="1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financial requirements stipulated by the GSEs are outlined in the PMIERs. Under the PMIERs, we must maintain available assets that are equal to or exceed a minimum risk-based required asset amount, subject to a minimum floor of $400 million. At September 30, 2020, we reported $1,672 million available assets against $991 million risk-based required assets for a $681 million of "excess" funding position. The capital relief we expect to receive in connection with our 2020-2 ILN Transaction is not included in our PMIERs position as of September 30, 2020, as the transaction was completed after quarter end. In future periods, the 2020-2 ILN Transaction will bolster our "excess" PMIERs funding position, subject to GSE approvals.</w:t>
      </w:r>
    </w:p>
    <w:p>
      <w:pPr>
        <w:spacing w:after="0" w:line="10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(FEMA) to be a Major Disaster zone. In June 2020, the GSEs issued guidance (subsequently amended and restated in September 2020) on the risk-based treatment of loans affected by the COVID-19 crisis. Under the guidance, non-performing loans that are subject to a forbearance program granted in response to a financial hardship related to COVID-19 will benefit from a</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permanent 70% risk-based required asset haircut for the duration of the forbearance period and subsequent repayment plan or trial modification period.</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PMIERs minimum risk-based required asset amount is also adjusted for our reinsurance transactions (as approved by the GSEs). Under our quota share reinsurance treaties, we receive credit for the PMIERs risk-based required asset amount on ceded RIF. As our gross PMIERs risk-based required asset amount on ceded RIF increases, our PMIERS credit for ceded RIF automatically increases as well (in an unlimited amount). Under our ILN transactions, we generally receive credit for the PMIERs risk-based required asset amount on ceded RIF to the extent such requirement is within the subordinated coverage (excess of loss detachment threshold) afforded by the transaction. We have structured our ILN transactions to be overcollateralized, such that there are more ILN notes outstanding and cash held in trust than we currently receive credit for under the PMIERs. To the extent our PMIERs risk-based required asset amount on RIF ceded under the ILN transactions grows, we receive increased PMIERs credit under the treaties. The increasing PMIERs credit we receive under the ILN treaties is further enhanced by their delinquency lockout triggers. In the event of certain credit enhancement or delinquency events, the ILN notes stop amortizing and the cash held in trust is secured for our benefit (a Lock-Out Event). As the underlying RIF continues to run-off, this has the effect of increasing the overcollateralization within, and excess PMIERs capacity provided by, each ILN structure.</w:t>
      </w:r>
    </w:p>
    <w:p>
      <w:pPr>
        <w:spacing w:after="0" w:line="1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June 25, 2020, a Lock-Out Event was deemed to have occurred for each of the 2017, 2018 and 2019 ILN Transactions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the overcollateralization within and PMIERs capacity provided by each ILN Transaction will grow as assets are preserved in the applicable reinsurance trust account.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the level of overcollateralization of each of our ILN Transactions at September 30, 2020:</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80" w:type="dxa"/>
            <w:vAlign w:val="bottom"/>
            <w:tcBorders>
              <w:bottom w:val="single" w:sz="8" w:color="A6A6A6"/>
            </w:tcBorders>
          </w:tcPr>
          <w:p>
            <w:pPr>
              <w:ind w:left="20"/>
              <w:spacing w:after="0"/>
              <w:rPr>
                <w:sz w:val="20"/>
                <w:szCs w:val="20"/>
                <w:color w:val="auto"/>
              </w:rPr>
            </w:pPr>
            <w:r>
              <w:rPr>
                <w:rFonts w:ascii="Arial" w:cs="Arial" w:eastAsia="Arial" w:hAnsi="Arial"/>
                <w:sz w:val="14"/>
                <w:szCs w:val="14"/>
                <w:b w:val="1"/>
                <w:bCs w:val="1"/>
                <w:i w:val="1"/>
                <w:iCs w:val="1"/>
                <w:color w:val="auto"/>
              </w:rPr>
              <w:t>($ values in thousands)</w:t>
            </w: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 ILN Transaction</w:t>
            </w: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 ILN Transaction</w:t>
            </w:r>
          </w:p>
        </w:tc>
        <w:tc>
          <w:tcPr>
            <w:tcW w:w="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 ILN Transaction</w:t>
            </w: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2020-1 ILN Transaction</w:t>
            </w:r>
          </w:p>
        </w:tc>
      </w:tr>
      <w:tr>
        <w:trPr>
          <w:trHeight w:val="25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RIF</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2,275,759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2,703,393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3,358,641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6,055,359</w:t>
            </w:r>
          </w:p>
        </w:tc>
      </w:tr>
      <w:tr>
        <w:trPr>
          <w:trHeight w:val="95"/>
        </w:trPr>
        <w:tc>
          <w:tcPr>
            <w:tcW w:w="3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40" w:type="dxa"/>
            <w:vAlign w:val="bottom"/>
          </w:tcPr>
          <w:p>
            <w:pPr>
              <w:spacing w:after="0"/>
              <w:rPr>
                <w:sz w:val="8"/>
                <w:szCs w:val="8"/>
                <w:color w:val="auto"/>
              </w:rPr>
            </w:pPr>
          </w:p>
        </w:tc>
      </w:tr>
      <w:tr>
        <w:trPr>
          <w:trHeight w:val="25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First Layer Retained Loss</w:t>
            </w:r>
          </w:p>
        </w:tc>
        <w:tc>
          <w:tcPr>
            <w:tcW w:w="24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121,602</w:t>
            </w:r>
          </w:p>
        </w:tc>
        <w:tc>
          <w:tcPr>
            <w:tcW w:w="24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123,354</w:t>
            </w: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123,072</w:t>
            </w:r>
          </w:p>
        </w:tc>
        <w:tc>
          <w:tcPr>
            <w:tcW w:w="28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169,514</w:t>
            </w:r>
          </w:p>
        </w:tc>
      </w:tr>
      <w:tr>
        <w:trPr>
          <w:trHeight w:val="25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Reinsurance Coverage</w:t>
            </w:r>
          </w:p>
        </w:tc>
        <w:tc>
          <w:tcPr>
            <w:tcW w:w="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40,226</w:t>
            </w: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158,489</w:t>
            </w: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231,877</w:t>
            </w:r>
          </w:p>
        </w:tc>
        <w:tc>
          <w:tcPr>
            <w:tcW w:w="2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322,076</w:t>
            </w:r>
          </w:p>
        </w:tc>
      </w:tr>
      <w:tr>
        <w:trPr>
          <w:trHeight w:val="25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Eligible Coverage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281,843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354,949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491,590</w:t>
            </w:r>
          </w:p>
        </w:tc>
      </w:tr>
      <w:tr>
        <w:trPr>
          <w:trHeight w:val="256"/>
        </w:trPr>
        <w:tc>
          <w:tcPr>
            <w:tcW w:w="308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Subordinated Coverage </w:t>
            </w:r>
            <w:r>
              <w:rPr>
                <w:rFonts w:ascii="Arial" w:cs="Arial" w:eastAsia="Arial" w:hAnsi="Arial"/>
                <w:sz w:val="23"/>
                <w:szCs w:val="23"/>
                <w:color w:val="auto"/>
                <w:vertAlign w:val="superscript"/>
              </w:rPr>
              <w:t>(1)</w:t>
            </w:r>
          </w:p>
        </w:tc>
        <w:tc>
          <w:tcPr>
            <w:tcW w:w="240" w:type="dxa"/>
            <w:vAlign w:val="bottom"/>
          </w:tcPr>
          <w:p>
            <w:pPr>
              <w:spacing w:after="0"/>
              <w:rPr>
                <w:sz w:val="22"/>
                <w:szCs w:val="22"/>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22"/>
                <w:szCs w:val="22"/>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10.43%</w:t>
            </w:r>
          </w:p>
        </w:tc>
        <w:tc>
          <w:tcPr>
            <w:tcW w:w="260" w:type="dxa"/>
            <w:vAlign w:val="bottom"/>
          </w:tcPr>
          <w:p>
            <w:pPr>
              <w:spacing w:after="0"/>
              <w:rPr>
                <w:sz w:val="22"/>
                <w:szCs w:val="22"/>
                <w:color w:val="auto"/>
              </w:rPr>
            </w:pP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10.57%</w:t>
            </w:r>
          </w:p>
        </w:tc>
        <w:tc>
          <w:tcPr>
            <w:tcW w:w="280" w:type="dxa"/>
            <w:vAlign w:val="bottom"/>
          </w:tcPr>
          <w:p>
            <w:pPr>
              <w:spacing w:after="0"/>
              <w:rPr>
                <w:sz w:val="22"/>
                <w:szCs w:val="22"/>
                <w:color w:val="auto"/>
              </w:rPr>
            </w:pPr>
          </w:p>
        </w:tc>
        <w:tc>
          <w:tcPr>
            <w:tcW w:w="1940" w:type="dxa"/>
            <w:vAlign w:val="bottom"/>
          </w:tcPr>
          <w:p>
            <w:pPr>
              <w:ind w:left="1360"/>
              <w:spacing w:after="0"/>
              <w:rPr>
                <w:sz w:val="20"/>
                <w:szCs w:val="20"/>
                <w:color w:val="auto"/>
              </w:rPr>
            </w:pPr>
            <w:r>
              <w:rPr>
                <w:rFonts w:ascii="Arial" w:cs="Arial" w:eastAsia="Arial" w:hAnsi="Arial"/>
                <w:sz w:val="18"/>
                <w:szCs w:val="18"/>
                <w:color w:val="auto"/>
              </w:rPr>
              <w:t>8.00%</w:t>
            </w:r>
          </w:p>
        </w:tc>
      </w:tr>
      <w:tr>
        <w:trPr>
          <w:trHeight w:val="148"/>
        </w:trPr>
        <w:tc>
          <w:tcPr>
            <w:tcW w:w="3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r>
      <w:tr>
        <w:trPr>
          <w:trHeight w:val="25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PMIERs Charge on Ceded RIF</w:t>
            </w:r>
          </w:p>
        </w:tc>
        <w:tc>
          <w:tcPr>
            <w:tcW w:w="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5.93%</w:t>
            </w: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7.48%</w:t>
            </w: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7.79%</w:t>
            </w:r>
          </w:p>
        </w:tc>
        <w:tc>
          <w:tcPr>
            <w:tcW w:w="2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6.13%</w:t>
            </w: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Overcollateralization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120,396</w:t>
            </w:r>
          </w:p>
        </w:tc>
      </w:tr>
      <w:tr>
        <w:trPr>
          <w:trHeight w:val="148"/>
        </w:trPr>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256"/>
        </w:trPr>
        <w:tc>
          <w:tcPr>
            <w:tcW w:w="3080" w:type="dxa"/>
            <w:vAlign w:val="bottom"/>
            <w:tcBorders>
              <w:bottom w:val="single" w:sz="8" w:color="A6A6A6"/>
            </w:tcBorders>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Delinquency Trigger </w:t>
            </w:r>
            <w:r>
              <w:rPr>
                <w:rFonts w:ascii="Arial" w:cs="Arial" w:eastAsia="Arial" w:hAnsi="Arial"/>
                <w:sz w:val="23"/>
                <w:szCs w:val="23"/>
                <w:color w:val="auto"/>
                <w:vertAlign w:val="superscript"/>
              </w:rPr>
              <w:t>(2)</w:t>
            </w:r>
          </w:p>
        </w:tc>
        <w:tc>
          <w:tcPr>
            <w:tcW w:w="240" w:type="dxa"/>
            <w:vAlign w:val="bottom"/>
            <w:tcBorders>
              <w:bottom w:val="single" w:sz="8" w:color="A6A6A6"/>
            </w:tcBorders>
            <w:shd w:val="clear" w:color="auto" w:fill="CCEEFF"/>
          </w:tcPr>
          <w:p>
            <w:pPr>
              <w:spacing w:after="0"/>
              <w:rPr>
                <w:sz w:val="22"/>
                <w:szCs w:val="22"/>
                <w:color w:val="auto"/>
              </w:rPr>
            </w:pPr>
          </w:p>
        </w:tc>
        <w:tc>
          <w:tcPr>
            <w:tcW w:w="1740" w:type="dxa"/>
            <w:vAlign w:val="bottom"/>
            <w:tcBorders>
              <w:bottom w:val="single" w:sz="8" w:color="A6A6A6"/>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6A6A6"/>
            </w:tcBorders>
            <w:shd w:val="clear" w:color="auto" w:fill="CCEEFF"/>
          </w:tcPr>
          <w:p>
            <w:pPr>
              <w:spacing w:after="0"/>
              <w:rPr>
                <w:sz w:val="22"/>
                <w:szCs w:val="22"/>
                <w:color w:val="auto"/>
              </w:rPr>
            </w:pPr>
          </w:p>
        </w:tc>
        <w:tc>
          <w:tcPr>
            <w:tcW w:w="1680" w:type="dxa"/>
            <w:vAlign w:val="bottom"/>
            <w:tcBorders>
              <w:bottom w:val="single" w:sz="8" w:color="A6A6A6"/>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A6A6A6"/>
            </w:tcBorders>
            <w:shd w:val="clear" w:color="auto" w:fill="CCEEFF"/>
          </w:tcPr>
          <w:p>
            <w:pPr>
              <w:spacing w:after="0"/>
              <w:rPr>
                <w:sz w:val="22"/>
                <w:szCs w:val="22"/>
                <w:color w:val="auto"/>
              </w:rPr>
            </w:pPr>
          </w:p>
        </w:tc>
        <w:tc>
          <w:tcPr>
            <w:tcW w:w="1780" w:type="dxa"/>
            <w:vAlign w:val="bottom"/>
            <w:tcBorders>
              <w:bottom w:val="single" w:sz="8" w:color="A6A6A6"/>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A6A6A6"/>
            </w:tcBorders>
            <w:shd w:val="clear" w:color="auto" w:fill="CCEEFF"/>
          </w:tcPr>
          <w:p>
            <w:pPr>
              <w:spacing w:after="0"/>
              <w:rPr>
                <w:sz w:val="22"/>
                <w:szCs w:val="22"/>
                <w:color w:val="auto"/>
              </w:rPr>
            </w:pPr>
          </w:p>
        </w:tc>
        <w:tc>
          <w:tcPr>
            <w:tcW w:w="1940" w:type="dxa"/>
            <w:vAlign w:val="bottom"/>
            <w:tcBorders>
              <w:bottom w:val="single" w:sz="8" w:color="A6A6A6"/>
            </w:tcBorders>
            <w:shd w:val="clear" w:color="auto" w:fill="CCEEFF"/>
          </w:tcPr>
          <w:p>
            <w:pPr>
              <w:ind w:left="1340"/>
              <w:spacing w:after="0"/>
              <w:rPr>
                <w:sz w:val="20"/>
                <w:szCs w:val="20"/>
                <w:color w:val="auto"/>
              </w:rPr>
            </w:pPr>
            <w:r>
              <w:rPr>
                <w:rFonts w:ascii="Arial" w:cs="Arial" w:eastAsia="Arial" w:hAnsi="Arial"/>
                <w:sz w:val="18"/>
                <w:szCs w:val="18"/>
                <w:color w:val="auto"/>
              </w:rPr>
              <w:t>6.0%</w:t>
            </w:r>
          </w:p>
        </w:tc>
      </w:tr>
    </w:tbl>
    <w:p>
      <w:pPr>
        <w:spacing w:after="0" w:line="214"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For the 2020-1 ILN Transaction, absent a delinquency trigger, the subordinated coverage is capped at 8%.</w:t>
      </w:r>
    </w:p>
    <w:p>
      <w:pPr>
        <w:ind w:left="160" w:hanging="152"/>
        <w:spacing w:after="0" w:line="197"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For the 2020-1 ILN Transaction, the delinquency trigger is equal to seventy-five percent of subordinated coverage.</w:t>
      </w:r>
    </w:p>
    <w:p>
      <w:pPr>
        <w:spacing w:after="0" w:line="2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September 30, 2020, we had an aggregate $320 million of overcollateralization available across our 2017, 2018, 2019 and 2020-1 ILN Transactions to absorb an increase in the PMIERs risk-based required asset amount on ceded RIF. Assuming the Lock-Out Events remain in effect for each of the 2017, 2018 and 2019 ILN Transactions and our underlying RIF continues to run-off at the same rate as it did during the month ended September 30, 2020, we estimate that our total overcollateralization would increase by up to approximately $70 million per quarter.</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PMIERs funding requirement will go up in future periods based on the volume and risk profile of our new business production, and performance of our in-force insurance portfolio. We estimate, however, that we will remain in compliance with our PMIERs asset requirements even if the forbearance-driven default rate on our in-force portfolio materially exceeds its current level, given our $681 million excess available asset position at September 30, 2020, the nationwide applicability of the 70% haircut on delinquent policies affected by the COVID-19 crisis, the increasing PMIERs relief automatically provided under each of our quota share treaties and 2017, 2018, 2019 and 2020-1 ILN Transactions and the additional risk protection and PMIERs capacity provided under our recently announced 2020-2 ILN Transaction.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3" w:name="page34"/>
    <w:bookmarkEnd w:id="33"/>
    <w:p>
      <w:pPr>
        <w:jc w:val="both"/>
        <w:ind w:firstLine="648"/>
        <w:spacing w:after="0" w:line="275" w:lineRule="auto"/>
        <w:rPr>
          <w:sz w:val="20"/>
          <w:szCs w:val="20"/>
          <w:color w:val="auto"/>
        </w:rPr>
      </w:pPr>
      <w:r>
        <w:rPr>
          <w:rFonts w:ascii="Arial" w:cs="Arial" w:eastAsia="Arial" w:hAnsi="Arial"/>
          <w:sz w:val="17"/>
          <w:szCs w:val="17"/>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 and we expect this to remain the case in the aftermath of the COVID-19 outbreak.</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Liquidity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evaluate our liquidity position at both a holding company (NMIH) and primary operating subsidiary (NMIC) level. As of September 30, 2020, we had $1.9 billion of consolidated cash and investments, including $75 million of cash and investments at NMIH.</w:t>
      </w:r>
    </w:p>
    <w:p>
      <w:pPr>
        <w:spacing w:after="0" w:line="1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June 8, 2020, NMIH completed the sale of 15.9 million shares of common stock, including the exercise of a 15% overallotment option, and raised proceeds of approximately $220 million, net of underwriting discounts, commissions and other direct offering expenses. See Item 1,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 Notes to Condensed Consolidated Financial Statements - Note 10, Common Stock</w:t>
      </w:r>
      <w:r>
        <w:rPr>
          <w:rFonts w:ascii="Arial" w:cs="Arial" w:eastAsia="Arial" w:hAnsi="Arial"/>
          <w:sz w:val="16"/>
          <w:szCs w:val="16"/>
          <w:color w:val="auto"/>
        </w:rPr>
        <w:t>." On June 19, 2020, NMIH also completed the sale of its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$400 million aggregate principal amount of senior secured notes, raising net proceeds of $244 million after giving effect to offering expenses and the repayment of the principal amount outstanding under our $150 million 2018 Term Loan. See Item 1, "</w:t>
      </w:r>
      <w:r>
        <w:rPr>
          <w:rFonts w:ascii="Arial" w:cs="Arial" w:eastAsia="Arial" w:hAnsi="Arial"/>
          <w:sz w:val="18"/>
          <w:szCs w:val="18"/>
          <w:i w:val="1"/>
          <w:iCs w:val="1"/>
          <w:color w:val="auto"/>
        </w:rPr>
        <w:t>Financial Statements - Notes to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4, Debt.</w:t>
      </w:r>
      <w:r>
        <w:rPr>
          <w:rFonts w:ascii="Arial" w:cs="Arial" w:eastAsia="Arial" w:hAnsi="Arial"/>
          <w:sz w:val="18"/>
          <w:szCs w:val="18"/>
          <w:color w:val="auto"/>
        </w:rPr>
        <w:t>" NMIH contributed approximately $445 million of capital to NMIC following completion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Notes and common stock offerings.</w:t>
      </w:r>
    </w:p>
    <w:p>
      <w:pPr>
        <w:spacing w:after="0" w:line="1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NMIH also has access to $110 million of undrawn revolving credit capacity under the 2020 Revolving Credit Facility and $16.1 million of aggregate ordinary course dividend capacity available from NMIC and Re One without the prior approval of the Wisconsin OCI. Amounts drawn under the 2020 Revolving Credit Facility are available as directed for NMIH needs or may be down-streamed to support the requirements of our operating</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subsidiaries if we so decide. See Item 1, "</w:t>
      </w:r>
      <w:r>
        <w:rPr>
          <w:rFonts w:ascii="Arial" w:cs="Arial" w:eastAsia="Arial" w:hAnsi="Arial"/>
          <w:sz w:val="18"/>
          <w:szCs w:val="18"/>
          <w:i w:val="1"/>
          <w:iCs w:val="1"/>
          <w:color w:val="auto"/>
        </w:rPr>
        <w:t>Financial Statements - Notes to Condensed Consolidated Financial Statements - Note 4, Debt and Note 12,</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w:t>
      </w:r>
      <w:r>
        <w:rPr>
          <w:rFonts w:ascii="Arial" w:cs="Arial" w:eastAsia="Arial" w:hAnsi="Arial"/>
          <w:sz w:val="18"/>
          <w:szCs w:val="18"/>
          <w:color w:val="auto"/>
        </w:rPr>
        <w:t>."</w:t>
      </w:r>
    </w:p>
    <w:p>
      <w:pPr>
        <w:spacing w:after="0" w:line="13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NMIH's principal liquidity demands include funds for the payment of (i) certain corporate expenses, (ii) certain reimbursable expenses of our insurance subsidiaries, including NMIC, and (iii) principal and interest as due on our outstanding debt. NMIH generates cash interest income on its investment portfolio and benefits from tax, expense-sharing and debt service agreements with its subsidiaries. Such agreements have been approved by the Wisconsin OCI and provide for the reimbursement of substantially all of NMIH's annual cash expenditures. While such agreements are subject to revocation by the Wisconsin OCI, we do not expect such action to be taken at this time. The Wisconsin OCI has refreshed its approval of the debt service agreement providing for the additional reimbursement by NMIC of interest expense due on our newly issued Notes and 2020 Revolving Credit Facility.</w:t>
      </w:r>
    </w:p>
    <w:p>
      <w:pPr>
        <w:spacing w:after="0" w:line="1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September 30, 2020, NMIC had $1.8 billion of cash and investments, including $158 million of cash and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September 30, 2020, NMIC generated $268 million of cash flow from operations and received an additional $411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6"/>
          <w:szCs w:val="16"/>
          <w:i w:val="1"/>
          <w:iCs w:val="1"/>
          <w:color w:val="auto"/>
        </w:rPr>
        <w:t>i.e.</w:t>
      </w:r>
      <w:r>
        <w:rPr>
          <w:rFonts w:ascii="Arial" w:cs="Arial" w:eastAsia="Arial" w:hAnsi="Arial"/>
          <w:sz w:val="16"/>
          <w:szCs w:val="16"/>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114"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Premiums paid to NMIC on monthly policies are generally collected and remitted by loan servicers. We have noted the broad discussion about the liquidity challenges loan servicers may themselves face in the event of widespread borrower utilization of forbearance programs. We do not currently believe that loan servicer liquidity issues will have a material impact on NMIC's premium receipts or liquidity profile. Loan servicers are contractually obligated to advance mortgage insurance premiums in a timely manner, even if the underlying borrowers fail to remit their monthly mortgage payments. In June 2020, the GSEs issued guidance to the PMIERs (subsequently amended and restated in September 2020) that, among other items, requires us, and we have agreed, to notify them of our intent to cancel coverage on policies for which servicers have failed to make timely premium</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4" w:name="page35"/>
    <w:bookmarkEnd w:id="34"/>
    <w:p>
      <w:pPr>
        <w:jc w:val="both"/>
        <w:ind w:right="260"/>
        <w:spacing w:after="0" w:line="248" w:lineRule="auto"/>
        <w:rPr>
          <w:sz w:val="20"/>
          <w:szCs w:val="20"/>
          <w:color w:val="auto"/>
        </w:rPr>
      </w:pPr>
      <w:r>
        <w:rPr>
          <w:rFonts w:ascii="Arial" w:cs="Arial" w:eastAsia="Arial" w:hAnsi="Arial"/>
          <w:sz w:val="18"/>
          <w:szCs w:val="18"/>
          <w:color w:val="auto"/>
        </w:rPr>
        <w:t>payments so that the GSEs can pay the premiums directly to us and preserve the mortgage insurance coverage. Through September 30, 2020, we did not see any notable changes in servicer payment practices, with servicers generally continuing to remit monthly premium payments as scheduled, including those for policies covering loans that are in a forbearance program.</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portfolio</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September 30, 2020, we had $1.9 billion of cash and invested assets. Our investment strategy equally prioritizes capital preservation alongside income generation, and we have a long-established investment policy that sets conservative limits for asset types, industry sectors, single issuers and instrument credit ratings. At September 30, 2020, our investment portfolio was comprised of 100% fixed income assets with 100% of our holdings rated investment grade and our portfolio having an average rating of "A+." At September 30, 2020, our portfolio was in a $65 million aggregate unrealized gain position; it was highly liquid and highly diversified with no Level 3 asset positions and no single issuer concentration greater than 1.6%. We did not record any allowance for credit losses in the portfolio during the three months ended September 30, 2020, as we expect to recover the amortized cost basis of all securities held.</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pre-tax book yield on our investment portfolio was 2.3% for the three months ended September 30, 2020. At the onset of the COVID-19 crisis, we decided to prioritize liquidity and increased our cash and equivalent holdings as a percentage of our total portfolio. We believe such action was prudent in light of the heightened market volatility and general uncertainty developing in the early stages of the COVID-19 pandemic. We have since redeployed much of our excess liquidity position.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continue to monitor the impact that the CARES Act may have on our business, financial condition and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Insurance-In-Force and Risk-In-Force</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3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NIW;</w:t>
      </w: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35" w:name="page36"/>
    <w:bookmarkEnd w:id="35"/>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71"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September 30, 2020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is a party to three outstanding quota share reinsurance treaties – the 2016 QSR Transaction, effective September 1, 2016, the 2018 QSR Transaction, effective January 1, 2018, and 2020 QSR Transaction, effective April 1, 2020.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S&amp;P, A.M. Best or both.</w:t>
      </w:r>
    </w:p>
    <w:p>
      <w:pPr>
        <w:spacing w:after="0" w:line="1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in exchange for reimbursement of ceded claims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and claim expenses on covered policies, a 20% ceding commission, and a profit commission of up to 61% that varies directly and inversely with ceded claims.</w:t>
      </w:r>
    </w:p>
    <w:p>
      <w:pPr>
        <w:spacing w:after="0" w:line="11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may elect to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NMIC has secured aggregate excess-of-loss reinsurance coverage on defined portfolios of mortgage insurance policies written during discrete periods through a series of mortgage insurance-linked note offerings by the Oaktown Re Vehicles.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respective reinsurance coverage amounts provided by the Oaktown Re Vehicles decrease from the inception of each agreement over a ten-year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occurs.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Effective June 25, 2020, a Lock-Out Event was deemed to have occurred for each of the 2017, 2018 and 2019 ILN Transactions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assets will be preserved in the applicable reinsurance trust account to collateralize the excess-of-loss reinsurance coverage provided to NMIC.</w:t>
      </w:r>
    </w:p>
    <w:p>
      <w:pPr>
        <w:spacing w:after="0" w:line="1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presents the inception date, covered production period, initial and current reinsurance coverage amount, and initial and current first layer retained aggregate loss under each of the ILN Transactions. Current amounts are presented as of September 30, 2020.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Initial First Layer</w:t>
            </w:r>
          </w:p>
        </w:tc>
        <w:tc>
          <w:tcPr>
            <w:tcW w:w="120" w:type="dxa"/>
            <w:vAlign w:val="bottom"/>
          </w:tcPr>
          <w:p>
            <w:pPr>
              <w:spacing w:after="0"/>
              <w:rPr>
                <w:sz w:val="14"/>
                <w:szCs w:val="14"/>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b w:val="1"/>
                <w:bCs w:val="1"/>
                <w:color w:val="auto"/>
                <w:w w:val="99"/>
              </w:rPr>
              <w:t>Current First</w:t>
            </w:r>
          </w:p>
        </w:tc>
        <w:tc>
          <w:tcPr>
            <w:tcW w:w="0" w:type="dxa"/>
            <w:vAlign w:val="bottom"/>
          </w:tcPr>
          <w:p>
            <w:pPr>
              <w:spacing w:after="0"/>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Inception Date</w:t>
            </w:r>
          </w:p>
        </w:tc>
        <w:tc>
          <w:tcPr>
            <w:tcW w:w="20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Covered Production</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Reinsurance</w:t>
            </w: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Reinsurance</w:t>
            </w: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5"/>
              </w:rPr>
              <w:t>Layer Retained</w:t>
            </w:r>
          </w:p>
        </w:tc>
        <w:tc>
          <w:tcPr>
            <w:tcW w:w="0" w:type="dxa"/>
            <w:vAlign w:val="bottom"/>
          </w:tcPr>
          <w:p>
            <w:pPr>
              <w:spacing w:after="0"/>
              <w:rPr>
                <w:sz w:val="1"/>
                <w:szCs w:val="1"/>
                <w:color w:val="auto"/>
              </w:rPr>
            </w:pPr>
          </w:p>
        </w:tc>
      </w:tr>
      <w:tr>
        <w:trPr>
          <w:trHeight w:val="189"/>
        </w:trPr>
        <w:tc>
          <w:tcPr>
            <w:tcW w:w="224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Coverage</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Retained Loss</w:t>
            </w:r>
          </w:p>
        </w:tc>
        <w:tc>
          <w:tcPr>
            <w:tcW w:w="120" w:type="dxa"/>
            <w:vAlign w:val="bottom"/>
          </w:tcPr>
          <w:p>
            <w:pPr>
              <w:spacing w:after="0"/>
              <w:rPr>
                <w:sz w:val="16"/>
                <w:szCs w:val="16"/>
                <w:color w:val="auto"/>
              </w:rPr>
            </w:pPr>
          </w:p>
        </w:tc>
        <w:tc>
          <w:tcPr>
            <w:tcW w:w="1140" w:type="dxa"/>
            <w:vAlign w:val="bottom"/>
          </w:tcPr>
          <w:p>
            <w:pPr>
              <w:jc w:val="center"/>
              <w:ind w:right="38"/>
              <w:spacing w:after="0" w:line="189" w:lineRule="exact"/>
              <w:rPr>
                <w:sz w:val="20"/>
                <w:szCs w:val="20"/>
                <w:color w:val="auto"/>
              </w:rPr>
            </w:pPr>
            <w:r>
              <w:rPr>
                <w:rFonts w:ascii="Arial" w:cs="Arial" w:eastAsia="Arial" w:hAnsi="Arial"/>
                <w:sz w:val="14"/>
                <w:szCs w:val="14"/>
                <w:b w:val="1"/>
                <w:bCs w:val="1"/>
                <w:color w:val="auto"/>
                <w:w w:val="81"/>
              </w:rPr>
              <w:t xml:space="preserve">Loss </w:t>
            </w:r>
            <w:r>
              <w:rPr>
                <w:rFonts w:ascii="Arial" w:cs="Arial" w:eastAsia="Arial" w:hAnsi="Arial"/>
                <w:sz w:val="18"/>
                <w:szCs w:val="18"/>
                <w:b w:val="1"/>
                <w:bCs w:val="1"/>
                <w:color w:val="auto"/>
                <w:w w:val="81"/>
                <w:vertAlign w:val="superscript"/>
              </w:rPr>
              <w:t>(1)</w:t>
            </w: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 ILN Transaction</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May 2, 2017</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1/1/2013 - 12/31/2016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126,793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121,602</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2018 ILN Transaction</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July 25, 2018</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1/1/2017 - 5/31/2018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264,545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158,489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125,312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123,354</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ILN Transaction</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30, 2019</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6/1/2018 - 6/30/2019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123,072</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2020-1 ILN Transaction</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July 30, 2020</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7/1/2019 - 3/31/2020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322,076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322,076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169,514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169,514</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40" w:hanging="332"/>
        <w:spacing w:after="0" w:line="217" w:lineRule="auto"/>
        <w:tabs>
          <w:tab w:leader="none" w:pos="272"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October 2020, NMIC secured $242.4 million of aggregate excess-of-loss reinsurance coverage at inception for an existing portfolio of policies primarily written from April 1, 2020 to September 30, 2020, through a mortgage insurance-linked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7" w:name="page38"/>
    <w:bookmarkEnd w:id="37"/>
    <w:p>
      <w:pPr>
        <w:jc w:val="both"/>
        <w:spacing w:after="0" w:line="254" w:lineRule="auto"/>
        <w:rPr>
          <w:sz w:val="20"/>
          <w:szCs w:val="20"/>
          <w:color w:val="auto"/>
        </w:rPr>
      </w:pPr>
      <w:r>
        <w:rPr>
          <w:rFonts w:ascii="Arial" w:cs="Arial" w:eastAsia="Arial" w:hAnsi="Arial"/>
          <w:sz w:val="18"/>
          <w:szCs w:val="18"/>
          <w:color w:val="auto"/>
        </w:rPr>
        <w:t>notes offering by Oaktown Re V. The reinsurance coverage amount under the terms of the 2020-2 ILN Transaction decreases from $242.4 million at inception over a ten-year period as the underlying covered mortgages are amortized or repaid, and/or the mortgage insurance coverage is canceled. The outstanding reinsurance coverage amount will begin amortizing after an initial period in which a target level of credit enhancement is obtained. For the reinsurance coverage period, NMIC retains the first layer of $121.2 million of aggregate losses and Oaktown Re V then provides second layer coverage up to the outstanding reinsurance coverage amount. NMIC then retains losses in excess of the outstanding reinsurance coverage amount. See Item 1, "</w:t>
      </w:r>
      <w:r>
        <w:rPr>
          <w:rFonts w:ascii="Arial" w:cs="Arial" w:eastAsia="Arial" w:hAnsi="Arial"/>
          <w:sz w:val="18"/>
          <w:szCs w:val="18"/>
          <w:i w:val="1"/>
          <w:iCs w:val="1"/>
          <w:color w:val="auto"/>
        </w:rPr>
        <w:t>Financial Statements - Notes to Condensed Consolidated Financial Statements - Note 5, Reinsurance</w:t>
      </w:r>
      <w:r>
        <w:rPr>
          <w:rFonts w:ascii="Arial" w:cs="Arial" w:eastAsia="Arial" w:hAnsi="Arial"/>
          <w:sz w:val="18"/>
          <w:szCs w:val="18"/>
          <w:color w:val="auto"/>
        </w:rPr>
        <w:t>" for further discussion of these third-party reinsurance arrangements.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Data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Primary and pool IIF and NIW</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20" w:type="dxa"/>
            <w:vAlign w:val="bottom"/>
            <w:gridSpan w:val="7"/>
          </w:tcPr>
          <w:p>
            <w:pPr>
              <w:ind w:left="60"/>
              <w:spacing w:after="0"/>
              <w:rPr>
                <w:sz w:val="20"/>
                <w:szCs w:val="20"/>
                <w:color w:val="auto"/>
              </w:rPr>
            </w:pPr>
            <w:r>
              <w:rPr>
                <w:rFonts w:ascii="Arial" w:cs="Arial" w:eastAsia="Arial" w:hAnsi="Arial"/>
                <w:sz w:val="14"/>
                <w:szCs w:val="14"/>
                <w:b w:val="1"/>
                <w:bCs w:val="1"/>
                <w:color w:val="auto"/>
                <w:w w:val="98"/>
              </w:rPr>
              <w:t>As of and for the three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Pr>
          <w:p>
            <w:pPr>
              <w:spacing w:after="0"/>
              <w:rPr>
                <w:sz w:val="12"/>
                <w:szCs w:val="12"/>
                <w:color w:val="auto"/>
              </w:rPr>
            </w:pPr>
          </w:p>
        </w:tc>
        <w:tc>
          <w:tcPr>
            <w:tcW w:w="20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September 30, 2019</w:t>
            </w: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2"/>
                <w:szCs w:val="12"/>
                <w:color w:val="auto"/>
              </w:rPr>
            </w:pPr>
          </w:p>
        </w:tc>
        <w:tc>
          <w:tcPr>
            <w:tcW w:w="1040" w:type="dxa"/>
            <w:vAlign w:val="bottom"/>
          </w:tcPr>
          <w:p>
            <w:pPr>
              <w:jc w:val="right"/>
              <w:ind w:right="55"/>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IIF</w:t>
            </w:r>
          </w:p>
        </w:tc>
        <w:tc>
          <w:tcPr>
            <w:tcW w:w="1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NIW</w:t>
            </w:r>
          </w:p>
        </w:tc>
        <w:tc>
          <w:tcPr>
            <w:tcW w:w="12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IIF</w:t>
            </w: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NIW</w:t>
            </w: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NIW</w:t>
            </w:r>
          </w:p>
        </w:tc>
        <w:tc>
          <w:tcPr>
            <w:tcW w:w="10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5"/>
          </w:tcPr>
          <w:p>
            <w:pPr>
              <w:ind w:left="56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30,272</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Single</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33,192</w:t>
            </w: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106,609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18,499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92,381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33,192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and nine months ended September 30, 2020, NIW increased 31% and 29%, respectively, compared to the three and nine months ended September 30, 2019, due to growth in our monthly and single premium policy production tied to growth in the size of the total mortgage insurance market, as well as the increased penetration of existing customer accounts and new customer account activations.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September 30, 2020, monthly premium polices accounted for 89% of our NIW. As of September 30, 2020, monthly premium policies accounted for 85% of our primary IIF, as compared to 80% at September 30, 2019. We expect the break-down of monthly premium policies and single premium policies (which we refer to as "mix") in our primary IIF will continue to trend toward an increased monthly mix over time given the composition of our NIW.</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IIF increased 15% as of September 30, 2020 compared to September 30, 2019, primarily due to the NIW generated between such measurement dates, partially offset by the run-off of our in-force policies. Our persistency rate decreased to 60% at September 30, 2020 from 82% at September 30, 2019, reflecting the impact of increased refinancing activity tied to record low interest rates.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ind w:left="20"/>
              <w:spacing w:after="0"/>
              <w:rPr>
                <w:sz w:val="20"/>
                <w:szCs w:val="20"/>
                <w:color w:val="auto"/>
              </w:rPr>
            </w:pPr>
            <w:r>
              <w:rPr>
                <w:rFonts w:ascii="Arial" w:cs="Arial" w:eastAsia="Arial" w:hAnsi="Arial"/>
                <w:sz w:val="14"/>
                <w:szCs w:val="14"/>
                <w:b w:val="1"/>
                <w:bCs w:val="1"/>
                <w:color w:val="auto"/>
              </w:rPr>
              <w:t>Primary and pool premiums written and earned</w:t>
            </w:r>
          </w:p>
        </w:tc>
        <w:tc>
          <w:tcPr>
            <w:tcW w:w="300" w:type="dxa"/>
            <w:vAlign w:val="bottom"/>
          </w:tcPr>
          <w:p>
            <w:pPr>
              <w:spacing w:after="0"/>
              <w:rPr>
                <w:sz w:val="16"/>
                <w:szCs w:val="16"/>
                <w:color w:val="auto"/>
              </w:rPr>
            </w:pPr>
          </w:p>
        </w:tc>
        <w:tc>
          <w:tcPr>
            <w:tcW w:w="2500" w:type="dxa"/>
            <w:vAlign w:val="bottom"/>
            <w:gridSpan w:val="4"/>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224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87"/>
        </w:trPr>
        <w:tc>
          <w:tcPr>
            <w:tcW w:w="5760" w:type="dxa"/>
            <w:vAlign w:val="bottom"/>
          </w:tcPr>
          <w:p>
            <w:pPr>
              <w:spacing w:after="0"/>
              <w:rPr>
                <w:sz w:val="16"/>
                <w:szCs w:val="16"/>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 2020</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September 30, 2019</w:t>
            </w:r>
          </w:p>
        </w:tc>
        <w:tc>
          <w:tcPr>
            <w:tcW w:w="120" w:type="dxa"/>
            <w:vAlign w:val="bottom"/>
            <w:tcBorders>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 2020</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September 30, 2019</w:t>
            </w:r>
          </w:p>
        </w:tc>
      </w:tr>
      <w:tr>
        <w:trPr>
          <w:trHeight w:val="181"/>
        </w:trPr>
        <w:tc>
          <w:tcPr>
            <w:tcW w:w="5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101,822</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283,302</w:t>
            </w: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243,211</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30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98,802</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92,381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296,463</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249,499</w:t>
            </w:r>
          </w:p>
        </w:tc>
      </w:tr>
    </w:tbl>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2020, net premiums written increased 15% and 16%, respectively, and net premiums earned increased 7% and 19%, respectively, compared to the three and nine months ended September 30, 2019. The increases in net premiums written and earned are primarily due to the growth of our IIF and increased monthly policy production, partially offset by increased cessions under the QSR and ILN Transactions.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Pool premiums written and earned for the three and nine months ended September 30, 2020 and 2019, were $0.6 million and $2.0 million, and $0.7 million and $2.3 million, respectively, before giving effect to the 2016 QSR Transaction, under which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8" w:name="page39"/>
    <w:bookmarkEnd w:id="38"/>
    <w:p>
      <w:pPr>
        <w:ind w:right="400"/>
        <w:spacing w:after="0" w:line="438" w:lineRule="auto"/>
        <w:rPr>
          <w:sz w:val="20"/>
          <w:szCs w:val="20"/>
          <w:color w:val="auto"/>
        </w:rPr>
      </w:pPr>
      <w:r>
        <w:rPr>
          <w:rFonts w:ascii="Arial" w:cs="Arial" w:eastAsia="Arial" w:hAnsi="Arial"/>
          <w:sz w:val="18"/>
          <w:szCs w:val="18"/>
          <w:color w:val="auto"/>
        </w:rPr>
        <w:t xml:space="preserve">all of our written and earned pool premiums are ceded. A portion of ceded pool premiums written and earned are recouped through profit commission. </w:t>
      </w:r>
      <w:r>
        <w:rPr>
          <w:rFonts w:ascii="Arial" w:cs="Arial" w:eastAsia="Arial" w:hAnsi="Arial"/>
          <w:sz w:val="18"/>
          <w:szCs w:val="18"/>
          <w:b w:val="1"/>
          <w:bCs w:val="1"/>
          <w:i w:val="1"/>
          <w:iCs w:val="1"/>
          <w:color w:val="auto"/>
        </w:rPr>
        <w:t>Portfolio Statistics</w:t>
      </w:r>
    </w:p>
    <w:p>
      <w:pPr>
        <w:spacing w:after="0" w:line="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4"/>
          </w:tcPr>
          <w:p>
            <w:pPr>
              <w:jc w:val="center"/>
              <w:ind w:left="593"/>
              <w:spacing w:after="0"/>
              <w:rPr>
                <w:sz w:val="20"/>
                <w:szCs w:val="20"/>
                <w:color w:val="auto"/>
              </w:rPr>
            </w:pPr>
            <w:r>
              <w:rPr>
                <w:rFonts w:ascii="Arial" w:cs="Arial" w:eastAsia="Arial" w:hAnsi="Arial"/>
                <w:sz w:val="14"/>
                <w:szCs w:val="14"/>
                <w:b w:val="1"/>
                <w:bCs w:val="1"/>
                <w:color w:val="auto"/>
                <w:w w:val="91"/>
              </w:rPr>
              <w:t>As of and for the three months ended</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3860" w:type="dxa"/>
            <w:vAlign w:val="bottom"/>
          </w:tcPr>
          <w:p>
            <w:pPr>
              <w:spacing w:after="0"/>
              <w:rPr>
                <w:sz w:val="16"/>
                <w:szCs w:val="16"/>
                <w:color w:val="auto"/>
              </w:rPr>
            </w:pPr>
          </w:p>
        </w:tc>
        <w:tc>
          <w:tcPr>
            <w:tcW w:w="14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96"/>
              </w:rPr>
              <w:t>September 30, 2020</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June 30, 2020</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March 31, 2020</w:t>
            </w:r>
          </w:p>
        </w:tc>
        <w:tc>
          <w:tcPr>
            <w:tcW w:w="14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December 31, 2019</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r>
      <w:tr>
        <w:trPr>
          <w:trHeight w:val="185"/>
        </w:trPr>
        <w:tc>
          <w:tcPr>
            <w:tcW w:w="3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4"/>
          </w:tcPr>
          <w:p>
            <w:pPr>
              <w:jc w:val="center"/>
              <w:ind w:left="573"/>
              <w:spacing w:after="0"/>
              <w:rPr>
                <w:sz w:val="20"/>
                <w:szCs w:val="20"/>
                <w:color w:val="auto"/>
              </w:rPr>
            </w:pPr>
            <w:r>
              <w:rPr>
                <w:rFonts w:ascii="Arial" w:cs="Arial" w:eastAsia="Arial" w:hAnsi="Arial"/>
                <w:sz w:val="14"/>
                <w:szCs w:val="14"/>
                <w:i w:val="1"/>
                <w:iCs w:val="1"/>
                <w:color w:val="auto"/>
                <w:w w:val="93"/>
              </w:rPr>
              <w:t>($ Values In Millions, except as noted below)</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3"/>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insurance written</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18,499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13,124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11,297</w:t>
            </w:r>
          </w:p>
        </w:tc>
        <w:tc>
          <w:tcPr>
            <w:tcW w:w="6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11,949</w:t>
            </w:r>
          </w:p>
        </w:tc>
        <w:tc>
          <w:tcPr>
            <w:tcW w:w="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14,100</w:t>
            </w:r>
          </w:p>
        </w:tc>
      </w:tr>
      <w:tr>
        <w:trPr>
          <w:trHeight w:val="230"/>
        </w:trPr>
        <w:tc>
          <w:tcPr>
            <w:tcW w:w="386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89 %</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91 %</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93 %</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93 %</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92 %</w:t>
            </w:r>
          </w:p>
        </w:tc>
      </w:tr>
      <w:tr>
        <w:trPr>
          <w:trHeight w:val="229"/>
        </w:trPr>
        <w:tc>
          <w:tcPr>
            <w:tcW w:w="3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3860" w:type="dxa"/>
            <w:vAlign w:val="bottom"/>
          </w:tcPr>
          <w:p>
            <w:pPr>
              <w:ind w:left="220"/>
              <w:spacing w:after="0"/>
              <w:rPr>
                <w:sz w:val="20"/>
                <w:szCs w:val="20"/>
                <w:color w:val="auto"/>
              </w:rPr>
            </w:pPr>
            <w:r>
              <w:rPr>
                <w:rFonts w:ascii="Arial" w:cs="Arial" w:eastAsia="Arial" w:hAnsi="Arial"/>
                <w:sz w:val="18"/>
                <w:szCs w:val="18"/>
                <w:color w:val="auto"/>
              </w:rPr>
              <w:t>New risk written</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4,577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3"/>
              <w:spacing w:after="0"/>
              <w:rPr>
                <w:sz w:val="20"/>
                <w:szCs w:val="20"/>
                <w:color w:val="auto"/>
              </w:rPr>
            </w:pPr>
            <w:r>
              <w:rPr>
                <w:rFonts w:ascii="Arial" w:cs="Arial" w:eastAsia="Arial" w:hAnsi="Arial"/>
                <w:sz w:val="18"/>
                <w:szCs w:val="18"/>
                <w:color w:val="auto"/>
              </w:rPr>
              <w:t>3,260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2,897</w:t>
            </w:r>
          </w:p>
        </w:tc>
        <w:tc>
          <w:tcPr>
            <w:tcW w:w="6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3,082</w:t>
            </w: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3,651</w:t>
            </w:r>
          </w:p>
        </w:tc>
      </w:tr>
      <w:tr>
        <w:trPr>
          <w:trHeight w:val="230"/>
        </w:trPr>
        <w:tc>
          <w:tcPr>
            <w:tcW w:w="3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Insurance-in-force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104,494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98,905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98,494</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94,754</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89,713</w:t>
            </w:r>
          </w:p>
        </w:tc>
      </w:tr>
      <w:tr>
        <w:trPr>
          <w:trHeight w:val="229"/>
        </w:trPr>
        <w:tc>
          <w:tcPr>
            <w:tcW w:w="386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85 %</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84 %</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83 %</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81 %</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29"/>
        </w:trPr>
        <w:tc>
          <w:tcPr>
            <w:tcW w:w="3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38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Risk-in-force </w:t>
            </w:r>
            <w:r>
              <w:rPr>
                <w:rFonts w:ascii="Arial" w:cs="Arial" w:eastAsia="Arial" w:hAnsi="Arial"/>
                <w:sz w:val="23"/>
                <w:szCs w:val="23"/>
                <w:color w:val="auto"/>
                <w:vertAlign w:val="superscript"/>
              </w:rPr>
              <w:t>(1)</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26,568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3"/>
              <w:spacing w:after="0"/>
              <w:rPr>
                <w:sz w:val="20"/>
                <w:szCs w:val="20"/>
                <w:color w:val="auto"/>
              </w:rPr>
            </w:pPr>
            <w:r>
              <w:rPr>
                <w:rFonts w:ascii="Arial" w:cs="Arial" w:eastAsia="Arial" w:hAnsi="Arial"/>
                <w:sz w:val="18"/>
                <w:szCs w:val="18"/>
                <w:color w:val="auto"/>
              </w:rPr>
              <w:t>25,238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25,192</w:t>
            </w:r>
          </w:p>
        </w:tc>
        <w:tc>
          <w:tcPr>
            <w:tcW w:w="6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24,173</w:t>
            </w: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22,810</w:t>
            </w:r>
          </w:p>
        </w:tc>
      </w:tr>
      <w:tr>
        <w:trPr>
          <w:trHeight w:val="229"/>
        </w:trPr>
        <w:tc>
          <w:tcPr>
            <w:tcW w:w="3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381,899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372,934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376,852</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366,039</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350,395</w:t>
            </w:r>
          </w:p>
        </w:tc>
      </w:tr>
      <w:tr>
        <w:trPr>
          <w:trHeight w:val="230"/>
        </w:trPr>
        <w:tc>
          <w:tcPr>
            <w:tcW w:w="38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14"/>
                <w:szCs w:val="14"/>
                <w:i w:val="1"/>
                <w:iCs w:val="1"/>
                <w:color w:val="auto"/>
              </w:rPr>
              <w:t>($ value in thousands)</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274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3"/>
              <w:spacing w:after="0"/>
              <w:rPr>
                <w:sz w:val="20"/>
                <w:szCs w:val="20"/>
                <w:color w:val="auto"/>
              </w:rPr>
            </w:pPr>
            <w:r>
              <w:rPr>
                <w:rFonts w:ascii="Arial" w:cs="Arial" w:eastAsia="Arial" w:hAnsi="Arial"/>
                <w:sz w:val="18"/>
                <w:szCs w:val="18"/>
                <w:color w:val="auto"/>
              </w:rPr>
              <w:t>265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261</w:t>
            </w:r>
          </w:p>
        </w:tc>
        <w:tc>
          <w:tcPr>
            <w:tcW w:w="6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259</w:t>
            </w: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256</w:t>
            </w:r>
          </w:p>
        </w:tc>
      </w:tr>
      <w:tr>
        <w:trPr>
          <w:trHeight w:val="229"/>
        </w:trPr>
        <w:tc>
          <w:tcPr>
            <w:tcW w:w="3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Coverage percentage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r>
      <w:tr>
        <w:trPr>
          <w:trHeight w:val="229"/>
        </w:trPr>
        <w:tc>
          <w:tcPr>
            <w:tcW w:w="38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Loans in default (count)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13,765</w:t>
            </w:r>
          </w:p>
        </w:tc>
        <w:tc>
          <w:tcPr>
            <w:tcW w:w="220" w:type="dxa"/>
            <w:vAlign w:val="bottom"/>
          </w:tcPr>
          <w:p>
            <w:pPr>
              <w:spacing w:after="0"/>
              <w:rPr>
                <w:sz w:val="19"/>
                <w:szCs w:val="19"/>
                <w:color w:val="auto"/>
              </w:rPr>
            </w:pPr>
          </w:p>
        </w:tc>
        <w:tc>
          <w:tcPr>
            <w:tcW w:w="1240" w:type="dxa"/>
            <w:vAlign w:val="bottom"/>
          </w:tcPr>
          <w:p>
            <w:pPr>
              <w:jc w:val="right"/>
              <w:ind w:right="193"/>
              <w:spacing w:after="0"/>
              <w:rPr>
                <w:sz w:val="20"/>
                <w:szCs w:val="20"/>
                <w:color w:val="auto"/>
              </w:rPr>
            </w:pPr>
            <w:r>
              <w:rPr>
                <w:rFonts w:ascii="Arial" w:cs="Arial" w:eastAsia="Arial" w:hAnsi="Arial"/>
                <w:sz w:val="18"/>
                <w:szCs w:val="18"/>
                <w:color w:val="auto"/>
              </w:rPr>
              <w:t>10,816</w:t>
            </w:r>
          </w:p>
        </w:tc>
        <w:tc>
          <w:tcPr>
            <w:tcW w:w="220" w:type="dxa"/>
            <w:vAlign w:val="bottom"/>
          </w:tcPr>
          <w:p>
            <w:pPr>
              <w:spacing w:after="0"/>
              <w:rPr>
                <w:sz w:val="19"/>
                <w:szCs w:val="19"/>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1,449</w:t>
            </w:r>
          </w:p>
        </w:tc>
        <w:tc>
          <w:tcPr>
            <w:tcW w:w="60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1,448</w:t>
            </w:r>
          </w:p>
        </w:tc>
        <w:tc>
          <w:tcPr>
            <w:tcW w:w="3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1,230</w:t>
            </w:r>
          </w:p>
        </w:tc>
      </w:tr>
      <w:tr>
        <w:trPr>
          <w:trHeight w:val="230"/>
        </w:trPr>
        <w:tc>
          <w:tcPr>
            <w:tcW w:w="3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Default rate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0.38 %</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0.40 %</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0.35 %</w:t>
            </w:r>
          </w:p>
        </w:tc>
      </w:tr>
      <w:tr>
        <w:trPr>
          <w:trHeight w:val="229"/>
        </w:trPr>
        <w:tc>
          <w:tcPr>
            <w:tcW w:w="38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Risk-in-force on defaulted loans </w:t>
            </w:r>
            <w:r>
              <w:rPr>
                <w:rFonts w:ascii="Arial" w:cs="Arial" w:eastAsia="Arial" w:hAnsi="Arial"/>
                <w:sz w:val="23"/>
                <w:szCs w:val="23"/>
                <w:color w:val="auto"/>
                <w:vertAlign w:val="superscript"/>
              </w:rPr>
              <w:t>(1)</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3"/>
              <w:spacing w:after="0"/>
              <w:rPr>
                <w:sz w:val="20"/>
                <w:szCs w:val="20"/>
                <w:color w:val="auto"/>
              </w:rPr>
            </w:pPr>
            <w:r>
              <w:rPr>
                <w:rFonts w:ascii="Arial" w:cs="Arial" w:eastAsia="Arial" w:hAnsi="Arial"/>
                <w:sz w:val="18"/>
                <w:szCs w:val="18"/>
                <w:color w:val="auto"/>
              </w:rPr>
              <w:t>799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84</w:t>
            </w:r>
          </w:p>
        </w:tc>
        <w:tc>
          <w:tcPr>
            <w:tcW w:w="6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84</w:t>
            </w: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70</w:t>
            </w:r>
          </w:p>
        </w:tc>
      </w:tr>
      <w:tr>
        <w:trPr>
          <w:trHeight w:val="230"/>
        </w:trPr>
        <w:tc>
          <w:tcPr>
            <w:tcW w:w="3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Net premium yield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0.40 %</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0.43 %</w:t>
            </w:r>
          </w:p>
        </w:tc>
      </w:tr>
      <w:tr>
        <w:trPr>
          <w:trHeight w:val="230"/>
        </w:trPr>
        <w:tc>
          <w:tcPr>
            <w:tcW w:w="3860" w:type="dxa"/>
            <w:vAlign w:val="bottom"/>
          </w:tcPr>
          <w:p>
            <w:pPr>
              <w:ind w:left="220"/>
              <w:spacing w:after="0"/>
              <w:rPr>
                <w:sz w:val="20"/>
                <w:szCs w:val="20"/>
                <w:color w:val="auto"/>
              </w:rPr>
            </w:pPr>
            <w:r>
              <w:rPr>
                <w:rFonts w:ascii="Arial" w:cs="Arial" w:eastAsia="Arial" w:hAnsi="Arial"/>
                <w:sz w:val="18"/>
                <w:szCs w:val="18"/>
                <w:color w:val="auto"/>
              </w:rPr>
              <w:t>Earnings from cancellations</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3"/>
              <w:spacing w:after="0"/>
              <w:rPr>
                <w:sz w:val="20"/>
                <w:szCs w:val="20"/>
                <w:color w:val="auto"/>
              </w:rPr>
            </w:pPr>
            <w:r>
              <w:rPr>
                <w:rFonts w:ascii="Arial" w:cs="Arial" w:eastAsia="Arial" w:hAnsi="Arial"/>
                <w:sz w:val="18"/>
                <w:szCs w:val="18"/>
                <w:color w:val="auto"/>
              </w:rPr>
              <w:t>15.5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8.6</w:t>
            </w:r>
          </w:p>
        </w:tc>
        <w:tc>
          <w:tcPr>
            <w:tcW w:w="6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8.0</w:t>
            </w:r>
          </w:p>
        </w:tc>
        <w:tc>
          <w:tcPr>
            <w:tcW w:w="3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7.4</w:t>
            </w:r>
          </w:p>
        </w:tc>
      </w:tr>
      <w:tr>
        <w:trPr>
          <w:trHeight w:val="230"/>
        </w:trPr>
        <w:tc>
          <w:tcPr>
            <w:tcW w:w="3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71.7 %</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76.8 %</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82.4 %</w:t>
            </w:r>
          </w:p>
        </w:tc>
      </w:tr>
      <w:tr>
        <w:trPr>
          <w:trHeight w:val="312"/>
        </w:trPr>
        <w:tc>
          <w:tcPr>
            <w:tcW w:w="3860" w:type="dxa"/>
            <w:vAlign w:val="bottom"/>
          </w:tcPr>
          <w:p>
            <w:pPr>
              <w:ind w:left="22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3"/>
                <w:szCs w:val="23"/>
                <w:color w:val="auto"/>
                <w:vertAlign w:val="superscript"/>
              </w:rPr>
              <w:t>(5)</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13.1 %</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12.9 %</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8.0 %</w:t>
            </w:r>
          </w:p>
        </w:tc>
        <w:tc>
          <w:tcPr>
            <w:tcW w:w="6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7.7 %</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7.5 %</w:t>
            </w:r>
          </w:p>
        </w:tc>
      </w:tr>
    </w:tbl>
    <w:p>
      <w:pPr>
        <w:spacing w:after="0" w:line="17"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Reported as of the end of the period.</w:t>
      </w:r>
    </w:p>
    <w:p>
      <w:pPr>
        <w:ind w:left="220" w:hanging="212"/>
        <w:spacing w:after="0" w:line="187" w:lineRule="auto"/>
        <w:tabs>
          <w:tab w:leader="none" w:pos="2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Calculated as end of period RIF divided by end of period IIF.</w:t>
      </w:r>
    </w:p>
    <w:p>
      <w:pPr>
        <w:ind w:left="220" w:hanging="212"/>
        <w:spacing w:after="0" w:line="187" w:lineRule="auto"/>
        <w:tabs>
          <w:tab w:leader="none" w:pos="2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Calculated as net premiums earned divided by average primary IIF for the period, annualized.</w:t>
      </w:r>
    </w:p>
    <w:p>
      <w:pPr>
        <w:ind w:left="220" w:hanging="212"/>
        <w:spacing w:after="0" w:line="187" w:lineRule="auto"/>
        <w:tabs>
          <w:tab w:leader="none" w:pos="2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Defined as the percentage of IIF that remains on our books after a given 12-month period.</w:t>
      </w:r>
    </w:p>
    <w:p>
      <w:pPr>
        <w:ind w:left="220" w:hanging="212"/>
        <w:spacing w:after="0" w:line="186" w:lineRule="auto"/>
        <w:tabs>
          <w:tab w:leader="none" w:pos="22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Defined as the percentage of IIF that is no longer on our books after a given three month period.</w:t>
      </w:r>
    </w:p>
    <w:p>
      <w:pPr>
        <w:spacing w:after="0" w:line="14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Primary IIF</w:t>
            </w:r>
          </w:p>
        </w:tc>
        <w:tc>
          <w:tcPr>
            <w:tcW w:w="300" w:type="dxa"/>
            <w:vAlign w:val="bottom"/>
          </w:tcPr>
          <w:p>
            <w:pPr>
              <w:spacing w:after="0"/>
              <w:rPr>
                <w:sz w:val="16"/>
                <w:szCs w:val="16"/>
                <w:color w:val="auto"/>
              </w:rPr>
            </w:pPr>
          </w:p>
        </w:tc>
        <w:tc>
          <w:tcPr>
            <w:tcW w:w="254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6"/>
                <w:szCs w:val="16"/>
                <w:color w:val="auto"/>
              </w:rPr>
            </w:pPr>
          </w:p>
        </w:tc>
        <w:tc>
          <w:tcPr>
            <w:tcW w:w="2300" w:type="dxa"/>
            <w:vAlign w:val="bottom"/>
            <w:gridSpan w:val="4"/>
          </w:tcPr>
          <w:p>
            <w:pPr>
              <w:ind w:left="120"/>
              <w:spacing w:after="0"/>
              <w:rPr>
                <w:sz w:val="20"/>
                <w:szCs w:val="20"/>
                <w:color w:val="auto"/>
              </w:rPr>
            </w:pPr>
            <w:r>
              <w:rPr>
                <w:rFonts w:ascii="Arial" w:cs="Arial" w:eastAsia="Arial" w:hAnsi="Arial"/>
                <w:sz w:val="14"/>
                <w:szCs w:val="14"/>
                <w:b w:val="1"/>
                <w:bCs w:val="1"/>
                <w:color w:val="auto"/>
              </w:rPr>
              <w:t>For the nine months ended</w:t>
            </w:r>
          </w:p>
        </w:tc>
      </w:tr>
      <w:tr>
        <w:trPr>
          <w:trHeight w:val="187"/>
        </w:trPr>
        <w:tc>
          <w:tcPr>
            <w:tcW w:w="5680" w:type="dxa"/>
            <w:vAlign w:val="bottom"/>
          </w:tcPr>
          <w:p>
            <w:pPr>
              <w:spacing w:after="0"/>
              <w:rPr>
                <w:sz w:val="16"/>
                <w:szCs w:val="16"/>
                <w:color w:val="auto"/>
              </w:rPr>
            </w:pPr>
          </w:p>
        </w:tc>
        <w:tc>
          <w:tcPr>
            <w:tcW w:w="142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2020</w:t>
            </w:r>
          </w:p>
        </w:tc>
        <w:tc>
          <w:tcPr>
            <w:tcW w:w="1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September 30, 2019</w:t>
            </w:r>
          </w:p>
        </w:tc>
        <w:tc>
          <w:tcPr>
            <w:tcW w:w="120" w:type="dxa"/>
            <w:vAlign w:val="bottom"/>
            <w:tcBorders>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2020</w:t>
            </w:r>
          </w:p>
        </w:tc>
        <w:tc>
          <w:tcPr>
            <w:tcW w:w="1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September 30, 2019</w:t>
            </w:r>
          </w:p>
        </w:tc>
      </w:tr>
      <w:tr>
        <w:trPr>
          <w:trHeight w:val="180"/>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gridSpan w:val="3"/>
          </w:tcPr>
          <w:p>
            <w:pPr>
              <w:ind w:left="58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81,708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7"/>
              </w:rPr>
              <w:t>68,551</w:t>
            </w:r>
          </w:p>
        </w:tc>
      </w:tr>
      <w:tr>
        <w:trPr>
          <w:trHeight w:val="230"/>
        </w:trPr>
        <w:tc>
          <w:tcPr>
            <w:tcW w:w="5680" w:type="dxa"/>
            <w:vAlign w:val="bottom"/>
          </w:tcPr>
          <w:p>
            <w:pPr>
              <w:ind w:left="220"/>
              <w:spacing w:after="0"/>
              <w:rPr>
                <w:sz w:val="20"/>
                <w:szCs w:val="20"/>
                <w:color w:val="auto"/>
              </w:rPr>
            </w:pPr>
            <w:r>
              <w:rPr>
                <w:rFonts w:ascii="Arial" w:cs="Arial" w:eastAsia="Arial" w:hAnsi="Arial"/>
                <w:sz w:val="18"/>
                <w:szCs w:val="18"/>
                <w:color w:val="auto"/>
              </w:rPr>
              <w:t>NIW</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w w:val="98"/>
              </w:rPr>
              <w:t>14,100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87"/>
              </w:rPr>
              <w:t>33,192</w:t>
            </w:r>
          </w:p>
        </w:tc>
      </w:tr>
      <w:tr>
        <w:trPr>
          <w:trHeight w:val="230"/>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Cancellations, principal repayments and other reductions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1"/>
              </w:rPr>
              <w:t>(6,095)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2"/>
              </w:rPr>
              <w:t>(12,030)</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IIF, end of period</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104,494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8"/>
              </w:rPr>
              <w:t>89,713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104,494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7"/>
              </w:rPr>
              <w:t>89,713</w:t>
            </w:r>
          </w:p>
        </w:tc>
      </w:tr>
      <w:tr>
        <w:trPr>
          <w:trHeight w:val="20"/>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9" w:name="page40"/>
    <w:bookmarkEnd w:id="39"/>
    <w:p>
      <w:pPr>
        <w:jc w:val="both"/>
        <w:ind w:firstLine="648"/>
        <w:spacing w:after="0" w:line="275"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Primary IIF and RIF</w:t>
            </w:r>
          </w:p>
        </w:tc>
        <w:tc>
          <w:tcPr>
            <w:tcW w:w="9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w w:val="89"/>
              </w:rPr>
              <w:t>As of September 30, 2020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As of September 30, 2019</w:t>
            </w:r>
          </w:p>
        </w:tc>
      </w:tr>
      <w:tr>
        <w:trPr>
          <w:trHeight w:val="187"/>
        </w:trPr>
        <w:tc>
          <w:tcPr>
            <w:tcW w:w="42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RIF</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RIF</w:t>
            </w:r>
          </w:p>
        </w:tc>
      </w:tr>
      <w:tr>
        <w:trPr>
          <w:trHeight w:val="180"/>
        </w:trPr>
        <w:tc>
          <w:tcPr>
            <w:tcW w:w="4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40,969</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10,255</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2019</w:t>
            </w:r>
          </w:p>
        </w:tc>
        <w:tc>
          <w:tcPr>
            <w:tcW w:w="9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29,865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7,791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8,283</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2017</w:t>
            </w:r>
          </w:p>
        </w:tc>
        <w:tc>
          <w:tcPr>
            <w:tcW w:w="9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9,671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4,028</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r>
      <w:tr>
        <w:trPr>
          <w:trHeight w:val="229"/>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2015 and before</w:t>
            </w: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r>
      <w:tr>
        <w:trPr>
          <w:trHeight w:val="248"/>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104,494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26,568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22,810</w:t>
            </w:r>
          </w:p>
        </w:tc>
      </w:tr>
      <w:tr>
        <w:trPr>
          <w:trHeight w:val="20"/>
        </w:trPr>
        <w:tc>
          <w:tcPr>
            <w:tcW w:w="4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response to the outbreak of COVID-19, we adopted changes to our underwriting guidelines, including changes to our loan documentation requirements, asset reserve requirements, employment verification process and income continuance determinations, that have further strengthened the credit risk profile of our NIW volume and IIF.</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Primary NIW by FICO</w:t>
            </w:r>
          </w:p>
        </w:tc>
        <w:tc>
          <w:tcPr>
            <w:tcW w:w="120" w:type="dxa"/>
            <w:vAlign w:val="bottom"/>
          </w:tcPr>
          <w:p>
            <w:pPr>
              <w:spacing w:after="0"/>
              <w:rPr>
                <w:sz w:val="16"/>
                <w:szCs w:val="16"/>
                <w:color w:val="auto"/>
              </w:rPr>
            </w:pPr>
          </w:p>
        </w:tc>
        <w:tc>
          <w:tcPr>
            <w:tcW w:w="3080" w:type="dxa"/>
            <w:vAlign w:val="bottom"/>
            <w:gridSpan w:val="5"/>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6"/>
                <w:szCs w:val="16"/>
                <w:color w:val="auto"/>
              </w:rPr>
            </w:pPr>
          </w:p>
        </w:tc>
        <w:tc>
          <w:tcPr>
            <w:tcW w:w="298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For the nine months ended</w:t>
            </w:r>
          </w:p>
        </w:tc>
      </w:tr>
      <w:tr>
        <w:trPr>
          <w:trHeight w:val="187"/>
        </w:trPr>
        <w:tc>
          <w:tcPr>
            <w:tcW w:w="49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September 30, 2019</w:t>
            </w:r>
          </w:p>
        </w:tc>
        <w:tc>
          <w:tcPr>
            <w:tcW w:w="1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September 30, 2019</w:t>
            </w:r>
          </w:p>
        </w:tc>
      </w:tr>
      <w:tr>
        <w:trPr>
          <w:trHeight w:val="180"/>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5"/>
          </w:tcPr>
          <w:p>
            <w:pPr>
              <w:ind w:left="106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3"/>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15,678</w:t>
            </w: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740-759</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5,677</w:t>
            </w: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w:t>
            </w: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700-719</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3,579</w:t>
            </w: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r>
      <w:tr>
        <w:trPr>
          <w:trHeight w:val="230"/>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33,192</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Weighted average FICO</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2"/>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Primary NIW by LTV</w:t>
            </w:r>
          </w:p>
        </w:tc>
        <w:tc>
          <w:tcPr>
            <w:tcW w:w="160" w:type="dxa"/>
            <w:vAlign w:val="bottom"/>
          </w:tcPr>
          <w:p>
            <w:pPr>
              <w:spacing w:after="0"/>
              <w:rPr>
                <w:sz w:val="16"/>
                <w:szCs w:val="16"/>
                <w:color w:val="auto"/>
              </w:rPr>
            </w:pPr>
          </w:p>
        </w:tc>
        <w:tc>
          <w:tcPr>
            <w:tcW w:w="3220" w:type="dxa"/>
            <w:vAlign w:val="bottom"/>
            <w:gridSpan w:val="5"/>
          </w:tcPr>
          <w:p>
            <w:pPr>
              <w:ind w:left="6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6"/>
                <w:szCs w:val="16"/>
                <w:color w:val="auto"/>
              </w:rPr>
            </w:pPr>
          </w:p>
        </w:tc>
        <w:tc>
          <w:tcPr>
            <w:tcW w:w="314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For the nine months ended</w:t>
            </w:r>
          </w:p>
        </w:tc>
      </w:tr>
      <w:tr>
        <w:trPr>
          <w:trHeight w:val="187"/>
        </w:trPr>
        <w:tc>
          <w:tcPr>
            <w:tcW w:w="45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September 30, 2019</w:t>
            </w:r>
          </w:p>
        </w:tc>
        <w:tc>
          <w:tcPr>
            <w:tcW w:w="1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September 30, 2019</w:t>
            </w:r>
          </w:p>
        </w:tc>
      </w:tr>
      <w:tr>
        <w:trPr>
          <w:trHeight w:val="181"/>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20" w:type="dxa"/>
            <w:vAlign w:val="bottom"/>
            <w:gridSpan w:val="5"/>
          </w:tcPr>
          <w:p>
            <w:pPr>
              <w:ind w:left="11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3"/>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2,529</w:t>
            </w: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16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7,767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18,161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15,947</w:t>
            </w:r>
          </w:p>
        </w:tc>
      </w:tr>
      <w:tr>
        <w:trPr>
          <w:trHeight w:val="229"/>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6,968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11,259</w:t>
            </w:r>
          </w:p>
        </w:tc>
      </w:tr>
      <w:tr>
        <w:trPr>
          <w:trHeight w:val="230"/>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3,177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6,787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3,457</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18,499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14,100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42,920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33,192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Weighted average LTV</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2"/>
              </w:rPr>
              <w:t>90.7 %</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91.7 %</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90.8 %</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91.9 %</w:t>
            </w: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771"/>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Primary NIW by purchase/refinance mix</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right"/>
              <w:ind w:right="634"/>
              <w:spacing w:after="0"/>
              <w:rPr>
                <w:sz w:val="20"/>
                <w:szCs w:val="20"/>
                <w:color w:val="auto"/>
              </w:rPr>
            </w:pPr>
            <w:r>
              <w:rPr>
                <w:rFonts w:ascii="Arial" w:cs="Arial" w:eastAsia="Arial" w:hAnsi="Arial"/>
                <w:sz w:val="14"/>
                <w:szCs w:val="14"/>
                <w:b w:val="1"/>
                <w:bCs w:val="1"/>
                <w:color w:val="auto"/>
              </w:rPr>
              <w:t>For the nine months ended</w:t>
            </w:r>
          </w:p>
        </w:tc>
      </w:tr>
      <w:tr>
        <w:trPr>
          <w:trHeight w:val="187"/>
        </w:trPr>
        <w:tc>
          <w:tcPr>
            <w:tcW w:w="4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1"/>
              </w:rPr>
              <w:t>September 30, 2019</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1"/>
              </w:rPr>
              <w:t>September 30, 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3"/>
              </w:rPr>
              <w:t>September 30, 2019</w:t>
            </w:r>
          </w:p>
        </w:tc>
      </w:tr>
      <w:tr>
        <w:trPr>
          <w:trHeight w:val="180"/>
        </w:trPr>
        <w:tc>
          <w:tcPr>
            <w:tcW w:w="4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7"/>
          </w:tcPr>
          <w:p>
            <w:pPr>
              <w:jc w:val="right"/>
              <w:ind w:right="120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33"/>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28,364</w:t>
            </w:r>
          </w:p>
        </w:tc>
      </w:tr>
      <w:tr>
        <w:trPr>
          <w:trHeight w:val="229"/>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Refinance</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5,735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2,816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14,389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our total primary IIF and RIF by FICO and LTV and total primary RIF by loan type as of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IIF by FICO</w:t>
            </w: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7"/>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September 30, 2020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September 30, 2019</w:t>
            </w:r>
          </w:p>
        </w:tc>
        <w:tc>
          <w:tcPr>
            <w:tcW w:w="740" w:type="dxa"/>
            <w:vAlign w:val="bottom"/>
            <w:tcBorders>
              <w:bottom w:val="single" w:sz="8" w:color="auto"/>
            </w:tcBorders>
          </w:tcPr>
          <w:p>
            <w:pPr>
              <w:spacing w:after="0"/>
              <w:rPr>
                <w:sz w:val="16"/>
                <w:szCs w:val="16"/>
                <w:color w:val="auto"/>
              </w:rPr>
            </w:pPr>
          </w:p>
        </w:tc>
      </w:tr>
      <w:tr>
        <w:trPr>
          <w:trHeight w:val="181"/>
        </w:trPr>
        <w:tc>
          <w:tcPr>
            <w:tcW w:w="4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Values In Millions)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53,742</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41,855</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16,193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15,028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30"/>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10,235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29"/>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r>
      <w:tr>
        <w:trPr>
          <w:trHeight w:val="230"/>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104,494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724"/>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RIF by FICO</w:t>
            </w: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87"/>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September 30, 2020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September 30, 2019</w:t>
            </w:r>
          </w:p>
        </w:tc>
        <w:tc>
          <w:tcPr>
            <w:tcW w:w="740" w:type="dxa"/>
            <w:vAlign w:val="bottom"/>
            <w:tcBorders>
              <w:bottom w:val="single" w:sz="8" w:color="auto"/>
            </w:tcBorders>
          </w:tcPr>
          <w:p>
            <w:pPr>
              <w:spacing w:after="0"/>
              <w:rPr>
                <w:sz w:val="16"/>
                <w:szCs w:val="16"/>
                <w:color w:val="auto"/>
              </w:rPr>
            </w:pPr>
          </w:p>
        </w:tc>
      </w:tr>
      <w:tr>
        <w:trPr>
          <w:trHeight w:val="181"/>
        </w:trPr>
        <w:tc>
          <w:tcPr>
            <w:tcW w:w="4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Values In Millions)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13,563</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29"/>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30"/>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r>
      <w:tr>
        <w:trPr>
          <w:trHeight w:val="230"/>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4"/>
                <w:szCs w:val="14"/>
                <w:b w:val="1"/>
                <w:bCs w:val="1"/>
                <w:color w:val="auto"/>
                <w:w w:val="91"/>
              </w:rPr>
              <w:t>As of</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7"/>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September 30, 2020</w:t>
            </w: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September 30, 2019</w:t>
            </w:r>
          </w:p>
        </w:tc>
      </w:tr>
      <w:tr>
        <w:trPr>
          <w:trHeight w:val="180"/>
        </w:trPr>
        <w:tc>
          <w:tcPr>
            <w:tcW w:w="4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gridSpan w:val="4"/>
          </w:tcPr>
          <w:p>
            <w:pPr>
              <w:jc w:val="center"/>
              <w:ind w:left="13"/>
              <w:spacing w:after="0"/>
              <w:rPr>
                <w:sz w:val="20"/>
                <w:szCs w:val="20"/>
                <w:color w:val="auto"/>
              </w:rPr>
            </w:pPr>
            <w:r>
              <w:rPr>
                <w:rFonts w:ascii="Arial" w:cs="Arial" w:eastAsia="Arial" w:hAnsi="Arial"/>
                <w:sz w:val="14"/>
                <w:szCs w:val="14"/>
                <w:i w:val="1"/>
                <w:iCs w:val="1"/>
                <w:color w:val="auto"/>
                <w:w w:val="96"/>
              </w:rPr>
              <w:t>($ Values In Millions)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shd w:val="clear" w:color="auto" w:fill="CCEEFF"/>
          </w:tcPr>
          <w:p>
            <w:pPr>
              <w:spacing w:after="0"/>
              <w:rPr>
                <w:sz w:val="20"/>
                <w:szCs w:val="20"/>
                <w:color w:val="auto"/>
              </w:rPr>
            </w:pP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47,828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42,255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r>
      <w:tr>
        <w:trPr>
          <w:trHeight w:val="229"/>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r>
      <w:tr>
        <w:trPr>
          <w:trHeight w:val="230"/>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13,312</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10,875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19"/>
                <w:szCs w:val="19"/>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104,494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89,713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724"/>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As of</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7"/>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September 30, 2020</w:t>
            </w: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September 30, 2019</w:t>
            </w:r>
          </w:p>
        </w:tc>
      </w:tr>
      <w:tr>
        <w:trPr>
          <w:trHeight w:val="181"/>
        </w:trPr>
        <w:tc>
          <w:tcPr>
            <w:tcW w:w="4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gridSpan w:val="4"/>
          </w:tcPr>
          <w:p>
            <w:pPr>
              <w:jc w:val="center"/>
              <w:ind w:left="13"/>
              <w:spacing w:after="0"/>
              <w:rPr>
                <w:sz w:val="20"/>
                <w:szCs w:val="20"/>
                <w:color w:val="auto"/>
              </w:rPr>
            </w:pPr>
            <w:r>
              <w:rPr>
                <w:rFonts w:ascii="Arial" w:cs="Arial" w:eastAsia="Arial" w:hAnsi="Arial"/>
                <w:sz w:val="14"/>
                <w:szCs w:val="14"/>
                <w:i w:val="1"/>
                <w:iCs w:val="1"/>
                <w:color w:val="auto"/>
                <w:w w:val="96"/>
              </w:rPr>
              <w:t>($ Values In Millions)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shd w:val="clear" w:color="auto" w:fill="CCEEFF"/>
          </w:tcPr>
          <w:p>
            <w:pPr>
              <w:spacing w:after="0"/>
              <w:rPr>
                <w:sz w:val="20"/>
                <w:szCs w:val="20"/>
                <w:color w:val="auto"/>
              </w:rPr>
            </w:pP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14,056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12,358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r>
      <w:tr>
        <w:trPr>
          <w:trHeight w:val="229"/>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r>
      <w:tr>
        <w:trPr>
          <w:trHeight w:val="230"/>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1,272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9"/>
                <w:szCs w:val="19"/>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22,810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724"/>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20" w:type="dxa"/>
            <w:vAlign w:val="bottom"/>
            <w:gridSpan w:val="7"/>
          </w:tcPr>
          <w:p>
            <w:pPr>
              <w:ind w:left="280"/>
              <w:spacing w:after="0"/>
              <w:rPr>
                <w:sz w:val="20"/>
                <w:szCs w:val="20"/>
                <w:color w:val="auto"/>
              </w:rPr>
            </w:pPr>
            <w:r>
              <w:rPr>
                <w:rFonts w:ascii="Arial" w:cs="Arial" w:eastAsia="Arial" w:hAnsi="Arial"/>
                <w:sz w:val="14"/>
                <w:szCs w:val="14"/>
                <w:b w:val="1"/>
                <w:bCs w:val="1"/>
                <w:color w:val="auto"/>
              </w:rPr>
              <w:t>September 30, 2020</w:t>
            </w:r>
          </w:p>
        </w:tc>
        <w:tc>
          <w:tcPr>
            <w:tcW w:w="1580" w:type="dxa"/>
            <w:vAlign w:val="bottom"/>
          </w:tcPr>
          <w:p>
            <w:pPr>
              <w:jc w:val="right"/>
              <w:ind w:right="191"/>
              <w:spacing w:after="0"/>
              <w:rPr>
                <w:sz w:val="20"/>
                <w:szCs w:val="20"/>
                <w:color w:val="auto"/>
              </w:rPr>
            </w:pPr>
            <w:r>
              <w:rPr>
                <w:rFonts w:ascii="Arial" w:cs="Arial" w:eastAsia="Arial" w:hAnsi="Arial"/>
                <w:sz w:val="14"/>
                <w:szCs w:val="14"/>
                <w:b w:val="1"/>
                <w:bCs w:val="1"/>
                <w:color w:val="auto"/>
                <w:w w:val="97"/>
              </w:rPr>
              <w:t>September 30, 2019</w:t>
            </w:r>
          </w:p>
        </w:tc>
        <w:tc>
          <w:tcPr>
            <w:tcW w:w="20" w:type="dxa"/>
            <w:vAlign w:val="bottom"/>
          </w:tcPr>
          <w:p>
            <w:pPr>
              <w:spacing w:after="0"/>
              <w:rPr>
                <w:sz w:val="16"/>
                <w:szCs w:val="16"/>
                <w:color w:val="auto"/>
              </w:rPr>
            </w:pPr>
          </w:p>
        </w:tc>
      </w:tr>
      <w:tr>
        <w:trPr>
          <w:trHeight w:val="251"/>
        </w:trPr>
        <w:tc>
          <w:tcPr>
            <w:tcW w:w="4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20" w:type="dxa"/>
            <w:vAlign w:val="bottom"/>
          </w:tcPr>
          <w:p>
            <w:pPr>
              <w:spacing w:after="0"/>
              <w:rPr>
                <w:sz w:val="19"/>
                <w:szCs w:val="19"/>
                <w:color w:val="auto"/>
              </w:rPr>
            </w:pPr>
          </w:p>
        </w:tc>
      </w:tr>
      <w:tr>
        <w:trPr>
          <w:trHeight w:val="230"/>
        </w:trPr>
        <w:tc>
          <w:tcPr>
            <w:tcW w:w="4720" w:type="dxa"/>
            <w:vAlign w:val="bottom"/>
          </w:tcPr>
          <w:p>
            <w:pPr>
              <w:ind w:left="120"/>
              <w:spacing w:after="0"/>
              <w:rPr>
                <w:sz w:val="20"/>
                <w:szCs w:val="20"/>
                <w:color w:val="auto"/>
              </w:rPr>
            </w:pPr>
            <w:r>
              <w:rPr>
                <w:rFonts w:ascii="Arial" w:cs="Arial" w:eastAsia="Arial" w:hAnsi="Arial"/>
                <w:sz w:val="18"/>
                <w:szCs w:val="18"/>
                <w:color w:val="auto"/>
              </w:rPr>
              <w:t>Adjustable rate mortgages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than five years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Five years and longer</w:t>
            </w: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1"/>
                <w:szCs w:val="2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selected primary portfolio statistics, by book year, as of September 30,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3"/>
              </w:rPr>
              <w:t>As of September 30, 2020</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1"/>
                <w:szCs w:val="11"/>
                <w:color w:val="auto"/>
              </w:rPr>
            </w:pPr>
          </w:p>
        </w:tc>
        <w:tc>
          <w:tcPr>
            <w:tcW w:w="820" w:type="dxa"/>
            <w:vAlign w:val="bottom"/>
          </w:tcPr>
          <w:p>
            <w:pPr>
              <w:jc w:val="center"/>
              <w:ind w:right="13"/>
              <w:spacing w:after="0" w:line="135" w:lineRule="exact"/>
              <w:rPr>
                <w:sz w:val="20"/>
                <w:szCs w:val="20"/>
                <w:color w:val="auto"/>
              </w:rPr>
            </w:pPr>
            <w:r>
              <w:rPr>
                <w:rFonts w:ascii="Arial" w:cs="Arial" w:eastAsia="Arial" w:hAnsi="Arial"/>
                <w:sz w:val="14"/>
                <w:szCs w:val="14"/>
                <w:b w:val="1"/>
                <w:bCs w:val="1"/>
                <w:color w:val="auto"/>
                <w:w w:val="94"/>
              </w:rPr>
              <w:t>Remaining</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Remaining of</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Number of</w:t>
            </w: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Number of</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 of</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Incurred Loss</w:t>
            </w:r>
          </w:p>
        </w:tc>
        <w:tc>
          <w:tcPr>
            <w:tcW w:w="12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54"/>
        </w:trPr>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Insurance</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Insurance in</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Original</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Policies Ever</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Policies in</w:t>
            </w: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Loans in</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Claims</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Ratio (Inception</w:t>
            </w:r>
          </w:p>
        </w:tc>
        <w:tc>
          <w:tcPr>
            <w:tcW w:w="12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Cumulative</w:t>
            </w: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Book year</w:t>
            </w: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Default Rate</w:t>
            </w:r>
          </w:p>
        </w:tc>
        <w:tc>
          <w:tcPr>
            <w:tcW w:w="0" w:type="dxa"/>
            <w:vAlign w:val="bottom"/>
          </w:tcPr>
          <w:p>
            <w:pPr>
              <w:spacing w:after="0"/>
              <w:rPr>
                <w:sz w:val="1"/>
                <w:szCs w:val="1"/>
                <w:color w:val="auto"/>
              </w:rPr>
            </w:pPr>
          </w:p>
        </w:tc>
      </w:tr>
      <w:tr>
        <w:trPr>
          <w:trHeight w:val="135"/>
        </w:trPr>
        <w:tc>
          <w:tcPr>
            <w:tcW w:w="680" w:type="dxa"/>
            <w:vAlign w:val="bottom"/>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Written</w:t>
            </w: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3"/>
              <w:spacing w:after="0" w:line="135" w:lineRule="exact"/>
              <w:rPr>
                <w:sz w:val="20"/>
                <w:szCs w:val="20"/>
                <w:color w:val="auto"/>
              </w:rPr>
            </w:pPr>
            <w:r>
              <w:rPr>
                <w:rFonts w:ascii="Arial" w:cs="Arial" w:eastAsia="Arial" w:hAnsi="Arial"/>
                <w:sz w:val="14"/>
                <w:szCs w:val="14"/>
                <w:b w:val="1"/>
                <w:bCs w:val="1"/>
                <w:color w:val="auto"/>
                <w:w w:val="94"/>
              </w:rPr>
              <w:t>Force</w:t>
            </w:r>
          </w:p>
        </w:tc>
        <w:tc>
          <w:tcPr>
            <w:tcW w:w="128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Insurance</w:t>
            </w:r>
          </w:p>
        </w:tc>
        <w:tc>
          <w:tcPr>
            <w:tcW w:w="1060" w:type="dxa"/>
            <w:vAlign w:val="bottom"/>
            <w:tcBorders>
              <w:bottom w:val="single" w:sz="8" w:color="auto"/>
            </w:tcBorders>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in Force</w:t>
            </w:r>
          </w:p>
        </w:tc>
        <w:tc>
          <w:tcPr>
            <w:tcW w:w="1060" w:type="dxa"/>
            <w:vAlign w:val="bottom"/>
            <w:tcBorders>
              <w:bottom w:val="single" w:sz="8" w:color="auto"/>
            </w:tcBorders>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Force</w:t>
            </w:r>
          </w:p>
        </w:tc>
        <w:tc>
          <w:tcPr>
            <w:tcW w:w="840" w:type="dxa"/>
            <w:vAlign w:val="bottom"/>
            <w:tcBorders>
              <w:bottom w:val="single" w:sz="8" w:color="auto"/>
            </w:tcBorders>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Default</w:t>
            </w:r>
          </w:p>
        </w:tc>
        <w:tc>
          <w:tcPr>
            <w:tcW w:w="760" w:type="dxa"/>
            <w:vAlign w:val="bottom"/>
            <w:tcBorders>
              <w:bottom w:val="single" w:sz="8" w:color="auto"/>
            </w:tcBorders>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Paid</w:t>
            </w:r>
          </w:p>
        </w:tc>
        <w:tc>
          <w:tcPr>
            <w:tcW w:w="11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rPr>
              <w:t xml:space="preserve">to Date) </w:t>
            </w:r>
            <w:r>
              <w:rPr>
                <w:rFonts w:ascii="Arial" w:cs="Arial" w:eastAsia="Arial" w:hAnsi="Arial"/>
                <w:sz w:val="15"/>
                <w:szCs w:val="15"/>
                <w:b w:val="1"/>
                <w:bCs w:val="1"/>
                <w:color w:val="auto"/>
                <w:vertAlign w:val="superscript"/>
              </w:rPr>
              <w:t>(1)</w:t>
            </w:r>
          </w:p>
        </w:tc>
        <w:tc>
          <w:tcPr>
            <w:tcW w:w="1200" w:type="dxa"/>
            <w:vAlign w:val="bottom"/>
            <w:tcBorders>
              <w:bottom w:val="single" w:sz="8" w:color="auto"/>
            </w:tcBorders>
          </w:tcPr>
          <w:p>
            <w:pPr>
              <w:jc w:val="right"/>
              <w:ind w:right="75"/>
              <w:spacing w:after="0" w:line="135" w:lineRule="exact"/>
              <w:rPr>
                <w:sz w:val="20"/>
                <w:szCs w:val="20"/>
                <w:color w:val="auto"/>
              </w:rPr>
            </w:pPr>
            <w:r>
              <w:rPr>
                <w:rFonts w:ascii="Arial" w:cs="Arial" w:eastAsia="Arial" w:hAnsi="Arial"/>
                <w:sz w:val="12"/>
                <w:szCs w:val="12"/>
                <w:b w:val="1"/>
                <w:bCs w:val="1"/>
                <w:color w:val="auto"/>
              </w:rPr>
              <w:t xml:space="preserve">Default Rate </w:t>
            </w:r>
            <w:r>
              <w:rPr>
                <w:rFonts w:ascii="Arial" w:cs="Arial" w:eastAsia="Arial" w:hAnsi="Arial"/>
                <w:sz w:val="15"/>
                <w:szCs w:val="15"/>
                <w:b w:val="1"/>
                <w:bCs w:val="1"/>
                <w:color w:val="auto"/>
                <w:vertAlign w:val="superscript"/>
              </w:rPr>
              <w:t>(2)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(3)</w:t>
            </w:r>
          </w:p>
        </w:tc>
        <w:tc>
          <w:tcPr>
            <w:tcW w:w="0" w:type="dxa"/>
            <w:vAlign w:val="bottom"/>
          </w:tcPr>
          <w:p>
            <w:pPr>
              <w:spacing w:after="0"/>
              <w:rPr>
                <w:sz w:val="1"/>
                <w:szCs w:val="1"/>
                <w:color w:val="auto"/>
              </w:rPr>
            </w:pPr>
          </w:p>
        </w:tc>
      </w:tr>
      <w:tr>
        <w:trPr>
          <w:trHeight w:val="179"/>
        </w:trPr>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ind w:left="160"/>
              <w:spacing w:after="0"/>
              <w:rPr>
                <w:sz w:val="20"/>
                <w:szCs w:val="20"/>
                <w:color w:val="auto"/>
              </w:rPr>
            </w:pPr>
            <w:r>
              <w:rPr>
                <w:rFonts w:ascii="Arial" w:cs="Arial" w:eastAsia="Arial" w:hAnsi="Arial"/>
                <w:sz w:val="14"/>
                <w:szCs w:val="14"/>
                <w:i w:val="1"/>
                <w:iCs w:val="1"/>
                <w:color w:val="auto"/>
              </w:rPr>
              <w:t>($ Values in Millions)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0.8 %</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0.8 %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680" w:type="dxa"/>
            <w:vAlign w:val="bottom"/>
          </w:tcPr>
          <w:p>
            <w:pPr>
              <w:ind w:left="2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556</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16 %</w:t>
            </w:r>
          </w:p>
        </w:tc>
        <w:tc>
          <w:tcPr>
            <w:tcW w:w="940" w:type="dxa"/>
            <w:vAlign w:val="bottom"/>
          </w:tcPr>
          <w:p>
            <w:pPr>
              <w:jc w:val="right"/>
              <w:spacing w:after="0"/>
              <w:rPr>
                <w:sz w:val="20"/>
                <w:szCs w:val="20"/>
                <w:color w:val="auto"/>
              </w:rPr>
            </w:pPr>
            <w:r>
              <w:rPr>
                <w:rFonts w:ascii="Arial" w:cs="Arial" w:eastAsia="Arial" w:hAnsi="Arial"/>
                <w:sz w:val="18"/>
                <w:szCs w:val="18"/>
                <w:color w:val="auto"/>
              </w:rPr>
              <w:t>14,786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3,172</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4.2 %</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1.3 %</w:t>
            </w:r>
          </w:p>
        </w:tc>
        <w:tc>
          <w:tcPr>
            <w:tcW w:w="98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3.3 %</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680" w:type="dxa"/>
            <w:vAlign w:val="bottom"/>
          </w:tcPr>
          <w:p>
            <w:pPr>
              <w:ind w:left="2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8,050</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38 %</w:t>
            </w:r>
          </w:p>
        </w:tc>
        <w:tc>
          <w:tcPr>
            <w:tcW w:w="940" w:type="dxa"/>
            <w:vAlign w:val="bottom"/>
          </w:tcPr>
          <w:p>
            <w:pPr>
              <w:jc w:val="right"/>
              <w:spacing w:after="0"/>
              <w:rPr>
                <w:sz w:val="20"/>
                <w:szCs w:val="20"/>
                <w:color w:val="auto"/>
              </w:rPr>
            </w:pPr>
            <w:r>
              <w:rPr>
                <w:rFonts w:ascii="Arial" w:cs="Arial" w:eastAsia="Arial" w:hAnsi="Arial"/>
                <w:sz w:val="18"/>
                <w:szCs w:val="18"/>
                <w:color w:val="auto"/>
              </w:rPr>
              <w:t>83,626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36,731</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3.0 %</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2.1 %</w:t>
            </w:r>
          </w:p>
        </w:tc>
        <w:tc>
          <w:tcPr>
            <w:tcW w:w="98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5.0 %</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680" w:type="dxa"/>
            <w:vAlign w:val="bottom"/>
          </w:tcPr>
          <w:p>
            <w:pPr>
              <w:ind w:left="2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11,859</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43 %</w:t>
            </w:r>
          </w:p>
        </w:tc>
        <w:tc>
          <w:tcPr>
            <w:tcW w:w="940" w:type="dxa"/>
            <w:vAlign w:val="bottom"/>
          </w:tcPr>
          <w:p>
            <w:pPr>
              <w:jc w:val="right"/>
              <w:spacing w:after="0"/>
              <w:rPr>
                <w:sz w:val="20"/>
                <w:szCs w:val="20"/>
                <w:color w:val="auto"/>
              </w:rPr>
            </w:pPr>
            <w:r>
              <w:rPr>
                <w:rFonts w:ascii="Arial" w:cs="Arial" w:eastAsia="Arial" w:hAnsi="Arial"/>
                <w:sz w:val="18"/>
                <w:szCs w:val="18"/>
                <w:color w:val="auto"/>
              </w:rPr>
              <w:t>104,043</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52,967</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8.8 %</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3.2 %</w:t>
            </w:r>
          </w:p>
        </w:tc>
        <w:tc>
          <w:tcPr>
            <w:tcW w:w="98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29,865</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66 %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148,423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15.4 %</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9"/>
        </w:trPr>
        <w:tc>
          <w:tcPr>
            <w:tcW w:w="680" w:type="dxa"/>
            <w:vAlign w:val="bottom"/>
          </w:tcPr>
          <w:p>
            <w:pPr>
              <w:ind w:left="2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40,969</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95 %</w:t>
            </w:r>
          </w:p>
        </w:tc>
        <w:tc>
          <w:tcPr>
            <w:tcW w:w="940" w:type="dxa"/>
            <w:vAlign w:val="bottom"/>
          </w:tcPr>
          <w:p>
            <w:pPr>
              <w:jc w:val="right"/>
              <w:spacing w:after="0"/>
              <w:rPr>
                <w:sz w:val="20"/>
                <w:szCs w:val="20"/>
                <w:color w:val="auto"/>
              </w:rPr>
            </w:pPr>
            <w:r>
              <w:rPr>
                <w:rFonts w:ascii="Arial" w:cs="Arial" w:eastAsia="Arial" w:hAnsi="Arial"/>
                <w:sz w:val="18"/>
                <w:szCs w:val="18"/>
                <w:color w:val="auto"/>
              </w:rPr>
              <w:t>125,639</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120,752</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12.7 %</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0.9 %</w:t>
            </w:r>
          </w:p>
        </w:tc>
        <w:tc>
          <w:tcPr>
            <w:tcW w:w="98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8"/>
        </w:trPr>
        <w:tc>
          <w:tcPr>
            <w:tcW w:w="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104,494</w:t>
            </w: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Calculated as total claims incurred (paid and reserved) divided by cumulative premiums earned, net of reinsurance.</w:t>
      </w:r>
    </w:p>
    <w:p>
      <w:pPr>
        <w:ind w:left="220" w:hanging="212"/>
        <w:spacing w:after="0" w:line="187" w:lineRule="auto"/>
        <w:tabs>
          <w:tab w:leader="none" w:pos="2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Calculated as the sum of the number of claims paid ever to date and number of loans in default divided by policies ever in force.</w:t>
      </w:r>
    </w:p>
    <w:p>
      <w:pPr>
        <w:ind w:left="220" w:hanging="212"/>
        <w:spacing w:after="0" w:line="186" w:lineRule="auto"/>
        <w:tabs>
          <w:tab w:leader="none" w:pos="22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Calculated as the number of loans in default divided by number of policies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shows the distribution by state of our primary RIF as of the periods indicated. As of September 30, 2020, our RIF continues to be modestly more concentrated in California, primarily as a result of the size of the California mortgage market relative to the rest of the country and the location and timing of our acquisition of new customers. The distribution of our primary RIF as of September 30, 2020 is not necessarily representative of the geographic distribution we expect in the future.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Top 10 primary RIF by state</w:t>
            </w:r>
          </w:p>
        </w:tc>
        <w:tc>
          <w:tcPr>
            <w:tcW w:w="2180" w:type="dxa"/>
            <w:vAlign w:val="bottom"/>
            <w:tcBorders>
              <w:bottom w:val="single" w:sz="8" w:color="auto"/>
            </w:tcBorders>
            <w:gridSpan w:val="3"/>
          </w:tcPr>
          <w:p>
            <w:pPr>
              <w:ind w:left="1760"/>
              <w:spacing w:after="0"/>
              <w:rPr>
                <w:sz w:val="20"/>
                <w:szCs w:val="20"/>
                <w:color w:val="auto"/>
              </w:rPr>
            </w:pPr>
            <w:r>
              <w:rPr>
                <w:rFonts w:ascii="Arial" w:cs="Arial" w:eastAsia="Arial" w:hAnsi="Arial"/>
                <w:sz w:val="14"/>
                <w:szCs w:val="14"/>
                <w:b w:val="1"/>
                <w:bCs w:val="1"/>
                <w:color w:val="auto"/>
              </w:rPr>
              <w:t>As of</w:t>
            </w:r>
          </w:p>
        </w:tc>
        <w:tc>
          <w:tcPr>
            <w:tcW w:w="1640" w:type="dxa"/>
            <w:vAlign w:val="bottom"/>
            <w:tcBorders>
              <w:bottom w:val="single" w:sz="8" w:color="auto"/>
            </w:tcBorders>
          </w:tcPr>
          <w:p>
            <w:pPr>
              <w:spacing w:after="0"/>
              <w:rPr>
                <w:sz w:val="16"/>
                <w:szCs w:val="16"/>
                <w:color w:val="auto"/>
              </w:rPr>
            </w:pPr>
          </w:p>
        </w:tc>
      </w:tr>
      <w:tr>
        <w:trPr>
          <w:trHeight w:val="187"/>
        </w:trPr>
        <w:tc>
          <w:tcPr>
            <w:tcW w:w="7320" w:type="dxa"/>
            <w:vAlign w:val="bottom"/>
          </w:tcPr>
          <w:p>
            <w:pPr>
              <w:spacing w:after="0"/>
              <w:rPr>
                <w:sz w:val="16"/>
                <w:szCs w:val="16"/>
                <w:color w:val="auto"/>
              </w:rPr>
            </w:pPr>
          </w:p>
        </w:tc>
        <w:tc>
          <w:tcPr>
            <w:tcW w:w="2180" w:type="dxa"/>
            <w:vAlign w:val="bottom"/>
            <w:gridSpan w:val="3"/>
          </w:tcPr>
          <w:p>
            <w:pPr>
              <w:ind w:left="320"/>
              <w:spacing w:after="0"/>
              <w:rPr>
                <w:sz w:val="20"/>
                <w:szCs w:val="20"/>
                <w:color w:val="auto"/>
              </w:rPr>
            </w:pPr>
            <w:r>
              <w:rPr>
                <w:rFonts w:ascii="Arial" w:cs="Arial" w:eastAsia="Arial" w:hAnsi="Arial"/>
                <w:sz w:val="14"/>
                <w:szCs w:val="14"/>
                <w:b w:val="1"/>
                <w:bCs w:val="1"/>
                <w:color w:val="auto"/>
              </w:rPr>
              <w:t>September 30, 2020</w:t>
            </w:r>
          </w:p>
        </w:tc>
        <w:tc>
          <w:tcPr>
            <w:tcW w:w="1640" w:type="dxa"/>
            <w:vAlign w:val="bottom"/>
          </w:tcPr>
          <w:p>
            <w:pPr>
              <w:jc w:val="right"/>
              <w:ind w:right="252"/>
              <w:spacing w:after="0"/>
              <w:rPr>
                <w:sz w:val="20"/>
                <w:szCs w:val="20"/>
                <w:color w:val="auto"/>
              </w:rPr>
            </w:pPr>
            <w:r>
              <w:rPr>
                <w:rFonts w:ascii="Arial" w:cs="Arial" w:eastAsia="Arial" w:hAnsi="Arial"/>
                <w:sz w:val="14"/>
                <w:szCs w:val="14"/>
                <w:b w:val="1"/>
                <w:bCs w:val="1"/>
                <w:color w:val="auto"/>
                <w:w w:val="97"/>
              </w:rPr>
              <w:t>September 30, 2019</w:t>
            </w:r>
          </w:p>
        </w:tc>
      </w:tr>
      <w:tr>
        <w:trPr>
          <w:trHeight w:val="224"/>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Texas</w:t>
            </w:r>
          </w:p>
        </w:tc>
        <w:tc>
          <w:tcPr>
            <w:tcW w:w="1860" w:type="dxa"/>
            <w:vAlign w:val="bottom"/>
          </w:tcPr>
          <w:p>
            <w:pPr>
              <w:jc w:val="right"/>
              <w:ind w:right="13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8.1</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Virginia</w:t>
            </w:r>
          </w:p>
        </w:tc>
        <w:tc>
          <w:tcPr>
            <w:tcW w:w="1860" w:type="dxa"/>
            <w:vAlign w:val="bottom"/>
          </w:tcPr>
          <w:p>
            <w:pPr>
              <w:jc w:val="right"/>
              <w:ind w:right="13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5.3</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Illinois</w:t>
            </w:r>
          </w:p>
        </w:tc>
        <w:tc>
          <w:tcPr>
            <w:tcW w:w="1860" w:type="dxa"/>
            <w:vAlign w:val="bottom"/>
          </w:tcPr>
          <w:p>
            <w:pPr>
              <w:jc w:val="right"/>
              <w:ind w:right="1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3.8</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Maryland</w:t>
            </w:r>
          </w:p>
        </w:tc>
        <w:tc>
          <w:tcPr>
            <w:tcW w:w="1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1860" w:type="dxa"/>
            <w:vAlign w:val="bottom"/>
          </w:tcPr>
          <w:p>
            <w:pPr>
              <w:jc w:val="right"/>
              <w:ind w:right="1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3.2</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1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Massachusetts</w:t>
            </w:r>
          </w:p>
        </w:tc>
        <w:tc>
          <w:tcPr>
            <w:tcW w:w="1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3.1</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51.3 %</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and the percentage of coverage on insured loans.</w:t>
      </w:r>
    </w:p>
    <w:p>
      <w:pPr>
        <w:spacing w:after="0" w:line="1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and ILN Transactions, as applicable under each treaty. We have not yet ceded any reserves under the ILN Transactions as incurred claims and claims expenses on each respective reference pool remain within our retained coverage layer of each transaction.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12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3" w:name="page44"/>
    <w:bookmarkEnd w:id="43"/>
    <w:p>
      <w:pPr>
        <w:jc w:val="both"/>
        <w:ind w:firstLine="648"/>
        <w:spacing w:after="0" w:line="257" w:lineRule="auto"/>
        <w:rPr>
          <w:sz w:val="20"/>
          <w:szCs w:val="20"/>
          <w:color w:val="auto"/>
        </w:rPr>
      </w:pPr>
      <w:r>
        <w:rPr>
          <w:rFonts w:ascii="Arial" w:cs="Arial" w:eastAsia="Arial" w:hAnsi="Arial"/>
          <w:sz w:val="18"/>
          <w:szCs w:val="18"/>
          <w:color w:val="auto"/>
        </w:rPr>
        <w:t>Our reserve setting process considers the beneficial impact of forbearance, foreclosure moratorium and other assistance programs available to defaulted borrowers.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response to the COVID-19 outbreak, politicians, regulators, lenders, loan servicers and others have offered extraordinary assistance to dislocated borrowers through, among other programs, the forbearance, foreclosure moratorium and other assistance programs codified under the CARES Act. The FHFA and GSEs have offered further assistance by introducing new repayment and loan modification options to assist borrowers with their transition out of forbearance programs and default status. At September 30, 2020,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gross reserve balances for primary insurance claims and claim expenses.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For the nine months ended</w:t>
            </w:r>
          </w:p>
        </w:tc>
        <w:tc>
          <w:tcPr>
            <w:tcW w:w="580" w:type="dxa"/>
            <w:vAlign w:val="bottom"/>
          </w:tcPr>
          <w:p>
            <w:pPr>
              <w:spacing w:after="0"/>
              <w:rPr>
                <w:sz w:val="16"/>
                <w:szCs w:val="16"/>
                <w:color w:val="auto"/>
              </w:rPr>
            </w:pPr>
          </w:p>
        </w:tc>
      </w:tr>
      <w:tr>
        <w:trPr>
          <w:trHeight w:val="187"/>
        </w:trPr>
        <w:tc>
          <w:tcPr>
            <w:tcW w:w="5540" w:type="dxa"/>
            <w:vAlign w:val="bottom"/>
          </w:tcPr>
          <w:p>
            <w:pPr>
              <w:spacing w:after="0"/>
              <w:rPr>
                <w:sz w:val="16"/>
                <w:szCs w:val="16"/>
                <w:color w:val="auto"/>
              </w:rPr>
            </w:pPr>
          </w:p>
        </w:tc>
        <w:tc>
          <w:tcPr>
            <w:tcW w:w="14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2020</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2019</w:t>
            </w:r>
          </w:p>
        </w:tc>
        <w:tc>
          <w:tcPr>
            <w:tcW w:w="120" w:type="dxa"/>
            <w:vAlign w:val="bottom"/>
            <w:tcBorders>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2020</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2019</w:t>
            </w:r>
          </w:p>
        </w:tc>
      </w:tr>
      <w:tr>
        <w:trPr>
          <w:trHeight w:val="181"/>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3"/>
          </w:tcPr>
          <w:p>
            <w:pPr>
              <w:jc w:val="right"/>
              <w:ind w:right="16"/>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3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12,811</w:t>
            </w:r>
          </w:p>
        </w:tc>
      </w:tr>
      <w:tr>
        <w:trPr>
          <w:trHeight w:val="230"/>
        </w:trPr>
        <w:tc>
          <w:tcPr>
            <w:tcW w:w="55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(3,001)</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18,813</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9,810</w:t>
            </w:r>
          </w:p>
        </w:tc>
      </w:tr>
      <w:tr>
        <w:trPr>
          <w:trHeight w:val="250"/>
        </w:trPr>
        <w:tc>
          <w:tcPr>
            <w:tcW w:w="5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Claims and claim expenses incurred:</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5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10,948</w:t>
            </w:r>
          </w:p>
        </w:tc>
      </w:tr>
      <w:tr>
        <w:trPr>
          <w:trHeight w:val="229"/>
        </w:trPr>
        <w:tc>
          <w:tcPr>
            <w:tcW w:w="5540" w:type="dxa"/>
            <w:vAlign w:val="bottom"/>
            <w:tcBorders>
              <w:bottom w:val="single" w:sz="8" w:color="CCEEFF"/>
            </w:tcBorders>
          </w:tcPr>
          <w:p>
            <w:pPr>
              <w:ind w:left="480"/>
              <w:spacing w:after="0" w:line="23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(2,710)</w:t>
            </w:r>
          </w:p>
        </w:tc>
      </w:tr>
      <w:tr>
        <w:trPr>
          <w:trHeight w:val="223"/>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claims and claim expenses incurred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w:t>
            </w:r>
          </w:p>
        </w:tc>
      </w:tr>
      <w:tr>
        <w:trPr>
          <w:trHeight w:val="250"/>
        </w:trPr>
        <w:tc>
          <w:tcPr>
            <w:tcW w:w="5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5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40" w:type="dxa"/>
            <w:vAlign w:val="bottom"/>
          </w:tcPr>
          <w:p>
            <w:pPr>
              <w:ind w:left="480"/>
              <w:spacing w:after="0" w:line="23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2,401</w:t>
            </w:r>
          </w:p>
        </w:tc>
      </w:tr>
      <w:tr>
        <w:trPr>
          <w:trHeight w:val="230"/>
        </w:trPr>
        <w:tc>
          <w:tcPr>
            <w:tcW w:w="55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 xml:space="preserve">Reinsurance terminations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23"/>
        </w:trPr>
        <w:tc>
          <w:tcPr>
            <w:tcW w:w="5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claims and claim expenses paid</w:t>
            </w: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r>
      <w:tr>
        <w:trPr>
          <w:trHeight w:val="250"/>
        </w:trPr>
        <w:tc>
          <w:tcPr>
            <w:tcW w:w="55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r>
      <w:tr>
        <w:trPr>
          <w:trHeight w:val="223"/>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70,050</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16,196</w:t>
            </w:r>
          </w:p>
        </w:tc>
      </w:tr>
      <w:tr>
        <w:trPr>
          <w:trHeight w:val="223"/>
        </w:trPr>
        <w:tc>
          <w:tcPr>
            <w:tcW w:w="55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87,230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87,230</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20,505</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line="212" w:lineRule="auto"/>
        <w:tabs>
          <w:tab w:leader="none" w:pos="272"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Related to ceded losses recoverable under the QSR Transactions. See Item 1, "</w:t>
      </w:r>
      <w:r>
        <w:rPr>
          <w:rFonts w:ascii="Arial" w:cs="Arial" w:eastAsia="Arial" w:hAnsi="Arial"/>
          <w:sz w:val="14"/>
          <w:szCs w:val="14"/>
          <w:i w:val="1"/>
          <w:iCs w:val="1"/>
          <w:color w:val="auto"/>
        </w:rPr>
        <w:t>Financial Statements - Notes to Condensed Consolidated Financial Statements - Note 5, Reinsurance</w:t>
      </w:r>
      <w:r>
        <w:rPr>
          <w:rFonts w:ascii="Arial" w:cs="Arial" w:eastAsia="Arial" w:hAnsi="Arial"/>
          <w:sz w:val="14"/>
          <w:szCs w:val="14"/>
          <w:color w:val="auto"/>
        </w:rPr>
        <w:t>" for additional information.</w:t>
      </w:r>
    </w:p>
    <w:p>
      <w:pPr>
        <w:ind w:left="340" w:hanging="332"/>
        <w:spacing w:after="0" w:line="204" w:lineRule="auto"/>
        <w:tabs>
          <w:tab w:leader="none" w:pos="232"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w:t>
      </w:r>
    </w:p>
    <w:p>
      <w:pPr>
        <w:spacing w:after="0" w:line="1" w:lineRule="exact"/>
        <w:rPr>
          <w:rFonts w:ascii="Arial" w:cs="Arial" w:eastAsia="Arial" w:hAnsi="Arial"/>
          <w:sz w:val="19"/>
          <w:szCs w:val="19"/>
          <w:color w:val="auto"/>
          <w:vertAlign w:val="superscript"/>
        </w:rPr>
      </w:pPr>
    </w:p>
    <w:p>
      <w:pPr>
        <w:ind w:left="220" w:hanging="212"/>
        <w:spacing w:after="0" w:line="198" w:lineRule="auto"/>
        <w:tabs>
          <w:tab w:leader="none" w:pos="220"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Related to insured loans with defaults occurring in prior years, which have been continuously in default before the start of the current year. Amounts are presented net of reinsurance.</w:t>
      </w:r>
    </w:p>
    <w:p>
      <w:pPr>
        <w:ind w:left="340" w:hanging="332"/>
        <w:spacing w:after="0" w:line="210" w:lineRule="auto"/>
        <w:tabs>
          <w:tab w:leader="none" w:pos="286"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Represents the settlement of reinsurance recoverables in conjunction with the termination of one reinsurer under the 2016 QSR Transaction on a cut-off basis. See Item 1, "</w:t>
      </w:r>
      <w:r>
        <w:rPr>
          <w:rFonts w:ascii="Arial" w:cs="Arial" w:eastAsia="Arial" w:hAnsi="Arial"/>
          <w:sz w:val="14"/>
          <w:szCs w:val="14"/>
          <w:i w:val="1"/>
          <w:iCs w:val="1"/>
          <w:color w:val="auto"/>
        </w:rPr>
        <w:t>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Statements - Notes to Condensed Consolidated Financial Statements - Note 5, Reinsurance</w:t>
      </w:r>
      <w:r>
        <w:rPr>
          <w:rFonts w:ascii="Arial" w:cs="Arial" w:eastAsia="Arial" w:hAnsi="Arial"/>
          <w:sz w:val="14"/>
          <w:szCs w:val="14"/>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4" w:name="page45"/>
    <w:bookmarkEnd w:id="44"/>
    <w:p>
      <w:pPr>
        <w:jc w:val="both"/>
        <w:ind w:firstLine="648"/>
        <w:spacing w:after="0" w:line="273" w:lineRule="auto"/>
        <w:rPr>
          <w:sz w:val="20"/>
          <w:szCs w:val="20"/>
          <w:color w:val="auto"/>
        </w:rPr>
      </w:pPr>
      <w:r>
        <w:rPr>
          <w:rFonts w:ascii="Arial" w:cs="Arial" w:eastAsia="Arial" w:hAnsi="Arial"/>
          <w:sz w:val="17"/>
          <w:szCs w:val="17"/>
          <w:color w:val="auto"/>
        </w:rPr>
        <w:t>The "claims incurred" section of the table above shows claims and claim expenses incurred on defaults occurring in current and prior years, including IBNR reserves and is presented net of reinsurance. The amount of claims incurred for current year defaults represents the estimated amount of claims and claim expenses to be ultimately be paid on such loans. The decreases during the periods presented in reserves held for prior year defaults represent favorable development and are generally the result of the curing of previously reported defaults. We may increase or decrease our claim estimates and reserves as we learn additional information about individual defaulted loans, and continue to observe and analyze loss development trends in our portfolio. Gross reserves of $11.4 million related to prior year defaults remained as of September 30, 2020.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920" w:type="dxa"/>
            <w:vAlign w:val="bottom"/>
            <w:gridSpan w:val="4"/>
          </w:tcPr>
          <w:p>
            <w:pPr>
              <w:ind w:left="560"/>
              <w:spacing w:after="0"/>
              <w:rPr>
                <w:sz w:val="20"/>
                <w:szCs w:val="20"/>
                <w:color w:val="auto"/>
              </w:rPr>
            </w:pPr>
            <w:r>
              <w:rPr>
                <w:rFonts w:ascii="Arial" w:cs="Arial" w:eastAsia="Arial" w:hAnsi="Arial"/>
                <w:sz w:val="14"/>
                <w:szCs w:val="14"/>
                <w:b w:val="1"/>
                <w:bCs w:val="1"/>
                <w:color w:val="auto"/>
              </w:rPr>
              <w:t>For the three months ended</w:t>
            </w:r>
          </w:p>
        </w:tc>
        <w:tc>
          <w:tcPr>
            <w:tcW w:w="280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rPr>
              <w:t>For the nine months ended</w:t>
            </w:r>
          </w:p>
        </w:tc>
      </w:tr>
      <w:tr>
        <w:trPr>
          <w:trHeight w:val="187"/>
        </w:trPr>
        <w:tc>
          <w:tcPr>
            <w:tcW w:w="5520" w:type="dxa"/>
            <w:vAlign w:val="bottom"/>
          </w:tcPr>
          <w:p>
            <w:pPr>
              <w:spacing w:after="0"/>
              <w:rPr>
                <w:sz w:val="16"/>
                <w:szCs w:val="16"/>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30, 2019</w:t>
            </w:r>
          </w:p>
        </w:tc>
        <w:tc>
          <w:tcPr>
            <w:tcW w:w="120" w:type="dxa"/>
            <w:vAlign w:val="bottom"/>
          </w:tcPr>
          <w:p>
            <w:pPr>
              <w:spacing w:after="0"/>
              <w:rPr>
                <w:sz w:val="16"/>
                <w:szCs w:val="16"/>
                <w:color w:val="auto"/>
              </w:rPr>
            </w:pPr>
          </w:p>
        </w:tc>
        <w:tc>
          <w:tcPr>
            <w:tcW w:w="14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30, 2019</w:t>
            </w:r>
          </w:p>
        </w:tc>
      </w:tr>
      <w:tr>
        <w:trPr>
          <w:trHeight w:val="22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Plus: new defaults</w:t>
            </w:r>
          </w:p>
        </w:tc>
        <w:tc>
          <w:tcPr>
            <w:tcW w:w="1340" w:type="dxa"/>
            <w:vAlign w:val="bottom"/>
          </w:tcPr>
          <w:p>
            <w:pPr>
              <w:jc w:val="right"/>
              <w:spacing w:after="0"/>
              <w:rPr>
                <w:sz w:val="20"/>
                <w:szCs w:val="20"/>
                <w:color w:val="auto"/>
              </w:rPr>
            </w:pPr>
            <w:r>
              <w:rPr>
                <w:rFonts w:ascii="Arial" w:cs="Arial" w:eastAsia="Arial" w:hAnsi="Arial"/>
                <w:sz w:val="18"/>
                <w:szCs w:val="18"/>
                <w:color w:val="auto"/>
              </w:rPr>
              <w:t>6,588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16,870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1,838</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Less: claims paid</w:t>
            </w: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denied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13,765</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13,765</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the ending default inventory at September 30, 2020 compared to September 30, 2019, is primarily attributable to the COVID-19 outbreak as borrowers have faced increasing challenges and chosen to access the forbearance program for federally backed loans codified under the CARES Act and other similar assistance programs made available by private lenders. At September 30, 2020, 12,238 of our 13,765 ending default inventory were in a COVID-19 related forbearance program.</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details of our claims paid, before giving effect to claims ceded under the QSR Transactions and ILN Transactions, for the periods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6"/>
                <w:szCs w:val="16"/>
                <w:color w:val="auto"/>
              </w:rPr>
            </w:pPr>
          </w:p>
        </w:tc>
        <w:tc>
          <w:tcPr>
            <w:tcW w:w="286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For the nine months ended</w:t>
            </w:r>
          </w:p>
        </w:tc>
      </w:tr>
      <w:tr>
        <w:trPr>
          <w:trHeight w:val="187"/>
        </w:trPr>
        <w:tc>
          <w:tcPr>
            <w:tcW w:w="52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0"/>
              </w:rPr>
              <w:t>September 30, 2020</w:t>
            </w:r>
          </w:p>
        </w:tc>
        <w:tc>
          <w:tcPr>
            <w:tcW w:w="1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0"/>
              </w:rPr>
              <w:t>September 30, 2019</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0"/>
              </w:rPr>
              <w:t>September 30, 2020</w:t>
            </w:r>
          </w:p>
        </w:tc>
        <w:tc>
          <w:tcPr>
            <w:tcW w:w="1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September 30, 2019</w:t>
            </w:r>
          </w:p>
        </w:tc>
      </w:tr>
      <w:tr>
        <w:trPr>
          <w:trHeight w:val="180"/>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gridSpan w:val="4"/>
          </w:tcPr>
          <w:p>
            <w:pPr>
              <w:jc w:val="right"/>
              <w:ind w:right="976"/>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3"/>
        </w:trPr>
        <w:tc>
          <w:tcPr>
            <w:tcW w:w="520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98</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Total amount paid for claims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96"/>
              <w:spacing w:after="0"/>
              <w:rPr>
                <w:sz w:val="20"/>
                <w:szCs w:val="20"/>
                <w:color w:val="auto"/>
              </w:rPr>
            </w:pPr>
            <w:r>
              <w:rPr>
                <w:rFonts w:ascii="Arial" w:cs="Arial" w:eastAsia="Arial" w:hAnsi="Arial"/>
                <w:sz w:val="18"/>
                <w:szCs w:val="18"/>
                <w:color w:val="auto"/>
              </w:rPr>
              <w:t>1,540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6"/>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6"/>
              <w:spacing w:after="0"/>
              <w:rPr>
                <w:sz w:val="20"/>
                <w:szCs w:val="20"/>
                <w:color w:val="auto"/>
              </w:rPr>
            </w:pPr>
            <w:r>
              <w:rPr>
                <w:rFonts w:ascii="Arial" w:cs="Arial" w:eastAsia="Arial" w:hAnsi="Arial"/>
                <w:sz w:val="18"/>
                <w:szCs w:val="18"/>
                <w:color w:val="auto"/>
              </w:rPr>
              <w:t>5,621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2,979</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amount paid per claim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30</w:t>
            </w:r>
          </w:p>
        </w:tc>
      </w:tr>
      <w:tr>
        <w:trPr>
          <w:trHeight w:val="268"/>
        </w:trPr>
        <w:tc>
          <w:tcPr>
            <w:tcW w:w="5200" w:type="dxa"/>
            <w:vAlign w:val="bottom"/>
          </w:tcPr>
          <w:p>
            <w:pPr>
              <w:ind w:left="20"/>
              <w:spacing w:after="0"/>
              <w:rPr>
                <w:sz w:val="20"/>
                <w:szCs w:val="20"/>
                <w:color w:val="auto"/>
              </w:rPr>
            </w:pPr>
            <w:r>
              <w:rPr>
                <w:rFonts w:ascii="Arial" w:cs="Arial" w:eastAsia="Arial" w:hAnsi="Arial"/>
                <w:sz w:val="18"/>
                <w:szCs w:val="18"/>
                <w:color w:val="auto"/>
              </w:rPr>
              <w:t xml:space="preserve">Severity </w:t>
            </w:r>
            <w:r>
              <w:rPr>
                <w:rFonts w:ascii="Arial" w:cs="Arial" w:eastAsia="Arial" w:hAnsi="Arial"/>
                <w:sz w:val="23"/>
                <w:szCs w:val="23"/>
                <w:color w:val="auto"/>
                <w:vertAlign w:val="superscript"/>
              </w:rPr>
              <w:t>(2)</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67 %</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80 %</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70 %</w:t>
            </w:r>
          </w:p>
        </w:tc>
      </w:tr>
    </w:tbl>
    <w:p>
      <w:pPr>
        <w:ind w:left="340" w:hanging="332"/>
        <w:spacing w:after="0" w:line="215" w:lineRule="auto"/>
        <w:tabs>
          <w:tab w:leader="none" w:pos="269"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Count includes six and eight claims settled without payment for the three and nine months ended September 30, 2020, respectively, and eight and fourteen claims settled without payment for the three and nine months ended September 30, 2019, respectively.</w:t>
      </w:r>
    </w:p>
    <w:p>
      <w:pPr>
        <w:spacing w:after="0" w:line="35" w:lineRule="exact"/>
        <w:rPr>
          <w:rFonts w:ascii="Arial" w:cs="Arial" w:eastAsia="Arial" w:hAnsi="Arial"/>
          <w:sz w:val="19"/>
          <w:szCs w:val="19"/>
          <w:color w:val="auto"/>
          <w:vertAlign w:val="superscript"/>
        </w:rPr>
      </w:pPr>
    </w:p>
    <w:p>
      <w:pPr>
        <w:ind w:left="340" w:hanging="332"/>
        <w:spacing w:after="0" w:line="217" w:lineRule="auto"/>
        <w:tabs>
          <w:tab w:leader="none" w:pos="269"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number of claims paid for the three and nine months ended September 30, 2020 increased compared to the three and nine months ended September 30, 2019, primarily due to an increase in our default inventory and the continued growth and seasoning of our insured portfolio. The timing and magnitude of future claims paid may be impacted by, among other factors, the forbearance program and foreclosure moratorium codified under the CARES Act and implemented by the GSEs through at least December 31, 2020, which may extend the timeline over which loans would otherwise progress through the default cycle to a paid claim.</w:t>
      </w:r>
    </w:p>
    <w:p>
      <w:pPr>
        <w:spacing w:after="0" w:line="1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claims severity for the three and nine months ended September 30, 2020 was 67% and 80%, respectively, compared to 70% for each of the three and nine month periods ended September 30, 2019. Claims severity for the three months ended September 30, 2020 benefited from the resiliency of the housing market and broad national house price appreciation. An increase in the value of the homes collateralizing the mortgages we insure provides additional equity support to our risk exposure by increasing the possibility of a third-party sale of the foreclosed property, which can mitigate the severity of our settled claims. The increase in claims severity for the nine months ended September 30, 2020 relates to an increase in the portion of claims settled using the percent option instead of through third-party sales during the six months ended June 30, 2020 as third-party marketing and sales activity was broadly constrained in the period immediately following the outbreak of the COVID-19 pandemic.</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5" w:name="page46"/>
    <w:bookmarkEnd w:id="45"/>
    <w:p>
      <w:pPr>
        <w:ind w:firstLine="648"/>
        <w:spacing w:after="0" w:line="277" w:lineRule="auto"/>
        <w:rPr>
          <w:sz w:val="20"/>
          <w:szCs w:val="20"/>
          <w:color w:val="auto"/>
        </w:rPr>
      </w:pPr>
      <w:r>
        <w:rPr>
          <w:rFonts w:ascii="Arial" w:cs="Arial" w:eastAsia="Arial" w:hAnsi="Arial"/>
          <w:sz w:val="18"/>
          <w:szCs w:val="18"/>
          <w:color w:val="auto"/>
        </w:rPr>
        <w:t>The following table provides detail on our average reserve per default, before giving effect to reserves ceded under the QSR Transactions, as of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Average reserve per default:</w:t>
            </w: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September 30, 2020</w:t>
            </w: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As of September 30, 2019</w:t>
            </w:r>
          </w:p>
        </w:tc>
      </w:tr>
      <w:tr>
        <w:trPr>
          <w:trHeight w:val="185"/>
        </w:trPr>
        <w:tc>
          <w:tcPr>
            <w:tcW w:w="6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0" w:type="dxa"/>
            <w:vAlign w:val="bottom"/>
            <w:gridSpan w:val="4"/>
          </w:tcPr>
          <w:p>
            <w:pPr>
              <w:jc w:val="right"/>
              <w:ind w:right="1675"/>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682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68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26"/>
                <w:szCs w:val="26"/>
                <w:color w:val="auto"/>
                <w:vertAlign w:val="subscript"/>
              </w:rPr>
              <w:t>IBNR</w:t>
            </w:r>
            <w:r>
              <w:rPr>
                <w:rFonts w:ascii="Arial" w:cs="Arial" w:eastAsia="Arial" w:hAnsi="Arial"/>
                <w:sz w:val="10"/>
                <w:szCs w:val="10"/>
                <w:color w:val="auto"/>
              </w:rPr>
              <w:t xml:space="preserve"> (1)(2)</w:t>
            </w: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bl>
    <w:p>
      <w:pPr>
        <w:spacing w:after="0" w:line="99"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Defined as the gross reserve per insured loan in default.</w:t>
      </w:r>
    </w:p>
    <w:p>
      <w:pPr>
        <w:ind w:left="220" w:hanging="212"/>
        <w:spacing w:after="0" w:line="186" w:lineRule="auto"/>
        <w:tabs>
          <w:tab w:leader="none" w:pos="22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Amount includes claims adjustment expenses.</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average reserve per default at September 30, 2020 decreased from September 30, 2019, primarily due to new COVID-19 related defaults. At September 30, 2020, we established lower reserves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While we established lower reserves per defaulted loan at September 30, 2020, our total reserve position and claims and claims expenses increased substantially as of and during the period ended September 30, 2020 due to the increase in the size of our default population.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88"/>
        <w:spacing w:after="0" w:line="296"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NMIC is subject to ongoing compliance with the PMIERs established by each of the GSEs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xml:space="preserve"> current vs. delinquent), LTV ratio and other risk features. In general, higher quality loans carry lower asset charges.</w:t>
      </w:r>
    </w:p>
    <w:p>
      <w:pPr>
        <w:spacing w:after="0" w:line="107" w:lineRule="exact"/>
        <w:rPr>
          <w:sz w:val="20"/>
          <w:szCs w:val="20"/>
          <w:color w:val="auto"/>
        </w:rPr>
      </w:pPr>
    </w:p>
    <w:p>
      <w:pPr>
        <w:jc w:val="both"/>
        <w:ind w:firstLine="688"/>
        <w:spacing w:after="0" w:line="254" w:lineRule="auto"/>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 xml:space="preserve">approved insurer's </w:t>
      </w:r>
      <w:r>
        <w:rPr>
          <w:rFonts w:ascii="Arial" w:cs="Arial" w:eastAsia="Arial" w:hAnsi="Arial"/>
          <w:sz w:val="18"/>
          <w:szCs w:val="18"/>
          <w:color w:val="auto"/>
        </w:rPr>
        <w:t>RIF, assessed on a loan-by-loan basis and considered against certain risk-based factors derived from tables set out in the PMIERs,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then adjusted on an aggregate basis for reinsurance transactions approved by the GSEs, such as with respect to our ILN Transactions and QSR Transactions. The </w:t>
      </w:r>
      <w:r>
        <w:rPr>
          <w:rFonts w:ascii="Arial" w:cs="Arial" w:eastAsia="Arial" w:hAnsi="Arial"/>
          <w:sz w:val="18"/>
          <w:szCs w:val="18"/>
          <w:i w:val="1"/>
          <w:iCs w:val="1"/>
          <w:color w:val="auto"/>
        </w:rPr>
        <w:t>aggregate gross risk-based required asset amount</w:t>
      </w:r>
      <w:r>
        <w:rPr>
          <w:rFonts w:ascii="Arial" w:cs="Arial" w:eastAsia="Arial" w:hAnsi="Arial"/>
          <w:sz w:val="18"/>
          <w:szCs w:val="18"/>
          <w:color w:val="auto"/>
        </w:rPr>
        <w:t xml:space="preserve"> for performing, primary insurance is subject to a floor of 5.6% of </w:t>
      </w:r>
      <w:r>
        <w:rPr>
          <w:rFonts w:ascii="Arial" w:cs="Arial" w:eastAsia="Arial" w:hAnsi="Arial"/>
          <w:sz w:val="18"/>
          <w:szCs w:val="18"/>
          <w:i w:val="1"/>
          <w:iCs w:val="1"/>
          <w:color w:val="auto"/>
        </w:rPr>
        <w:t>performing primary</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RIF</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risk-based required asset amount </w:t>
      </w:r>
      <w:r>
        <w:rPr>
          <w:rFonts w:ascii="Arial" w:cs="Arial" w:eastAsia="Arial" w:hAnsi="Arial"/>
          <w:sz w:val="18"/>
          <w:szCs w:val="18"/>
          <w:color w:val="auto"/>
        </w:rPr>
        <w:t>for pool insurance considers both factors in the PMIERs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pool insurance policy.</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2020 that NMIC was in full compliance with the PMIERs as of December 31, 2019. NMIC also has an ongoing obligation to immediately notify the GSEs in writing upon discovery of a failure to meet one or more of the PMIERs requirements. We continuously monitor NMIC's compliance with the PMIERs.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following table provides a comparison of the PMIERs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as reported by NMIC as of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r>
      <w:tr>
        <w:trPr>
          <w:trHeight w:val="187"/>
        </w:trPr>
        <w:tc>
          <w:tcPr>
            <w:tcW w:w="7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4"/>
              </w:rPr>
              <w:t>September 30, 2020</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September 30, 2019</w:t>
            </w:r>
          </w:p>
        </w:tc>
      </w:tr>
      <w:tr>
        <w:trPr>
          <w:trHeight w:val="181"/>
        </w:trPr>
        <w:tc>
          <w:tcPr>
            <w:tcW w:w="7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gridSpan w:val="3"/>
          </w:tcPr>
          <w:p>
            <w:pPr>
              <w:jc w:val="right"/>
              <w:ind w:right="1236"/>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1,671,990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955,554</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Risk-based required assets</w:t>
            </w:r>
          </w:p>
        </w:tc>
        <w:tc>
          <w:tcPr>
            <w:tcW w:w="180" w:type="dxa"/>
            <w:vAlign w:val="bottom"/>
          </w:tcPr>
          <w:p>
            <w:pPr>
              <w:spacing w:after="0"/>
              <w:rPr>
                <w:sz w:val="20"/>
                <w:szCs w:val="20"/>
                <w:color w:val="auto"/>
              </w:rPr>
            </w:pPr>
          </w:p>
        </w:tc>
        <w:tc>
          <w:tcPr>
            <w:tcW w:w="1540" w:type="dxa"/>
            <w:vAlign w:val="bottom"/>
          </w:tcPr>
          <w:p>
            <w:pPr>
              <w:jc w:val="right"/>
              <w:ind w:right="21"/>
              <w:spacing w:after="0"/>
              <w:rPr>
                <w:sz w:val="20"/>
                <w:szCs w:val="20"/>
                <w:color w:val="auto"/>
              </w:rPr>
            </w:pPr>
            <w:r>
              <w:rPr>
                <w:rFonts w:ascii="Arial" w:cs="Arial" w:eastAsia="Arial" w:hAnsi="Arial"/>
                <w:sz w:val="18"/>
                <w:szCs w:val="18"/>
                <w:color w:val="auto"/>
              </w:rPr>
              <w:t>990,678</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637,914</w:t>
            </w:r>
          </w:p>
        </w:tc>
      </w:tr>
    </w:tbl>
    <w:p>
      <w:pPr>
        <w:spacing w:after="0" w:line="2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Available assets </w:t>
      </w:r>
      <w:r>
        <w:rPr>
          <w:rFonts w:ascii="Arial" w:cs="Arial" w:eastAsia="Arial" w:hAnsi="Arial"/>
          <w:sz w:val="18"/>
          <w:szCs w:val="18"/>
          <w:color w:val="auto"/>
        </w:rPr>
        <w:t>were $1,672 million at September 30, 2020, compared to $956 million at September 30, 2019. In June 2020, NMIH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sale of 15.9 million shares of common stock raising net proceeds of approximately $220 million and the sale of the $400 million aggregate principal amount of senior secured notes. NMIH contributed approximately $445 million of capital to NMIC following completion of the Notes and equity offerings. The $716 million increase in NMIC's </w:t>
      </w:r>
      <w:r>
        <w:rPr>
          <w:rFonts w:ascii="Arial" w:cs="Arial" w:eastAsia="Arial" w:hAnsi="Arial"/>
          <w:sz w:val="18"/>
          <w:szCs w:val="18"/>
          <w:i w:val="1"/>
          <w:iCs w:val="1"/>
          <w:color w:val="auto"/>
        </w:rPr>
        <w:t>available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between the periods presented was driven by the NMIH capital contribution and NMIC's positive cash flow from operations during the intervening periods.</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increase in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between the periods presented was primarily due to the growth of our gross RIF, increase in our default inventory related to the onset of the COVID-19 pandemic, partially offset by the increased cession of risk under our third-party reinsurance agreements including the inception of the 2020-1 ILN Transaction. See "</w:t>
      </w:r>
      <w:r>
        <w:rPr>
          <w:rFonts w:ascii="Arial" w:cs="Arial" w:eastAsia="Arial" w:hAnsi="Arial"/>
          <w:sz w:val="18"/>
          <w:szCs w:val="18"/>
          <w:i w:val="1"/>
          <w:iCs w:val="1"/>
          <w:color w:val="auto"/>
        </w:rPr>
        <w:t>- COVID-19 Developments,</w:t>
      </w:r>
      <w:r>
        <w:rPr>
          <w:rFonts w:ascii="Arial" w:cs="Arial" w:eastAsia="Arial" w:hAnsi="Arial"/>
          <w:sz w:val="18"/>
          <w:szCs w:val="18"/>
          <w:color w:val="auto"/>
        </w:rPr>
        <w:t>" above.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LIBOR Transition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2017, the U.K. Financial Conduct Authority announced that it intends to stop persuading or compelling banks to submit LIBOR rates after 2021, which is expected to render these widely used reference rates unavailable or unreliable. We have exposure to LIBOR-based financial instruments, such as LIBOR-based securities held in our investment portfolio. The 2020 Revolving Credit Facility and premiums paid on our ILN Transactions are also LIBOR-based. We are in the process of reviewing our LIBOR-based contracts that extend beyond 2021 and transitioning to a set of alternative reference rates. We will continue to monitor, assess and plan for the phase out of LIBOR; however, we currently do not know the impact it will have on our operations or financial results.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GSE-imposed asset requirements, NMIC is subject to state regulatory minimum capital requirements based on its RIF. While formulations of this minimum capital may vary by jurisdiction, the most common measure allows for a maximum permitted RTC ratio of 25:1.</w:t>
      </w:r>
    </w:p>
    <w:p>
      <w:pPr>
        <w:spacing w:after="0" w:line="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2020, NMIC's performing primary RIF, net of reinsurance, was approximately $19.9 billion. NMIC ceded 100% of its pool RIF pursuant to the 2016 QSR Transaction. Based on NMIC's total statutory capital of $1.6 billion (including contingency reserves) as of September 30, 2020, NMIC's RTC ratio was 12.8:1. Re One had total statutory capital of $37 million as of September 30, 2020, and a RTC ratio of 1.2:1. We continuously monitor our compliance with state capital requirements.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2020, Moody's Investors Service (Moody's) affirmed its "Baa2" financial strength rating of NMIC and its "Ba2" rating of NMIH's 2020 Revolving Credit Facility, and assigned a "Ba2" rating to the Notes. The outlook for Moody's ratings is stable. In March 2020, S&amp;P updated its outlook from stable to negative for the mortgage insurance sector, including NMIH and NMIC's financial strength and long-term counter-party credit ratings. In June 3, 2020, S&amp;P assigned a "BB" rating to NMIH's senior secured Notes.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Information Technology</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March 31, 2020, we entered into an IT services agreement with Tata Consultancy Services (TCS). Under the agreement, TCS is providing IT services over a seven-year period across such functions as application development and support, infrastructure support, (service desk, end user computing and engineering services), and information security. We expect the engagement with TCS will further our ability to provide innovative IT solutions for our internal and external constituents, while realizing cost efficiencies by leveraging TCS's global platform. In connection with the agreement, a majority of our IT employees transitioned to TCS. We have the ability to terminate the agreement at any time with 120 days' prior notice, subject to the payment of a termination fee and other obligations as specified in the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information technology capabilities. We expect the private MI market to remain competitive, with pressure for industry participants to maintain or grow their market share.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cancelability, loan size limits and the relative ease of use of private MI products compared to government MI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Borders>
              <w:bottom w:val="single" w:sz="8" w:color="auto"/>
            </w:tcBorders>
          </w:tcPr>
          <w:p>
            <w:pPr>
              <w:spacing w:after="0"/>
              <w:rPr>
                <w:sz w:val="16"/>
                <w:szCs w:val="16"/>
                <w:color w:val="auto"/>
              </w:rPr>
            </w:pPr>
          </w:p>
        </w:tc>
      </w:tr>
      <w:tr>
        <w:trPr>
          <w:trHeight w:val="187"/>
        </w:trPr>
        <w:tc>
          <w:tcPr>
            <w:tcW w:w="44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September 30, 2019</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3"/>
              </w:rPr>
              <w:t>September 30, 2020</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September 30, 2019</w:t>
            </w:r>
          </w:p>
        </w:tc>
      </w:tr>
      <w:tr>
        <w:trPr>
          <w:trHeight w:val="211"/>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0" w:type="dxa"/>
            <w:vAlign w:val="bottom"/>
            <w:gridSpan w:val="7"/>
            <w:shd w:val="clear" w:color="auto" w:fill="CCEEFF"/>
          </w:tcPr>
          <w:p>
            <w:pPr>
              <w:ind w:left="320"/>
              <w:spacing w:after="0"/>
              <w:rPr>
                <w:sz w:val="20"/>
                <w:szCs w:val="20"/>
                <w:color w:val="auto"/>
              </w:rPr>
            </w:pPr>
            <w:r>
              <w:rPr>
                <w:rFonts w:ascii="Arial" w:cs="Arial" w:eastAsia="Arial" w:hAnsi="Arial"/>
                <w:sz w:val="14"/>
                <w:szCs w:val="14"/>
                <w:i w:val="1"/>
                <w:iCs w:val="1"/>
                <w:color w:val="auto"/>
              </w:rPr>
              <w:t>($ in thousands, except for per share data)</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4460" w:type="dxa"/>
            <w:vAlign w:val="bottom"/>
            <w:gridSpan w:val="2"/>
          </w:tcPr>
          <w:p>
            <w:pPr>
              <w:ind w:left="220"/>
              <w:spacing w:after="0"/>
              <w:rPr>
                <w:sz w:val="20"/>
                <w:szCs w:val="20"/>
                <w:color w:val="auto"/>
              </w:rPr>
            </w:pPr>
            <w:r>
              <w:rPr>
                <w:rFonts w:ascii="Arial" w:cs="Arial" w:eastAsia="Arial" w:hAnsi="Arial"/>
                <w:sz w:val="18"/>
                <w:szCs w:val="18"/>
                <w:color w:val="auto"/>
              </w:rPr>
              <w:t>Net premiums earned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98,802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92,381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296,463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ind w:right="35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249,499</w:t>
            </w:r>
          </w:p>
        </w:tc>
      </w:tr>
      <w:tr>
        <w:trPr>
          <w:trHeight w:val="229"/>
        </w:trPr>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7,882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23,511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22,894</w:t>
            </w:r>
          </w:p>
        </w:tc>
      </w:tr>
      <w:tr>
        <w:trPr>
          <w:trHeight w:val="230"/>
        </w:trPr>
        <w:tc>
          <w:tcPr>
            <w:tcW w:w="4460" w:type="dxa"/>
            <w:vAlign w:val="bottom"/>
            <w:gridSpan w:val="2"/>
          </w:tcPr>
          <w:p>
            <w:pPr>
              <w:ind w:left="220"/>
              <w:spacing w:after="0"/>
              <w:rPr>
                <w:sz w:val="20"/>
                <w:szCs w:val="20"/>
                <w:color w:val="auto"/>
              </w:rPr>
            </w:pPr>
            <w:r>
              <w:rPr>
                <w:rFonts w:ascii="Arial" w:cs="Arial" w:eastAsia="Arial" w:hAnsi="Arial"/>
                <w:sz w:val="18"/>
                <w:szCs w:val="18"/>
                <w:color w:val="auto"/>
              </w:rPr>
              <w:t>Net realized investment (losses) gains</w:t>
            </w:r>
          </w:p>
        </w:tc>
        <w:tc>
          <w:tcPr>
            <w:tcW w:w="140" w:type="dxa"/>
            <w:vAlign w:val="bottom"/>
          </w:tcPr>
          <w:p>
            <w:pPr>
              <w:spacing w:after="0"/>
              <w:rPr>
                <w:sz w:val="19"/>
                <w:szCs w:val="19"/>
                <w:color w:val="auto"/>
              </w:rPr>
            </w:pP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(219)</w:t>
            </w:r>
          </w:p>
        </w:tc>
      </w:tr>
      <w:tr>
        <w:trPr>
          <w:trHeight w:val="229"/>
        </w:trPr>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1,244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2,771</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1,700</w:t>
            </w:r>
          </w:p>
        </w:tc>
      </w:tr>
      <w:tr>
        <w:trPr>
          <w:trHeight w:val="223"/>
        </w:trPr>
        <w:tc>
          <w:tcPr>
            <w:tcW w:w="4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107,783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101,588</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323,380</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273,874</w:t>
            </w:r>
          </w:p>
        </w:tc>
      </w:tr>
      <w:tr>
        <w:trPr>
          <w:trHeight w:val="20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4460" w:type="dxa"/>
            <w:vAlign w:val="bottom"/>
            <w:gridSpan w:val="2"/>
          </w:tcPr>
          <w:p>
            <w:pPr>
              <w:ind w:left="220"/>
              <w:spacing w:after="0"/>
              <w:rPr>
                <w:sz w:val="20"/>
                <w:szCs w:val="20"/>
                <w:color w:val="auto"/>
              </w:rPr>
            </w:pPr>
            <w:r>
              <w:rPr>
                <w:rFonts w:ascii="Arial" w:cs="Arial" w:eastAsia="Arial" w:hAnsi="Arial"/>
                <w:sz w:val="18"/>
                <w:szCs w:val="18"/>
                <w:color w:val="auto"/>
              </w:rPr>
              <w:t>Insurance claims and claim expenses</w:t>
            </w:r>
          </w:p>
        </w:tc>
        <w:tc>
          <w:tcPr>
            <w:tcW w:w="140" w:type="dxa"/>
            <w:vAlign w:val="bottom"/>
          </w:tcPr>
          <w:p>
            <w:pPr>
              <w:spacing w:after="0"/>
              <w:rPr>
                <w:sz w:val="19"/>
                <w:szCs w:val="19"/>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15,667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2,572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55,698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8,238</w:t>
            </w:r>
          </w:p>
        </w:tc>
      </w:tr>
      <w:tr>
        <w:trPr>
          <w:trHeight w:val="230"/>
        </w:trPr>
        <w:tc>
          <w:tcPr>
            <w:tcW w:w="44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Underwriting and operating expenses</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33,969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32,335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96,616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95,325</w:t>
            </w:r>
          </w:p>
        </w:tc>
      </w:tr>
      <w:tr>
        <w:trPr>
          <w:trHeight w:val="229"/>
        </w:trPr>
        <w:tc>
          <w:tcPr>
            <w:tcW w:w="446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Service expenses</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2,381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1,311</w:t>
            </w:r>
          </w:p>
        </w:tc>
      </w:tr>
      <w:tr>
        <w:trPr>
          <w:trHeight w:val="229"/>
        </w:trPr>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2,979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16,481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9,111</w:t>
            </w:r>
          </w:p>
        </w:tc>
      </w:tr>
      <w:tr>
        <w:trPr>
          <w:trHeight w:val="230"/>
        </w:trPr>
        <w:tc>
          <w:tcPr>
            <w:tcW w:w="4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w w:val="96"/>
              </w:rPr>
              <w:t>Loss (gain) from change in fair value of warrant liability</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(1,139)</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(4,286)</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6,025</w:t>
            </w:r>
          </w:p>
        </w:tc>
      </w:tr>
      <w:tr>
        <w:trPr>
          <w:trHeight w:val="223"/>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37,656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166,890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120,010</w:t>
            </w:r>
          </w:p>
        </w:tc>
      </w:tr>
      <w:tr>
        <w:trPr>
          <w:trHeight w:val="270"/>
        </w:trPr>
        <w:tc>
          <w:tcPr>
            <w:tcW w:w="4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63,932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156,490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153,864</w:t>
            </w:r>
          </w:p>
        </w:tc>
      </w:tr>
      <w:tr>
        <w:trPr>
          <w:trHeight w:val="229"/>
        </w:trPr>
        <w:tc>
          <w:tcPr>
            <w:tcW w:w="4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11,178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14,169</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33,192</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32,102</w:t>
            </w:r>
          </w:p>
        </w:tc>
      </w:tr>
      <w:tr>
        <w:trPr>
          <w:trHeight w:val="248"/>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38,179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49,763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123,298</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121,762</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0.73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1.81</w:t>
            </w: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Earnings per share -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0.69</w:t>
            </w: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w w:val="88"/>
              </w:rPr>
              <w:t>(2)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260" w:type="dxa"/>
            <w:vAlign w:val="bottom"/>
          </w:tcPr>
          <w:p>
            <w:pPr>
              <w:jc w:val="right"/>
              <w:ind w:right="68"/>
              <w:spacing w:after="0"/>
              <w:rPr>
                <w:sz w:val="20"/>
                <w:szCs w:val="20"/>
                <w:color w:val="auto"/>
              </w:rPr>
            </w:pPr>
            <w:r>
              <w:rPr>
                <w:rFonts w:ascii="Arial" w:cs="Arial" w:eastAsia="Arial" w:hAnsi="Arial"/>
                <w:sz w:val="11"/>
                <w:szCs w:val="11"/>
                <w:color w:val="auto"/>
                <w:w w:val="74"/>
              </w:rPr>
              <w:t>(2)</w:t>
            </w:r>
          </w:p>
        </w:tc>
        <w:tc>
          <w:tcPr>
            <w:tcW w:w="560" w:type="dxa"/>
            <w:vAlign w:val="bottom"/>
          </w:tcPr>
          <w:p>
            <w:pPr>
              <w:jc w:val="right"/>
              <w:ind w:right="35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1.75</w:t>
            </w:r>
          </w:p>
        </w:tc>
      </w:tr>
      <w:tr>
        <w:trPr>
          <w:trHeight w:val="162"/>
        </w:trPr>
        <w:tc>
          <w:tcPr>
            <w:tcW w:w="4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0"/>
        </w:trPr>
        <w:tc>
          <w:tcPr>
            <w:tcW w:w="44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Loss ratio</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4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 ratio</w:t>
            </w:r>
            <w:r>
              <w:rPr>
                <w:rFonts w:ascii="Arial" w:cs="Arial" w:eastAsia="Arial" w:hAnsi="Arial"/>
                <w:sz w:val="23"/>
                <w:szCs w:val="23"/>
                <w:color w:val="auto"/>
                <w:vertAlign w:val="superscript"/>
              </w:rPr>
              <w:t>(4)</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38.2 %</w:t>
            </w:r>
          </w:p>
        </w:tc>
      </w:tr>
      <w:tr>
        <w:trPr>
          <w:trHeight w:val="305"/>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 xml:space="preserve">Combined ratio </w:t>
            </w:r>
            <w:r>
              <w:rPr>
                <w:rFonts w:ascii="Arial" w:cs="Arial" w:eastAsia="Arial" w:hAnsi="Arial"/>
                <w:sz w:val="23"/>
                <w:szCs w:val="23"/>
                <w:color w:val="auto"/>
                <w:vertAlign w:val="superscript"/>
              </w:rPr>
              <w:t>(5)</w:t>
            </w:r>
          </w:p>
        </w:tc>
        <w:tc>
          <w:tcPr>
            <w:tcW w:w="1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50.2 %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37.8 %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51.4 %</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41.5 %</w:t>
            </w:r>
          </w:p>
        </w:tc>
      </w:tr>
      <w:tr>
        <w:trPr>
          <w:trHeight w:val="695"/>
        </w:trPr>
        <w:tc>
          <w:tcPr>
            <w:tcW w:w="44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left="633"/>
              <w:spacing w:after="0"/>
              <w:rPr>
                <w:sz w:val="20"/>
                <w:szCs w:val="20"/>
                <w:color w:val="auto"/>
              </w:rPr>
            </w:pPr>
            <w:r>
              <w:rPr>
                <w:rFonts w:ascii="Arial" w:cs="Arial" w:eastAsia="Arial" w:hAnsi="Arial"/>
                <w:sz w:val="14"/>
                <w:szCs w:val="14"/>
                <w:b w:val="1"/>
                <w:bCs w:val="1"/>
                <w:color w:val="auto"/>
                <w:w w:val="90"/>
              </w:rPr>
              <w:t>Nine months ended</w:t>
            </w:r>
          </w:p>
        </w:tc>
        <w:tc>
          <w:tcPr>
            <w:tcW w:w="920" w:type="dxa"/>
            <w:vAlign w:val="bottom"/>
            <w:tcBorders>
              <w:bottom w:val="single" w:sz="8" w:color="auto"/>
            </w:tcBorders>
          </w:tcPr>
          <w:p>
            <w:pPr>
              <w:spacing w:after="0"/>
              <w:rPr>
                <w:sz w:val="24"/>
                <w:szCs w:val="24"/>
                <w:color w:val="auto"/>
              </w:rPr>
            </w:pPr>
          </w:p>
        </w:tc>
      </w:tr>
      <w:tr>
        <w:trPr>
          <w:trHeight w:val="189"/>
        </w:trPr>
        <w:tc>
          <w:tcPr>
            <w:tcW w:w="44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 xml:space="preserve">Non-GAAP financial measures </w:t>
            </w:r>
            <w:r>
              <w:rPr>
                <w:rFonts w:ascii="Arial" w:cs="Arial" w:eastAsia="Arial" w:hAnsi="Arial"/>
                <w:sz w:val="18"/>
                <w:szCs w:val="18"/>
                <w:b w:val="1"/>
                <w:bCs w:val="1"/>
                <w:color w:val="auto"/>
                <w:vertAlign w:val="superscript"/>
              </w:rPr>
              <w:t>(6)</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53"/>
              <w:spacing w:after="0"/>
              <w:rPr>
                <w:sz w:val="20"/>
                <w:szCs w:val="20"/>
                <w:color w:val="auto"/>
              </w:rPr>
            </w:pPr>
            <w:r>
              <w:rPr>
                <w:rFonts w:ascii="Arial" w:cs="Arial" w:eastAsia="Arial" w:hAnsi="Arial"/>
                <w:sz w:val="14"/>
                <w:szCs w:val="14"/>
                <w:b w:val="1"/>
                <w:bCs w:val="1"/>
                <w:color w:val="auto"/>
                <w:w w:val="96"/>
              </w:rPr>
              <w:t>September 30, 2019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90"/>
              </w:rPr>
              <w:t>September 30, 2020</w:t>
            </w:r>
          </w:p>
        </w:tc>
        <w:tc>
          <w:tcPr>
            <w:tcW w:w="2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b w:val="1"/>
                <w:bCs w:val="1"/>
                <w:color w:val="auto"/>
                <w:w w:val="94"/>
              </w:rPr>
              <w:t>September 30, 2019</w:t>
            </w:r>
          </w:p>
        </w:tc>
      </w:tr>
      <w:tr>
        <w:trPr>
          <w:trHeight w:val="186"/>
        </w:trPr>
        <w:tc>
          <w:tcPr>
            <w:tcW w:w="4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7"/>
          </w:tcPr>
          <w:p>
            <w:pPr>
              <w:ind w:left="320"/>
              <w:spacing w:after="0"/>
              <w:rPr>
                <w:sz w:val="20"/>
                <w:szCs w:val="20"/>
                <w:color w:val="auto"/>
              </w:rPr>
            </w:pPr>
            <w:r>
              <w:rPr>
                <w:rFonts w:ascii="Arial" w:cs="Arial" w:eastAsia="Arial" w:hAnsi="Arial"/>
                <w:sz w:val="14"/>
                <w:szCs w:val="14"/>
                <w:i w:val="1"/>
                <w:iCs w:val="1"/>
                <w:color w:val="auto"/>
              </w:rPr>
              <w:t>($ in thousands, except for per share data)</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3"/>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income before tax</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157,087</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162,461</w:t>
            </w: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Adjusted net income</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49,894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122,870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129,819</w:t>
            </w:r>
          </w:p>
        </w:tc>
      </w:tr>
      <w:tr>
        <w:trPr>
          <w:trHeight w:val="23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diluted EPS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bl>
    <w:p>
      <w:pPr>
        <w:spacing w:after="0" w:line="99"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Certain "Underwriting and operating expenses" have been reclassified as "Service expenses" in prior periods.</w:t>
      </w:r>
    </w:p>
    <w:p>
      <w:pPr>
        <w:ind w:left="340" w:hanging="332"/>
        <w:spacing w:after="0" w:line="204" w:lineRule="auto"/>
        <w:tabs>
          <w:tab w:leader="none" w:pos="218"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Diluted net income for the three months ended September 30, 2019 and the nine months ended September 30, 2020 excludes the impact of the warrant fair value change as it was anti-dilutive. For all other periods presented in the table, diluted net income equals reported net income as the impact of the warrant fair value change was dilutive.</w:t>
      </w:r>
    </w:p>
    <w:p>
      <w:pPr>
        <w:spacing w:after="0" w:line="1" w:lineRule="exact"/>
        <w:rPr>
          <w:rFonts w:ascii="Arial" w:cs="Arial" w:eastAsia="Arial" w:hAnsi="Arial"/>
          <w:sz w:val="19"/>
          <w:szCs w:val="19"/>
          <w:color w:val="auto"/>
          <w:vertAlign w:val="superscript"/>
        </w:rPr>
      </w:pPr>
    </w:p>
    <w:p>
      <w:pPr>
        <w:ind w:left="260" w:hanging="252"/>
        <w:spacing w:after="0" w:line="187" w:lineRule="auto"/>
        <w:tabs>
          <w:tab w:leader="none" w:pos="2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Loss ratio is calculated by dividing the insurance claims and claim expenses by net premiums earned..</w:t>
      </w:r>
    </w:p>
    <w:p>
      <w:pPr>
        <w:ind w:left="260" w:hanging="252"/>
        <w:spacing w:after="0" w:line="187" w:lineRule="auto"/>
        <w:tabs>
          <w:tab w:leader="none" w:pos="2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Expense ratio is calculated by dividing underwriting and operating expenses by net premiums earned.</w:t>
      </w:r>
    </w:p>
    <w:p>
      <w:pPr>
        <w:ind w:left="260" w:hanging="252"/>
        <w:spacing w:after="0" w:line="187" w:lineRule="auto"/>
        <w:tabs>
          <w:tab w:leader="none" w:pos="2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Combined ratio may not foot due to rounding.</w:t>
      </w:r>
    </w:p>
    <w:p>
      <w:pPr>
        <w:ind w:left="220" w:hanging="212"/>
        <w:spacing w:after="0" w:line="186" w:lineRule="auto"/>
        <w:tabs>
          <w:tab w:leader="none" w:pos="22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See "</w:t>
      </w:r>
      <w:r>
        <w:rPr>
          <w:rFonts w:ascii="Arial" w:cs="Arial" w:eastAsia="Arial" w:hAnsi="Arial"/>
          <w:sz w:val="14"/>
          <w:szCs w:val="14"/>
          <w:i w:val="1"/>
          <w:iCs w:val="1"/>
          <w:color w:val="auto"/>
        </w:rPr>
        <w:t>Explanation and Reconciliation of Our Use of Non-GAAP Financial Measures</w:t>
      </w:r>
      <w:r>
        <w:rPr>
          <w:rFonts w:ascii="Arial" w:cs="Arial" w:eastAsia="Arial" w:hAnsi="Arial"/>
          <w:sz w:val="14"/>
          <w:szCs w:val="14"/>
          <w:color w:val="auto"/>
        </w:rPr>
        <w:t>,"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and nine months ended September 30, 2020, net premiums earned increased $6.4 million or 7% and $47.0 million or 19%, respectively, compared to the three and nine months ended September 30, 2019. The increase is primarily due to the growth of our IIF, a rise in monthly policy production and higher single premium policy cancellations, partially offset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increased cessions under the QSR and ILN Transactions.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and nine months ended September 30, 2020, net investment income increased $0.5 million and $0.6 million, respectively, compared to the three and nine months ended September 30, 2019. The increases were driven by an increase in the size of our total investment portfolio, partially offset by a decline in book yield tied to the prevailing interest rate and credit spread environment.</w:t>
      </w:r>
    </w:p>
    <w:p>
      <w:pPr>
        <w:spacing w:after="0" w:line="13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three months ended September 30, 2020, other revenues decreased $0.6 million compared to the three months ended September 30, 2019. For the nine months ended September 30, 2020, other revenues increased $1.1 million, compared to nine months ended September 30, 2019. Other revenues represent underwriting fee revenue generated by our subsidiary, NMIS, which provides outsourced loan review services to mortgage loan originators. Fluctuations in other revenues were driven by the size of NMIS' outsourced loan review volume. Amounts recognized in other revenues generally correspond with amounts incurred as service expenses for outsourced loan review activities in the same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Insurance claims and claim expenses increased $13.1 million and $47.5 million for the three and nine months ended September 30, 2020, respectively, compared to the three and nine months ended September 30, 2019, as a result of an increase in defaults, driven by new defaults on insured loans impacted by COVID-19 outbreak, and an increase in the overall number of policies in our portfolio and aging of earlier book years, partially offset by the release of certain reserves related to prior year defaults.</w:t>
      </w:r>
    </w:p>
    <w:p>
      <w:pPr>
        <w:spacing w:after="0" w:line="133" w:lineRule="exact"/>
        <w:rPr>
          <w:sz w:val="20"/>
          <w:szCs w:val="20"/>
          <w:color w:val="auto"/>
        </w:rPr>
      </w:pPr>
    </w:p>
    <w:p>
      <w:pPr>
        <w:jc w:val="both"/>
        <w:ind w:firstLine="232"/>
        <w:spacing w:after="0" w:line="254" w:lineRule="auto"/>
        <w:rPr>
          <w:sz w:val="20"/>
          <w:szCs w:val="20"/>
          <w:color w:val="auto"/>
        </w:rPr>
      </w:pPr>
      <w:r>
        <w:rPr>
          <w:rFonts w:ascii="Arial" w:cs="Arial" w:eastAsia="Arial" w:hAnsi="Arial"/>
          <w:sz w:val="18"/>
          <w:szCs w:val="18"/>
          <w:color w:val="auto"/>
        </w:rPr>
        <w:t>Underwriting and operating expenses increased $1.6 million, and $1.3 million for the three and nine months ended September 30, 2020, respectively, compared to the three and nine months ended September 30, 2019. The increase primarily relates to the recognition of previously deferred policy acquisition costs taken in connection with in-force portfolio run-off and an increase in issuance expenses incurred in connection with capital market reinsurance transaction activity, partially offset by reductions in payroll, travel and entertainment, and office administrative expenses as a result of the COVID-19 outbreak. Underwriting and operating expenses included capital market reinsurance transaction costs of $2.3 million and $1.7 million, for the three months ended September 30, 2020 and 2019, respectively, and $2.9 million and $2.4 million, for the nine months ended September 30, 2020 and 2019, respectively.</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Service expenses were $0.6 million and $2.4 million for the three and nine months ended September 30, 2020, respectively, compared to $0.9 million and $1.3 million for the three and nine months ended September 30, 2019, respectively. Service expenses represent third-party costs incurred by NMIS in connection with the services it provides. Fluctuations in service expenses for the three and nine months ended September 30, 2020, were driven by the size of NMIS' outsourced loan review volume. Amounts incurred as service expenses generally correspond with amounts recognized in other revenues in the same periods.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was $7.8 million and $16.5 million for the three and nine months ended September 30, 2020, respectively, compared to $3.0 million and $9.1 million for the three and nine months ended September 30, 2019, respectively. Interest expense increased in connection with the $400 million Notes issuance and retirement of the $150 million 2018 Term Loan completed in June 2020. Interest expense for the nine months ended September 30, 2020 includes $2.6 million of costs related to the extinguishment of the 2018 Term Loan. See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4, Debt.</w:t>
      </w:r>
      <w:r>
        <w:rPr>
          <w:rFonts w:ascii="Arial" w:cs="Arial" w:eastAsia="Arial" w:hAnsi="Arial"/>
          <w:sz w:val="18"/>
          <w:szCs w:val="18"/>
          <w:color w:val="auto"/>
        </w:rPr>
        <w:t>"</w:t>
      </w:r>
    </w:p>
    <w:p>
      <w:pPr>
        <w:spacing w:after="0" w:line="13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Income tax expense was $11.2 million and $33.2 million for the three and nine months ended September 30, 2020, respectively, compared to $14.2 million and $32.1 million for the three and nine months ended September 30, 2019, respectively. Fluctuations in income tax expense for the three and nine months ended September 30, 2020, reflect fluctuations in pre-tax income during such periods. We are subject to a 21% statutory U.S. federal corporate income tax rate. Our effective tax rate on pre-tax income was 22.6% and 21.2% for the three and nine months ended September 30, 2020, respectively, compared to 22.2% and 20.9% for the three and nine months ended September 30, 2019, respectively. Our provision for income taxes for interim periods is established based on our estimated annual effective tax rate for a given year. Our effective tax rates for the three and nine months ended September 30, 2020 and 2019 reflect the discrete tax effects of the vesting of RSUs and exercise of options, and the change in fair value of our warrant liability in each period. See Item 1, "</w:t>
      </w:r>
      <w:r>
        <w:rPr>
          <w:rFonts w:ascii="Arial" w:cs="Arial" w:eastAsia="Arial" w:hAnsi="Arial"/>
          <w:sz w:val="16"/>
          <w:szCs w:val="16"/>
          <w:i w:val="1"/>
          <w:iCs w:val="1"/>
          <w:color w:val="auto"/>
        </w:rPr>
        <w:t>Financial Statements - Notes to Condensed Consolidated Financial Statements - Note 9, Income Taxes.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b w:val="1"/>
          <w:bCs w:val="1"/>
          <w:i w:val="1"/>
          <w:iCs w:val="1"/>
          <w:color w:val="auto"/>
        </w:rPr>
        <w:t>Net Income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income was $38.2 million and $123.3 million for the three and nine months ended September 30, 2020, respectively, compared to $49.8 million and $121.8 million for the three and nine months ended September 30, 2019, respectively. Adjusted net income was $40.4 million and $122.9 million for the three and nine months ended September 30, 2020, respectively, compared to $49.9 million and $129.8 million for the three and nine months ended September 30, 2019, respectively. Net income and adjusted net income for the three and nine months ended September 30, 2020, benefited from an increase in total revenues, but were also impacted by defaults caused by the COVID-19 pandemic, which drove an increase in insurance claims and claim expenses.</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Diluted EPS was $0.45 and $1.55 for the three and nine months ended September 30, 2020, respectively, compared to $0.69 and $1.75 for the three and nine months ended September 30, 2019, respectively. Adjusted diluted EPS was $0.47 and $1.60 for the three and nine months ended September 30, 2020, respectively, compared to $0.71 and $1.87 for the three and nine months ended September 30, 2019, respectively. Diluted and adjusted diluted EPS decreased primarily due to an increase in weighted average diluted shares outstanding in connection with the issuance of 15.9 million shares of common stock we completed in June 2020.</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non-GAAP financial measures adjusted income before tax, adjusted net income and adjusted diluted EPS are presented to enhance the comparability of financial results between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Non-GAAP Financial Measure Reconciliations</w:t>
            </w:r>
          </w:p>
        </w:tc>
        <w:tc>
          <w:tcPr>
            <w:tcW w:w="120" w:type="dxa"/>
            <w:vAlign w:val="bottom"/>
          </w:tcPr>
          <w:p>
            <w:pPr>
              <w:spacing w:after="0"/>
              <w:rPr>
                <w:sz w:val="18"/>
                <w:szCs w:val="18"/>
                <w:color w:val="auto"/>
              </w:rPr>
            </w:pPr>
          </w:p>
        </w:tc>
        <w:tc>
          <w:tcPr>
            <w:tcW w:w="304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September 30,</w:t>
            </w:r>
          </w:p>
        </w:tc>
        <w:tc>
          <w:tcPr>
            <w:tcW w:w="27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84"/>
        </w:trPr>
        <w:tc>
          <w:tcPr>
            <w:tcW w:w="536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r>
      <w:tr>
        <w:trPr>
          <w:trHeight w:val="211"/>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reported</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80" w:type="dxa"/>
            <w:vAlign w:val="bottom"/>
            <w:gridSpan w:val="7"/>
            <w:shd w:val="clear" w:color="auto" w:fill="CCEEFF"/>
          </w:tcPr>
          <w:p>
            <w:pPr>
              <w:ind w:left="280"/>
              <w:spacing w:after="0"/>
              <w:rPr>
                <w:sz w:val="20"/>
                <w:szCs w:val="20"/>
                <w:color w:val="auto"/>
              </w:rPr>
            </w:pPr>
            <w:r>
              <w:rPr>
                <w:rFonts w:ascii="Arial" w:cs="Arial" w:eastAsia="Arial" w:hAnsi="Arial"/>
                <w:sz w:val="14"/>
                <w:szCs w:val="14"/>
                <w:i w:val="1"/>
                <w:iCs w:val="1"/>
                <w:color w:val="auto"/>
              </w:rPr>
              <w:t>($ in thousands, except for per share data)</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49,357</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63,932</w:t>
            </w:r>
          </w:p>
        </w:tc>
        <w:tc>
          <w:tcPr>
            <w:tcW w:w="2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156,490</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153,864</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14,169</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33,192</w:t>
            </w:r>
          </w:p>
        </w:tc>
        <w:tc>
          <w:tcPr>
            <w:tcW w:w="3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32,102</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38,179</w:t>
            </w:r>
          </w:p>
        </w:tc>
        <w:tc>
          <w:tcPr>
            <w:tcW w:w="2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49,763</w:t>
            </w:r>
          </w:p>
        </w:tc>
        <w:tc>
          <w:tcPr>
            <w:tcW w:w="2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123,298</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121,762</w:t>
            </w:r>
          </w:p>
        </w:tc>
      </w:tr>
      <w:tr>
        <w:trPr>
          <w:trHeight w:val="270"/>
        </w:trPr>
        <w:tc>
          <w:tcPr>
            <w:tcW w:w="5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losses (gains)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Loss (gain) from change in fair value warrant liability</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6,025</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market transaction costs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3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Adjusted income before tax</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52,052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64,401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157,087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162,461</w:t>
            </w:r>
          </w:p>
        </w:tc>
      </w:tr>
      <w:tr>
        <w:trPr>
          <w:trHeight w:val="270"/>
        </w:trPr>
        <w:tc>
          <w:tcPr>
            <w:tcW w:w="5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on adjustments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40,400</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49,894</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122,870</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129,819</w:t>
            </w:r>
          </w:p>
        </w:tc>
      </w:tr>
      <w:tr>
        <w:trPr>
          <w:trHeight w:val="270"/>
        </w:trPr>
        <w:tc>
          <w:tcPr>
            <w:tcW w:w="5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85,599</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76,867</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69,520</w:t>
            </w:r>
          </w:p>
        </w:tc>
      </w:tr>
      <w:tr>
        <w:trPr>
          <w:trHeight w:val="234"/>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0.47</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0.71</w:t>
            </w:r>
          </w:p>
        </w:tc>
        <w:tc>
          <w:tcPr>
            <w:tcW w:w="28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and Reconciliation of Our Use of Non-GAAP Financial Measures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1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Adjusted income before tax </w:t>
      </w:r>
      <w:r>
        <w:rPr>
          <w:rFonts w:ascii="Arial" w:cs="Arial" w:eastAsia="Arial" w:hAnsi="Arial"/>
          <w:sz w:val="18"/>
          <w:szCs w:val="18"/>
          <w:color w:val="auto"/>
        </w:rPr>
        <w:t>is defined as GAAP income before tax, excluding the pre-tax effects of the gain or loss related to the change in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warrant liability, periodic costs incurred in connection with capital markets transactions, net realized gains or losses from our investment portfolio, and discrete, non-recurring and non-operating items in the periods in which such items are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0" w:name="page51"/>
    <w:bookmarkEnd w:id="50"/>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defined as GAAP net income, excluding the after-tax effects of the gain or loss related to the change in fair value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liability, periodic costs incurred in connection with capital markets transactions, net realized gains or losses from our investment portfolio, and discrete, non-recurring and non-operating items in the periods in which such items are incurred. Adjustments to components of pre-tax income are tax effected using the applicable federal statutory tax rate for the respective periods.</w:t>
      </w:r>
    </w:p>
    <w:p>
      <w:pPr>
        <w:spacing w:after="0" w:line="12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Adjusted diluted EPS </w:t>
      </w:r>
      <w:r>
        <w:rPr>
          <w:rFonts w:ascii="Arial" w:cs="Arial" w:eastAsia="Arial" w:hAnsi="Arial"/>
          <w:sz w:val="17"/>
          <w:szCs w:val="17"/>
          <w:color w:val="auto"/>
        </w:rPr>
        <w:t>is defined as adjusted net income divided by adjusted weighted average diluted shares outstanding. Adjusted weighted</w:t>
      </w:r>
      <w:r>
        <w:rPr>
          <w:rFonts w:ascii="Arial" w:cs="Arial" w:eastAsia="Arial" w:hAnsi="Arial"/>
          <w:sz w:val="17"/>
          <w:szCs w:val="17"/>
          <w:b w:val="1"/>
          <w:bCs w:val="1"/>
          <w:color w:val="auto"/>
        </w:rPr>
        <w:t xml:space="preserve"> </w:t>
      </w:r>
      <w:r>
        <w:rPr>
          <w:rFonts w:ascii="Arial" w:cs="Arial" w:eastAsia="Arial" w:hAnsi="Arial"/>
          <w:sz w:val="17"/>
          <w:szCs w:val="17"/>
          <w:color w:val="auto"/>
        </w:rPr>
        <w:t>average 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133" w:lineRule="exact"/>
        <w:rPr>
          <w:sz w:val="20"/>
          <w:szCs w:val="20"/>
          <w:color w:val="auto"/>
        </w:rPr>
      </w:pPr>
    </w:p>
    <w:p>
      <w:pPr>
        <w:jc w:val="both"/>
        <w:ind w:left="660" w:hanging="328"/>
        <w:spacing w:after="0" w:line="25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 Outstanding warrants at the end of each reporting period are revalued, and any change in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We believe trends in our operating performance can be more clearly identified by excluding fluctuations related to the change in fair value of our warrant liability.</w:t>
      </w:r>
    </w:p>
    <w:p>
      <w:pPr>
        <w:spacing w:after="0" w:line="13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Capital markets transaction costs</w:t>
      </w:r>
      <w:r>
        <w:rPr>
          <w:rFonts w:ascii="Arial" w:cs="Arial" w:eastAsia="Arial" w:hAnsi="Arial"/>
          <w:sz w:val="18"/>
          <w:szCs w:val="18"/>
          <w:color w:val="auto"/>
        </w:rPr>
        <w:t>. Capital markets transaction costs result from activities that are undertaken to improve our debt profile or</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our capital position through activities such as debt refinancing and capital markets reinsurance transactions that may vary in their size and timing due to factors such as market opportunities, tax and capital profile, and overall market cycles.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Net realized investment gains and losses</w:t>
      </w:r>
      <w:r>
        <w:rPr>
          <w:rFonts w:ascii="Arial" w:cs="Arial" w:eastAsia="Arial" w:hAnsi="Arial"/>
          <w:sz w:val="18"/>
          <w:szCs w:val="18"/>
          <w:color w:val="auto"/>
        </w:rPr>
        <w:t>. The recognition of the net realized investment gains or losses can vary significantly across periods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is highly discretionary and is influenced by factors such as market opportunities, tax and capital profile, and overall market cycles that do not reflect our current period operating results.</w:t>
      </w:r>
    </w:p>
    <w:p>
      <w:pPr>
        <w:spacing w:after="0" w:line="12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Infrequent or unusual non-operating items</w:t>
      </w:r>
      <w:r>
        <w:rPr>
          <w:rFonts w:ascii="Arial" w:cs="Arial" w:eastAsia="Arial" w:hAnsi="Arial"/>
          <w:sz w:val="18"/>
          <w:szCs w:val="18"/>
          <w:color w:val="auto"/>
        </w:rPr>
        <w:t>. Items that are the result of unforeseen or uncommon events, which occur separately from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and are not expected to recur in the future. Identification and exclusion of these items provides clarity about the impact special or rare occurrences may have on our current financial performance. Past adjustments under this category include the effects of the release of the valuation allowance recorded against our net federal and certain state net deferred tax assets in 2016 and the re-measurement of our net deferred tax assets in connection with tax reform in 2017. We believe such items are non-recurring in nature, are not part of our primary operating activities and do not reflect our current period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2"/>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4"/>
          </w:tcPr>
          <w:p>
            <w:pPr>
              <w:jc w:val="right"/>
              <w:ind w:right="1211"/>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 portfolio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1,689,815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1,140,940</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194,199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41,089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46,085</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Deferred policy acquisition costs,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63,194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59,972</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Software and equipment, net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26,096</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Prepaid reinsurance premiums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15,488</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Reinsurance recoverable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30,209</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1,364,818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vMerge w:val="continue"/>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392,987</w:t>
            </w:r>
          </w:p>
        </w:tc>
        <w:tc>
          <w:tcPr>
            <w:tcW w:w="12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145,764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136,642</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59,316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39,904</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Reinsurance funds withheld</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14,310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Deferred tax liability,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97,451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56,360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434,398</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1,307,556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930,420</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2,081,820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1,364,818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Reinsurance recoverable has been reclassified from "Other assets" in prior periods.</w:t>
      </w:r>
    </w:p>
    <w:p>
      <w:pPr>
        <w:spacing w:after="0" w:line="14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September 30, 2020, we had $1.9 billion in cash and investments, including $75.1 million held by NMIH. The increases in cash and investments from December 31, 2019 related to net proceeds of approximately $220 million raised from the issuance of common stock and approximately $245 million raised from the issuance of the Notes, both of which were completed in June 2020, as well as cash generated from operations.</w:t>
      </w:r>
    </w:p>
    <w:p>
      <w:pPr>
        <w:spacing w:after="0" w:line="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deferred policy acquisition costs were $63.2 million as of September 30, 2020, compared to $60.0 million as of December 31, 2019. The increase was primarily driven by growth in the number of policies written during the period and the deferral of certain costs associated with the origination of those policies, partially offset by the amortization of previously deferred acquisition costs.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Prepaid reinsurance premiums were $8.0 million as of September 30, 2020, compared to $15.5 million as of December 31, 2019. Prepaid reinsurance premiums, which represent the unearned premiums on single premium policies ceded under the 2016 QSR Transaction, decreased due to the continued amortization of previously ceded unearned premiums.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Reinsurance recoverable was $17.2 million as of September 30, 2020, compared to $4.9 million as of December 31, 2019. The increase in reinsurance recoverable was primarily driven by an increase in ceded losses recoverable associated with our QSR transactions due to an increase in defaults and related reserves for insurance claims and claims expense resulting from the COVID-19 pandemic.</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Unearned premiums decreased from $136.6 million as of December 31, 2019 to $116.0 million as of September 30, 2020, primarily due to the amortization of existing unearned premiums through earnings in accordance with the expiration of risk on related single premium policies and the cancellation of other single premium policies, partially offset by single premium policy originations during the nine months ended September 30, 2020.</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Debt was $393.0 million as of September 30, 2020, compared to $145.8 million as of December 31, 2019. Debt at December 31, 2019, represented the carrying value of the $150 million 2018 Term Loan, which was repaid in full during the second quarter of 2020. Debt at September 30, 2020, represented the carrying value of the recently issued the Notes completed in June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2" w:name="page53"/>
    <w:bookmarkEnd w:id="52"/>
    <w:p>
      <w:pPr>
        <w:jc w:val="both"/>
        <w:ind w:firstLine="648"/>
        <w:spacing w:after="0" w:line="259" w:lineRule="auto"/>
        <w:rPr>
          <w:sz w:val="20"/>
          <w:szCs w:val="20"/>
          <w:color w:val="auto"/>
        </w:rPr>
      </w:pPr>
      <w:r>
        <w:rPr>
          <w:rFonts w:ascii="Arial" w:cs="Arial" w:eastAsia="Arial" w:hAnsi="Arial"/>
          <w:sz w:val="18"/>
          <w:szCs w:val="18"/>
          <w:color w:val="auto"/>
        </w:rPr>
        <w:t>Accounts payable and accrued expenses increased from $39.9 million as of December 31, 2019 to $59.3 million as of September 30, 2020, primarily due to an increase in reinsurance premiums payable, accrued interest due and payable semi-annually on the Notes issued in June 2020, unsettled payments from the purchase of certain investment securities, and timing of other payments due, partially offset by the settlement of previously accrued compensation during the nine months ended September 30, 2020.</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Reserve for insurance claims and claim expenses increased from $23.8 million as of December 31, 2019 to $87.2 million as of September 30, 2020, primarily due to an increase in defaults, driven by new defaults on insured loans impacted by the COVID-19 outbreak, and an increase in the overall number of policies in our portfolio and aging of earlier book years. This was partially offset by the release of prior year reserves primarily tied to default cures. See "</w:t>
      </w:r>
      <w:r>
        <w:rPr>
          <w:rFonts w:ascii="Arial" w:cs="Arial" w:eastAsia="Arial" w:hAnsi="Arial"/>
          <w:sz w:val="18"/>
          <w:szCs w:val="18"/>
          <w:i w:val="1"/>
          <w:iCs w:val="1"/>
          <w:color w:val="auto"/>
        </w:rPr>
        <w:t>- Insurance Claims and Claim Expenses</w:t>
      </w:r>
      <w:r>
        <w:rPr>
          <w:rFonts w:ascii="Arial" w:cs="Arial" w:eastAsia="Arial" w:hAnsi="Arial"/>
          <w:sz w:val="18"/>
          <w:szCs w:val="18"/>
          <w:color w:val="auto"/>
        </w:rPr>
        <w:t>," above for further details.</w:t>
      </w:r>
    </w:p>
    <w:p>
      <w:pPr>
        <w:spacing w:after="0" w:line="133"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Reinsurance funds withheld was $10.4 million as of September 30, 2020, representing the net of our ceded reinsurance premiums written, less our profit and ceding commission receivables related to the 2016 QSR Transaction. The decrease in reinsurance funds withheld of $3.9 million from December 31, 2019, relates to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8"/>
          <w:szCs w:val="18"/>
          <w:i w:val="1"/>
          <w:iCs w:val="1"/>
          <w:color w:val="auto"/>
        </w:rPr>
        <w:t>Financial Statements - Notes to Condensed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 Note 5, Reinsurance</w:t>
      </w:r>
      <w:r>
        <w:rPr>
          <w:rFonts w:ascii="Arial" w:cs="Arial" w:eastAsia="Arial" w:hAnsi="Arial"/>
          <w:sz w:val="18"/>
          <w:szCs w:val="18"/>
          <w:color w:val="auto"/>
        </w:rPr>
        <w:t>."</w:t>
      </w:r>
    </w:p>
    <w:p>
      <w:pPr>
        <w:spacing w:after="0" w:line="13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Warrant liability decreased from $7.6 million at December 31, 2019 to $3.1 million at September 30, 2020, primarily due to a decrease in our stock price. For further information regarding the valuation of our warrant liability and its impact on our results of operations and financial position, see Item 1, "</w:t>
      </w:r>
      <w:r>
        <w:rPr>
          <w:rFonts w:ascii="Arial" w:cs="Arial" w:eastAsia="Arial" w:hAnsi="Arial"/>
          <w:sz w:val="17"/>
          <w:szCs w:val="17"/>
          <w:i w:val="1"/>
          <w:iCs w:val="1"/>
          <w:color w:val="auto"/>
        </w:rPr>
        <w:t>Financial Statements - Notes to Condensed Consolidated Financial Statements - Note 3, Fair Value of Financial Instruments.</w:t>
      </w:r>
      <w:r>
        <w:rPr>
          <w:rFonts w:ascii="Arial" w:cs="Arial" w:eastAsia="Arial" w:hAnsi="Arial"/>
          <w:sz w:val="17"/>
          <w:szCs w:val="17"/>
          <w:color w:val="auto"/>
        </w:rPr>
        <w:t>"</w:t>
      </w:r>
    </w:p>
    <w:p>
      <w:pPr>
        <w:spacing w:after="0" w:line="1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deferred tax liability increased from $56.4 million as of December 31, 2019 to $97.5 million as of September 30, 2020, primarily due an increase in the tax deduction claimed for our statutory contingency reserve. For further information regarding income taxes and their impact on our results of operations and financial position, see Item 1, "</w:t>
      </w:r>
      <w:r>
        <w:rPr>
          <w:rFonts w:ascii="Arial" w:cs="Arial" w:eastAsia="Arial" w:hAnsi="Arial"/>
          <w:sz w:val="16"/>
          <w:szCs w:val="16"/>
          <w:i w:val="1"/>
          <w:iCs w:val="1"/>
          <w:color w:val="auto"/>
        </w:rPr>
        <w:t>Financial Statements - Notes to Condensed Consolidated Financial Statements - Note 9, Income Taxes.</w:t>
      </w:r>
      <w:r>
        <w:rPr>
          <w:rFonts w:ascii="Arial" w:cs="Arial" w:eastAsia="Arial" w:hAnsi="Arial"/>
          <w:sz w:val="16"/>
          <w:szCs w:val="16"/>
          <w:color w:val="auto"/>
        </w:rPr>
        <w:t>"</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Consolidated cash flows</w:t>
            </w:r>
          </w:p>
        </w:tc>
        <w:tc>
          <w:tcPr>
            <w:tcW w:w="3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w w:val="98"/>
              </w:rPr>
              <w:t>For the nine months ended September 30,</w:t>
            </w:r>
          </w:p>
        </w:tc>
      </w:tr>
      <w:tr>
        <w:trPr>
          <w:trHeight w:val="186"/>
        </w:trPr>
        <w:tc>
          <w:tcPr>
            <w:tcW w:w="7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12"/>
        </w:trPr>
        <w:tc>
          <w:tcPr>
            <w:tcW w:w="754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tcPr>
          <w:p>
            <w:pPr>
              <w:spacing w:after="0"/>
              <w:rPr>
                <w:sz w:val="18"/>
                <w:szCs w:val="18"/>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8"/>
                <w:szCs w:val="18"/>
                <w:color w:val="auto"/>
              </w:rPr>
            </w:pPr>
          </w:p>
        </w:tc>
      </w:tr>
      <w:tr>
        <w:trPr>
          <w:trHeight w:val="230"/>
        </w:trPr>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618"/>
              <w:spacing w:after="0"/>
              <w:rPr>
                <w:sz w:val="20"/>
                <w:szCs w:val="20"/>
                <w:color w:val="auto"/>
              </w:rPr>
            </w:pPr>
            <w:r>
              <w:rPr>
                <w:rFonts w:ascii="Arial" w:cs="Arial" w:eastAsia="Arial" w:hAnsi="Arial"/>
                <w:sz w:val="18"/>
                <w:szCs w:val="18"/>
                <w:color w:val="auto"/>
                <w:w w:val="92"/>
              </w:rPr>
              <w:t>214,977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139,567</w:t>
            </w:r>
          </w:p>
        </w:tc>
      </w:tr>
      <w:tr>
        <w:trPr>
          <w:trHeight w:val="230"/>
        </w:trPr>
        <w:tc>
          <w:tcPr>
            <w:tcW w:w="7540" w:type="dxa"/>
            <w:vAlign w:val="bottom"/>
          </w:tcPr>
          <w:p>
            <w:pPr>
              <w:ind w:left="12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9"/>
                <w:szCs w:val="19"/>
                <w:color w:val="auto"/>
              </w:rPr>
            </w:pPr>
          </w:p>
        </w:tc>
        <w:tc>
          <w:tcPr>
            <w:tcW w:w="1420" w:type="dxa"/>
            <w:vAlign w:val="bottom"/>
          </w:tcPr>
          <w:p>
            <w:pPr>
              <w:jc w:val="center"/>
              <w:ind w:left="598"/>
              <w:spacing w:after="0"/>
              <w:rPr>
                <w:sz w:val="20"/>
                <w:szCs w:val="20"/>
                <w:color w:val="auto"/>
              </w:rPr>
            </w:pPr>
            <w:r>
              <w:rPr>
                <w:rFonts w:ascii="Arial" w:cs="Arial" w:eastAsia="Arial" w:hAnsi="Arial"/>
                <w:sz w:val="18"/>
                <w:szCs w:val="18"/>
                <w:color w:val="auto"/>
                <w:w w:val="90"/>
              </w:rPr>
              <w:t>(520,878)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(117,263)</w:t>
            </w:r>
          </w:p>
        </w:tc>
      </w:tr>
      <w:tr>
        <w:trPr>
          <w:trHeight w:val="230"/>
        </w:trPr>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638"/>
              <w:spacing w:after="0"/>
              <w:rPr>
                <w:sz w:val="20"/>
                <w:szCs w:val="20"/>
                <w:color w:val="auto"/>
              </w:rPr>
            </w:pPr>
            <w:r>
              <w:rPr>
                <w:rFonts w:ascii="Arial" w:cs="Arial" w:eastAsia="Arial" w:hAnsi="Arial"/>
                <w:sz w:val="18"/>
                <w:szCs w:val="18"/>
                <w:color w:val="auto"/>
                <w:w w:val="89"/>
              </w:rPr>
              <w:t>459,011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center"/>
              <w:ind w:left="638"/>
              <w:spacing w:after="0"/>
              <w:rPr>
                <w:sz w:val="20"/>
                <w:szCs w:val="20"/>
                <w:color w:val="auto"/>
              </w:rPr>
            </w:pPr>
            <w:r>
              <w:rPr>
                <w:rFonts w:ascii="Arial" w:cs="Arial" w:eastAsia="Arial" w:hAnsi="Arial"/>
                <w:sz w:val="18"/>
                <w:szCs w:val="18"/>
                <w:color w:val="auto"/>
                <w:w w:val="89"/>
              </w:rPr>
              <w:t>153,110</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20,595</w:t>
            </w: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operating activities was $215.0 million for the nine months ended September 30, 2020, compared to $139.6 million for the nine months ended September 30, 2019. The increase in cash generated from operating activities was primarily driven by growth in premiums written, partially offset by an increase in claims paid.</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investing activities for the periods presented was driven by the purchase of fixed and short-term maturities with cash provided by operating and, as available, financing activities, and the reinvestment of coupon payments, maturities and sale proceeds within our investment portfolio. Cash used in investing activities for the nine months ended September 30, 2020, reflects, in part, the investment of net cash proceeds from the common stock and Notes offerings we completed in June 2020.</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provided by financing activities was $459.0 million for the nine months ended September 30, 2020, compared to cash used in financing activities of $1.7 million for the nine months ended September 30, 2019. Cash provided by financing activities for the nine months ended September 30, 2020 reflects $219.7 million net cash proceeds raised in our 2020 common stock offering and $244.2 million net cash proceeds raised in our 2020 Notes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jc w:val="both"/>
        <w:ind w:firstLine="8"/>
        <w:spacing w:after="0" w:line="253"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of the interest related to the Notes and 2020 Revolving Credit Facility; (iv) tax payments to the Internal Revenue Service; (v) capital support for its subsidiaries; and (vi)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3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September 30, 2020, NMIH had $75.1 million of cash and investments. NMIH's principal source of net cash is investment income. NMIH also has access to $110 million of undrawn revolving credit capacity under the 2020 Revolving Credit Facility (See Item 1, "</w:t>
      </w:r>
      <w:r>
        <w:rPr>
          <w:rFonts w:ascii="Arial" w:cs="Arial" w:eastAsia="Arial" w:hAnsi="Arial"/>
          <w:sz w:val="16"/>
          <w:szCs w:val="16"/>
          <w:i w:val="1"/>
          <w:iCs w:val="1"/>
          <w:color w:val="auto"/>
        </w:rPr>
        <w:t>Financial Statements - Notes</w:t>
      </w:r>
      <w:r>
        <w:rPr>
          <w:rFonts w:ascii="Arial" w:cs="Arial" w:eastAsia="Arial" w:hAnsi="Arial"/>
          <w:sz w:val="16"/>
          <w:szCs w:val="16"/>
          <w:color w:val="auto"/>
        </w:rPr>
        <w:t xml:space="preserve"> </w:t>
      </w:r>
      <w:r>
        <w:rPr>
          <w:rFonts w:ascii="Arial" w:cs="Arial" w:eastAsia="Arial" w:hAnsi="Arial"/>
          <w:sz w:val="16"/>
          <w:szCs w:val="16"/>
          <w:i w:val="1"/>
          <w:iCs w:val="1"/>
          <w:color w:val="auto"/>
        </w:rPr>
        <w:t>to Condensed Consolidated Financial Statements - Note 12, Subsequent Event</w:t>
      </w:r>
      <w:r>
        <w:rPr>
          <w:rFonts w:ascii="Arial" w:cs="Arial" w:eastAsia="Arial" w:hAnsi="Arial"/>
          <w:sz w:val="16"/>
          <w:szCs w:val="16"/>
          <w:color w:val="auto"/>
        </w:rPr>
        <w:t>"). Our insurance operating subsidiaries also have the capacity, under</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law, to pay $16.1 million of aggregate ordinary dividends to NMIH during the 12-month period ending December 31, 2020.</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8, 2020, NMIH completed the sale of 15.9 million shares of common stock, including the exercise of a 15% overallotment option, and raised proceeds of $219.7 million, net of underwriting discounts, commissions and other direct offering expenses. In June 2020, NMIH also completed the sale of the Notes, raising net proceeds of $244.4 million after giving effect to offering expenses and the repayment of principal amount outstanding under our $150 million 2018 Term Loan. In June 2020, NMIH contributed $445.4 million of capital to NMIC following completion of the equity and Notes offerings.</w:t>
      </w:r>
    </w:p>
    <w:p>
      <w:pPr>
        <w:spacing w:after="0" w:line="13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$100 million of the 2020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8"/>
          <w:szCs w:val="18"/>
          <w:i w:val="1"/>
          <w:iCs w:val="1"/>
          <w:color w:val="auto"/>
        </w:rPr>
        <w:t>i.e.</w:t>
      </w:r>
      <w:r>
        <w:rPr>
          <w:rFonts w:ascii="Arial" w:cs="Arial" w:eastAsia="Arial" w:hAnsi="Arial"/>
          <w:sz w:val="18"/>
          <w:szCs w:val="18"/>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 Since inception, NMIC and Re One have not paid any dividends to NMIH. NMIC and Re One have the capacity to pay $16.1 million of aggregate ordinary dividends to NMIH during the 12-month period ending December 31, 2020.</w:t>
      </w:r>
    </w:p>
    <w:p>
      <w:pPr>
        <w:spacing w:after="0" w:line="1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under PMIERs, NMIC would be subject to additional restrictions on its ability to pay dividends to NMIH if it failed to meet the financial requirements prescribed by PMIERs.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that fail to meet the PMIERs financial requirements are not permitted to pay dividends without prior approval from the GSEs. Through March 31, 2021, even if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has an available assets surplus,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must obtain Fannie Mae's prior written approval before taking any of the following actions: a) pay dividends, make payments of principal or increase payments of interest beyond those commitments made prior to the guidance effective date associated with surplus notes issued by the approved insurer, make any other payments, unless related to expenses incurred in the normal course of business or to commitments made prior to the guidance effective date, or pledge or transfer asset(s) to any affiliate or investor, or b) enter into any new arrangements or alter any existing arrangements under tax sharing and intercompany expense-sharing agreements other than renewals and extensions of agreements in effect prior to the guidance effective date.</w:t>
      </w:r>
    </w:p>
    <w:p>
      <w:pPr>
        <w:spacing w:after="0" w:line="1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NMIC's capital needs depend on many factors including its ability to successfully write new business, establish premium rates at levels sufficient to cover claims and operating costs, access the reinsurance markets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minimum state capital requirements (respectively, as defined therein). NMIH may require liquidity to fund the capital needs of its insurance subsidiaries.</w:t>
      </w:r>
    </w:p>
    <w:p>
      <w:pPr>
        <w:spacing w:after="0" w:line="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Notes mature on June 19, 2025 and bear interest at a rate of 7.375%, payable semi-annually on June 1 and December 1. Our $100 million 2020 Revolving Credit Facility matures on February 22, 2023 and accrues interest at a variable rate equal to, at our discretion, (i) a base rate (as defined in the Credit Agreement, subject to a floor of 1.00% per annum) plus a margin of 0.375% to 1.875% per annum or (ii) the Eurodollar Rate (subject to a floor of 0.00% per annum) plus a margin of 1.375% to 2.875% per annum, in each case based on the applicable corporate credit rating at the time. Borrowings under the 2020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Credit Facility may be used for general corporate purposes, including to support the growth of our new business production and operations.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Under the 2020 Revolving Credit Facility, we are required to pay a quarterly commitment fee on the average daily undrawn amount of 0.175% to 0.525%, based on the applicable corporate credit rating at the time. As of September 30, 2020, the applicable commitment fee was 0.35%.</w:t>
      </w:r>
    </w:p>
    <w:p>
      <w:pPr>
        <w:spacing w:after="0" w:line="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certain covenants under the Notes and 2020 Revolving Credit Facility. Under the Notes (and as defined in the Indenture), we are subject to a maximum debt-to-total capitalization ratio of 35%. Under the 2020 Revolving Credit Facility (as defined in the Credit Agreement), we are subject to a maximum debt-to-total capitalization ratio of 35%, a minimum liquidity requirement, compliance with the PMIERs financial requirements (subject to any GSE-approved waivers), and minimum consolidated net worth and statutory capital requirements (respectively, as defined therein). We were in compliance with all covenants as of September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primary objectives of our investment activity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 portfolio is comprised entirely of fixed maturity instruments. As of September 30, 2020, the fair value of our investment portfolio was $1.7 billion and we held an additional $194.2 million of cash and equivalents. Pre-tax book yield on the investment portfolio for the nine months ended September 30, 2020 was 2.3%. The book yield is calculated as period-to-date net investment income divided by the average amortized cost of the investment portfolio. Yield on the investment portfolio is likely to change over time based on movements in interest rates, credit spreads, the duration or mix of our portfolio holdings and other factors.</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tables present a breakdown of our investment portfolio and cash and cash equivalents by investment type and credit rating: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Percentage of portfolio's fair value</w:t>
            </w:r>
          </w:p>
        </w:tc>
        <w:tc>
          <w:tcPr>
            <w:tcW w:w="1960" w:type="dxa"/>
            <w:vAlign w:val="bottom"/>
            <w:gridSpan w:val="2"/>
          </w:tcPr>
          <w:p>
            <w:pPr>
              <w:ind w:left="320"/>
              <w:spacing w:after="0"/>
              <w:rPr>
                <w:sz w:val="20"/>
                <w:szCs w:val="20"/>
                <w:color w:val="auto"/>
              </w:rPr>
            </w:pPr>
            <w:r>
              <w:rPr>
                <w:rFonts w:ascii="Arial" w:cs="Arial" w:eastAsia="Arial" w:hAnsi="Arial"/>
                <w:sz w:val="14"/>
                <w:szCs w:val="14"/>
                <w:b w:val="1"/>
                <w:bCs w:val="1"/>
                <w:color w:val="auto"/>
              </w:rPr>
              <w:t>September 30, 2020</w:t>
            </w:r>
          </w:p>
        </w:tc>
        <w:tc>
          <w:tcPr>
            <w:tcW w:w="184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short-term investments</w:t>
            </w: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8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18"/>
                <w:szCs w:val="18"/>
                <w:b w:val="1"/>
                <w:bCs w:val="1"/>
                <w:color w:val="auto"/>
                <w:vertAlign w:val="superscript"/>
              </w:rPr>
              <w:t>(1)</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6"/>
        </w:trPr>
        <w:tc>
          <w:tcPr>
            <w:tcW w:w="7440" w:type="dxa"/>
            <w:vAlign w:val="bottom"/>
            <w:vMerge w:val="continue"/>
          </w:tcPr>
          <w:p>
            <w:pPr>
              <w:spacing w:after="0"/>
              <w:rPr>
                <w:sz w:val="24"/>
                <w:szCs w:val="24"/>
                <w:color w:val="auto"/>
              </w:rPr>
            </w:pPr>
          </w:p>
        </w:tc>
        <w:tc>
          <w:tcPr>
            <w:tcW w:w="1960" w:type="dxa"/>
            <w:vAlign w:val="bottom"/>
            <w:gridSpan w:val="2"/>
          </w:tcPr>
          <w:p>
            <w:pPr>
              <w:ind w:left="320"/>
              <w:spacing w:after="0"/>
              <w:rPr>
                <w:sz w:val="20"/>
                <w:szCs w:val="20"/>
                <w:color w:val="auto"/>
              </w:rPr>
            </w:pPr>
            <w:r>
              <w:rPr>
                <w:rFonts w:ascii="Arial" w:cs="Arial" w:eastAsia="Arial" w:hAnsi="Arial"/>
                <w:sz w:val="14"/>
                <w:szCs w:val="14"/>
                <w:b w:val="1"/>
                <w:bCs w:val="1"/>
                <w:color w:val="auto"/>
              </w:rPr>
              <w:t>September 30, 2020</w:t>
            </w:r>
          </w:p>
        </w:tc>
        <w:tc>
          <w:tcPr>
            <w:tcW w:w="184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line="230" w:lineRule="exact"/>
              <w:rPr>
                <w:sz w:val="20"/>
                <w:szCs w:val="20"/>
                <w:color w:val="auto"/>
              </w:rPr>
            </w:pPr>
            <w:r>
              <w:rPr>
                <w:rFonts w:ascii="Arial" w:cs="Arial" w:eastAsia="Arial" w:hAnsi="Arial"/>
                <w:sz w:val="26"/>
                <w:szCs w:val="26"/>
                <w:color w:val="auto"/>
                <w:vertAlign w:val="subscript"/>
              </w:rPr>
              <w:t>AA</w:t>
            </w:r>
            <w:r>
              <w:rPr>
                <w:rFonts w:ascii="Arial" w:cs="Arial" w:eastAsia="Arial" w:hAnsi="Arial"/>
                <w:sz w:val="10"/>
                <w:szCs w:val="10"/>
                <w:color w:val="auto"/>
              </w:rPr>
              <w:t>(2)</w:t>
            </w: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840" w:type="dxa"/>
            <w:vAlign w:val="bottom"/>
          </w:tcPr>
          <w:p>
            <w:pPr>
              <w:jc w:val="right"/>
              <w:ind w:right="1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line="230" w:lineRule="exact"/>
              <w:rPr>
                <w:sz w:val="20"/>
                <w:szCs w:val="20"/>
                <w:color w:val="auto"/>
              </w:rPr>
            </w:pPr>
            <w:r>
              <w:rPr>
                <w:rFonts w:ascii="Arial" w:cs="Arial" w:eastAsia="Arial" w:hAnsi="Arial"/>
                <w:sz w:val="26"/>
                <w:szCs w:val="26"/>
                <w:color w:val="auto"/>
                <w:vertAlign w:val="subscript"/>
              </w:rPr>
              <w:t>A</w:t>
            </w:r>
            <w:r>
              <w:rPr>
                <w:rFonts w:ascii="Arial" w:cs="Arial" w:eastAsia="Arial" w:hAnsi="Arial"/>
                <w:sz w:val="10"/>
                <w:szCs w:val="10"/>
                <w:color w:val="auto"/>
              </w:rPr>
              <w:t>(2)</w:t>
            </w: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26"/>
                <w:szCs w:val="26"/>
                <w:color w:val="auto"/>
                <w:vertAlign w:val="subscript"/>
              </w:rPr>
              <w:t>BBB</w:t>
            </w:r>
            <w:r>
              <w:rPr>
                <w:rFonts w:ascii="Arial" w:cs="Arial" w:eastAsia="Arial" w:hAnsi="Arial"/>
                <w:sz w:val="10"/>
                <w:szCs w:val="10"/>
                <w:color w:val="auto"/>
              </w:rPr>
              <w:t>(2)</w:t>
            </w:r>
          </w:p>
        </w:tc>
        <w:tc>
          <w:tcPr>
            <w:tcW w:w="1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Excluding certain operating cash accounts.</w:t>
      </w:r>
    </w:p>
    <w:p>
      <w:pPr>
        <w:ind w:left="260" w:hanging="252"/>
        <w:spacing w:after="0" w:line="186" w:lineRule="auto"/>
        <w:tabs>
          <w:tab w:leader="none" w:pos="260"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Includes +/– ratings.</w:t>
      </w:r>
    </w:p>
    <w:p>
      <w:pPr>
        <w:spacing w:after="0" w:line="22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Investment Securities - Allowance for credit losses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September 30, 2020, we did not recognize an allowance for credit loss for any security in our investment portfolio and we did not record any provision for credit loss for investment securities during the three and nine months ended September 30, 2020. As of September 30, 2019, we held no OTTI securities. During the nine months ended September 30, 2019, we recognized a $0.4 million loss in earnings related to the planned sale of a security in a loss position that was disposed of in April 2019. We did not recognize any OTTI losses for the three months ended September 30,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7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had no material off-balance sheet arrangements as of September 30, 2020. In connection with the ILN Transactions, we have certain future contractual commitments to the Oaktown Re Vehicles (special purpose VIE that are not consolidated in our financial results). See Item 1,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 Notes to Condensed Consolidated Financial Statements - Note 1. Organization, Basis of Presentation and Summary of Accounting Principles.</w:t>
      </w:r>
      <w:r>
        <w:rPr>
          <w:rFonts w:ascii="Arial" w:cs="Arial" w:eastAsia="Arial" w:hAnsi="Arial"/>
          <w:sz w:val="16"/>
          <w:szCs w:val="16"/>
          <w:color w:val="auto"/>
        </w:rPr>
        <w:t>"</w:t>
      </w:r>
    </w:p>
    <w:p>
      <w:pPr>
        <w:spacing w:after="0" w:line="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Effective March 31, 2020, we entered into a seven-year IT services agreement with TCS under which we outsource certain IT support and expertise functions. See "- </w:t>
      </w:r>
      <w:r>
        <w:rPr>
          <w:rFonts w:ascii="Arial" w:cs="Arial" w:eastAsia="Arial" w:hAnsi="Arial"/>
          <w:sz w:val="18"/>
          <w:szCs w:val="18"/>
          <w:i w:val="1"/>
          <w:iCs w:val="1"/>
          <w:color w:val="auto"/>
        </w:rPr>
        <w:t>Information Technology</w:t>
      </w:r>
      <w:r>
        <w:rPr>
          <w:rFonts w:ascii="Arial" w:cs="Arial" w:eastAsia="Arial" w:hAnsi="Arial"/>
          <w:sz w:val="18"/>
          <w:szCs w:val="18"/>
          <w:color w:val="auto"/>
        </w:rPr>
        <w:t>" above for more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2019 10-K.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980" w:hanging="324"/>
        <w:spacing w:after="0" w:line="255"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13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may have unforeseen impacts on the value of certain assets.</w:t>
      </w:r>
    </w:p>
    <w:p>
      <w:pPr>
        <w:spacing w:after="0" w:line="116" w:lineRule="exact"/>
        <w:rPr>
          <w:rFonts w:ascii="Arial" w:cs="Arial" w:eastAsia="Arial" w:hAnsi="Arial"/>
          <w:sz w:val="18"/>
          <w:szCs w:val="18"/>
          <w:i w:val="1"/>
          <w:iCs w:val="1"/>
          <w:color w:val="auto"/>
        </w:rPr>
      </w:pPr>
    </w:p>
    <w:p>
      <w:pPr>
        <w:ind w:left="980" w:hanging="324"/>
        <w:spacing w:after="0" w:line="342"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Market volatility/changes in the real or perceived credit quality of investments</w:t>
      </w:r>
      <w:r>
        <w:rPr>
          <w:rFonts w:ascii="Arial" w:cs="Arial" w:eastAsia="Arial" w:hAnsi="Arial"/>
          <w:sz w:val="16"/>
          <w:szCs w:val="16"/>
          <w:color w:val="auto"/>
        </w:rPr>
        <w:t>. 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 party (</w:t>
      </w:r>
      <w:r>
        <w:rPr>
          <w:rFonts w:ascii="Arial" w:cs="Arial" w:eastAsia="Arial" w:hAnsi="Arial"/>
          <w:sz w:val="16"/>
          <w:szCs w:val="16"/>
          <w:i w:val="1"/>
          <w:iCs w:val="1"/>
          <w:color w:val="auto"/>
        </w:rPr>
        <w:t>e.g.</w:t>
      </w:r>
      <w:r>
        <w:rPr>
          <w:rFonts w:ascii="Arial" w:cs="Arial" w:eastAsia="Arial" w:hAnsi="Arial"/>
          <w:sz w:val="16"/>
          <w:szCs w:val="16"/>
          <w:color w:val="auto"/>
        </w:rPr>
        <w:t>, rating agency) assessments, will reduce the value and potentially the liquidity of investments.</w:t>
      </w:r>
    </w:p>
    <w:p>
      <w:pPr>
        <w:spacing w:after="0" w:line="69" w:lineRule="exact"/>
        <w:rPr>
          <w:rFonts w:ascii="Arial" w:cs="Arial" w:eastAsia="Arial" w:hAnsi="Arial"/>
          <w:sz w:val="16"/>
          <w:szCs w:val="16"/>
          <w:color w:val="auto"/>
        </w:rPr>
      </w:pPr>
    </w:p>
    <w:p>
      <w:pPr>
        <w:ind w:left="980" w:hanging="324"/>
        <w:spacing w:after="0" w:line="342"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Concentration Risk</w:t>
      </w:r>
      <w:r>
        <w:rPr>
          <w:rFonts w:ascii="Arial" w:cs="Arial" w:eastAsia="Arial" w:hAnsi="Arial"/>
          <w:sz w:val="16"/>
          <w:szCs w:val="16"/>
          <w:color w:val="auto"/>
        </w:rPr>
        <w:t>. If the investment portfolio is highly concentrated in one asset, or in multiple assets whose values are highly correlated,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of the total portfolio may be greatly affected by the change in value of just one asset or a group of highly correlated assets.</w:t>
      </w:r>
    </w:p>
    <w:p>
      <w:pPr>
        <w:spacing w:after="0" w:line="69"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September 30, 2020 and December 31, 2019 was $1.7 billion and $1.1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2020, the duration of our fixed income portfolio, including cash and cash equivalents, was 4.53 years, which means that an instantaneous parallel shift (movement up or down) in the yield curve of 100 basis points would result in a change of 4.53% in fair value of our fixed income portfolio. Excluding cash, our fixed income portfolio duration was 4.87 years, which means that an instantaneous parallel shift (movement up or down) in the yield curve of 100 basis points would result in a change of 4.87% in fair value of our fixed income portfolio.</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subject to market risk related to the Notes and the ILN Transactions. As discussed in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4, Debt</w:t>
      </w:r>
      <w:r>
        <w:rPr>
          <w:rFonts w:ascii="Arial" w:cs="Arial" w:eastAsia="Arial" w:hAnsi="Arial"/>
          <w:sz w:val="18"/>
          <w:szCs w:val="18"/>
          <w:color w:val="auto"/>
        </w:rPr>
        <w:t>" the Notes bear interest at a variable rate and, as a result, increases in market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would generally result in increased interest expense on our outstanding principal.</w:t>
      </w:r>
    </w:p>
    <w:p>
      <w:pPr>
        <w:spacing w:after="0" w:line="13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risk premium amounts under the ILN Transactions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September 30, 2020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September 30, 2020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2019 10-K. As of the date of this report, other than as included below, we are not aware of any material changes in our risk factors from the risk factors disclosed in our 2019 10-K. You should carefully consider the risks and uncertainties described herein and in our 2019 10-K, which have the potential to affect our business, financial condition, results of operations, cash flows or prospects in a material and adverse manner. The risks described herein and in our 2019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outbreak could materially adversely affect our business, results of operations and financial condition.</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continue to closely monitor developments related to the COVID-19 pandemic to assess its impact on our business. As a result of the COVID-19 pandemic, the U.S. federal government and certain U.S. states have adopted numerous measures to contain the virus, such as travel bans and restrictions, quarantines, shelter-in-place orders, social-distancing measures and business shut-downs. The COVID-19 pandemic and related containment measures have had, and are expected to continue to have, a substantial negative impact on nearly every sector of the U.S. economy and on the financial, capital and credit markets.</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the outbreak of the COVID-19 pandemic, there have been a number of governmental and GSE efforts to implement programs designed to assist individuals and businesses impacted by the virus. On March 27, 2020, the U.S. Congress enacted the CARES Act. The CARES Act provides financial assistance for businesses and individuals and targeted regulatory relief for financial institutions. Among many other things, the CARES Act suspended foreclosures and evictions for at least 60 days from March 18, 2020, on mortgages purchased or securitized by the GSEs, which moratorium has been extended by the GSEs through at least December 31, 2020 and may be further extended. In addition, the CARES Act enacts into law a requirement to provide payment forbearance on mortgages to borrowers experiencing hardship during the COVID-19 emergency. Forbearance under the CARES Act allows for a mortgage payment to be suspended for up to 360 days due to hardship caused by COVID-19. The CARES Act also provides for enhanced unemployment benefits, direct aid to individuals in the form of refundable tax credit rebates and increased flexibility under retirement plans, among other things.</w:t>
      </w:r>
    </w:p>
    <w:p>
      <w:pPr>
        <w:spacing w:after="0" w:line="14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GSEs, the primary purchasers of mortgages we insure, have also adopted certain measures to assist borrowers impacted by COVID-19. Consistent with the CARES Act, the GSEs will provide a forbearance plan to any borrower who requests a forbearance with an attestation of the financial hardship, directly or indirectly caused by the COVID-19 emergency; and no additional documentation other than the borrower's attestation to a financial hardship caused by the COVID-19 emergency is required. Borrowers that avail themselves of forbearance relief will not incur interest or late fees on deferred amounts. In addition, the GSEs have announced that, at the end of a forbearance plan, the affected borrower will not be required to pay back their</w:t>
      </w:r>
    </w:p>
    <w:p>
      <w:pPr>
        <w:sectPr>
          <w:pgSz w:w="11900" w:h="16838" w:orient="portrait"/>
          <w:cols w:equalWidth="0" w:num="1">
            <w:col w:w="11240"/>
          </w:cols>
          <w:pgMar w:left="320" w:top="11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59" w:name="page60"/>
    <w:bookmarkEnd w:id="59"/>
    <w:p>
      <w:pPr>
        <w:spacing w:after="0" w:line="277" w:lineRule="auto"/>
        <w:rPr>
          <w:sz w:val="20"/>
          <w:szCs w:val="20"/>
          <w:color w:val="auto"/>
        </w:rPr>
      </w:pPr>
      <w:r>
        <w:rPr>
          <w:rFonts w:ascii="Arial" w:cs="Arial" w:eastAsia="Arial" w:hAnsi="Arial"/>
          <w:sz w:val="18"/>
          <w:szCs w:val="18"/>
          <w:color w:val="auto"/>
        </w:rPr>
        <w:t>reduced or suspended mortgage payments in one lump sum, but may be eligible for a number of different options offered by their mortgage servicer depending on their financial situation, including:</w:t>
      </w:r>
    </w:p>
    <w:p>
      <w:pPr>
        <w:spacing w:after="0" w:line="116" w:lineRule="exact"/>
        <w:rPr>
          <w:sz w:val="20"/>
          <w:szCs w:val="20"/>
          <w:color w:val="auto"/>
        </w:rPr>
      </w:pPr>
    </w:p>
    <w:p>
      <w:pPr>
        <w:ind w:left="980" w:hanging="324"/>
        <w:spacing w:after="0" w:line="308" w:lineRule="auto"/>
        <w:tabs>
          <w:tab w:leader="none" w:pos="9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the borrower is unable to repay their deferred payments all at once and can afford to pay a higher monthly mortgage payment for a period of time, the borrower may be eligible for a repayment plan that allows them to repay past due amounts over a period of time;</w:t>
      </w:r>
    </w:p>
    <w:p>
      <w:pPr>
        <w:spacing w:after="0" w:line="38" w:lineRule="exact"/>
        <w:rPr>
          <w:rFonts w:ascii="Arial" w:cs="Arial" w:eastAsia="Arial" w:hAnsi="Arial"/>
          <w:sz w:val="17"/>
          <w:szCs w:val="17"/>
          <w:color w:val="auto"/>
        </w:rPr>
      </w:pPr>
    </w:p>
    <w:p>
      <w:pPr>
        <w:ind w:left="980" w:hanging="324"/>
        <w:spacing w:after="0" w:line="308" w:lineRule="auto"/>
        <w:tabs>
          <w:tab w:leader="none" w:pos="9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the borrower can afford to resume their monthly mortgage payment, they may be eligible for a payment deferral in which missed mortgage payments are due at the sale or refinancing of the home or are moved to the end of the maturity of the loan; and</w:t>
      </w:r>
    </w:p>
    <w:p>
      <w:pPr>
        <w:spacing w:after="0" w:line="38" w:lineRule="exact"/>
        <w:rPr>
          <w:rFonts w:ascii="Arial" w:cs="Arial" w:eastAsia="Arial" w:hAnsi="Arial"/>
          <w:sz w:val="17"/>
          <w:szCs w:val="17"/>
          <w:color w:val="auto"/>
        </w:rPr>
      </w:pPr>
    </w:p>
    <w:p>
      <w:pPr>
        <w:jc w:val="both"/>
        <w:ind w:left="980" w:hanging="324"/>
        <w:spacing w:after="0" w:line="263"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borrower has a sustained reduction in income and is unable to afford their regular monthly mortgage payment, they may be eligible for a loan modification that changes the terms of the mortgage loan to enable an affordable payment, including through a change to the maturity and amortization schedule of the mortgage loan.</w:t>
      </w:r>
    </w:p>
    <w:p>
      <w:pPr>
        <w:spacing w:after="0" w:line="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Due to the evolving and highly uncertain nature of this crisis, it is too soon to fully assess or predict the ultimate impact COVID-19 will have on the markets in which we operate and on our business, but we believe it will be material and could adversely affect our business, operations and financial condition. We are currently unable to estimate precisely the magnitude of the impact that the pandemic will ultimately have on our business, operations and financial condition. We believe there are or will be a range of adverse effects on our markets, customers and new business, revenues, loss development and related impacts to our capital needs, employee health and productivity, investment portfolio performance, and ability to access capital and reinsurance markets in the future if we need to. In turn, these impacts may cause changes, which also cannot be precisely determined at this time, to our estimates of future earnings and other guidance we have provided to the markets. In particular, we believe we will experience the following impacts, among others:</w:t>
      </w:r>
    </w:p>
    <w:p>
      <w:pPr>
        <w:spacing w:after="0" w:line="112" w:lineRule="exact"/>
        <w:rPr>
          <w:sz w:val="20"/>
          <w:szCs w:val="20"/>
          <w:color w:val="auto"/>
        </w:rPr>
      </w:pPr>
    </w:p>
    <w:p>
      <w:pPr>
        <w:jc w:val="both"/>
        <w:ind w:left="980" w:hanging="324"/>
        <w:spacing w:after="0" w:line="255"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Containment measures implemented to mitigate the negative effects of the pandemic could adversely impact our ability to continue to conduct our business. Although we have been able to continue operations under our business continuity program, the spread of COVID-19 could negatively impact a significant number of our employees and the availability of key personnel necessary to conduct our business activities. Such a spread or outbreak could also negatively impact the business and operations of our customers and critical third-party service providers. Further, extreme market volatility may leave us unable to react to market events in a manner consistent with our historical practices in dealing with more orderly markets.</w:t>
      </w:r>
    </w:p>
    <w:p>
      <w:pPr>
        <w:spacing w:after="0" w:line="84"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COVID-19 pandemic and related containment measures could also affect the number of new mortgages available for us to insure. Our NIW volume and future revenues are significantly dependent on the volume of high-LTV loan originations. If there is a significant decline in our NIW, our future revenue could be negatively impacted.</w:t>
      </w:r>
    </w:p>
    <w:p>
      <w:pPr>
        <w:spacing w:after="0" w:line="75" w:lineRule="exact"/>
        <w:rPr>
          <w:rFonts w:ascii="Arial" w:cs="Arial" w:eastAsia="Arial" w:hAnsi="Arial"/>
          <w:sz w:val="18"/>
          <w:szCs w:val="18"/>
          <w:color w:val="auto"/>
        </w:rPr>
      </w:pPr>
    </w:p>
    <w:p>
      <w:pPr>
        <w:jc w:val="both"/>
        <w:ind w:left="980" w:hanging="324"/>
        <w:spacing w:after="0" w:line="289" w:lineRule="auto"/>
        <w:tabs>
          <w:tab w:leader="none" w:pos="9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Mortgage delinquencies are typically affected by a variety of factors, including illness, death, unemployment and other life events, among others, many of which are likely exacerbated by the COVID-19 pandemic. While there are efforts underway to combat the spread and severity of COVID-19 and the related economic impacts, these measures may be ineffective in mitigating the spike in defaults we have received as a direct result of the COVID-19 pandemic. It is unclear how many borrowers will obtain forbearance plans, the length of assistance borrowers will require, and whether borrowers will be able to resume their mortgage payments thereafter. Increases in unemployment as well as borrowers entering into forbearance plans could result in further increases in the defaults we receive in the near term. In addition, as a result of COVID-19-related relief programs, the defaults related to the pandemic, if not cured, could remain in our default inventory for a protracted period of time, potentially resulting in higher levels of claim severity for those loans that ultimately result in claims. There may be additional, extended or extensive forbearance programs or other changes in regulations or laws which may adversely impact us.</w:t>
      </w:r>
    </w:p>
    <w:p>
      <w:pPr>
        <w:spacing w:after="0" w:line="58" w:lineRule="exact"/>
        <w:rPr>
          <w:rFonts w:ascii="Arial" w:cs="Arial" w:eastAsia="Arial" w:hAnsi="Arial"/>
          <w:sz w:val="16"/>
          <w:szCs w:val="16"/>
          <w:color w:val="auto"/>
        </w:rPr>
      </w:pPr>
    </w:p>
    <w:p>
      <w:pPr>
        <w:jc w:val="both"/>
        <w:ind w:left="980" w:hanging="324"/>
        <w:spacing w:after="0" w:line="288" w:lineRule="auto"/>
        <w:tabs>
          <w:tab w:leader="none" w:pos="9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include a loan in our default population and establish loss reserves on such loan when we have received notice from the servicer that as of a particular payment date, the borrower has missed the preceding two or more consecutive monthly payments. In addition, PMIERs generally requires us to treat such loans as non-performing, which then increases the capital we are required to hold against such loans. Under PMIERs, non-performing loans that have missed two or more payments are generally assessed a significantly higher capital charge than performing loans. The GSEs issued PMIERs guidance in June 2020 (subsequently amended and restated in September 2020) on the risk-based treatment of loans affected by the COVID-19 crisis (COVID Guidance). The GSEs clarified that for each non-performing loan that: i) has an initial missed payment (as defined in the COVID Guidance) occurring on or after March 1, 2020 and prior to January 1, 2021 (COVID-19 Crisis Period); or ii) is subject to a forbearance plan granted in response to a financial hardship related to COVID-19 (which shall be assumed to be the case for any loan that has an initial missed payment (as defined in the COVID Guidance) occurring during the COVID-19 Crisis Period and is subject to a forbearance plan), the PMIERs charge on such non-performing loans is adjusted by a 30%</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0" w:name="page61"/>
    <w:bookmarkEnd w:id="60"/>
    <w:p>
      <w:pPr>
        <w:jc w:val="both"/>
        <w:ind w:left="980"/>
        <w:spacing w:after="0" w:line="293" w:lineRule="auto"/>
        <w:rPr>
          <w:sz w:val="20"/>
          <w:szCs w:val="20"/>
          <w:color w:val="auto"/>
        </w:rPr>
      </w:pPr>
      <w:r>
        <w:rPr>
          <w:rFonts w:ascii="Arial" w:cs="Arial" w:eastAsia="Arial" w:hAnsi="Arial"/>
          <w:sz w:val="16"/>
          <w:szCs w:val="16"/>
          <w:color w:val="auto"/>
        </w:rPr>
        <w:t>multiplier (inversely, a 70% haircut). As such, the PMIERs risk-based required asset charge for all newly delinquent loans nationwide (including those that go delinquent under a forbearance program) are reduced by 70%. Under the COVID Guidance, non-performing loans that are subject to a forbearance program granted in response to a financial hardship related to COVID-19 will benefit from the risk-based required asset haircut for the duration of the forbearance period and subsequent repayment plan or trial modification period. As a result of costs incurred in connection with rising defaults associated with the COVID-19 crisis, the impact to our capital needs and incurred losses could be material and adversely impact our NIW opportunity and our business, results of operations and financial condition.</w:t>
      </w:r>
    </w:p>
    <w:p>
      <w:pPr>
        <w:spacing w:after="0" w:line="56" w:lineRule="exact"/>
        <w:rPr>
          <w:sz w:val="20"/>
          <w:szCs w:val="20"/>
          <w:color w:val="auto"/>
        </w:rPr>
      </w:pPr>
    </w:p>
    <w:p>
      <w:pPr>
        <w:jc w:val="both"/>
        <w:ind w:left="980" w:hanging="324"/>
        <w:spacing w:after="0" w:line="275" w:lineRule="auto"/>
        <w:tabs>
          <w:tab w:leader="none" w:pos="975"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Whether delinquencies ultimately result in claims will depend on a variety of factors, including the length of the crisis and ultimate success of forbearance, government stimulus and other initiatives established to assist homeowners with curing their delinquencies. Due to the inherent uncertainty and significant judgment involved in our assumptions when we establish loss estimates for loans in default, they may turn out to be materially inaccurate and we can provide no assurance that actual claims paid by us, if any, with respect to defaults arising from the pandemic will not be substantially more than the reserves we establish for such defaults.</w:t>
      </w:r>
    </w:p>
    <w:p>
      <w:pPr>
        <w:spacing w:after="0" w:line="68" w:lineRule="exact"/>
        <w:rPr>
          <w:rFonts w:ascii="Arial" w:cs="Arial" w:eastAsia="Arial" w:hAnsi="Arial"/>
          <w:sz w:val="17"/>
          <w:szCs w:val="17"/>
          <w:color w:val="auto"/>
        </w:rPr>
      </w:pPr>
    </w:p>
    <w:p>
      <w:pPr>
        <w:jc w:val="both"/>
        <w:ind w:left="980" w:hanging="324"/>
        <w:spacing w:after="0" w:line="290"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master policies require insureds to file a claim no later than 60-days after completion of a foreclosure, and in connection with the claim, the insured is generally entitled to include in the claim amount (i) interest (capped at three years) and (ii) certain advances, each as incurred through the date the claim is filed. Under our master policies, a national foreclosure moratorium of the type currently required will not limit the amount of accrued interest (subject to the three-year limit) or advances that may be included in the claim amount. If the duration of the current foreclosure moratorium mandated by the GSEs is continued beyond December 31, 2020 for an extended period of time, loans in our default inventory, including those with defaults unrelated to the COVID-19 crisis that had not yet gone through foreclosure, may remain in a pre-foreclosure default status for a prolonged period of time, which would delay our receipt of certain claims for loans that do not cure and could increase the severity of claims we may ultimately be required to pay after the moratorium is lifted.</w:t>
      </w:r>
    </w:p>
    <w:p>
      <w:pPr>
        <w:spacing w:after="0" w:line="57" w:lineRule="exact"/>
        <w:rPr>
          <w:rFonts w:ascii="Arial" w:cs="Arial" w:eastAsia="Arial" w:hAnsi="Arial"/>
          <w:sz w:val="16"/>
          <w:szCs w:val="16"/>
          <w:color w:val="auto"/>
        </w:rPr>
      </w:pPr>
    </w:p>
    <w:p>
      <w:pPr>
        <w:jc w:val="both"/>
        <w:ind w:left="980" w:hanging="324"/>
        <w:spacing w:after="0" w:line="259"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Home values could materially decline as a result of a persistent economic downturn arising from the COVID-19 pandemic. Depreciation in the values of properties underpinning our insured loans may increase the likelihood of default and negatively impact borrowers' abilities to sell their properties for amounts sufficient to cover their unpaid principal. In turn, the frequency or severity of losses we may incur would be negatively impacted.</w:t>
      </w:r>
    </w:p>
    <w:p>
      <w:pPr>
        <w:spacing w:after="0" w:line="78" w:lineRule="exact"/>
        <w:rPr>
          <w:rFonts w:ascii="Arial" w:cs="Arial" w:eastAsia="Arial" w:hAnsi="Arial"/>
          <w:sz w:val="18"/>
          <w:szCs w:val="18"/>
          <w:color w:val="auto"/>
        </w:rPr>
      </w:pPr>
    </w:p>
    <w:p>
      <w:pPr>
        <w:jc w:val="both"/>
        <w:ind w:left="980" w:hanging="324"/>
        <w:spacing w:after="0" w:line="271" w:lineRule="auto"/>
        <w:tabs>
          <w:tab w:leader="none" w:pos="975"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Servicers of our insured loans could experience liquidity impacts, which may affect their willingness and/or ability to continue to pay premiums to us. Although our master policies do not require payment of premiums after a loan has gone into default, most servicers continue to remit premiums to us to avoid a lapse in coverage if the borrower cures the default; however, in the current environment, it remains uncertain whether servicers will continue to do so. As set forth in the COVID Guidance, during the COVID-19 Crisis Period, if one or more servicers are unable to continue to remit premiums on loans in default, we, and other GSE-approved mortgage insurers, have agreed to notify the relevant GSE and give such GSE the opportunity to pay the premium to keep the coverage in force. Notwithstanding our agreement with the GSEs, if there are wide-spread servicer liquidity issues and the GSEs choose not to remit premiums, we could experience adverse impacts to our liquidity, which could be material.</w:t>
      </w:r>
    </w:p>
    <w:p>
      <w:pPr>
        <w:spacing w:after="0" w:line="70"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investment portfolio (and, specifically, the valuations of investment assets we hold) has been, and may continue to be, adversely affected as a result of market deterioration caused by the COVID-19 pandemic and uncertainty regarding its outcome.</w:t>
      </w:r>
    </w:p>
    <w:p>
      <w:pPr>
        <w:spacing w:after="0" w:line="62" w:lineRule="exact"/>
        <w:rPr>
          <w:rFonts w:ascii="Arial" w:cs="Arial" w:eastAsia="Arial" w:hAnsi="Arial"/>
          <w:sz w:val="18"/>
          <w:szCs w:val="18"/>
          <w:color w:val="auto"/>
        </w:rPr>
      </w:pPr>
    </w:p>
    <w:p>
      <w:pPr>
        <w:jc w:val="both"/>
        <w:ind w:left="980" w:hanging="324"/>
        <w:spacing w:after="0" w:line="272" w:lineRule="auto"/>
        <w:tabs>
          <w:tab w:leader="none" w:pos="97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COVID-19 pandemic initially caused significant volatility and disruption to the financial, capital and reinsurance markets and such volatility may continue, making access to such markets difficult. To the extent that our current sources of income and capitalization are insufficient to meet GSE and state capital requirements (respectively, as defined therein) or to fund our future operations, we would need to raise additional funds through future financing activities, including through the issuance of additional debt, equity, or a combination of both, reduce our RIF, including through additional reinsurance, or curtail our growth and reduce our expenses. We can give no assurance that any such efforts to raise capital, obtain additional reinsurance or otherwise reduce our RIF would be successful. If we cannot obtain adequate capital, our business, results of operations and financial condition could be adversely affected.</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reasons described above, it is uncertain at this time what impact the COVID-19 crisis will ultimately have on our revenues, losses, expenses, required assets under PMIERs, statutory and GAAP capital, and liquidity, and that impact may be material and adverse over time. The ultimate significance of COVID-19 on our business will depend on, among other things: the extent and duration of, and severity of illness caused by, the pandemic; the effects on the economy and the time it takes to stabilize; the extent and duration of current and future containment measures implemented by governmental authorities;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1" w:name="page62"/>
    <w:bookmarkEnd w:id="61"/>
    <w:p>
      <w:pPr>
        <w:jc w:val="both"/>
        <w:spacing w:after="0" w:line="311" w:lineRule="auto"/>
        <w:rPr>
          <w:sz w:val="20"/>
          <w:szCs w:val="20"/>
          <w:color w:val="auto"/>
        </w:rPr>
      </w:pPr>
      <w:r>
        <w:rPr>
          <w:rFonts w:ascii="Arial" w:cs="Arial" w:eastAsia="Arial" w:hAnsi="Arial"/>
          <w:sz w:val="16"/>
          <w:szCs w:val="16"/>
          <w:color w:val="auto"/>
        </w:rPr>
        <w:t>and future governmental assistance programs; and the long-term impact on the mortgage origination and mortgage insurance markets. While at this time we cannot estimate the short or long-term impacts of COVID-19 on our business, the above and other factors, including those set forth under the heading "Risk Factors" contained in our 2019 10-K could have a material adverse effect on our business, liquidity, results of operations and financial condition.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October 30, 2020, we entered into a Joinder Agreement, among NMIH, NMIS, JPMorgan Chase Bank, N.A., as administrative Agent and Citibank, N.A., as a lender, (the "Joinder") to the Company's existing Credit Agreement, increasing the aggregate principal amount of commitments under the 2020 Revolving Credit Facility from $100 million to $110 million. All other terms remained unchanged. As of the date hereof, no amounts are outstanding under the 2020 Revolving Credit Facility. The foregoing summary of the Joinder does not purport to be complete and is subject to, and qualified in its entirety by, the full text of the Joinder, which is attached hereto as Exhibit 10.20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80" w:type="dxa"/>
            <w:vAlign w:val="bottom"/>
          </w:tcPr>
          <w:p>
            <w:pPr>
              <w:jc w:val="center"/>
              <w:ind w:right="2090"/>
              <w:spacing w:after="0"/>
              <w:rPr>
                <w:sz w:val="20"/>
                <w:szCs w:val="20"/>
                <w:color w:val="auto"/>
              </w:rPr>
            </w:pPr>
            <w:r>
              <w:rPr>
                <w:rFonts w:ascii="Arial" w:cs="Arial" w:eastAsia="Arial" w:hAnsi="Arial"/>
                <w:sz w:val="18"/>
                <w:szCs w:val="18"/>
                <w:b w:val="1"/>
                <w:bCs w:val="1"/>
                <w:color w:val="auto"/>
                <w:w w:val="96"/>
              </w:rPr>
              <w:t>Exhibit</w:t>
            </w:r>
          </w:p>
        </w:tc>
        <w:tc>
          <w:tcPr>
            <w:tcW w:w="3140" w:type="dxa"/>
            <w:vAlign w:val="bottom"/>
            <w:vMerge w:val="restart"/>
          </w:tcPr>
          <w:p>
            <w:pPr>
              <w:ind w:left="2260"/>
              <w:spacing w:after="0"/>
              <w:rPr>
                <w:sz w:val="20"/>
                <w:szCs w:val="20"/>
                <w:color w:val="auto"/>
              </w:rPr>
            </w:pPr>
            <w:r>
              <w:rPr>
                <w:rFonts w:ascii="Arial" w:cs="Arial" w:eastAsia="Arial" w:hAnsi="Arial"/>
                <w:sz w:val="18"/>
                <w:szCs w:val="18"/>
                <w:b w:val="1"/>
                <w:bCs w:val="1"/>
                <w:color w:val="auto"/>
                <w:w w:val="86"/>
              </w:rPr>
              <w:t>Description</w:t>
            </w:r>
          </w:p>
        </w:tc>
        <w:tc>
          <w:tcPr>
            <w:tcW w:w="0" w:type="dxa"/>
            <w:vAlign w:val="bottom"/>
          </w:tcPr>
          <w:p>
            <w:pPr>
              <w:spacing w:after="0"/>
              <w:rPr>
                <w:sz w:val="1"/>
                <w:szCs w:val="1"/>
                <w:color w:val="auto"/>
              </w:rPr>
            </w:pPr>
          </w:p>
        </w:tc>
      </w:tr>
      <w:tr>
        <w:trPr>
          <w:trHeight w:val="234"/>
        </w:trPr>
        <w:tc>
          <w:tcPr>
            <w:tcW w:w="3480" w:type="dxa"/>
            <w:vAlign w:val="bottom"/>
          </w:tcPr>
          <w:p>
            <w:pPr>
              <w:jc w:val="center"/>
              <w:ind w:right="2110"/>
              <w:spacing w:after="0"/>
              <w:rPr>
                <w:sz w:val="20"/>
                <w:szCs w:val="20"/>
                <w:color w:val="auto"/>
              </w:rPr>
            </w:pPr>
            <w:r>
              <w:rPr>
                <w:rFonts w:ascii="Arial" w:cs="Arial" w:eastAsia="Arial" w:hAnsi="Arial"/>
                <w:sz w:val="18"/>
                <w:szCs w:val="18"/>
                <w:b w:val="1"/>
                <w:bCs w:val="1"/>
                <w:color w:val="auto"/>
                <w:w w:val="94"/>
              </w:rPr>
              <w:t>Number</w:t>
            </w:r>
          </w:p>
        </w:tc>
        <w:tc>
          <w:tcPr>
            <w:tcW w:w="3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31115</wp:posOffset>
            </wp:positionV>
            <wp:extent cx="6960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177" w:lineRule="exact"/>
        <w:rPr>
          <w:sz w:val="20"/>
          <w:szCs w:val="20"/>
          <w:color w:val="auto"/>
        </w:rPr>
      </w:pPr>
    </w:p>
    <w:p>
      <w:pPr>
        <w:ind w:left="1280" w:right="200" w:hanging="744"/>
        <w:spacing w:after="0" w:line="264"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2.1</w:t>
      </w:r>
      <w:r>
        <w:rPr>
          <w:sz w:val="20"/>
          <w:szCs w:val="20"/>
          <w:color w:val="auto"/>
        </w:rPr>
        <w:tab/>
      </w:r>
      <w:hyperlink r:id="rId74">
        <w:r>
          <w:rPr>
            <w:rFonts w:ascii="Arial" w:cs="Arial" w:eastAsia="Arial" w:hAnsi="Arial"/>
            <w:sz w:val="16"/>
            <w:szCs w:val="16"/>
            <w:u w:val="single" w:color="auto"/>
            <w:color w:val="0000FF"/>
          </w:rPr>
          <w:t>Stock Purchase Agreement, dated November 30, 2011</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between NMI Holdings, Inc. and MAC Financial Ltd. (incorporated herein by</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reference to Exhibit 2.1 to our Form S-1 Registration Statement (Registration No. 333-191635), filed on October 9, 2013)</w:t>
      </w:r>
    </w:p>
    <w:p>
      <w:pPr>
        <w:spacing w:after="0" w:line="1" w:lineRule="exact"/>
        <w:rPr>
          <w:sz w:val="20"/>
          <w:szCs w:val="20"/>
          <w:color w:val="auto"/>
        </w:rPr>
      </w:pPr>
    </w:p>
    <w:p>
      <w:pPr>
        <w:jc w:val="right"/>
        <w:ind w:left="540" w:right="260"/>
        <w:spacing w:after="0" w:line="264" w:lineRule="auto"/>
        <w:rPr>
          <w:rFonts w:ascii="Arial" w:cs="Arial" w:eastAsia="Arial" w:hAnsi="Arial"/>
          <w:sz w:val="16"/>
          <w:szCs w:val="16"/>
          <w:color w:val="auto"/>
        </w:rPr>
      </w:pPr>
      <w:r>
        <w:rPr>
          <w:rFonts w:ascii="Arial" w:cs="Arial" w:eastAsia="Arial" w:hAnsi="Arial"/>
          <w:sz w:val="16"/>
          <w:szCs w:val="16"/>
          <w:color w:val="auto"/>
        </w:rPr>
        <w:t xml:space="preserve">2.2      </w:t>
      </w:r>
      <w:hyperlink r:id="rId75">
        <w:r>
          <w:rPr>
            <w:rFonts w:ascii="Arial" w:cs="Arial" w:eastAsia="Arial" w:hAnsi="Arial"/>
            <w:sz w:val="16"/>
            <w:szCs w:val="16"/>
            <w:u w:val="single" w:color="auto"/>
            <w:color w:val="0000FF"/>
          </w:rPr>
          <w:t>Amendment to Stock Purchase Agreement, dated April 6, 2012</w:t>
        </w:r>
      </w:hyperlink>
      <w:r>
        <w:rPr>
          <w:rFonts w:ascii="Arial" w:cs="Arial" w:eastAsia="Arial" w:hAnsi="Arial"/>
          <w:sz w:val="16"/>
          <w:szCs w:val="16"/>
          <w:color w:val="auto"/>
        </w:rPr>
        <w:t>, between NMI Holdings, Inc. and MAC Financial Ltd. (incorporated herein by reference to Exhibit 2.2 to our Form S-1 Registration Statement (Registration No. 333-191635), filed on October 9, 2013)</w:t>
      </w:r>
    </w:p>
    <w:p>
      <w:pPr>
        <w:ind w:left="1280" w:right="860" w:hanging="744"/>
        <w:spacing w:after="0" w:line="23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76">
        <w:r>
          <w:rPr>
            <w:rFonts w:ascii="Arial" w:cs="Arial" w:eastAsia="Arial" w:hAnsi="Arial"/>
            <w:sz w:val="18"/>
            <w:szCs w:val="18"/>
            <w:u w:val="single" w:color="auto"/>
            <w:color w:val="0000FF"/>
          </w:rPr>
          <w:t xml:space="preserve">Second Amended and Restated Certificate of Incorporation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3.1 to our Form S-1</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Statement (Registration No. 333-191635), filed on October 9, 2013)</w:t>
      </w:r>
    </w:p>
    <w:p>
      <w:pPr>
        <w:spacing w:after="0" w:line="1" w:lineRule="exact"/>
        <w:rPr>
          <w:sz w:val="20"/>
          <w:szCs w:val="20"/>
          <w:color w:val="auto"/>
        </w:rPr>
      </w:pPr>
    </w:p>
    <w:p>
      <w:pPr>
        <w:ind w:left="540"/>
        <w:spacing w:after="0"/>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77">
        <w:r>
          <w:rPr>
            <w:rFonts w:ascii="Arial" w:cs="Arial" w:eastAsia="Arial" w:hAnsi="Arial"/>
            <w:sz w:val="16"/>
            <w:szCs w:val="16"/>
            <w:u w:val="single" w:color="auto"/>
            <w:color w:val="0000FF"/>
          </w:rPr>
          <w:t xml:space="preserve">Third Amended and Restated By-Laws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3.1 to our Form 8-K, filed on December 9, 2014)</w:t>
      </w:r>
    </w:p>
    <w:p>
      <w:pPr>
        <w:spacing w:after="0" w:line="23" w:lineRule="exact"/>
        <w:rPr>
          <w:sz w:val="20"/>
          <w:szCs w:val="20"/>
          <w:color w:val="auto"/>
        </w:rPr>
      </w:pPr>
    </w:p>
    <w:p>
      <w:pPr>
        <w:ind w:left="1280" w:right="240" w:hanging="744"/>
        <w:spacing w:after="0" w:line="23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78">
        <w:r>
          <w:rPr>
            <w:rFonts w:ascii="Arial" w:cs="Arial" w:eastAsia="Arial" w:hAnsi="Arial"/>
            <w:sz w:val="18"/>
            <w:szCs w:val="18"/>
            <w:u w:val="single" w:color="auto"/>
            <w:color w:val="0000FF"/>
          </w:rPr>
          <w:t xml:space="preserve">Specimen Class A common stock certificate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4.1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1" w:lineRule="exact"/>
        <w:rPr>
          <w:sz w:val="20"/>
          <w:szCs w:val="20"/>
          <w:color w:val="auto"/>
        </w:rPr>
      </w:pPr>
    </w:p>
    <w:p>
      <w:pPr>
        <w:ind w:left="1280" w:right="300" w:hanging="744"/>
        <w:spacing w:after="0" w:line="264"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79">
        <w:r>
          <w:rPr>
            <w:rFonts w:ascii="Arial" w:cs="Arial" w:eastAsia="Arial" w:hAnsi="Arial"/>
            <w:sz w:val="16"/>
            <w:szCs w:val="16"/>
            <w:u w:val="single" w:color="auto"/>
            <w:color w:val="0000FF"/>
          </w:rPr>
          <w:t xml:space="preserve">Registration Rights Agreement between NMI Holdings, Inc. and FBR Capital Markets &amp; Co., dated April 24, 2012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4.2 to our Form S-1 Registration Statement (Registration No. 333-191635), filed on October 9, 2013)</w:t>
      </w:r>
    </w:p>
    <w:p>
      <w:pPr>
        <w:jc w:val="center"/>
        <w:ind w:left="840" w:right="20"/>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4.3      </w:t>
      </w:r>
      <w:hyperlink r:id="rId80">
        <w:r>
          <w:rPr>
            <w:rFonts w:ascii="Arial" w:cs="Arial" w:eastAsia="Arial" w:hAnsi="Arial"/>
            <w:sz w:val="17"/>
            <w:szCs w:val="17"/>
            <w:u w:val="single" w:color="auto"/>
            <w:color w:val="0000FF"/>
          </w:rPr>
          <w:t>Registration Rights Agreement by and between MAC Financial Ltd. and NMI Holdings, Inc., dated April 24, 2012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(incorporated herein by reference to Exhibit 4.3 to our Form S-1 Registration Statement (Registration No. 333-191635), filed on October 9, 2013)</w:t>
      </w:r>
    </w:p>
    <w:p>
      <w:pPr>
        <w:spacing w:after="0" w:line="1" w:lineRule="exact"/>
        <w:rPr>
          <w:sz w:val="20"/>
          <w:szCs w:val="20"/>
          <w:color w:val="auto"/>
        </w:rPr>
      </w:pPr>
    </w:p>
    <w:p>
      <w:pPr>
        <w:ind w:left="1280" w:right="80" w:hanging="744"/>
        <w:spacing w:after="0" w:line="224" w:lineRule="auto"/>
        <w:tabs>
          <w:tab w:leader="none" w:pos="1260" w:val="left"/>
        </w:tabs>
        <w:rPr>
          <w:rFonts w:ascii="Arial" w:cs="Arial" w:eastAsia="Arial" w:hAnsi="Arial"/>
          <w:sz w:val="18"/>
          <w:szCs w:val="18"/>
          <w:color w:val="0000FF"/>
        </w:rPr>
      </w:pPr>
      <w:r>
        <w:rPr>
          <w:rFonts w:ascii="Arial" w:cs="Arial" w:eastAsia="Arial" w:hAnsi="Arial"/>
          <w:sz w:val="18"/>
          <w:szCs w:val="18"/>
          <w:color w:val="auto"/>
        </w:rPr>
        <w:t>4.4</w:t>
      </w:r>
      <w:r>
        <w:rPr>
          <w:sz w:val="20"/>
          <w:szCs w:val="20"/>
          <w:color w:val="auto"/>
        </w:rPr>
        <w:tab/>
      </w:r>
      <w:hyperlink r:id="rId81">
        <w:r>
          <w:rPr>
            <w:rFonts w:ascii="Arial" w:cs="Arial" w:eastAsia="Arial" w:hAnsi="Arial"/>
            <w:sz w:val="18"/>
            <w:szCs w:val="18"/>
            <w:u w:val="single" w:color="auto"/>
            <w:color w:val="0000FF"/>
          </w:rPr>
          <w:t>Registration Rights Agreement between FBR &amp; Co., FBR Capital Markets LT, Inc., FBR Capital Markets &amp; Co., FBR Capital Markets</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PT, Inc. and NMI Holdings, Inc., dated April 24, 2012</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4.4 to our Form S-1 Registration</w:t>
        </w:r>
      </w:hyperlink>
      <w:r>
        <w:rPr>
          <w:rFonts w:ascii="Arial" w:cs="Arial" w:eastAsia="Arial" w:hAnsi="Arial"/>
          <w:sz w:val="18"/>
          <w:szCs w:val="18"/>
          <w:color w:val="0000FF"/>
        </w:rPr>
        <w:t xml:space="preserve"> </w:t>
      </w:r>
      <w:r>
        <w:rPr>
          <w:rFonts w:ascii="Arial" w:cs="Arial" w:eastAsia="Arial" w:hAnsi="Arial"/>
          <w:sz w:val="18"/>
          <w:szCs w:val="18"/>
          <w:color w:val="000000"/>
        </w:rPr>
        <w:t>Statement (Registration No. 333-191635), filed on October 9, 2013)</w:t>
      </w:r>
    </w:p>
    <w:p>
      <w:pPr>
        <w:spacing w:after="0" w:line="1" w:lineRule="exact"/>
        <w:rPr>
          <w:sz w:val="20"/>
          <w:szCs w:val="20"/>
          <w:color w:val="auto"/>
        </w:rPr>
      </w:pPr>
    </w:p>
    <w:p>
      <w:pPr>
        <w:ind w:left="1280" w:right="560" w:hanging="744"/>
        <w:spacing w:after="0" w:line="22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82">
        <w:r>
          <w:rPr>
            <w:rFonts w:ascii="Arial" w:cs="Arial" w:eastAsia="Arial" w:hAnsi="Arial"/>
            <w:sz w:val="18"/>
            <w:szCs w:val="18"/>
            <w:u w:val="single" w:color="auto"/>
            <w:color w:val="0000FF"/>
          </w:rPr>
          <w:t>Warrant No. 1 to Purchase Common Stock of NMI Holdings, Inc. issued to FBR Capital Markets &amp; Co., dated June 13, 2013</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herein by reference to Exhibit 4.5 to our Form S-1 Registration Statement (Registration No. 333-191635), filed on October 9, 2013)</w:t>
      </w:r>
    </w:p>
    <w:p>
      <w:pPr>
        <w:spacing w:after="0" w:line="1" w:lineRule="exact"/>
        <w:rPr>
          <w:sz w:val="20"/>
          <w:szCs w:val="20"/>
          <w:color w:val="auto"/>
        </w:rPr>
      </w:pPr>
    </w:p>
    <w:p>
      <w:pPr>
        <w:ind w:left="1280" w:hanging="744"/>
        <w:spacing w:after="0" w:line="264"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4.6</w:t>
      </w:r>
      <w:r>
        <w:rPr>
          <w:sz w:val="20"/>
          <w:szCs w:val="20"/>
          <w:color w:val="auto"/>
        </w:rPr>
        <w:tab/>
      </w:r>
      <w:hyperlink r:id="rId83">
        <w:r>
          <w:rPr>
            <w:rFonts w:ascii="Arial" w:cs="Arial" w:eastAsia="Arial" w:hAnsi="Arial"/>
            <w:sz w:val="16"/>
            <w:szCs w:val="16"/>
            <w:u w:val="single" w:color="auto"/>
            <w:color w:val="0000FF"/>
          </w:rPr>
          <w:t xml:space="preserve">Form of Warrant to Purchase Common Stock of NMI Holdings, Inc. issued to former stockholders of MAC Financial Ltd.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4.6 to our Form S-1 Registration Statement (Registration No. 333-191635), filed on October 9, 2013)</w:t>
      </w:r>
    </w:p>
    <w:p>
      <w:pPr>
        <w:ind w:left="1280" w:right="120" w:hanging="744"/>
        <w:spacing w:after="0" w:line="22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hyperlink r:id="rId84">
        <w:r>
          <w:rPr>
            <w:rFonts w:ascii="Arial" w:cs="Arial" w:eastAsia="Arial" w:hAnsi="Arial"/>
            <w:sz w:val="18"/>
            <w:szCs w:val="18"/>
            <w:u w:val="single" w:color="auto"/>
            <w:color w:val="0000FF"/>
          </w:rPr>
          <w:t>Indenture, dated as of June 19, 2020, among NMI Holdings, Inc., NMI Services, Inc. as the Initial Guarantor, and the Bank of New</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 xml:space="preserve">York Mellon Trust Company, N.A. as Trustee and Notes Collateral Agent </w:t>
        </w:r>
        <w:r>
          <w:rPr>
            <w:rFonts w:ascii="Arial" w:cs="Arial" w:eastAsia="Arial" w:hAnsi="Arial"/>
            <w:sz w:val="18"/>
            <w:szCs w:val="18"/>
            <w:u w:val="single" w:color="auto"/>
            <w:color w:val="000000"/>
          </w:rPr>
          <w:t xml:space="preserve">(incorporated herein by reference to Exhibit 4.1 to our </w:t>
        </w:r>
      </w:hyperlink>
      <w:r>
        <w:rPr>
          <w:rFonts w:ascii="Arial" w:cs="Arial" w:eastAsia="Arial" w:hAnsi="Arial"/>
          <w:sz w:val="18"/>
          <w:szCs w:val="18"/>
          <w:u w:val="single" w:color="auto"/>
          <w:color w:val="0000FF"/>
        </w:rPr>
        <w:t xml:space="preserve">Form </w:t>
      </w:r>
      <w:r>
        <w:rPr>
          <w:rFonts w:ascii="Arial" w:cs="Arial" w:eastAsia="Arial" w:hAnsi="Arial"/>
          <w:sz w:val="18"/>
          <w:szCs w:val="18"/>
          <w:u w:val="single" w:color="auto"/>
          <w:color w:val="000000"/>
        </w:rPr>
        <w:t>8-K, filed on June 19, 2020)</w:t>
      </w:r>
    </w:p>
    <w:p>
      <w:pPr>
        <w:spacing w:after="0" w:line="1" w:lineRule="exact"/>
        <w:rPr>
          <w:sz w:val="20"/>
          <w:szCs w:val="20"/>
          <w:color w:val="auto"/>
        </w:rPr>
      </w:pPr>
    </w:p>
    <w:p>
      <w:pPr>
        <w:jc w:val="both"/>
        <w:ind w:left="1280" w:hanging="860"/>
        <w:spacing w:after="0" w:line="23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85">
        <w:r>
          <w:rPr>
            <w:rFonts w:ascii="Arial" w:cs="Arial" w:eastAsia="Arial" w:hAnsi="Arial"/>
            <w:sz w:val="18"/>
            <w:szCs w:val="18"/>
            <w:u w:val="single" w:color="auto"/>
            <w:color w:val="0000FF"/>
          </w:rPr>
          <w:t xml:space="preserve">NMI Holdings Inc. 2012 Stock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1" w:lineRule="exact"/>
        <w:rPr>
          <w:sz w:val="20"/>
          <w:szCs w:val="20"/>
          <w:color w:val="auto"/>
        </w:rPr>
      </w:pPr>
    </w:p>
    <w:p>
      <w:pPr>
        <w:jc w:val="both"/>
        <w:ind w:left="1280" w:hanging="860"/>
        <w:spacing w:after="0" w:line="264"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10.2 ~</w:t>
      </w:r>
      <w:r>
        <w:rPr>
          <w:sz w:val="20"/>
          <w:szCs w:val="20"/>
          <w:color w:val="auto"/>
        </w:rPr>
        <w:tab/>
      </w:r>
      <w:hyperlink r:id="rId86">
        <w:r>
          <w:rPr>
            <w:rFonts w:ascii="Arial" w:cs="Arial" w:eastAsia="Arial" w:hAnsi="Arial"/>
            <w:sz w:val="16"/>
            <w:szCs w:val="16"/>
            <w:u w:val="single" w:color="auto"/>
            <w:color w:val="0000FF"/>
          </w:rPr>
          <w:t xml:space="preserve">Form of NMI Holdings, Inc. 2012 Stock Incentive Plan Restricted Stock Unit Award Agreement for Management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by reference to Exhibit 10.3 to our Form S-1 Registration Statement (Registration No. 333-191635), filed on October 9, 2013)</w:t>
      </w:r>
    </w:p>
    <w:p>
      <w:pPr>
        <w:jc w:val="both"/>
        <w:ind w:left="1280" w:hanging="860"/>
        <w:spacing w:after="0" w:line="224" w:lineRule="auto"/>
        <w:tabs>
          <w:tab w:leader="none" w:pos="1260" w:val="left"/>
        </w:tabs>
        <w:rPr>
          <w:rFonts w:ascii="Arial" w:cs="Arial" w:eastAsia="Arial" w:hAnsi="Arial"/>
          <w:sz w:val="18"/>
          <w:szCs w:val="18"/>
          <w:color w:val="0000FF"/>
        </w:rPr>
      </w:pPr>
      <w:r>
        <w:rPr>
          <w:rFonts w:ascii="Arial" w:cs="Arial" w:eastAsia="Arial" w:hAnsi="Arial"/>
          <w:sz w:val="18"/>
          <w:szCs w:val="18"/>
          <w:color w:val="auto"/>
        </w:rPr>
        <w:t>10.3 ~</w:t>
      </w:r>
      <w:r>
        <w:rPr>
          <w:sz w:val="20"/>
          <w:szCs w:val="20"/>
          <w:color w:val="auto"/>
        </w:rPr>
        <w:tab/>
      </w:r>
      <w:hyperlink r:id="rId87">
        <w:r>
          <w:rPr>
            <w:rFonts w:ascii="Arial" w:cs="Arial" w:eastAsia="Arial" w:hAnsi="Arial"/>
            <w:sz w:val="18"/>
            <w:szCs w:val="18"/>
            <w:u w:val="single" w:color="auto"/>
            <w:color w:val="0000FF"/>
          </w:rPr>
          <w:t>Form of NMI Holdings, Inc. 2012 Stock Incentive Plan Nonqualified Stock Option Award Agreement for Chief Executive Officer and</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Chief Financial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10.5 to our Form S-1 Registration Statement (Registration No. 333-</w:t>
        </w:r>
      </w:hyperlink>
      <w:r>
        <w:rPr>
          <w:rFonts w:ascii="Arial" w:cs="Arial" w:eastAsia="Arial" w:hAnsi="Arial"/>
          <w:sz w:val="18"/>
          <w:szCs w:val="18"/>
          <w:color w:val="000000"/>
        </w:rPr>
        <w:t>191635), filed on October 9, 2013)</w:t>
      </w:r>
    </w:p>
    <w:p>
      <w:pPr>
        <w:spacing w:after="0" w:line="1" w:lineRule="exact"/>
        <w:rPr>
          <w:sz w:val="20"/>
          <w:szCs w:val="20"/>
          <w:color w:val="auto"/>
        </w:rPr>
      </w:pPr>
    </w:p>
    <w:p>
      <w:pPr>
        <w:jc w:val="both"/>
        <w:ind w:left="1280" w:hanging="860"/>
        <w:spacing w:after="0" w:line="264"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10.4 ~</w:t>
      </w:r>
      <w:r>
        <w:rPr>
          <w:sz w:val="20"/>
          <w:szCs w:val="20"/>
          <w:color w:val="auto"/>
        </w:rPr>
        <w:tab/>
      </w:r>
      <w:hyperlink r:id="rId88">
        <w:r>
          <w:rPr>
            <w:rFonts w:ascii="Arial" w:cs="Arial" w:eastAsia="Arial" w:hAnsi="Arial"/>
            <w:sz w:val="16"/>
            <w:szCs w:val="16"/>
            <w:u w:val="single" w:color="auto"/>
            <w:color w:val="0000FF"/>
          </w:rPr>
          <w:t xml:space="preserve">Form of NMI Holdings, Inc. 2012 Stock Incentive Plan Nonqualified Stock Option Award Agreement for Management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10.6 to our Form S-1 Registration Statement (Registration No. 333-191635), filed on October 9, 2013)</w:t>
      </w:r>
    </w:p>
    <w:p>
      <w:pPr>
        <w:jc w:val="both"/>
        <w:ind w:left="1280" w:hanging="860"/>
        <w:spacing w:after="0" w:line="264" w:lineRule="auto"/>
        <w:tabs>
          <w:tab w:leader="none" w:pos="1260" w:val="left"/>
        </w:tabs>
        <w:rPr>
          <w:rFonts w:ascii="Arial" w:cs="Arial" w:eastAsia="Arial" w:hAnsi="Arial"/>
          <w:sz w:val="16"/>
          <w:szCs w:val="16"/>
          <w:u w:val="single" w:color="auto"/>
          <w:color w:val="0000FF"/>
        </w:rPr>
      </w:pPr>
      <w:r>
        <w:rPr>
          <w:rFonts w:ascii="Arial" w:cs="Arial" w:eastAsia="Arial" w:hAnsi="Arial"/>
          <w:sz w:val="18"/>
          <w:szCs w:val="18"/>
          <w:color w:val="auto"/>
        </w:rPr>
        <w:t>10.5 ~</w:t>
      </w:r>
      <w:r>
        <w:rPr>
          <w:sz w:val="20"/>
          <w:szCs w:val="20"/>
          <w:color w:val="auto"/>
        </w:rPr>
        <w:tab/>
      </w:r>
      <w:hyperlink r:id="rId89">
        <w:r>
          <w:rPr>
            <w:rFonts w:ascii="Arial" w:cs="Arial" w:eastAsia="Arial" w:hAnsi="Arial"/>
            <w:sz w:val="16"/>
            <w:szCs w:val="16"/>
            <w:u w:val="single" w:color="auto"/>
            <w:color w:val="0000FF"/>
          </w:rPr>
          <w:t xml:space="preserve">Form of NMI Holdings, Inc. 2012 Stock Incentive Plan Nonqualified Stock Option Award Agreement for Directors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10.7 to our Form S-1 Registration Statement (Registration No. 333-191635), filed on October 9, 2013)</w:t>
      </w:r>
    </w:p>
    <w:p>
      <w:pPr>
        <w:jc w:val="both"/>
        <w:ind w:left="1280" w:hanging="860"/>
        <w:spacing w:after="0" w:line="248" w:lineRule="auto"/>
        <w:tabs>
          <w:tab w:leader="none" w:pos="1260" w:val="left"/>
        </w:tabs>
        <w:rPr>
          <w:rFonts w:ascii="Arial" w:cs="Arial" w:eastAsia="Arial" w:hAnsi="Arial"/>
          <w:sz w:val="17"/>
          <w:szCs w:val="17"/>
          <w:color w:val="0000FF"/>
        </w:rPr>
      </w:pPr>
      <w:r>
        <w:rPr>
          <w:rFonts w:ascii="Arial" w:cs="Arial" w:eastAsia="Arial" w:hAnsi="Arial"/>
          <w:sz w:val="18"/>
          <w:szCs w:val="18"/>
          <w:color w:val="auto"/>
        </w:rPr>
        <w:t>10.6 ~</w:t>
      </w:r>
      <w:r>
        <w:rPr>
          <w:sz w:val="20"/>
          <w:szCs w:val="20"/>
          <w:color w:val="auto"/>
        </w:rPr>
        <w:tab/>
      </w:r>
      <w:hyperlink r:id="rId90">
        <w:r>
          <w:rPr>
            <w:rFonts w:ascii="Arial" w:cs="Arial" w:eastAsia="Arial" w:hAnsi="Arial"/>
            <w:sz w:val="17"/>
            <w:szCs w:val="17"/>
            <w:u w:val="single" w:color="auto"/>
            <w:color w:val="0000FF"/>
          </w:rPr>
          <w:t>Form of NMI Holdings, Inc. 2012 Stock Incentive Plan Nonqualified Stock Option Award Agreement for Chief Executive Officer and</w:t>
        </w:r>
      </w:hyperlink>
      <w:r>
        <w:rPr>
          <w:rFonts w:ascii="Arial" w:cs="Arial" w:eastAsia="Arial" w:hAnsi="Arial"/>
          <w:sz w:val="17"/>
          <w:szCs w:val="17"/>
          <w:u w:val="single" w:color="auto"/>
          <w:color w:val="0000FF"/>
        </w:rPr>
        <w:t xml:space="preserve"> </w:t>
      </w:r>
      <w:hyperlink r:id="rId90">
        <w:r>
          <w:rPr>
            <w:rFonts w:ascii="Arial" w:cs="Arial" w:eastAsia="Arial" w:hAnsi="Arial"/>
            <w:sz w:val="17"/>
            <w:szCs w:val="17"/>
            <w:u w:val="single" w:color="auto"/>
            <w:color w:val="0000FF"/>
          </w:rPr>
          <w:t>Chief Financial Office</w:t>
        </w:r>
        <w:r>
          <w:rPr>
            <w:rFonts w:ascii="Arial" w:cs="Arial" w:eastAsia="Arial" w:hAnsi="Arial"/>
            <w:sz w:val="17"/>
            <w:szCs w:val="17"/>
            <w:color w:val="000000"/>
          </w:rPr>
          <w:t>r (incorporated herein by reference to Exhibit 10.8 to our Form 10-K, filed on February 17, 2017)</w:t>
        </w:r>
      </w:hyperlink>
    </w:p>
    <w:p>
      <w:pPr>
        <w:spacing w:after="0" w:line="1" w:lineRule="exact"/>
        <w:rPr>
          <w:sz w:val="20"/>
          <w:szCs w:val="20"/>
          <w:color w:val="auto"/>
        </w:rPr>
      </w:pPr>
    </w:p>
    <w:p>
      <w:pPr>
        <w:jc w:val="both"/>
        <w:ind w:left="1280" w:hanging="860"/>
        <w:spacing w:after="0" w:line="23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10.7 ~</w:t>
      </w:r>
      <w:r>
        <w:rPr>
          <w:sz w:val="20"/>
          <w:szCs w:val="20"/>
          <w:color w:val="auto"/>
        </w:rPr>
        <w:tab/>
      </w:r>
      <w:hyperlink r:id="rId91">
        <w:r>
          <w:rPr>
            <w:rFonts w:ascii="Arial" w:cs="Arial" w:eastAsia="Arial" w:hAnsi="Arial"/>
            <w:sz w:val="18"/>
            <w:szCs w:val="18"/>
            <w:u w:val="single" w:color="auto"/>
            <w:color w:val="0000FF"/>
          </w:rPr>
          <w:t xml:space="preserve">Form of NMI Holdings, Inc. 2012 Stock Incentive Plan Nonqualified Stock Option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10.9 to our Form 10-K, filed on February 17, 2017)</w:t>
      </w:r>
    </w:p>
    <w:p>
      <w:pPr>
        <w:ind w:left="420"/>
        <w:spacing w:after="0" w:line="235" w:lineRule="auto"/>
        <w:tabs>
          <w:tab w:leader="none" w:pos="1260" w:val="left"/>
        </w:tabs>
        <w:rPr>
          <w:rFonts w:ascii="Arial" w:cs="Arial" w:eastAsia="Arial" w:hAnsi="Arial"/>
          <w:sz w:val="17"/>
          <w:szCs w:val="17"/>
          <w:u w:val="single" w:color="auto"/>
          <w:color w:val="0000FF"/>
        </w:rPr>
      </w:pPr>
      <w:r>
        <w:rPr>
          <w:rFonts w:ascii="Arial" w:cs="Arial" w:eastAsia="Arial" w:hAnsi="Arial"/>
          <w:sz w:val="18"/>
          <w:szCs w:val="18"/>
          <w:color w:val="auto"/>
        </w:rPr>
        <w:t>10.8 ~</w:t>
      </w:r>
      <w:r>
        <w:rPr>
          <w:sz w:val="20"/>
          <w:szCs w:val="20"/>
          <w:color w:val="auto"/>
        </w:rPr>
        <w:tab/>
      </w:r>
      <w:hyperlink r:id="rId92">
        <w:r>
          <w:rPr>
            <w:rFonts w:ascii="Arial" w:cs="Arial" w:eastAsia="Arial" w:hAnsi="Arial"/>
            <w:sz w:val="17"/>
            <w:szCs w:val="17"/>
            <w:u w:val="single" w:color="auto"/>
            <w:color w:val="0000FF"/>
          </w:rPr>
          <w:t>Amended and Restated Employment Agreement by and between NMI Holdings, Inc. and Bradley M. Shuster, dated December 23,</w:t>
        </w:r>
      </w:hyperlink>
    </w:p>
    <w:p>
      <w:pPr>
        <w:spacing w:after="0" w:line="1" w:lineRule="exact"/>
        <w:rPr>
          <w:sz w:val="20"/>
          <w:szCs w:val="20"/>
          <w:color w:val="auto"/>
        </w:rPr>
      </w:pPr>
    </w:p>
    <w:p>
      <w:pPr>
        <w:ind w:left="1280"/>
        <w:spacing w:after="0"/>
        <w:rPr>
          <w:rFonts w:ascii="Arial" w:cs="Arial" w:eastAsia="Arial" w:hAnsi="Arial"/>
          <w:sz w:val="18"/>
          <w:szCs w:val="18"/>
          <w:color w:val="0000FF"/>
        </w:rPr>
      </w:pPr>
      <w:hyperlink r:id="rId92">
        <w:r>
          <w:rPr>
            <w:rFonts w:ascii="Arial" w:cs="Arial" w:eastAsia="Arial" w:hAnsi="Arial"/>
            <w:sz w:val="18"/>
            <w:szCs w:val="18"/>
            <w:u w:val="single" w:color="auto"/>
            <w:color w:val="0000FF"/>
          </w:rPr>
          <w:t>2015</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8-K, filed on December 29, 2015)</w:t>
        </w:r>
      </w:hyperlink>
    </w:p>
    <w:p>
      <w:pPr>
        <w:spacing w:after="0" w:line="7" w:lineRule="exact"/>
        <w:rPr>
          <w:sz w:val="20"/>
          <w:szCs w:val="20"/>
          <w:color w:val="auto"/>
        </w:rPr>
      </w:pPr>
    </w:p>
    <w:p>
      <w:pPr>
        <w:jc w:val="both"/>
        <w:ind w:left="1280" w:hanging="860"/>
        <w:spacing w:after="0" w:line="234" w:lineRule="auto"/>
        <w:tabs>
          <w:tab w:leader="none" w:pos="1260" w:val="left"/>
        </w:tabs>
        <w:rPr>
          <w:rFonts w:ascii="Arial" w:cs="Arial" w:eastAsia="Arial" w:hAnsi="Arial"/>
          <w:sz w:val="18"/>
          <w:szCs w:val="18"/>
          <w:u w:val="single" w:color="auto"/>
          <w:color w:val="0000FF"/>
        </w:rPr>
      </w:pPr>
      <w:r>
        <w:rPr>
          <w:rFonts w:ascii="Arial" w:cs="Arial" w:eastAsia="Arial" w:hAnsi="Arial"/>
          <w:sz w:val="18"/>
          <w:szCs w:val="18"/>
          <w:color w:val="auto"/>
        </w:rPr>
        <w:t>10.9 ~</w:t>
      </w:r>
      <w:r>
        <w:rPr>
          <w:sz w:val="20"/>
          <w:szCs w:val="20"/>
          <w:color w:val="auto"/>
        </w:rPr>
        <w:tab/>
      </w:r>
      <w:hyperlink r:id="rId93">
        <w:r>
          <w:rPr>
            <w:rFonts w:ascii="Arial" w:cs="Arial" w:eastAsia="Arial" w:hAnsi="Arial"/>
            <w:sz w:val="18"/>
            <w:szCs w:val="18"/>
            <w:u w:val="single" w:color="auto"/>
            <w:color w:val="0000FF"/>
          </w:rPr>
          <w:t xml:space="preserve">Offer Letter by and between NMI Holdings, Inc. and William Leatherberry, dated July 11, 2014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10.10 to our Form 10-Q, filed on April 28, 2016)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88" w:right="499" w:bottom="1440" w:gutter="0" w:footer="0" w:header="0"/>
        </w:sectPr>
      </w:pPr>
    </w:p>
    <w:bookmarkStart w:id="63" w:name="page64"/>
    <w:bookmarkEnd w:id="63"/>
    <w:p>
      <w:pPr>
        <w:jc w:val="both"/>
        <w:ind w:left="900" w:hanging="905"/>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10.10 ~</w:t>
      </w:r>
      <w:r>
        <w:rPr>
          <w:sz w:val="20"/>
          <w:szCs w:val="20"/>
          <w:color w:val="auto"/>
        </w:rPr>
        <w:tab/>
      </w:r>
      <w:hyperlink r:id="rId95">
        <w:r>
          <w:rPr>
            <w:rFonts w:ascii="Arial" w:cs="Arial" w:eastAsia="Arial" w:hAnsi="Arial"/>
            <w:sz w:val="18"/>
            <w:szCs w:val="18"/>
            <w:u w:val="single" w:color="auto"/>
            <w:color w:val="0000FF"/>
          </w:rPr>
          <w:t xml:space="preserve">Offer Letter by and between NMI Holdings, Inc. and Adam Pollitzer, dated February 1, 2017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10.1 to our Form 8-K, filed on February 3, 2017)</w:t>
      </w:r>
    </w:p>
    <w:p>
      <w:pPr>
        <w:jc w:val="both"/>
        <w:ind w:left="900" w:hanging="901"/>
        <w:spacing w:after="0" w:line="23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10.11 ~</w:t>
      </w:r>
      <w:r>
        <w:rPr>
          <w:sz w:val="20"/>
          <w:szCs w:val="20"/>
          <w:color w:val="auto"/>
        </w:rPr>
        <w:tab/>
      </w:r>
      <w:hyperlink r:id="rId96">
        <w:r>
          <w:rPr>
            <w:rFonts w:ascii="Arial" w:cs="Arial" w:eastAsia="Arial" w:hAnsi="Arial"/>
            <w:sz w:val="18"/>
            <w:szCs w:val="18"/>
            <w:u w:val="single" w:color="auto"/>
            <w:color w:val="0000FF"/>
          </w:rPr>
          <w:t xml:space="preserve">Form of Indemnification Agreement between NMI Holdings, Inc. and its directors and certain executive officers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by reference to Exhibit 10.1 to our Form 8-K, filed on November 25, 2014)</w:t>
      </w:r>
    </w:p>
    <w:p>
      <w:pPr>
        <w:spacing w:after="0" w:line="1" w:lineRule="exact"/>
        <w:rPr>
          <w:sz w:val="20"/>
          <w:szCs w:val="20"/>
          <w:color w:val="auto"/>
        </w:rPr>
      </w:pPr>
    </w:p>
    <w:p>
      <w:pPr>
        <w:jc w:val="both"/>
        <w:ind w:left="900" w:hanging="907"/>
        <w:spacing w:after="0" w:line="219"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10.12 +</w:t>
      </w:r>
      <w:r>
        <w:rPr>
          <w:sz w:val="20"/>
          <w:szCs w:val="20"/>
          <w:color w:val="auto"/>
        </w:rPr>
        <w:tab/>
      </w:r>
      <w:hyperlink r:id="rId97">
        <w:r>
          <w:rPr>
            <w:rFonts w:ascii="Arial" w:cs="Arial" w:eastAsia="Arial" w:hAnsi="Arial"/>
            <w:sz w:val="18"/>
            <w:szCs w:val="18"/>
            <w:u w:val="single" w:color="auto"/>
            <w:color w:val="0000FF"/>
          </w:rPr>
          <w:t>Commitment Letter dated July 12, 2013 for Bulk Fannie Mae-Paid Loss-on-Sale Mortgage Insurance on the Portfolio of approximately</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$5.46 billion Purchased by Fannie Mae and Identified by Fannie Mae as Deal No. 2013 MIRT 01 and by the Company as Policy No. P-</w:t>
        </w:r>
      </w:hyperlink>
      <w:hyperlink r:id="rId97">
        <w:r>
          <w:rPr>
            <w:rFonts w:ascii="Arial" w:cs="Arial" w:eastAsia="Arial" w:hAnsi="Arial"/>
            <w:sz w:val="18"/>
            <w:szCs w:val="18"/>
            <w:u w:val="single" w:color="auto"/>
            <w:color w:val="0000FF"/>
          </w:rPr>
          <w:t>0001-01</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10.14 to our Form S-1 Registration Statement (Registration No. 333-191635),</w:t>
        </w:r>
      </w:hyperlink>
      <w:r>
        <w:rPr>
          <w:rFonts w:ascii="Arial" w:cs="Arial" w:eastAsia="Arial" w:hAnsi="Arial"/>
          <w:sz w:val="18"/>
          <w:szCs w:val="18"/>
          <w:color w:val="0000FF"/>
        </w:rPr>
        <w:t xml:space="preserve"> </w:t>
      </w:r>
      <w:r>
        <w:rPr>
          <w:rFonts w:ascii="Arial" w:cs="Arial" w:eastAsia="Arial" w:hAnsi="Arial"/>
          <w:sz w:val="18"/>
          <w:szCs w:val="18"/>
          <w:color w:val="000000"/>
        </w:rPr>
        <w:t>filed on October 9, 2013)</w:t>
      </w:r>
    </w:p>
    <w:p>
      <w:pPr>
        <w:spacing w:after="0" w:line="1" w:lineRule="exact"/>
        <w:rPr>
          <w:rFonts w:ascii="Arial" w:cs="Arial" w:eastAsia="Arial" w:hAnsi="Arial"/>
          <w:sz w:val="18"/>
          <w:szCs w:val="18"/>
          <w:u w:val="single" w:color="auto"/>
          <w:color w:val="0000FF"/>
        </w:rPr>
      </w:pPr>
    </w:p>
    <w:p>
      <w:pPr>
        <w:jc w:val="both"/>
        <w:ind w:left="900" w:hanging="834"/>
        <w:spacing w:after="0" w:line="248" w:lineRule="auto"/>
        <w:tabs>
          <w:tab w:leader="none" w:pos="880" w:val="left"/>
        </w:tabs>
        <w:rPr>
          <w:rFonts w:ascii="Arial" w:cs="Arial" w:eastAsia="Arial" w:hAnsi="Arial"/>
          <w:sz w:val="17"/>
          <w:szCs w:val="17"/>
          <w:color w:val="0000FF"/>
        </w:rPr>
      </w:pPr>
      <w:r>
        <w:rPr>
          <w:rFonts w:ascii="Arial" w:cs="Arial" w:eastAsia="Arial" w:hAnsi="Arial"/>
          <w:sz w:val="18"/>
          <w:szCs w:val="18"/>
          <w:color w:val="auto"/>
        </w:rPr>
        <w:t>10.13</w:t>
      </w:r>
      <w:r>
        <w:rPr>
          <w:sz w:val="20"/>
          <w:szCs w:val="20"/>
          <w:color w:val="auto"/>
        </w:rPr>
        <w:tab/>
      </w:r>
      <w:hyperlink r:id="rId98">
        <w:r>
          <w:rPr>
            <w:rFonts w:ascii="Arial" w:cs="Arial" w:eastAsia="Arial" w:hAnsi="Arial"/>
            <w:sz w:val="17"/>
            <w:szCs w:val="17"/>
            <w:u w:val="single" w:color="auto"/>
            <w:color w:val="0000FF"/>
          </w:rPr>
          <w:t>Credit Agreement, dated November 10, 2015, between NMI Holdings, Inc., the lenders party thereto and JPMorgan Chase Bank, N.A.,</w:t>
        </w:r>
      </w:hyperlink>
      <w:r>
        <w:rPr>
          <w:rFonts w:ascii="Arial" w:cs="Arial" w:eastAsia="Arial" w:hAnsi="Arial"/>
          <w:sz w:val="17"/>
          <w:szCs w:val="17"/>
          <w:u w:val="single" w:color="auto"/>
          <w:color w:val="0000FF"/>
        </w:rPr>
        <w:t xml:space="preserve"> </w:t>
      </w:r>
      <w:hyperlink r:id="rId98">
        <w:r>
          <w:rPr>
            <w:rFonts w:ascii="Arial" w:cs="Arial" w:eastAsia="Arial" w:hAnsi="Arial"/>
            <w:sz w:val="17"/>
            <w:szCs w:val="17"/>
            <w:u w:val="single" w:color="auto"/>
            <w:color w:val="0000FF"/>
          </w:rPr>
          <w:t>as administrative agent</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4.1 to our Form 8-K, filed on November 10, 2015)</w:t>
        </w:r>
      </w:hyperlink>
    </w:p>
    <w:p>
      <w:pPr>
        <w:spacing w:after="0" w:line="1" w:lineRule="exact"/>
        <w:rPr>
          <w:sz w:val="20"/>
          <w:szCs w:val="20"/>
          <w:color w:val="auto"/>
        </w:rPr>
      </w:pPr>
    </w:p>
    <w:p>
      <w:pPr>
        <w:jc w:val="both"/>
        <w:ind w:left="900" w:hanging="834"/>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10.14</w:t>
      </w:r>
      <w:r>
        <w:rPr>
          <w:sz w:val="20"/>
          <w:szCs w:val="20"/>
          <w:color w:val="auto"/>
        </w:rPr>
        <w:tab/>
      </w:r>
      <w:hyperlink r:id="rId99">
        <w:r>
          <w:rPr>
            <w:rFonts w:ascii="Arial" w:cs="Arial" w:eastAsia="Arial" w:hAnsi="Arial"/>
            <w:sz w:val="18"/>
            <w:szCs w:val="18"/>
            <w:u w:val="single" w:color="auto"/>
            <w:color w:val="0000FF"/>
          </w:rPr>
          <w:t>Amendment No. 1, dated February 10, 2017, to the Credit Agreement dated November 10, 2015, between NMI Holdings, Inc., the</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lender 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w:t>
        </w:r>
      </w:hyperlink>
      <w:r>
        <w:rPr>
          <w:rFonts w:ascii="Arial" w:cs="Arial" w:eastAsia="Arial" w:hAnsi="Arial"/>
          <w:sz w:val="18"/>
          <w:szCs w:val="18"/>
          <w:color w:val="0000FF"/>
        </w:rPr>
        <w:t xml:space="preserve"> </w:t>
      </w:r>
      <w:r>
        <w:rPr>
          <w:rFonts w:ascii="Arial" w:cs="Arial" w:eastAsia="Arial" w:hAnsi="Arial"/>
          <w:sz w:val="18"/>
          <w:szCs w:val="18"/>
          <w:color w:val="000000"/>
        </w:rPr>
        <w:t>Form 8-K, filed on February 10, 2017)</w:t>
      </w:r>
    </w:p>
    <w:p>
      <w:pPr>
        <w:spacing w:after="0" w:line="1" w:lineRule="exact"/>
        <w:rPr>
          <w:sz w:val="20"/>
          <w:szCs w:val="20"/>
          <w:color w:val="auto"/>
        </w:rPr>
      </w:pPr>
    </w:p>
    <w:p>
      <w:pPr>
        <w:jc w:val="both"/>
        <w:ind w:left="900" w:hanging="834"/>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10.15</w:t>
      </w:r>
      <w:r>
        <w:rPr>
          <w:sz w:val="20"/>
          <w:szCs w:val="20"/>
          <w:color w:val="auto"/>
        </w:rPr>
        <w:tab/>
      </w:r>
      <w:hyperlink r:id="rId100">
        <w:r>
          <w:rPr>
            <w:rFonts w:ascii="Arial" w:cs="Arial" w:eastAsia="Arial" w:hAnsi="Arial"/>
            <w:sz w:val="18"/>
            <w:szCs w:val="18"/>
            <w:u w:val="single" w:color="auto"/>
            <w:color w:val="0000FF"/>
          </w:rPr>
          <w:t>Amendment No. 2, dated October 25, 2017, to the Credit Agreement dated November 10, 2015, between NMI Holdings, Inc., the</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lender 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w:t>
        </w:r>
      </w:hyperlink>
      <w:r>
        <w:rPr>
          <w:rFonts w:ascii="Arial" w:cs="Arial" w:eastAsia="Arial" w:hAnsi="Arial"/>
          <w:sz w:val="18"/>
          <w:szCs w:val="18"/>
          <w:color w:val="0000FF"/>
        </w:rPr>
        <w:t xml:space="preserve"> </w:t>
      </w:r>
      <w:r>
        <w:rPr>
          <w:rFonts w:ascii="Arial" w:cs="Arial" w:eastAsia="Arial" w:hAnsi="Arial"/>
          <w:sz w:val="18"/>
          <w:szCs w:val="18"/>
          <w:color w:val="000000"/>
        </w:rPr>
        <w:t>Form 8-K, filed on October 26, 2017)</w:t>
      </w:r>
    </w:p>
    <w:p>
      <w:pPr>
        <w:spacing w:after="0" w:line="1" w:lineRule="exact"/>
        <w:rPr>
          <w:sz w:val="20"/>
          <w:szCs w:val="20"/>
          <w:color w:val="auto"/>
        </w:rPr>
      </w:pPr>
    </w:p>
    <w:p>
      <w:pPr>
        <w:jc w:val="both"/>
        <w:ind w:left="900" w:hanging="834"/>
        <w:spacing w:after="0" w:line="23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10.16</w:t>
      </w:r>
      <w:r>
        <w:rPr>
          <w:sz w:val="20"/>
          <w:szCs w:val="20"/>
          <w:color w:val="auto"/>
        </w:rPr>
        <w:tab/>
      </w:r>
      <w:hyperlink r:id="rId101">
        <w:r>
          <w:rPr>
            <w:rFonts w:ascii="Arial" w:cs="Arial" w:eastAsia="Arial" w:hAnsi="Arial"/>
            <w:sz w:val="18"/>
            <w:szCs w:val="18"/>
            <w:u w:val="single" w:color="auto"/>
            <w:color w:val="0000FF"/>
          </w:rPr>
          <w:t>Credit Agreement, dated May 24, 2018, between NMI Holdings, Inc., the lender party thereto, and JPMorgan Chase Bank, N.A., as</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4.1 to our Form 8-K, filed on May 25, 2018)</w:t>
        </w:r>
      </w:hyperlink>
    </w:p>
    <w:p>
      <w:pPr>
        <w:spacing w:after="0" w:line="1" w:lineRule="exact"/>
        <w:rPr>
          <w:sz w:val="20"/>
          <w:szCs w:val="20"/>
          <w:color w:val="auto"/>
        </w:rPr>
      </w:pPr>
    </w:p>
    <w:p>
      <w:pPr>
        <w:ind w:left="900" w:right="120" w:hanging="834"/>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10.17</w:t>
      </w:r>
      <w:r>
        <w:rPr>
          <w:sz w:val="20"/>
          <w:szCs w:val="20"/>
          <w:color w:val="auto"/>
        </w:rPr>
        <w:tab/>
      </w:r>
      <w:hyperlink r:id="rId102">
        <w:r>
          <w:rPr>
            <w:rFonts w:ascii="Arial" w:cs="Arial" w:eastAsia="Arial" w:hAnsi="Arial"/>
            <w:sz w:val="18"/>
            <w:szCs w:val="18"/>
            <w:u w:val="single" w:color="auto"/>
            <w:color w:val="0000FF"/>
          </w:rPr>
          <w:t>Extension Amendment, dated as of March 20, 2020, to the Company's Credit Agreement, dated as of May 24, 2018, by and among the</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Company, the lender 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w:t>
        </w:r>
      </w:hyperlink>
      <w:r>
        <w:rPr>
          <w:rFonts w:ascii="Arial" w:cs="Arial" w:eastAsia="Arial" w:hAnsi="Arial"/>
          <w:sz w:val="18"/>
          <w:szCs w:val="18"/>
          <w:color w:val="0000FF"/>
        </w:rPr>
        <w:t xml:space="preserve"> </w:t>
      </w:r>
      <w:r>
        <w:rPr>
          <w:rFonts w:ascii="Arial" w:cs="Arial" w:eastAsia="Arial" w:hAnsi="Arial"/>
          <w:sz w:val="18"/>
          <w:szCs w:val="18"/>
          <w:color w:val="000000"/>
        </w:rPr>
        <w:t>Exhibit 10.1 to our Form 8-K filed on March 20, 2020)</w:t>
      </w:r>
    </w:p>
    <w:p>
      <w:pPr>
        <w:spacing w:after="0" w:line="1" w:lineRule="exact"/>
        <w:rPr>
          <w:sz w:val="20"/>
          <w:szCs w:val="20"/>
          <w:color w:val="auto"/>
        </w:rPr>
      </w:pPr>
    </w:p>
    <w:p>
      <w:pPr>
        <w:ind w:left="900" w:right="20" w:hanging="834"/>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10.18</w:t>
      </w:r>
      <w:r>
        <w:rPr>
          <w:sz w:val="20"/>
          <w:szCs w:val="20"/>
          <w:color w:val="auto"/>
        </w:rPr>
        <w:tab/>
      </w:r>
      <w:hyperlink r:id="rId103">
        <w:r>
          <w:rPr>
            <w:rFonts w:ascii="Arial" w:cs="Arial" w:eastAsia="Arial" w:hAnsi="Arial"/>
            <w:sz w:val="18"/>
            <w:szCs w:val="18"/>
            <w:u w:val="single" w:color="auto"/>
            <w:color w:val="0000FF"/>
          </w:rPr>
          <w:t>Joinder Agreement, dated as of March 20, 2020, to the Company's Credit Agreement, dated as of May 24, 2018, by and among the</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Company, JPMorgan Chase Bank, N.A. as administrative agent, and Citibank, N.A.</w:t>
        </w:r>
        <w:r>
          <w:rPr>
            <w:rFonts w:ascii="Arial" w:cs="Arial" w:eastAsia="Arial" w:hAnsi="Arial"/>
            <w:sz w:val="18"/>
            <w:szCs w:val="18"/>
            <w:color w:val="0000FF"/>
          </w:rPr>
          <w:t xml:space="preserve"> </w:t>
        </w:r>
        <w:r>
          <w:rPr>
            <w:rFonts w:ascii="Arial" w:cs="Arial" w:eastAsia="Arial" w:hAnsi="Arial"/>
            <w:sz w:val="18"/>
            <w:szCs w:val="18"/>
            <w:color w:val="000000"/>
          </w:rPr>
          <w:t xml:space="preserve">(incorporated herein by reference to Exhibit </w:t>
        </w:r>
      </w:hyperlink>
      <w:r>
        <w:rPr>
          <w:rFonts w:ascii="Arial" w:cs="Arial" w:eastAsia="Arial" w:hAnsi="Arial"/>
          <w:sz w:val="18"/>
          <w:szCs w:val="18"/>
          <w:color w:val="0000FF"/>
        </w:rPr>
        <w:t xml:space="preserve">10.2 </w:t>
      </w:r>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our Form 8-K, filed on March 20, 2020)</w:t>
      </w:r>
    </w:p>
    <w:p>
      <w:pPr>
        <w:spacing w:after="0" w:line="1" w:lineRule="exact"/>
        <w:rPr>
          <w:sz w:val="20"/>
          <w:szCs w:val="20"/>
          <w:color w:val="auto"/>
        </w:rPr>
      </w:pPr>
    </w:p>
    <w:p>
      <w:pPr>
        <w:ind w:left="900" w:right="460" w:hanging="834"/>
        <w:spacing w:after="0" w:line="22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10.19</w:t>
      </w:r>
      <w:r>
        <w:rPr>
          <w:sz w:val="20"/>
          <w:szCs w:val="20"/>
          <w:color w:val="auto"/>
        </w:rPr>
        <w:tab/>
      </w:r>
      <w:hyperlink r:id="rId104">
        <w:r>
          <w:rPr>
            <w:rFonts w:ascii="Arial" w:cs="Arial" w:eastAsia="Arial" w:hAnsi="Arial"/>
            <w:sz w:val="18"/>
            <w:szCs w:val="18"/>
            <w:u w:val="single" w:color="auto"/>
            <w:color w:val="0000FF"/>
          </w:rPr>
          <w:t>Amendment No. 1, dated as of May 6, 2020, to the Company's Credit Agreement, dated as of May 24, 2018, by and among the</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Company, the lender 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 xml:space="preserve">(incorporated herein by reference </w:t>
        </w:r>
      </w:hyperlink>
      <w:r>
        <w:rPr>
          <w:rFonts w:ascii="Arial" w:cs="Arial" w:eastAsia="Arial" w:hAnsi="Arial"/>
          <w:sz w:val="18"/>
          <w:szCs w:val="18"/>
          <w:color w:val="0000FF"/>
        </w:rPr>
        <w:t xml:space="preserve">to </w:t>
      </w:r>
      <w:r>
        <w:rPr>
          <w:rFonts w:ascii="Arial" w:cs="Arial" w:eastAsia="Arial" w:hAnsi="Arial"/>
          <w:sz w:val="18"/>
          <w:szCs w:val="18"/>
          <w:color w:val="000000"/>
        </w:rPr>
        <w:t>Exhibit 10.1 to our Form 8-K filed on May 6, 2020)</w:t>
      </w:r>
    </w:p>
    <w:p>
      <w:pPr>
        <w:spacing w:after="0" w:line="1" w:lineRule="exact"/>
        <w:rPr>
          <w:sz w:val="20"/>
          <w:szCs w:val="20"/>
          <w:color w:val="auto"/>
        </w:rPr>
      </w:pPr>
    </w:p>
    <w:p>
      <w:pPr>
        <w:ind w:left="900" w:right="260" w:hanging="834"/>
        <w:spacing w:after="0" w:line="261"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10.20</w:t>
      </w:r>
      <w:r>
        <w:rPr>
          <w:sz w:val="20"/>
          <w:szCs w:val="20"/>
          <w:color w:val="auto"/>
        </w:rPr>
        <w:tab/>
      </w:r>
      <w:hyperlink w:anchor="page67">
        <w:r>
          <w:rPr>
            <w:rFonts w:ascii="Arial" w:cs="Arial" w:eastAsia="Arial" w:hAnsi="Arial"/>
            <w:sz w:val="18"/>
            <w:szCs w:val="18"/>
            <w:u w:val="single" w:color="auto"/>
            <w:color w:val="0000FF"/>
          </w:rPr>
          <w:t>Joinder Agreement, dated as of October 29, 2020, to the Company’s Credit Agreement, dated as of May 24, 2018, by and among the</w:t>
        </w:r>
      </w:hyperlink>
      <w:r>
        <w:rPr>
          <w:rFonts w:ascii="Arial" w:cs="Arial" w:eastAsia="Arial" w:hAnsi="Arial"/>
          <w:sz w:val="18"/>
          <w:szCs w:val="18"/>
          <w:u w:val="single" w:color="auto"/>
          <w:color w:val="0000FF"/>
        </w:rPr>
        <w:t xml:space="preserve"> </w:t>
      </w:r>
      <w:hyperlink w:anchor="page67">
        <w:r>
          <w:rPr>
            <w:rFonts w:ascii="Arial" w:cs="Arial" w:eastAsia="Arial" w:hAnsi="Arial"/>
            <w:sz w:val="18"/>
            <w:szCs w:val="18"/>
            <w:u w:val="single" w:color="auto"/>
            <w:color w:val="0000FF"/>
          </w:rPr>
          <w:t>Company, JPMorgan Chase Bank, N.A. as administrative a</w:t>
        </w:r>
        <w:r>
          <w:rPr>
            <w:rFonts w:ascii="Arial" w:cs="Arial" w:eastAsia="Arial" w:hAnsi="Arial"/>
            <w:sz w:val="18"/>
            <w:szCs w:val="18"/>
            <w:color w:val="0000FF"/>
          </w:rPr>
          <w:t xml:space="preserve">gent, </w:t>
        </w:r>
        <w:r>
          <w:rPr>
            <w:rFonts w:ascii="Arial" w:cs="Arial" w:eastAsia="Arial" w:hAnsi="Arial"/>
            <w:sz w:val="18"/>
            <w:szCs w:val="18"/>
            <w:u w:val="single" w:color="auto"/>
            <w:color w:val="0000FF"/>
          </w:rPr>
          <w:t>and Citibank, N.A</w:t>
        </w:r>
        <w:r>
          <w:rPr>
            <w:rFonts w:ascii="Arial" w:cs="Arial" w:eastAsia="Arial" w:hAnsi="Arial"/>
            <w:sz w:val="18"/>
            <w:szCs w:val="18"/>
            <w:color w:val="0000FF"/>
          </w:rPr>
          <w:t>.</w:t>
        </w:r>
      </w:hyperlink>
    </w:p>
    <w:p>
      <w:pPr>
        <w:spacing w:after="0" w:line="8" w:lineRule="exact"/>
        <w:rPr>
          <w:sz w:val="20"/>
          <w:szCs w:val="20"/>
          <w:color w:val="auto"/>
        </w:rPr>
      </w:pPr>
    </w:p>
    <w:p>
      <w:pPr>
        <w:ind w:left="900" w:hanging="905"/>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10.21 ~</w:t>
      </w:r>
      <w:r>
        <w:rPr>
          <w:sz w:val="20"/>
          <w:szCs w:val="20"/>
          <w:color w:val="auto"/>
        </w:rPr>
        <w:tab/>
      </w:r>
      <w:hyperlink r:id="rId105">
        <w:r>
          <w:rPr>
            <w:rFonts w:ascii="Arial" w:cs="Arial" w:eastAsia="Arial" w:hAnsi="Arial"/>
            <w:sz w:val="18"/>
            <w:szCs w:val="18"/>
            <w:u w:val="single" w:color="auto"/>
            <w:color w:val="0000FF"/>
          </w:rPr>
          <w:t xml:space="preserve">NMI Holdings, Inc. Amended and Restated 2014 Omnibus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Appendix A to our 2017</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Proxy Statement, filed on March 30, 2017)</w:t>
      </w:r>
    </w:p>
    <w:p>
      <w:pPr>
        <w:ind w:left="900" w:hanging="905"/>
        <w:spacing w:after="0" w:line="23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10.22 ~</w:t>
      </w:r>
      <w:r>
        <w:rPr>
          <w:sz w:val="20"/>
          <w:szCs w:val="20"/>
          <w:color w:val="auto"/>
        </w:rPr>
        <w:tab/>
      </w:r>
      <w:hyperlink r:id="rId106">
        <w:r>
          <w:rPr>
            <w:rFonts w:ascii="Arial" w:cs="Arial" w:eastAsia="Arial" w:hAnsi="Arial"/>
            <w:sz w:val="18"/>
            <w:szCs w:val="18"/>
            <w:u w:val="single" w:color="auto"/>
            <w:color w:val="0000FF"/>
          </w:rPr>
          <w:t>Form of NMI Holdings, Inc. Amended and Restated 2014 Omnibus Incentive Plan Restricted Stock Unit Award Agreement for Chief</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10.19 to our Form 10-Q filed on August 1, 2017)</w:t>
        </w:r>
      </w:hyperlink>
    </w:p>
    <w:p>
      <w:pPr>
        <w:spacing w:after="0" w:line="1" w:lineRule="exact"/>
        <w:rPr>
          <w:sz w:val="20"/>
          <w:szCs w:val="20"/>
          <w:color w:val="auto"/>
        </w:rPr>
      </w:pPr>
    </w:p>
    <w:p>
      <w:pPr>
        <w:ind w:left="900" w:hanging="905"/>
        <w:spacing w:after="0" w:line="23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10.23 ~</w:t>
      </w:r>
      <w:r>
        <w:rPr>
          <w:sz w:val="20"/>
          <w:szCs w:val="20"/>
          <w:color w:val="auto"/>
        </w:rPr>
        <w:tab/>
      </w:r>
      <w:hyperlink r:id="rId107">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Executive Officers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10.20 to our Form 10-Q filed on August 1, 2017)</w:t>
        </w:r>
      </w:hyperlink>
    </w:p>
    <w:p>
      <w:pPr>
        <w:spacing w:after="0" w:line="1" w:lineRule="exact"/>
        <w:rPr>
          <w:sz w:val="20"/>
          <w:szCs w:val="20"/>
          <w:color w:val="auto"/>
        </w:rPr>
      </w:pPr>
    </w:p>
    <w:p>
      <w:pPr>
        <w:ind w:left="900" w:hanging="905"/>
        <w:spacing w:after="0" w:line="23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10.24 ~</w:t>
      </w:r>
      <w:r>
        <w:rPr>
          <w:sz w:val="20"/>
          <w:szCs w:val="20"/>
          <w:color w:val="auto"/>
        </w:rPr>
        <w:tab/>
      </w:r>
      <w:hyperlink r:id="rId108">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10.21 to our Form 10-Q filed on August 1, 2017)</w:t>
        </w:r>
      </w:hyperlink>
    </w:p>
    <w:p>
      <w:pPr>
        <w:spacing w:after="0" w:line="1" w:lineRule="exact"/>
        <w:rPr>
          <w:sz w:val="20"/>
          <w:szCs w:val="20"/>
          <w:color w:val="auto"/>
        </w:rPr>
      </w:pPr>
    </w:p>
    <w:p>
      <w:pPr>
        <w:ind w:left="900" w:hanging="905"/>
        <w:spacing w:after="0" w:line="23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10.25 ~</w:t>
      </w:r>
      <w:r>
        <w:rPr>
          <w:sz w:val="20"/>
          <w:szCs w:val="20"/>
          <w:color w:val="auto"/>
        </w:rPr>
        <w:tab/>
      </w:r>
      <w:hyperlink r:id="rId109">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10.22 to our Form 10-Q filed on August 1, 2017)</w:t>
        </w:r>
      </w:hyperlink>
    </w:p>
    <w:p>
      <w:pPr>
        <w:spacing w:after="0" w:line="1" w:lineRule="exact"/>
        <w:rPr>
          <w:sz w:val="20"/>
          <w:szCs w:val="20"/>
          <w:color w:val="auto"/>
        </w:rPr>
      </w:pPr>
    </w:p>
    <w:p>
      <w:pPr>
        <w:ind w:left="900" w:hanging="905"/>
        <w:spacing w:after="0" w:line="248" w:lineRule="auto"/>
        <w:tabs>
          <w:tab w:leader="none" w:pos="880" w:val="left"/>
        </w:tabs>
        <w:rPr>
          <w:rFonts w:ascii="Arial" w:cs="Arial" w:eastAsia="Arial" w:hAnsi="Arial"/>
          <w:sz w:val="17"/>
          <w:szCs w:val="17"/>
          <w:color w:val="0000FF"/>
        </w:rPr>
      </w:pPr>
      <w:r>
        <w:rPr>
          <w:rFonts w:ascii="Arial" w:cs="Arial" w:eastAsia="Arial" w:hAnsi="Arial"/>
          <w:sz w:val="18"/>
          <w:szCs w:val="18"/>
          <w:color w:val="auto"/>
        </w:rPr>
        <w:t>10.26 ~</w:t>
      </w:r>
      <w:r>
        <w:rPr>
          <w:sz w:val="20"/>
          <w:szCs w:val="20"/>
          <w:color w:val="auto"/>
        </w:rPr>
        <w:tab/>
      </w:r>
      <w:hyperlink r:id="rId110">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110">
        <w:r>
          <w:rPr>
            <w:rFonts w:ascii="Arial" w:cs="Arial" w:eastAsia="Arial" w:hAnsi="Arial"/>
            <w:sz w:val="17"/>
            <w:szCs w:val="17"/>
            <w:u w:val="single" w:color="auto"/>
            <w:color w:val="0000FF"/>
          </w:rPr>
          <w:t>Chief Executive Officer</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10.23 to our Form 10-Q filed on August 1, 2017)</w:t>
        </w:r>
      </w:hyperlink>
    </w:p>
    <w:p>
      <w:pPr>
        <w:spacing w:after="0" w:line="1" w:lineRule="exact"/>
        <w:rPr>
          <w:sz w:val="20"/>
          <w:szCs w:val="20"/>
          <w:color w:val="auto"/>
        </w:rPr>
      </w:pPr>
    </w:p>
    <w:p>
      <w:pPr>
        <w:ind w:left="900" w:hanging="905"/>
        <w:spacing w:after="0" w:line="248" w:lineRule="auto"/>
        <w:tabs>
          <w:tab w:leader="none" w:pos="880" w:val="left"/>
        </w:tabs>
        <w:rPr>
          <w:rFonts w:ascii="Arial" w:cs="Arial" w:eastAsia="Arial" w:hAnsi="Arial"/>
          <w:sz w:val="17"/>
          <w:szCs w:val="17"/>
          <w:color w:val="0000FF"/>
        </w:rPr>
      </w:pPr>
      <w:r>
        <w:rPr>
          <w:rFonts w:ascii="Arial" w:cs="Arial" w:eastAsia="Arial" w:hAnsi="Arial"/>
          <w:sz w:val="18"/>
          <w:szCs w:val="18"/>
          <w:color w:val="auto"/>
        </w:rPr>
        <w:t>10.27 ~</w:t>
      </w:r>
      <w:r>
        <w:rPr>
          <w:sz w:val="20"/>
          <w:szCs w:val="20"/>
          <w:color w:val="auto"/>
        </w:rPr>
        <w:tab/>
      </w:r>
      <w:hyperlink r:id="rId111">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111">
        <w:r>
          <w:rPr>
            <w:rFonts w:ascii="Arial" w:cs="Arial" w:eastAsia="Arial" w:hAnsi="Arial"/>
            <w:sz w:val="17"/>
            <w:szCs w:val="17"/>
            <w:u w:val="single" w:color="auto"/>
            <w:color w:val="0000FF"/>
          </w:rPr>
          <w:t>Executive Officers and Employees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10.24 to our Form 10-Q filed on August 1, 2017)</w:t>
        </w:r>
      </w:hyperlink>
    </w:p>
    <w:p>
      <w:pPr>
        <w:spacing w:after="0" w:line="1" w:lineRule="exact"/>
        <w:rPr>
          <w:sz w:val="20"/>
          <w:szCs w:val="20"/>
          <w:color w:val="auto"/>
        </w:rPr>
      </w:pPr>
    </w:p>
    <w:p>
      <w:pPr>
        <w:ind w:left="900" w:hanging="905"/>
        <w:spacing w:after="0" w:line="234" w:lineRule="auto"/>
        <w:tabs>
          <w:tab w:leader="none" w:pos="880" w:val="left"/>
        </w:tabs>
        <w:rPr>
          <w:rFonts w:ascii="Arial" w:cs="Arial" w:eastAsia="Arial" w:hAnsi="Arial"/>
          <w:sz w:val="18"/>
          <w:szCs w:val="18"/>
          <w:color w:val="0000FF"/>
        </w:rPr>
      </w:pPr>
      <w:r>
        <w:rPr>
          <w:rFonts w:ascii="Arial" w:cs="Arial" w:eastAsia="Arial" w:hAnsi="Arial"/>
          <w:sz w:val="18"/>
          <w:szCs w:val="18"/>
          <w:color w:val="auto"/>
        </w:rPr>
        <w:t>10.28 ~</w:t>
      </w:r>
      <w:r>
        <w:rPr>
          <w:sz w:val="20"/>
          <w:szCs w:val="20"/>
          <w:color w:val="auto"/>
        </w:rPr>
        <w:tab/>
      </w:r>
      <w:hyperlink r:id="rId112">
        <w:r>
          <w:rPr>
            <w:rFonts w:ascii="Arial" w:cs="Arial" w:eastAsia="Arial" w:hAnsi="Arial"/>
            <w:sz w:val="18"/>
            <w:szCs w:val="18"/>
            <w:u w:val="single" w:color="auto"/>
            <w:color w:val="0000FF"/>
          </w:rPr>
          <w:t>Form of NMI Holdings, Inc. 2014 Omnibus Incentive Plan Performance Based Restricted Stock Unit Award Agreement for Chief</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10.26 to our Form 10-K, filed on February 17, 2017)</w:t>
        </w:r>
      </w:hyperlink>
    </w:p>
    <w:p>
      <w:pPr>
        <w:spacing w:after="0" w:line="235"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10.29 ~</w:t>
      </w:r>
      <w:r>
        <w:rPr>
          <w:sz w:val="20"/>
          <w:szCs w:val="20"/>
          <w:color w:val="auto"/>
        </w:rPr>
        <w:tab/>
      </w:r>
      <w:hyperlink r:id="rId113">
        <w:r>
          <w:rPr>
            <w:rFonts w:ascii="Arial" w:cs="Arial" w:eastAsia="Arial" w:hAnsi="Arial"/>
            <w:sz w:val="17"/>
            <w:szCs w:val="17"/>
            <w:u w:val="single" w:color="auto"/>
            <w:color w:val="0000FF"/>
          </w:rPr>
          <w:t xml:space="preserve">NMI Holdings, Inc. Severance Benefit Plan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10.1 to our Form 8-K, filed on February 17,</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2016)</w:t>
      </w:r>
    </w:p>
    <w:p>
      <w:pPr>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10.30 ~</w:t>
      </w:r>
      <w:r>
        <w:rPr>
          <w:sz w:val="20"/>
          <w:szCs w:val="20"/>
          <w:color w:val="auto"/>
        </w:rPr>
        <w:tab/>
      </w:r>
      <w:hyperlink r:id="rId114">
        <w:r>
          <w:rPr>
            <w:rFonts w:ascii="Arial" w:cs="Arial" w:eastAsia="Arial" w:hAnsi="Arial"/>
            <w:sz w:val="17"/>
            <w:szCs w:val="17"/>
            <w:u w:val="single" w:color="auto"/>
            <w:color w:val="0000FF"/>
          </w:rPr>
          <w:t>NMI Holdings, Inc. Amended and Restated Change in Control Severance Benefit Plan (incorporated herein by reference to Exhibit</w:t>
        </w:r>
      </w:hyperlink>
    </w:p>
    <w:p>
      <w:pPr>
        <w:ind w:left="900"/>
        <w:spacing w:after="0"/>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10.30 to our Form 10-Q, filed on October 30, 2018)</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700" w:top="1232" w:right="499" w:bottom="1440" w:gutter="0" w:footer="0" w:header="0"/>
        </w:sectPr>
      </w:pPr>
    </w:p>
    <w:bookmarkStart w:id="64" w:name="page65"/>
    <w:bookmarkEnd w:id="64"/>
    <w:p>
      <w:pPr>
        <w:ind w:left="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10.31 ~</w:t>
      </w:r>
      <w:r>
        <w:rPr>
          <w:sz w:val="20"/>
          <w:szCs w:val="20"/>
          <w:color w:val="auto"/>
        </w:rPr>
        <w:tab/>
      </w:r>
      <w:hyperlink r:id="rId116">
        <w:r>
          <w:rPr>
            <w:rFonts w:ascii="Arial" w:cs="Arial" w:eastAsia="Arial" w:hAnsi="Arial"/>
            <w:sz w:val="16"/>
            <w:szCs w:val="16"/>
            <w:u w:val="single" w:color="auto"/>
            <w:color w:val="0000FF"/>
          </w:rPr>
          <w:t xml:space="preserve">NMI Holdings, Inc. Clawback Policy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10.2 to our Form 8-K, filed on February 23, 2017)</w:t>
      </w:r>
    </w:p>
    <w:p>
      <w:pPr>
        <w:spacing w:after="0" w:line="23"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10.32 ~</w:t>
      </w:r>
      <w:r>
        <w:rPr>
          <w:sz w:val="20"/>
          <w:szCs w:val="20"/>
          <w:color w:val="auto"/>
        </w:rPr>
        <w:tab/>
      </w:r>
      <w:hyperlink r:id="rId117">
        <w:r>
          <w:rPr>
            <w:rFonts w:ascii="Arial" w:cs="Arial" w:eastAsia="Arial" w:hAnsi="Arial"/>
            <w:sz w:val="18"/>
            <w:szCs w:val="18"/>
            <w:u w:val="single" w:color="auto"/>
            <w:color w:val="0000FF"/>
          </w:rPr>
          <w:t xml:space="preserve">Employment Letter by and between NMI Holdings, Inc. and Bradley M. Shuster,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by reference to Exhibit 10.1 to our Form 8-K, filed on December 28, 2018)</w:t>
      </w:r>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10.33 ~</w:t>
      </w:r>
      <w:r>
        <w:rPr>
          <w:sz w:val="20"/>
          <w:szCs w:val="20"/>
          <w:color w:val="auto"/>
        </w:rPr>
        <w:tab/>
      </w:r>
      <w:hyperlink r:id="rId118">
        <w:r>
          <w:rPr>
            <w:rFonts w:ascii="Arial" w:cs="Arial" w:eastAsia="Arial" w:hAnsi="Arial"/>
            <w:sz w:val="18"/>
            <w:szCs w:val="18"/>
            <w:u w:val="single" w:color="auto"/>
            <w:color w:val="0000FF"/>
          </w:rPr>
          <w:t xml:space="preserve">Employment Letter by and between NMI Holdings, Inc. and Claudia J. Merkle,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10.2 to our Form 8-K, filed on December 28, 2018)</w:t>
      </w:r>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10.34 ~</w:t>
      </w:r>
      <w:r>
        <w:rPr>
          <w:sz w:val="20"/>
          <w:szCs w:val="20"/>
          <w:color w:val="auto"/>
        </w:rPr>
        <w:tab/>
      </w:r>
      <w:hyperlink r:id="rId119">
        <w:r>
          <w:rPr>
            <w:rFonts w:ascii="Arial" w:cs="Arial" w:eastAsia="Arial" w:hAnsi="Arial"/>
            <w:sz w:val="18"/>
            <w:szCs w:val="18"/>
            <w:u w:val="single" w:color="auto"/>
            <w:color w:val="0000FF"/>
          </w:rPr>
          <w:t>Form of NMI Holdings, Inc. 2012 Stock Incentive Plan Restricted Stock Unit Award Agreement for Independent Directors</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herein by reference to Exhibit 10.30 to our Form 10-Q, filed on May 2, 2019)</w:t>
      </w:r>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10.35 ~</w:t>
      </w:r>
      <w:r>
        <w:rPr>
          <w:sz w:val="20"/>
          <w:szCs w:val="20"/>
          <w:color w:val="auto"/>
        </w:rPr>
        <w:tab/>
      </w:r>
      <w:hyperlink r:id="rId120">
        <w:r>
          <w:rPr>
            <w:rFonts w:ascii="Arial" w:cs="Arial" w:eastAsia="Arial" w:hAnsi="Arial"/>
            <w:sz w:val="18"/>
            <w:szCs w:val="18"/>
            <w:u w:val="single" w:color="auto"/>
            <w:color w:val="0000FF"/>
          </w:rPr>
          <w:t xml:space="preserve">Form of NMI Holdings, Inc. 2012 Stock Incentive Plan Restricted Stock Unit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10.31 to our Form 10-Q, filed on May 2, 2019)</w:t>
      </w:r>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10.36 ~</w:t>
      </w:r>
      <w:r>
        <w:rPr>
          <w:sz w:val="20"/>
          <w:szCs w:val="20"/>
          <w:color w:val="auto"/>
        </w:rPr>
        <w:tab/>
      </w:r>
      <w:hyperlink r:id="rId121">
        <w:r>
          <w:rPr>
            <w:rFonts w:ascii="Arial" w:cs="Arial" w:eastAsia="Arial" w:hAnsi="Arial"/>
            <w:sz w:val="18"/>
            <w:szCs w:val="18"/>
            <w:u w:val="single" w:color="auto"/>
            <w:color w:val="0000FF"/>
          </w:rPr>
          <w:t xml:space="preserve">Form of NMI Holdings, Inc. 2012 Stock Incentive Plan Nonqualified Stock Option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10.32 to our Form 10-Q, filed on May 2, 2019)</w:t>
      </w:r>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color w:val="0000FF"/>
        </w:rPr>
      </w:pPr>
      <w:r>
        <w:rPr>
          <w:rFonts w:ascii="Arial" w:cs="Arial" w:eastAsia="Arial" w:hAnsi="Arial"/>
          <w:sz w:val="18"/>
          <w:szCs w:val="18"/>
          <w:color w:val="auto"/>
        </w:rPr>
        <w:t>10.37 ~</w:t>
      </w:r>
      <w:r>
        <w:rPr>
          <w:sz w:val="20"/>
          <w:szCs w:val="20"/>
          <w:color w:val="auto"/>
        </w:rPr>
        <w:tab/>
      </w:r>
      <w:hyperlink r:id="rId122">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10.33 to our Form 10-Q, filed on May 2, 2019)</w:t>
        </w:r>
      </w:hyperlink>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color w:val="0000FF"/>
        </w:rPr>
      </w:pPr>
      <w:r>
        <w:rPr>
          <w:rFonts w:ascii="Arial" w:cs="Arial" w:eastAsia="Arial" w:hAnsi="Arial"/>
          <w:sz w:val="18"/>
          <w:szCs w:val="18"/>
          <w:color w:val="auto"/>
        </w:rPr>
        <w:t>10.38 ~</w:t>
      </w:r>
      <w:r>
        <w:rPr>
          <w:sz w:val="20"/>
          <w:szCs w:val="20"/>
          <w:color w:val="auto"/>
        </w:rPr>
        <w:tab/>
      </w:r>
      <w:hyperlink r:id="rId123">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10.34 to our Form 10-Q, filed on May 2, 2019)</w:t>
        </w:r>
      </w:hyperlink>
    </w:p>
    <w:p>
      <w:pPr>
        <w:spacing w:after="0" w:line="1" w:lineRule="exact"/>
        <w:rPr>
          <w:sz w:val="20"/>
          <w:szCs w:val="20"/>
          <w:color w:val="auto"/>
        </w:rPr>
      </w:pPr>
    </w:p>
    <w:p>
      <w:pPr>
        <w:ind w:left="940" w:hanging="905"/>
        <w:spacing w:after="0" w:line="234" w:lineRule="auto"/>
        <w:tabs>
          <w:tab w:leader="none" w:pos="920" w:val="left"/>
        </w:tabs>
        <w:rPr>
          <w:rFonts w:ascii="Arial" w:cs="Arial" w:eastAsia="Arial" w:hAnsi="Arial"/>
          <w:sz w:val="18"/>
          <w:szCs w:val="18"/>
          <w:color w:val="0000FF"/>
        </w:rPr>
      </w:pPr>
      <w:r>
        <w:rPr>
          <w:rFonts w:ascii="Arial" w:cs="Arial" w:eastAsia="Arial" w:hAnsi="Arial"/>
          <w:sz w:val="18"/>
          <w:szCs w:val="18"/>
          <w:color w:val="auto"/>
        </w:rPr>
        <w:t>10.39 ~</w:t>
      </w:r>
      <w:r>
        <w:rPr>
          <w:sz w:val="20"/>
          <w:szCs w:val="20"/>
          <w:color w:val="auto"/>
        </w:rPr>
        <w:tab/>
      </w:r>
      <w:hyperlink r:id="rId124">
        <w:r>
          <w:rPr>
            <w:rFonts w:ascii="Arial" w:cs="Arial" w:eastAsia="Arial" w:hAnsi="Arial"/>
            <w:sz w:val="18"/>
            <w:szCs w:val="18"/>
            <w:u w:val="single" w:color="auto"/>
            <w:color w:val="0000FF"/>
          </w:rPr>
          <w:t>Form of NMI Holdings, Inc. Amended and Restated 2014 Omnibus Incentive Plan Nonqualified Stock Option Agreement for</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10.35 to our Form 10-Q, filed on May 2, 2019)</w:t>
        </w:r>
      </w:hyperlink>
    </w:p>
    <w:p>
      <w:pPr>
        <w:spacing w:after="0" w:line="1" w:lineRule="exact"/>
        <w:rPr>
          <w:sz w:val="20"/>
          <w:szCs w:val="20"/>
          <w:color w:val="auto"/>
        </w:rPr>
      </w:pPr>
    </w:p>
    <w:p>
      <w:pPr>
        <w:ind w:left="940" w:right="900" w:hanging="905"/>
        <w:spacing w:after="0" w:line="264" w:lineRule="auto"/>
        <w:tabs>
          <w:tab w:leader="none" w:pos="920" w:val="left"/>
        </w:tabs>
        <w:rPr>
          <w:rFonts w:ascii="Arial" w:cs="Arial" w:eastAsia="Arial" w:hAnsi="Arial"/>
          <w:sz w:val="16"/>
          <w:szCs w:val="16"/>
          <w:color w:val="0000FF"/>
        </w:rPr>
      </w:pPr>
      <w:r>
        <w:rPr>
          <w:rFonts w:ascii="Arial" w:cs="Arial" w:eastAsia="Arial" w:hAnsi="Arial"/>
          <w:sz w:val="18"/>
          <w:szCs w:val="18"/>
          <w:color w:val="auto"/>
        </w:rPr>
        <w:t>10.40 ~</w:t>
      </w:r>
      <w:r>
        <w:rPr>
          <w:sz w:val="20"/>
          <w:szCs w:val="20"/>
          <w:color w:val="auto"/>
        </w:rPr>
        <w:tab/>
      </w:r>
      <w:hyperlink r:id="rId125">
        <w:r>
          <w:rPr>
            <w:rFonts w:ascii="Arial" w:cs="Arial" w:eastAsia="Arial" w:hAnsi="Arial"/>
            <w:sz w:val="16"/>
            <w:szCs w:val="16"/>
            <w:u w:val="single" w:color="auto"/>
            <w:color w:val="0000FF"/>
          </w:rPr>
          <w:t>Form of NMI Holdings, Inc. Amended and Restated 2014 Omnibus Incentive Plan Restricted Stock Unit Award Agreement</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(Performance Based)</w:t>
        </w:r>
        <w:r>
          <w:rPr>
            <w:rFonts w:ascii="Arial" w:cs="Arial" w:eastAsia="Arial" w:hAnsi="Arial"/>
            <w:sz w:val="16"/>
            <w:szCs w:val="16"/>
            <w:color w:val="0000FF"/>
          </w:rPr>
          <w:t xml:space="preserve"> </w:t>
        </w:r>
        <w:r>
          <w:rPr>
            <w:rFonts w:ascii="Arial" w:cs="Arial" w:eastAsia="Arial" w:hAnsi="Arial"/>
            <w:sz w:val="16"/>
            <w:szCs w:val="16"/>
            <w:color w:val="000000"/>
          </w:rPr>
          <w:t>(incorporated herein by reference to Exhibit 10.38 to our Form 10-Q, filed on May 7, 2020)</w:t>
        </w:r>
      </w:hyperlink>
    </w:p>
    <w:p>
      <w:pPr>
        <w:ind w:left="16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126">
        <w:r>
          <w:rPr>
            <w:rFonts w:ascii="Arial" w:cs="Arial" w:eastAsia="Arial" w:hAnsi="Arial"/>
            <w:sz w:val="16"/>
            <w:szCs w:val="16"/>
            <w:u w:val="single" w:color="auto"/>
            <w:color w:val="0000FF"/>
          </w:rPr>
          <w:t>Subsidiaries of NMI Holdings, Inc</w:t>
        </w:r>
        <w:r>
          <w:rPr>
            <w:rFonts w:ascii="Arial" w:cs="Arial" w:eastAsia="Arial" w:hAnsi="Arial"/>
            <w:sz w:val="16"/>
            <w:szCs w:val="16"/>
            <w:color w:val="0000FF"/>
          </w:rPr>
          <w:t>.</w:t>
        </w:r>
        <w:r>
          <w:rPr>
            <w:rFonts w:ascii="Arial" w:cs="Arial" w:eastAsia="Arial" w:hAnsi="Arial"/>
            <w:sz w:val="16"/>
            <w:szCs w:val="16"/>
            <w:u w:val="single" w:color="auto"/>
            <w:color w:val="0000FF"/>
          </w:rPr>
          <w:t xml:space="preserve">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spacing w:after="0" w:line="23" w:lineRule="exact"/>
        <w:rPr>
          <w:sz w:val="20"/>
          <w:szCs w:val="20"/>
          <w:color w:val="auto"/>
        </w:rPr>
      </w:pPr>
    </w:p>
    <w:p>
      <w:pPr>
        <w:ind w:left="16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73">
        <w:r>
          <w:rPr>
            <w:rFonts w:ascii="Arial" w:cs="Arial" w:eastAsia="Arial" w:hAnsi="Arial"/>
            <w:sz w:val="16"/>
            <w:szCs w:val="16"/>
            <w:u w:val="single" w:color="auto"/>
            <w:color w:val="0000FF"/>
          </w:rPr>
          <w:t>Principal Executive Officer's Certification Pursuant to Section 302 of the Sarbanes-Oxley Act of 2002</w:t>
        </w:r>
      </w:hyperlink>
    </w:p>
    <w:p>
      <w:pPr>
        <w:spacing w:after="0" w:line="23" w:lineRule="exact"/>
        <w:rPr>
          <w:sz w:val="20"/>
          <w:szCs w:val="20"/>
          <w:color w:val="auto"/>
        </w:rPr>
      </w:pPr>
    </w:p>
    <w:p>
      <w:pPr>
        <w:ind w:left="16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74">
        <w:r>
          <w:rPr>
            <w:rFonts w:ascii="Arial" w:cs="Arial" w:eastAsia="Arial" w:hAnsi="Arial"/>
            <w:sz w:val="16"/>
            <w:szCs w:val="16"/>
            <w:u w:val="single" w:color="auto"/>
            <w:color w:val="0000FF"/>
          </w:rPr>
          <w:t>Principal Financial Officer's Certification Pursuant to Section 302 of the Sarbanes-Oxley Act of 2002</w:t>
        </w:r>
      </w:hyperlink>
    </w:p>
    <w:p>
      <w:pPr>
        <w:spacing w:after="0" w:line="6" w:lineRule="exact"/>
        <w:rPr>
          <w:sz w:val="20"/>
          <w:szCs w:val="20"/>
          <w:color w:val="auto"/>
        </w:rPr>
      </w:pPr>
    </w:p>
    <w:p>
      <w:pPr>
        <w:ind w:left="8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32.1 #</w:t>
      </w:r>
      <w:r>
        <w:rPr>
          <w:sz w:val="20"/>
          <w:szCs w:val="20"/>
          <w:color w:val="auto"/>
        </w:rPr>
        <w:tab/>
      </w:r>
      <w:hyperlink w:anchor="page75">
        <w:r>
          <w:rPr>
            <w:rFonts w:ascii="Arial" w:cs="Arial" w:eastAsia="Arial" w:hAnsi="Arial"/>
            <w:sz w:val="16"/>
            <w:szCs w:val="16"/>
            <w:u w:val="single" w:color="auto"/>
            <w:color w:val="0000FF"/>
          </w:rPr>
          <w:t>Certifications of CEO and CFO Pursuant to 18 U.S.C. Section 1350, as Adopted Pursuant to Section 906 of the Sarbanes-Oxley Act of</w:t>
        </w:r>
      </w:hyperlink>
    </w:p>
    <w:p>
      <w:pPr>
        <w:ind w:left="94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2002</w:t>
        </w:r>
      </w:hyperlink>
    </w:p>
    <w:p>
      <w:pPr>
        <w:spacing w:after="0" w:line="3" w:lineRule="exact"/>
        <w:rPr>
          <w:sz w:val="20"/>
          <w:szCs w:val="20"/>
          <w:color w:val="auto"/>
        </w:rPr>
      </w:pPr>
    </w:p>
    <w:p>
      <w:pPr>
        <w:ind w:left="940" w:hanging="766"/>
        <w:spacing w:after="0"/>
        <w:tabs>
          <w:tab w:leader="none" w:pos="9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following financial information from NMI Holdings, Inc.'s Quarterly Report on Form 10-Q for the quarter ended September 30,</w:t>
      </w:r>
    </w:p>
    <w:p>
      <w:pPr>
        <w:ind w:left="940"/>
        <w:spacing w:after="0"/>
        <w:rPr>
          <w:rFonts w:ascii="Arial" w:cs="Arial" w:eastAsia="Arial" w:hAnsi="Arial"/>
          <w:sz w:val="17"/>
          <w:szCs w:val="17"/>
          <w:color w:val="auto"/>
        </w:rPr>
      </w:pPr>
      <w:r>
        <w:rPr>
          <w:rFonts w:ascii="Arial" w:cs="Arial" w:eastAsia="Arial" w:hAnsi="Arial"/>
          <w:sz w:val="18"/>
          <w:szCs w:val="18"/>
          <w:color w:val="auto"/>
        </w:rPr>
        <w:t>2020 formatted in XBRL (eXtensible Business Reporting Language):</w:t>
      </w:r>
    </w:p>
    <w:p>
      <w:pPr>
        <w:spacing w:after="0" w:line="7" w:lineRule="exact"/>
        <w:rPr>
          <w:rFonts w:ascii="Arial" w:cs="Arial" w:eastAsia="Arial" w:hAnsi="Arial"/>
          <w:sz w:val="17"/>
          <w:szCs w:val="17"/>
          <w:color w:val="auto"/>
        </w:rPr>
      </w:pPr>
    </w:p>
    <w:p>
      <w:pPr>
        <w:ind w:left="1160" w:hanging="219"/>
        <w:spacing w:after="0"/>
        <w:tabs>
          <w:tab w:leader="none" w:pos="11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Condensed Consolidated Balance Sheets as of September 30, 2020 and December 31, 2019;</w:t>
      </w:r>
    </w:p>
    <w:p>
      <w:pPr>
        <w:spacing w:after="0" w:line="22" w:lineRule="exact"/>
        <w:rPr>
          <w:rFonts w:ascii="Arial" w:cs="Arial" w:eastAsia="Arial" w:hAnsi="Arial"/>
          <w:sz w:val="18"/>
          <w:szCs w:val="18"/>
          <w:color w:val="auto"/>
        </w:rPr>
      </w:pPr>
    </w:p>
    <w:p>
      <w:pPr>
        <w:ind w:left="940" w:right="680" w:firstLine="1"/>
        <w:spacing w:after="0" w:line="234" w:lineRule="auto"/>
        <w:tabs>
          <w:tab w:leader="none" w:pos="1205" w:val="left"/>
        </w:tabs>
        <w:numPr>
          <w:ilvl w:val="2"/>
          <w:numId w:val="35"/>
        </w:numPr>
        <w:rPr>
          <w:rFonts w:ascii="Arial" w:cs="Arial" w:eastAsia="Arial" w:hAnsi="Arial"/>
          <w:sz w:val="18"/>
          <w:szCs w:val="18"/>
          <w:color w:val="auto"/>
        </w:rPr>
      </w:pPr>
      <w:r>
        <w:rPr>
          <w:rFonts w:ascii="Arial" w:cs="Arial" w:eastAsia="Arial" w:hAnsi="Arial"/>
          <w:sz w:val="18"/>
          <w:szCs w:val="18"/>
          <w:color w:val="auto"/>
        </w:rPr>
        <w:t>Condensed Consolidated Statements of Operations and Comprehensive Income (Loss) for the three and nine months ended September 30, 2020 and 2019;</w:t>
      </w:r>
    </w:p>
    <w:p>
      <w:pPr>
        <w:spacing w:after="0" w:line="1" w:lineRule="exact"/>
        <w:rPr>
          <w:rFonts w:ascii="Arial" w:cs="Arial" w:eastAsia="Arial" w:hAnsi="Arial"/>
          <w:sz w:val="18"/>
          <w:szCs w:val="18"/>
          <w:color w:val="auto"/>
        </w:rPr>
      </w:pPr>
    </w:p>
    <w:p>
      <w:pPr>
        <w:ind w:left="1260" w:hanging="319"/>
        <w:spacing w:after="0"/>
        <w:tabs>
          <w:tab w:leader="none" w:pos="1260" w:val="left"/>
        </w:tabs>
        <w:numPr>
          <w:ilvl w:val="2"/>
          <w:numId w:val="35"/>
        </w:numPr>
        <w:rPr>
          <w:rFonts w:ascii="Arial" w:cs="Arial" w:eastAsia="Arial" w:hAnsi="Arial"/>
          <w:sz w:val="16"/>
          <w:szCs w:val="16"/>
          <w:color w:val="auto"/>
        </w:rPr>
      </w:pPr>
      <w:r>
        <w:rPr>
          <w:rFonts w:ascii="Arial" w:cs="Arial" w:eastAsia="Arial" w:hAnsi="Arial"/>
          <w:sz w:val="16"/>
          <w:szCs w:val="16"/>
          <w:color w:val="auto"/>
        </w:rPr>
        <w:t>Condensed Consolidated Statements of Changes in Shareholders' Equity for the nine months ended September 30, 2020 and 2019;</w:t>
      </w:r>
    </w:p>
    <w:p>
      <w:pPr>
        <w:spacing w:after="0" w:line="45" w:lineRule="exact"/>
        <w:rPr>
          <w:rFonts w:ascii="Arial" w:cs="Arial" w:eastAsia="Arial" w:hAnsi="Arial"/>
          <w:sz w:val="16"/>
          <w:szCs w:val="16"/>
          <w:color w:val="auto"/>
        </w:rPr>
      </w:pPr>
    </w:p>
    <w:p>
      <w:pPr>
        <w:ind w:left="1240" w:hanging="299"/>
        <w:spacing w:after="0"/>
        <w:tabs>
          <w:tab w:leader="none" w:pos="12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nine months ended September 30, 2020 and 2019; and</w:t>
      </w:r>
    </w:p>
    <w:p>
      <w:pPr>
        <w:spacing w:after="0" w:line="22" w:lineRule="exact"/>
        <w:rPr>
          <w:rFonts w:ascii="Arial" w:cs="Arial" w:eastAsia="Arial" w:hAnsi="Arial"/>
          <w:sz w:val="18"/>
          <w:szCs w:val="18"/>
          <w:color w:val="auto"/>
        </w:rPr>
      </w:pPr>
    </w:p>
    <w:p>
      <w:pPr>
        <w:ind w:left="940" w:right="40" w:firstLine="1"/>
        <w:spacing w:after="0" w:line="234" w:lineRule="auto"/>
        <w:tabs>
          <w:tab w:leader="none" w:pos="1195" w:val="left"/>
        </w:tabs>
        <w:numPr>
          <w:ilvl w:val="2"/>
          <w:numId w:val="35"/>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The instance document does not appear in the Interactive Data File because XBRL tags are embedded within the Inline XBRL document.</w:t>
      </w:r>
    </w:p>
    <w:p>
      <w:pPr>
        <w:spacing w:after="0" w:line="383" w:lineRule="exact"/>
        <w:rPr>
          <w:rFonts w:ascii="Arial" w:cs="Arial" w:eastAsia="Arial" w:hAnsi="Arial"/>
          <w:sz w:val="18"/>
          <w:szCs w:val="18"/>
          <w:color w:val="auto"/>
        </w:rPr>
      </w:pPr>
    </w:p>
    <w:p>
      <w:pPr>
        <w:ind w:left="280" w:hanging="277"/>
        <w:spacing w:after="0"/>
        <w:tabs>
          <w:tab w:leader="none" w:pos="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32" w:lineRule="exact"/>
        <w:rPr>
          <w:sz w:val="20"/>
          <w:szCs w:val="20"/>
          <w:color w:val="auto"/>
        </w:rPr>
      </w:pPr>
    </w:p>
    <w:p>
      <w:pPr>
        <w:ind w:left="280" w:hanging="277"/>
        <w:spacing w:after="0"/>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Confidential treatment granted as to certain portions, which portions have been filed separately with the SEC.</w:t>
      </w:r>
    </w:p>
    <w:p>
      <w:pPr>
        <w:spacing w:after="0" w:line="32" w:lineRule="exact"/>
        <w:rPr>
          <w:sz w:val="20"/>
          <w:szCs w:val="20"/>
          <w:color w:val="auto"/>
        </w:rPr>
      </w:pPr>
    </w:p>
    <w:p>
      <w:pPr>
        <w:ind w:left="280" w:right="200" w:hanging="277"/>
        <w:spacing w:after="0" w:line="248" w:lineRule="auto"/>
        <w:tabs>
          <w:tab w:leader="none" w:pos="2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660" w:top="1232" w:right="49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NMI HOLDINGS, INC.</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 November 5, 2020</w:t>
      </w:r>
    </w:p>
    <w:p>
      <w:pPr>
        <w:spacing w:after="0" w:line="27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-10160</wp:posOffset>
            </wp:positionV>
            <wp:extent cx="14376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3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Name: Adam S. Pollitzer</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42"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JOINDER AGREEMENT</w:t>
      </w:r>
      <w:r>
        <w:rPr>
          <w:rFonts w:ascii="Arial" w:cs="Arial" w:eastAsia="Arial" w:hAnsi="Arial"/>
          <w:sz w:val="22"/>
          <w:szCs w:val="22"/>
          <w:color w:val="auto"/>
        </w:rPr>
        <w:t>, dated as of October 29, 2020 (this “</w:t>
      </w:r>
      <w:r>
        <w:rPr>
          <w:rFonts w:ascii="Arial" w:cs="Arial" w:eastAsia="Arial" w:hAnsi="Arial"/>
          <w:sz w:val="22"/>
          <w:szCs w:val="22"/>
          <w:u w:val="single" w:color="auto"/>
          <w:color w:val="auto"/>
        </w:rPr>
        <w:t>Agreement</w:t>
      </w:r>
      <w:r>
        <w:rPr>
          <w:rFonts w:ascii="Arial" w:cs="Arial" w:eastAsia="Arial" w:hAnsi="Arial"/>
          <w:sz w:val="22"/>
          <w:szCs w:val="22"/>
          <w:color w:val="auto"/>
        </w:rPr>
        <w:t>”), among NMI Holdings, INC., a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NMI SERVICES, INC., a Delaware corporation, CITIBANK, N.A., as Lender (“</w:t>
      </w:r>
      <w:r>
        <w:rPr>
          <w:rFonts w:ascii="Arial" w:cs="Arial" w:eastAsia="Arial" w:hAnsi="Arial"/>
          <w:sz w:val="22"/>
          <w:szCs w:val="22"/>
          <w:u w:val="single" w:color="auto"/>
          <w:color w:val="auto"/>
        </w:rPr>
        <w:t>Citi</w:t>
      </w:r>
      <w:r>
        <w:rPr>
          <w:rFonts w:ascii="Arial" w:cs="Arial" w:eastAsia="Arial" w:hAnsi="Arial"/>
          <w:sz w:val="22"/>
          <w:szCs w:val="22"/>
          <w:color w:val="auto"/>
        </w:rPr>
        <w:t>”) and JPMORGAN CHASE BANK, N.A., as administrative agent (the “</w:t>
      </w:r>
      <w:r>
        <w:rPr>
          <w:rFonts w:ascii="Arial" w:cs="Arial" w:eastAsia="Arial" w:hAnsi="Arial"/>
          <w:sz w:val="22"/>
          <w:szCs w:val="22"/>
          <w:u w:val="single" w:color="auto"/>
          <w:color w:val="auto"/>
        </w:rPr>
        <w:t>Agent</w:t>
      </w:r>
      <w:r>
        <w:rPr>
          <w:rFonts w:ascii="Arial" w:cs="Arial" w:eastAsia="Arial" w:hAnsi="Arial"/>
          <w:sz w:val="22"/>
          <w:szCs w:val="22"/>
          <w:color w:val="auto"/>
        </w:rPr>
        <w:t>”), to the Credit Agreement dated, as of May 24, 2018, among the Company, the several banks and other financial institutions or entities from time to time party to the Credit Agreement (the “</w:t>
      </w:r>
      <w:r>
        <w:rPr>
          <w:rFonts w:ascii="Arial" w:cs="Arial" w:eastAsia="Arial" w:hAnsi="Arial"/>
          <w:sz w:val="22"/>
          <w:szCs w:val="22"/>
          <w:u w:val="single" w:color="auto"/>
          <w:color w:val="auto"/>
        </w:rPr>
        <w:t>Lenders</w:t>
      </w:r>
      <w:r>
        <w:rPr>
          <w:rFonts w:ascii="Arial" w:cs="Arial" w:eastAsia="Arial" w:hAnsi="Arial"/>
          <w:sz w:val="22"/>
          <w:szCs w:val="22"/>
          <w:color w:val="auto"/>
        </w:rPr>
        <w:t>”), and the Agent (as amended, modified and supplemented from time to time prior to the date hereof, the “</w:t>
      </w:r>
      <w:r>
        <w:rPr>
          <w:rFonts w:ascii="Arial" w:cs="Arial" w:eastAsia="Arial" w:hAnsi="Arial"/>
          <w:sz w:val="22"/>
          <w:szCs w:val="22"/>
          <w:u w:val="single" w:color="auto"/>
          <w:color w:val="auto"/>
        </w:rPr>
        <w:t>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Capitalized terms used and not otherwise defined herein shall have the meanings assigned to such terms in the Credit Agreement.</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WHEREAS, pursuant to Section 2.15 of the Credit Agreement, the Company is hereby requesting a $10,000,000 New Revolving Commitment (the “</w:t>
      </w:r>
      <w:r>
        <w:rPr>
          <w:rFonts w:ascii="Arial" w:cs="Arial" w:eastAsia="Arial" w:hAnsi="Arial"/>
          <w:sz w:val="22"/>
          <w:szCs w:val="22"/>
          <w:u w:val="single" w:color="auto"/>
          <w:color w:val="auto"/>
        </w:rPr>
        <w:t>Joinder No. 2 New Revolving Commitment</w:t>
      </w:r>
      <w:r>
        <w:rPr>
          <w:rFonts w:ascii="Arial" w:cs="Arial" w:eastAsia="Arial" w:hAnsi="Arial"/>
          <w:sz w:val="22"/>
          <w:szCs w:val="22"/>
          <w:color w:val="auto"/>
        </w:rPr>
        <w:t>”) having the same terms as the Revolving Commitments as in effect on the Joinder No. 2 Effective Date (as defined below);</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WHEREAS, the Company has requested that Citi provide the Joinder No. 2 New Revolving Commitment on the Joinder No. 2 Effective Date and Citi has agreed to provide the Joinder No. 2 New Revolving Commitment on the Joinder No. 2 Effective Date;</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207"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b w:val="1"/>
          <w:bCs w:val="1"/>
          <w:u w:val="single" w:color="auto"/>
          <w:color w:val="auto"/>
        </w:rPr>
        <w:t>Joinder No. 2 New Revolving Commitment</w:t>
      </w:r>
      <w:r>
        <w:rPr>
          <w:rFonts w:ascii="Arial" w:cs="Arial" w:eastAsia="Arial" w:hAnsi="Arial"/>
          <w:sz w:val="19"/>
          <w:szCs w:val="19"/>
          <w:color w:val="auto"/>
        </w:rPr>
        <w:t>.</w:t>
      </w:r>
    </w:p>
    <w:p>
      <w:pPr>
        <w:spacing w:after="0" w:line="239" w:lineRule="exact"/>
        <w:rPr>
          <w:sz w:val="20"/>
          <w:szCs w:val="20"/>
          <w:color w:val="auto"/>
        </w:rPr>
      </w:pPr>
    </w:p>
    <w:p>
      <w:pPr>
        <w:ind w:firstLine="8"/>
        <w:spacing w:after="0" w:line="250" w:lineRule="auto"/>
        <w:tabs>
          <w:tab w:leader="none" w:pos="294" w:val="left"/>
        </w:tabs>
        <w:numPr>
          <w:ilvl w:val="0"/>
          <w:numId w:val="38"/>
        </w:numPr>
        <w:rPr>
          <w:rFonts w:ascii="Arial" w:cs="Arial" w:eastAsia="Arial" w:hAnsi="Arial"/>
          <w:sz w:val="22"/>
          <w:szCs w:val="22"/>
          <w:color w:val="auto"/>
        </w:rPr>
      </w:pPr>
      <w:r>
        <w:rPr>
          <w:rFonts w:ascii="Arial" w:cs="Arial" w:eastAsia="Arial" w:hAnsi="Arial"/>
          <w:sz w:val="22"/>
          <w:szCs w:val="22"/>
          <w:color w:val="auto"/>
        </w:rPr>
        <w:t>Effective as of the Joinder No. 2 Effective Date, Citi shall have a Joinder No. 2 New Revolving Commitment in the amount of $10,000,000.</w:t>
      </w:r>
    </w:p>
    <w:p>
      <w:pPr>
        <w:spacing w:after="0" w:line="201" w:lineRule="exact"/>
        <w:rPr>
          <w:rFonts w:ascii="Arial" w:cs="Arial" w:eastAsia="Arial" w:hAnsi="Arial"/>
          <w:sz w:val="22"/>
          <w:szCs w:val="22"/>
          <w:color w:val="auto"/>
        </w:rPr>
      </w:pPr>
    </w:p>
    <w:p>
      <w:pPr>
        <w:jc w:val="both"/>
        <w:ind w:firstLine="8"/>
        <w:spacing w:after="0"/>
        <w:tabs>
          <w:tab w:leader="none" w:pos="306"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terms and conditions of the Joinder No. 2 New Revolving Commitment and the Revolving Loans made thereunder shall be identical to the terms and conditions of the Revolving Commitments and the Revolving Loans thereunder as in effect on the Joinder No. 2 Effective Date.</w:t>
      </w:r>
    </w:p>
    <w:p>
      <w:pPr>
        <w:spacing w:after="0" w:line="207"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b w:val="1"/>
          <w:bCs w:val="1"/>
          <w:u w:val="single" w:color="auto"/>
          <w:color w:val="auto"/>
        </w:rPr>
        <w:t>Representations and Warranties, No Default</w:t>
      </w:r>
      <w:r>
        <w:rPr>
          <w:rFonts w:ascii="Arial" w:cs="Arial" w:eastAsia="Arial" w:hAnsi="Arial"/>
          <w:sz w:val="19"/>
          <w:szCs w:val="19"/>
          <w:color w:val="auto"/>
        </w:rPr>
        <w:t>. The Company</w:t>
      </w:r>
    </w:p>
    <w:p>
      <w:pPr>
        <w:spacing w:after="0" w:line="14"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hereby represents and warrants that as of the Joinder No. 2 Effective Date, each of the conditions set forth in the second proviso to Section 2.15(a) of the Credit Agreement (to the extent applicable to New Revolving Commitments incurred pursuant to Section 2.15(a) of the Credit Agreement) is satisfied.</w:t>
      </w:r>
    </w:p>
    <w:p>
      <w:pPr>
        <w:spacing w:after="0" w:line="208"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b w:val="1"/>
          <w:bCs w:val="1"/>
          <w:u w:val="single" w:color="auto"/>
          <w:color w:val="auto"/>
        </w:rPr>
        <w:t>Effectiveness</w:t>
      </w:r>
      <w:r>
        <w:rPr>
          <w:rFonts w:ascii="Arial" w:cs="Arial" w:eastAsia="Arial" w:hAnsi="Arial"/>
          <w:sz w:val="19"/>
          <w:szCs w:val="19"/>
          <w:color w:val="auto"/>
        </w:rPr>
        <w:t>. Section 1 of this Agreement shall become effective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on the date (such date, if any, the “</w:t>
      </w:r>
      <w:r>
        <w:rPr>
          <w:rFonts w:ascii="Arial" w:cs="Arial" w:eastAsia="Arial" w:hAnsi="Arial"/>
          <w:sz w:val="22"/>
          <w:szCs w:val="22"/>
          <w:u w:val="single" w:color="auto"/>
          <w:color w:val="auto"/>
        </w:rPr>
        <w:t>Joinder No. 2 Effective Date</w:t>
      </w:r>
      <w:r>
        <w:rPr>
          <w:rFonts w:ascii="Arial" w:cs="Arial" w:eastAsia="Arial" w:hAnsi="Arial"/>
          <w:sz w:val="22"/>
          <w:szCs w:val="22"/>
          <w:color w:val="auto"/>
        </w:rPr>
        <w:t>”) that the following conditions have been satisfied:</w:t>
      </w:r>
    </w:p>
    <w:p>
      <w:pPr>
        <w:spacing w:after="0" w:line="215" w:lineRule="exact"/>
        <w:rPr>
          <w:sz w:val="20"/>
          <w:szCs w:val="20"/>
          <w:color w:val="auto"/>
        </w:rPr>
      </w:pPr>
    </w:p>
    <w:p>
      <w:pPr>
        <w:ind w:left="660" w:firstLine="644"/>
        <w:spacing w:after="0" w:line="250" w:lineRule="auto"/>
        <w:tabs>
          <w:tab w:leader="none" w:pos="1755"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Execution of Agreement</w:t>
      </w:r>
      <w:r>
        <w:rPr>
          <w:rFonts w:ascii="Arial" w:cs="Arial" w:eastAsia="Arial" w:hAnsi="Arial"/>
          <w:sz w:val="22"/>
          <w:szCs w:val="22"/>
          <w:color w:val="auto"/>
        </w:rPr>
        <w:t>. The Agent shall have received executed signature pages hereto from the Company, the Subsidiary Guarantor, Citi and the Agent;</w:t>
      </w:r>
    </w:p>
    <w:p>
      <w:pPr>
        <w:spacing w:after="0" w:line="201" w:lineRule="exact"/>
        <w:rPr>
          <w:rFonts w:ascii="Arial" w:cs="Arial" w:eastAsia="Arial" w:hAnsi="Arial"/>
          <w:sz w:val="22"/>
          <w:szCs w:val="22"/>
          <w:color w:val="auto"/>
        </w:rPr>
      </w:pPr>
    </w:p>
    <w:p>
      <w:pPr>
        <w:jc w:val="both"/>
        <w:ind w:left="660" w:firstLine="644"/>
        <w:spacing w:after="0" w:line="238" w:lineRule="auto"/>
        <w:tabs>
          <w:tab w:leader="none" w:pos="1936"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Fees and Expenses</w:t>
      </w:r>
      <w:r>
        <w:rPr>
          <w:rFonts w:ascii="Arial" w:cs="Arial" w:eastAsia="Arial" w:hAnsi="Arial"/>
          <w:sz w:val="22"/>
          <w:szCs w:val="22"/>
          <w:color w:val="auto"/>
        </w:rPr>
        <w:t>. The Agent shall have received (i) payment of all expenses required to be paid or reimbursed in connection with the execution of this Agreement under Section 10.04 of the Credit Agreement for which invoices have been presented to Company within a reasonable period of time prior to the Joinder No. 2 Effective Date, in each case on or before the</w:t>
      </w:r>
    </w:p>
    <w:p>
      <w:pPr>
        <w:sectPr>
          <w:pgSz w:w="11900" w:h="16838" w:orient="portrait"/>
          <w:cols w:equalWidth="0" w:num="1">
            <w:col w:w="11240"/>
          </w:cols>
          <w:pgMar w:left="320" w:top="12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Joinder No. 2 Effective Date and (ii) payment to the Agent of an upfront fee for the account of Citi in an amount equal to 0.12% of the Joinder No. 2 New Revolving Commitment;</w:t>
      </w:r>
    </w:p>
    <w:p>
      <w:pPr>
        <w:spacing w:after="0" w:line="202" w:lineRule="exact"/>
        <w:rPr>
          <w:sz w:val="20"/>
          <w:szCs w:val="20"/>
          <w:color w:val="auto"/>
        </w:rPr>
      </w:pPr>
    </w:p>
    <w:p>
      <w:pPr>
        <w:jc w:val="both"/>
        <w:ind w:firstLine="644"/>
        <w:spacing w:after="0"/>
        <w:tabs>
          <w:tab w:leader="none" w:pos="1201"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Legal Opinions</w:t>
      </w:r>
      <w:r>
        <w:rPr>
          <w:rFonts w:ascii="Arial" w:cs="Arial" w:eastAsia="Arial" w:hAnsi="Arial"/>
          <w:sz w:val="22"/>
          <w:szCs w:val="22"/>
          <w:color w:val="auto"/>
        </w:rPr>
        <w:t>. The Agent shall have received a customary legal opinion of (x) Wachtell, Lipton, Rosen &amp; Katz, as special New York counsel for the Obligors and (y) Potter Anderson &amp; Corroon LLP, Delaware counsel for the Obligors, relating to this Agreement;</w:t>
      </w:r>
    </w:p>
    <w:p>
      <w:pPr>
        <w:spacing w:after="0" w:line="213" w:lineRule="exact"/>
        <w:rPr>
          <w:rFonts w:ascii="Arial" w:cs="Arial" w:eastAsia="Arial" w:hAnsi="Arial"/>
          <w:sz w:val="22"/>
          <w:szCs w:val="22"/>
          <w:color w:val="auto"/>
        </w:rPr>
      </w:pPr>
    </w:p>
    <w:p>
      <w:pPr>
        <w:jc w:val="both"/>
        <w:ind w:firstLine="644"/>
        <w:spacing w:after="0"/>
        <w:tabs>
          <w:tab w:leader="none" w:pos="121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The Agent shall have received a certificate of a Responsible Officer of the Company dated as of the Joinder No. 2 Effective Date certifying that the representations and warranties of the Company contained in Section 2 of this Agreement are true and correct; and</w:t>
      </w:r>
    </w:p>
    <w:p>
      <w:pPr>
        <w:spacing w:after="0" w:line="213" w:lineRule="exact"/>
        <w:rPr>
          <w:rFonts w:ascii="Arial" w:cs="Arial" w:eastAsia="Arial" w:hAnsi="Arial"/>
          <w:sz w:val="22"/>
          <w:szCs w:val="22"/>
          <w:color w:val="auto"/>
        </w:rPr>
      </w:pPr>
    </w:p>
    <w:p>
      <w:pPr>
        <w:ind w:firstLine="644"/>
        <w:spacing w:after="0" w:line="250" w:lineRule="auto"/>
        <w:tabs>
          <w:tab w:leader="none" w:pos="1183"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Closing Certificates</w:t>
      </w:r>
      <w:r>
        <w:rPr>
          <w:rFonts w:ascii="Arial" w:cs="Arial" w:eastAsia="Arial" w:hAnsi="Arial"/>
          <w:sz w:val="22"/>
          <w:szCs w:val="22"/>
          <w:color w:val="auto"/>
        </w:rPr>
        <w:t>. The Agent shall have received a certificate of the Secretary or Assistant Secretary or similar officer of each Obligor dated as of the Joinder No. 2 Effective Date and certifying:</w:t>
      </w:r>
    </w:p>
    <w:p>
      <w:pPr>
        <w:spacing w:after="0" w:line="202" w:lineRule="exact"/>
        <w:rPr>
          <w:sz w:val="20"/>
          <w:szCs w:val="20"/>
          <w:color w:val="auto"/>
        </w:rPr>
      </w:pPr>
    </w:p>
    <w:p>
      <w:pPr>
        <w:jc w:val="both"/>
        <w:ind w:left="640" w:firstLine="4"/>
        <w:spacing w:after="0" w:line="234" w:lineRule="auto"/>
        <w:tabs>
          <w:tab w:leader="none" w:pos="1177"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that either (a) attached thereto is a true and complete copy of the certificate or articles of incorporation or other equivalent constituent and governing documents, including all amendments thereto, of such Obligor, certified as of a recent date by the Secretary of State (or other similar official or Governmental Authority) of the jurisdiction of its organization or by the Secretary or Assistant Secretary or similar officer of such Obligor or other person duly authorized by the constituent documents of such Obligor or (b) such certificate or articles of incorporation or other equivalent constituent and governing documents have not been amended since the Joinder No. 1 Effective Date,</w:t>
      </w:r>
    </w:p>
    <w:p>
      <w:pPr>
        <w:spacing w:after="0" w:line="217" w:lineRule="exact"/>
        <w:rPr>
          <w:rFonts w:ascii="Arial" w:cs="Arial" w:eastAsia="Arial" w:hAnsi="Arial"/>
          <w:sz w:val="22"/>
          <w:szCs w:val="22"/>
          <w:color w:val="auto"/>
        </w:rPr>
      </w:pPr>
    </w:p>
    <w:p>
      <w:pPr>
        <w:ind w:left="640" w:firstLine="4"/>
        <w:spacing w:after="0" w:line="328" w:lineRule="auto"/>
        <w:tabs>
          <w:tab w:leader="none" w:pos="1119"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that attached thereto is a true and complete copy of a certificate as to the good standing of such Obligor as of a recent date from such Secretary of State (or other similar official or Governmental Authority),</w:t>
      </w:r>
    </w:p>
    <w:p>
      <w:pPr>
        <w:spacing w:after="0" w:line="131" w:lineRule="exact"/>
        <w:rPr>
          <w:rFonts w:ascii="Arial" w:cs="Arial" w:eastAsia="Arial" w:hAnsi="Arial"/>
          <w:sz w:val="19"/>
          <w:szCs w:val="19"/>
          <w:color w:val="auto"/>
        </w:rPr>
      </w:pPr>
    </w:p>
    <w:p>
      <w:pPr>
        <w:jc w:val="both"/>
        <w:ind w:left="640" w:firstLine="4"/>
        <w:spacing w:after="0" w:line="287" w:lineRule="auto"/>
        <w:tabs>
          <w:tab w:leader="none" w:pos="1113"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that either (a) attached thereto is a true and complete copy of the by-laws (or other equivalent constituent and governing documents) of such Obligor as in effect on the Joinder No. 2 Effective Date and at all times since the date of the resolutions described in the following subclause (4) or (b) such by-laws (or other equivalent constituent and governing documents) have not been amended since the Joinder No. 1 Effective Date,</w:t>
      </w:r>
    </w:p>
    <w:p>
      <w:pPr>
        <w:spacing w:after="0" w:line="169" w:lineRule="exact"/>
        <w:rPr>
          <w:rFonts w:ascii="Arial" w:cs="Arial" w:eastAsia="Arial" w:hAnsi="Arial"/>
          <w:sz w:val="19"/>
          <w:szCs w:val="19"/>
          <w:color w:val="auto"/>
        </w:rPr>
      </w:pPr>
    </w:p>
    <w:p>
      <w:pPr>
        <w:jc w:val="both"/>
        <w:ind w:left="640" w:firstLine="4"/>
        <w:spacing w:after="0" w:line="238" w:lineRule="auto"/>
        <w:tabs>
          <w:tab w:leader="none" w:pos="1164"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that attached thereto is a true and complete copy of resolutions duly adopted by the Board of Directors (or equivalent governing body) of such Obligor, authorizing the execution, delivery and performance by such Obligor of this Agreement and that such resolutions have not been modified, rescinded or amended and are in full force and effect on the Joinder No. 2 Effective Date, and</w:t>
      </w:r>
    </w:p>
    <w:p>
      <w:pPr>
        <w:spacing w:after="0" w:line="211" w:lineRule="exact"/>
        <w:rPr>
          <w:rFonts w:ascii="Arial" w:cs="Arial" w:eastAsia="Arial" w:hAnsi="Arial"/>
          <w:sz w:val="22"/>
          <w:szCs w:val="22"/>
          <w:color w:val="auto"/>
        </w:rPr>
      </w:pPr>
    </w:p>
    <w:p>
      <w:pPr>
        <w:ind w:left="640" w:right="20" w:firstLine="4"/>
        <w:spacing w:after="0" w:line="274" w:lineRule="auto"/>
        <w:tabs>
          <w:tab w:leader="none" w:pos="1312" w:val="left"/>
        </w:tabs>
        <w:numPr>
          <w:ilvl w:val="0"/>
          <w:numId w:val="41"/>
        </w:numPr>
        <w:rPr>
          <w:rFonts w:ascii="Arial" w:cs="Arial" w:eastAsia="Arial" w:hAnsi="Arial"/>
          <w:sz w:val="21"/>
          <w:szCs w:val="21"/>
          <w:color w:val="auto"/>
        </w:rPr>
      </w:pPr>
      <w:r>
        <w:rPr>
          <w:rFonts w:ascii="Arial" w:cs="Arial" w:eastAsia="Arial" w:hAnsi="Arial"/>
          <w:sz w:val="21"/>
          <w:szCs w:val="21"/>
          <w:color w:val="auto"/>
        </w:rPr>
        <w:t>as to the incumbency and specimen signature of each officer or authorized signatory executing this Agreement or any other Loan Document delivered in connection herewith on behalf of such Obligor.</w:t>
      </w:r>
    </w:p>
    <w:p>
      <w:pPr>
        <w:spacing w:after="0" w:line="172"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any number</w:t>
      </w:r>
    </w:p>
    <w:p>
      <w:pPr>
        <w:sectPr>
          <w:pgSz w:w="11900" w:h="16838" w:orient="portrait"/>
          <w:cols w:equalWidth="0" w:num="1">
            <w:col w:w="10580"/>
          </w:cols>
          <w:pgMar w:left="980" w:top="126"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Agreement by facsimile or any other electronic transmission shall be effective as delivery of a manually executed counterpart hereof. The words “executed,” “signed,” “signature,” “delivery,” and words of like import in or relating to this Agreement or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purposes of this Section 4, “Electronic Signature” means an electronic symbol or process attached to a contract or other record and adopted by a Person with the intent to sign, authenticate or accept such contract or record. The execution of this Agreement by the Company and its delivery thereof to the Agent shall constitute delivery to the Agent of the notice required by Section 2.15(a) of the Credit Agreement.</w:t>
      </w:r>
    </w:p>
    <w:p>
      <w:pPr>
        <w:spacing w:after="0" w:line="177"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b w:val="1"/>
          <w:bCs w:val="1"/>
          <w:u w:val="single" w:color="auto"/>
          <w:color w:val="auto"/>
        </w:rPr>
        <w:t>Governing Law; Jurisdiction; Consent to Service of Process;</w:t>
      </w:r>
    </w:p>
    <w:p>
      <w:pPr>
        <w:spacing w:after="0" w:line="1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u w:val="single" w:color="auto"/>
          <w:color w:val="auto"/>
        </w:rPr>
        <w:t>Waiver of Jury Trial</w:t>
      </w:r>
      <w:r>
        <w:rPr>
          <w:rFonts w:ascii="Arial" w:cs="Arial" w:eastAsia="Arial" w:hAnsi="Arial"/>
          <w:sz w:val="19"/>
          <w:szCs w:val="19"/>
          <w:color w:val="auto"/>
        </w:rPr>
        <w:t>. The provisions set forth in Sections 10.15 and 10.16 of the Credit Agreement are hereby incorporated</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mutatis mutandis </w:t>
      </w:r>
      <w:r>
        <w:rPr>
          <w:rFonts w:ascii="Arial" w:cs="Arial" w:eastAsia="Arial" w:hAnsi="Arial"/>
          <w:sz w:val="19"/>
          <w:szCs w:val="19"/>
          <w:color w:val="auto"/>
        </w:rPr>
        <w:t>with all references to the “Agreement” therein being deemed references to this Agreement.</w:t>
      </w:r>
    </w:p>
    <w:p>
      <w:pPr>
        <w:spacing w:after="0" w:line="144" w:lineRule="exact"/>
        <w:rPr>
          <w:sz w:val="20"/>
          <w:szCs w:val="20"/>
          <w:color w:val="auto"/>
        </w:rPr>
      </w:pPr>
    </w:p>
    <w:p>
      <w:pPr>
        <w:ind w:right="3440" w:firstLine="1296"/>
        <w:spacing w:after="0" w:line="334"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 The headings of this Agreement are for purposes of reference only and shall not limit or otherwise affect the meaning hereof.</w:t>
      </w:r>
    </w:p>
    <w:p>
      <w:pPr>
        <w:spacing w:after="0" w:line="121"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b w:val="1"/>
          <w:bCs w:val="1"/>
          <w:u w:val="single" w:color="auto"/>
          <w:color w:val="auto"/>
        </w:rPr>
        <w:t>Effect of Agreement</w:t>
      </w:r>
      <w:r>
        <w:rPr>
          <w:rFonts w:ascii="Arial" w:cs="Arial" w:eastAsia="Arial" w:hAnsi="Arial"/>
          <w:sz w:val="19"/>
          <w:szCs w:val="19"/>
          <w:color w:val="auto"/>
        </w:rPr>
        <w:t>. Except as expressly set forth herein, (i) this</w:t>
      </w:r>
    </w:p>
    <w:p>
      <w:pPr>
        <w:spacing w:after="0" w:line="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Agreement shall not by implication or otherwise limit, impair, constitute a waiver of or otherwise affect the rights and remedies of the Lenders or the Agent,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This Agreement shall constitute a Loan Document for purposes of the Credit Agreement and from and after the Joinder No. 2 Effective Date, all references to the Credit Agreement in any Loan Document and all references in the Credit Agreement to “this Agreement”, “hereunder”, “hereof” or words of like import referring to the Credit Agreement, shall, unless expressly provided otherwise, refer to the Credit Agreement as supplemented hereby. Each Obligor hereby (i) acknowledges all of the terms and conditions of this Agreement and confirms that all of its obligations under the Loan Documents to which it is a party shall continue to apply to the Credit Agreement as supplemented hereby, (ii) in the case of the Subsidiary Guarantor, reaffirms, as of the date hereof, its guarantee of the Secured Obligations under the Guarantee and Security Agreement and (iii) reaffirms its prior grant of Liens on the Collateral (as defined in the Guarantee and Security Agreement) to secure the Secured Obligations pursuant to the Guarantee and Security Agreement, and confirms that all such Liens shall continue in full force in effect after giving effect to this Agreement to secure the Secured Obligations including the Obligations in respect of the Joinder No. 2 New Revolving Commitment. This Agreement shall not constitute a novation of the Credit Agreement or the other Loan Documents.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240"/>
          </w:cols>
          <w:pgMar w:left="320" w:top="126"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20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NMI HOLDINGS, INC.,</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as Company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Adam Pollitzer</w:t>
      </w:r>
    </w:p>
    <w:p>
      <w:pPr>
        <w:ind w:left="4160"/>
        <w:spacing w:after="0" w:line="238" w:lineRule="auto"/>
        <w:rPr>
          <w:sz w:val="20"/>
          <w:szCs w:val="20"/>
          <w:color w:val="auto"/>
        </w:rPr>
      </w:pPr>
      <w:r>
        <w:rPr>
          <w:rFonts w:ascii="Arial" w:cs="Arial" w:eastAsia="Arial" w:hAnsi="Arial"/>
          <w:sz w:val="22"/>
          <w:szCs w:val="22"/>
          <w:color w:val="auto"/>
        </w:rPr>
        <w:t>Name: Adam Pollitzer</w:t>
      </w:r>
    </w:p>
    <w:p>
      <w:pPr>
        <w:ind w:left="41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5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NMI SERVICES, INC.,</w:t>
      </w:r>
    </w:p>
    <w:p>
      <w:pPr>
        <w:spacing w:after="0" w:line="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as a Subsidiary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Adam Pollitzer</w:t>
      </w:r>
    </w:p>
    <w:p>
      <w:pPr>
        <w:ind w:left="4160"/>
        <w:spacing w:after="0" w:line="238" w:lineRule="auto"/>
        <w:rPr>
          <w:sz w:val="20"/>
          <w:szCs w:val="20"/>
          <w:color w:val="auto"/>
        </w:rPr>
      </w:pPr>
      <w:r>
        <w:rPr>
          <w:rFonts w:ascii="Arial" w:cs="Arial" w:eastAsia="Arial" w:hAnsi="Arial"/>
          <w:sz w:val="22"/>
          <w:szCs w:val="22"/>
          <w:color w:val="auto"/>
        </w:rPr>
        <w:t>Name: Adam Pollitzer</w:t>
      </w:r>
    </w:p>
    <w:p>
      <w:pPr>
        <w:ind w:left="4160"/>
        <w:spacing w:after="0"/>
        <w:rPr>
          <w:sz w:val="20"/>
          <w:szCs w:val="20"/>
          <w:color w:val="auto"/>
        </w:rPr>
      </w:pPr>
      <w:r>
        <w:rPr>
          <w:rFonts w:ascii="Arial" w:cs="Arial" w:eastAsia="Arial" w:hAnsi="Arial"/>
          <w:sz w:val="22"/>
          <w:szCs w:val="22"/>
          <w:color w:val="auto"/>
        </w:rPr>
        <w:t>Title: Chief Financial Officer &amp; Treasurer</w:t>
      </w:r>
    </w:p>
    <w:p>
      <w:pPr>
        <w:sectPr>
          <w:pgSz w:w="11900" w:h="16838" w:orient="portrait"/>
          <w:cols w:equalWidth="0" w:num="1">
            <w:col w:w="11240"/>
          </w:cols>
          <w:pgMar w:left="320" w:top="126"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Agent</w:t>
      </w:r>
    </w:p>
    <w:p>
      <w:pPr>
        <w:spacing w:after="0" w:line="200" w:lineRule="exact"/>
        <w:rPr>
          <w:sz w:val="20"/>
          <w:szCs w:val="20"/>
          <w:color w:val="auto"/>
        </w:rPr>
      </w:pPr>
    </w:p>
    <w:p>
      <w:pPr>
        <w:spacing w:after="0" w:line="258"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Kristen M. Murphy</w:t>
      </w:r>
    </w:p>
    <w:p>
      <w:pPr>
        <w:ind w:left="3680"/>
        <w:spacing w:after="0" w:line="238" w:lineRule="auto"/>
        <w:rPr>
          <w:sz w:val="20"/>
          <w:szCs w:val="20"/>
          <w:color w:val="auto"/>
        </w:rPr>
      </w:pPr>
      <w:r>
        <w:rPr>
          <w:rFonts w:ascii="Arial" w:cs="Arial" w:eastAsia="Arial" w:hAnsi="Arial"/>
          <w:sz w:val="22"/>
          <w:szCs w:val="22"/>
          <w:color w:val="auto"/>
        </w:rPr>
        <w:t>Name: Kristen M. Murphy</w:t>
      </w:r>
    </w:p>
    <w:p>
      <w:pPr>
        <w:ind w:left="368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0120"/>
          </w:cols>
          <w:pgMar w:left="1440" w:top="126"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CITIBANK, N.A.,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58"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Modin</w:t>
      </w:r>
    </w:p>
    <w:p>
      <w:pPr>
        <w:ind w:left="3680"/>
        <w:spacing w:after="0" w:line="238" w:lineRule="auto"/>
        <w:rPr>
          <w:sz w:val="20"/>
          <w:szCs w:val="20"/>
          <w:color w:val="auto"/>
        </w:rPr>
      </w:pPr>
      <w:r>
        <w:rPr>
          <w:rFonts w:ascii="Arial" w:cs="Arial" w:eastAsia="Arial" w:hAnsi="Arial"/>
          <w:sz w:val="22"/>
          <w:szCs w:val="22"/>
          <w:color w:val="auto"/>
        </w:rPr>
        <w:t>Name: John Modin</w:t>
      </w:r>
    </w:p>
    <w:p>
      <w:pPr>
        <w:ind w:left="3420"/>
        <w:spacing w:after="0"/>
        <w:rPr>
          <w:sz w:val="20"/>
          <w:szCs w:val="20"/>
          <w:color w:val="auto"/>
        </w:rPr>
      </w:pPr>
      <w:r>
        <w:rPr>
          <w:rFonts w:ascii="Arial" w:cs="Arial" w:eastAsia="Arial" w:hAnsi="Arial"/>
          <w:sz w:val="22"/>
          <w:szCs w:val="22"/>
          <w:color w:val="auto"/>
        </w:rPr>
        <w:t>Title:Vice President and Managing Director</w:t>
      </w:r>
    </w:p>
    <w:p>
      <w:pPr>
        <w:sectPr>
          <w:pgSz w:w="11900" w:h="16838" w:orient="portrait"/>
          <w:cols w:equalWidth="0" w:num="1">
            <w:col w:w="10120"/>
          </w:cols>
          <w:pgMar w:left="1440" w:top="126"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Claudia J. Merkle, certify that:</w:t>
      </w:r>
    </w:p>
    <w:p>
      <w:pPr>
        <w:spacing w:after="0" w:line="11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4220" w:type="dxa"/>
            <w:vAlign w:val="bottom"/>
            <w:gridSpan w:val="2"/>
          </w:tcPr>
          <w:p>
            <w:pPr>
              <w:spacing w:after="0"/>
              <w:rPr>
                <w:sz w:val="20"/>
                <w:szCs w:val="20"/>
                <w:color w:val="auto"/>
              </w:rPr>
            </w:pPr>
            <w:r>
              <w:rPr>
                <w:rFonts w:ascii="Arial" w:cs="Arial" w:eastAsia="Arial" w:hAnsi="Arial"/>
                <w:sz w:val="18"/>
                <w:szCs w:val="18"/>
                <w:color w:val="auto"/>
              </w:rPr>
              <w:t>November 5, 2020</w:t>
            </w:r>
          </w:p>
        </w:tc>
        <w:tc>
          <w:tcPr>
            <w:tcW w:w="2800" w:type="dxa"/>
            <w:vAlign w:val="bottom"/>
          </w:tcPr>
          <w:p>
            <w:pPr>
              <w:spacing w:after="0"/>
              <w:rPr>
                <w:sz w:val="20"/>
                <w:szCs w:val="20"/>
                <w:color w:val="auto"/>
              </w:rPr>
            </w:pPr>
            <w:r>
              <w:rPr>
                <w:rFonts w:ascii="Arial" w:cs="Arial" w:eastAsia="Arial" w:hAnsi="Arial"/>
                <w:sz w:val="18"/>
                <w:szCs w:val="18"/>
                <w:color w:val="auto"/>
              </w:rPr>
              <w:t>/s/ Claudia J. Merkle</w:t>
            </w:r>
          </w:p>
        </w:tc>
      </w:tr>
      <w:tr>
        <w:trPr>
          <w:trHeight w:val="249"/>
        </w:trPr>
        <w:tc>
          <w:tcPr>
            <w:tcW w:w="1340" w:type="dxa"/>
            <w:vAlign w:val="bottom"/>
            <w:tcBorders>
              <w:top w:val="single" w:sz="8" w:color="auto"/>
            </w:tcBorders>
          </w:tcPr>
          <w:p>
            <w:pPr>
              <w:spacing w:after="0"/>
              <w:rPr>
                <w:sz w:val="21"/>
                <w:szCs w:val="21"/>
                <w:color w:val="auto"/>
              </w:rPr>
            </w:pPr>
          </w:p>
        </w:tc>
        <w:tc>
          <w:tcPr>
            <w:tcW w:w="2880" w:type="dxa"/>
            <w:vAlign w:val="bottom"/>
          </w:tcPr>
          <w:p>
            <w:pPr>
              <w:spacing w:after="0"/>
              <w:rPr>
                <w:sz w:val="21"/>
                <w:szCs w:val="21"/>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Claudia J. Merkle</w:t>
            </w:r>
          </w:p>
        </w:tc>
      </w:tr>
      <w:tr>
        <w:trPr>
          <w:trHeight w:val="230"/>
        </w:trPr>
        <w:tc>
          <w:tcPr>
            <w:tcW w:w="13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1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7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158"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820" w:hanging="326"/>
        <w:spacing w:after="0" w:line="263" w:lineRule="auto"/>
        <w:tabs>
          <w:tab w:leader="none" w:pos="81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820" w:hanging="326"/>
        <w:spacing w:after="0" w:line="308" w:lineRule="auto"/>
        <w:tabs>
          <w:tab w:leader="none" w:pos="811"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820" w:hanging="326"/>
        <w:spacing w:after="0" w:line="263" w:lineRule="auto"/>
        <w:tabs>
          <w:tab w:leader="none" w:pos="8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820" w:hanging="326"/>
        <w:spacing w:after="0" w:line="277" w:lineRule="auto"/>
        <w:tabs>
          <w:tab w:leader="none" w:pos="81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820" w:hanging="326"/>
        <w:spacing w:after="0" w:line="277" w:lineRule="auto"/>
        <w:tabs>
          <w:tab w:leader="none" w:pos="8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200" w:type="dxa"/>
            <w:vAlign w:val="bottom"/>
            <w:gridSpan w:val="2"/>
          </w:tcPr>
          <w:p>
            <w:pPr>
              <w:spacing w:after="0"/>
              <w:rPr>
                <w:sz w:val="20"/>
                <w:szCs w:val="20"/>
                <w:color w:val="auto"/>
              </w:rPr>
            </w:pPr>
            <w:r>
              <w:rPr>
                <w:rFonts w:ascii="Arial" w:cs="Arial" w:eastAsia="Arial" w:hAnsi="Arial"/>
                <w:sz w:val="18"/>
                <w:szCs w:val="18"/>
                <w:color w:val="auto"/>
              </w:rPr>
              <w:t>November 5, 2020</w:t>
            </w:r>
          </w:p>
        </w:tc>
        <w:tc>
          <w:tcPr>
            <w:tcW w:w="2880" w:type="dxa"/>
            <w:vAlign w:val="bottom"/>
          </w:tcPr>
          <w:p>
            <w:pPr>
              <w:spacing w:after="0"/>
              <w:rPr>
                <w:sz w:val="20"/>
                <w:szCs w:val="20"/>
                <w:color w:val="auto"/>
              </w:rPr>
            </w:pPr>
            <w:r>
              <w:rPr>
                <w:rFonts w:ascii="Arial" w:cs="Arial" w:eastAsia="Arial" w:hAnsi="Arial"/>
                <w:sz w:val="18"/>
                <w:szCs w:val="18"/>
                <w:color w:val="auto"/>
              </w:rPr>
              <w:t>/s/ Adam Pollitzer</w:t>
            </w:r>
          </w:p>
        </w:tc>
      </w:tr>
      <w:tr>
        <w:trPr>
          <w:trHeight w:val="249"/>
        </w:trPr>
        <w:tc>
          <w:tcPr>
            <w:tcW w:w="1340" w:type="dxa"/>
            <w:vAlign w:val="bottom"/>
            <w:tcBorders>
              <w:top w:val="single" w:sz="8" w:color="auto"/>
            </w:tcBorders>
          </w:tcPr>
          <w:p>
            <w:pPr>
              <w:spacing w:after="0"/>
              <w:rPr>
                <w:sz w:val="21"/>
                <w:szCs w:val="21"/>
                <w:color w:val="auto"/>
              </w:rPr>
            </w:pPr>
          </w:p>
        </w:tc>
        <w:tc>
          <w:tcPr>
            <w:tcW w:w="2860" w:type="dxa"/>
            <w:vAlign w:val="bottom"/>
          </w:tcPr>
          <w:p>
            <w:pPr>
              <w:spacing w:after="0"/>
              <w:rPr>
                <w:sz w:val="21"/>
                <w:szCs w:val="21"/>
                <w:color w:val="auto"/>
              </w:rPr>
            </w:pPr>
          </w:p>
        </w:tc>
        <w:tc>
          <w:tcPr>
            <w:tcW w:w="2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S. Pollitzer</w:t>
            </w:r>
          </w:p>
        </w:tc>
      </w:tr>
      <w:tr>
        <w:trPr>
          <w:trHeight w:val="230"/>
        </w:trPr>
        <w:tc>
          <w:tcPr>
            <w:tcW w:w="1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1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7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September 30, 2020,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November 5, 2020</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Claudia J. Merkle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Claudia Merkle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November 5, 2020</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Adam S. Pollitzer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Adam S. Pollitzer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emdash "/>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lowerRoman"/>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lowerRoman"/>
      <w:start w:val="3"/>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lvl w:ilvl="1">
      <w:lvlJc w:val="left"/>
      <w:lvlText w:val="%2"/>
      <w:numFmt w:val="decimal"/>
      <w:start w:val="101"/>
    </w:lvl>
    <w:lvl w:ilvl="2">
      <w:lvlJc w:val="left"/>
      <w:lvlText w:val="(%3)"/>
      <w:numFmt w:val="lowerRoman"/>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Roman"/>
      <w:start w:val="1"/>
    </w:lvl>
  </w:abstractNum>
  <w:abstractNum w:abstractNumId="39">
    <w:nsid w:val="3855585C"/>
    <w:multiLevelType w:val="hybridMultilevel"/>
    <w:lvl w:ilvl="0">
      <w:lvlJc w:val="left"/>
      <w:lvlText w:val="(%1)"/>
      <w:numFmt w:val="lowerRoman"/>
      <w:start w:val="3"/>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94" Type="http://schemas.openxmlformats.org/officeDocument/2006/relationships/image" Target="media/image67.png"/><Relationship Id="rId115" Type="http://schemas.openxmlformats.org/officeDocument/2006/relationships/image" Target="media/image68.png"/><Relationship Id="rId127" Type="http://schemas.openxmlformats.org/officeDocument/2006/relationships/image" Target="media/image69.png"/><Relationship Id="rId128" Type="http://schemas.openxmlformats.org/officeDocument/2006/relationships/image" Target="media/image70.png"/><Relationship Id="rId74" Type="http://schemas.openxmlformats.org/officeDocument/2006/relationships/hyperlink" Target="http://www.sec.gov/Archives/edgar/data/1547903/000154790313000020/a21macstockpurchaseagreeme.htm" TargetMode="External"/><Relationship Id="rId75" Type="http://schemas.openxmlformats.org/officeDocument/2006/relationships/hyperlink" Target="http://www.sec.gov/Archives/edgar/data/1547903/000154790313000020/a22amendmenttomacpurhcasea.htm" TargetMode="External"/><Relationship Id="rId76" Type="http://schemas.openxmlformats.org/officeDocument/2006/relationships/hyperlink" Target="http://www.sec.gov/Archives/edgar/data/1547903/000154790313000020/a31secondamendedandrestate.htm" TargetMode="External"/><Relationship Id="rId77" Type="http://schemas.openxmlformats.org/officeDocument/2006/relationships/hyperlink" Target="http://www.sec.gov/Archives/edgar/data/1547903/000154790314000152/exhibit31december92014.htm" TargetMode="External"/><Relationship Id="rId78" Type="http://schemas.openxmlformats.org/officeDocument/2006/relationships/hyperlink" Target="http://www.sec.gov/Archives/edgar/data/1547903/000154790313000020/a41specimenclassacommonsto.htm" TargetMode="External"/><Relationship Id="rId79" Type="http://schemas.openxmlformats.org/officeDocument/2006/relationships/hyperlink" Target="http://www.sec.gov/Archives/edgar/data/1547903/000154790313000020/a42registrationrightsagree.htm" TargetMode="External"/><Relationship Id="rId80" Type="http://schemas.openxmlformats.org/officeDocument/2006/relationships/hyperlink" Target="http://www.sec.gov/Archives/edgar/data/1547903/000154790313000020/a43registrationrightsagree.htm" TargetMode="External"/><Relationship Id="rId81" Type="http://schemas.openxmlformats.org/officeDocument/2006/relationships/hyperlink" Target="http://www.sec.gov/Archives/edgar/data/1547903/000154790313000020/a44registrationrightsagree.htm" TargetMode="External"/><Relationship Id="rId82" Type="http://schemas.openxmlformats.org/officeDocument/2006/relationships/hyperlink" Target="http://www.sec.gov/Archives/edgar/data/1547903/000154790313000020/a45warrantno1fbrcapitalmar.htm" TargetMode="External"/><Relationship Id="rId83" Type="http://schemas.openxmlformats.org/officeDocument/2006/relationships/hyperlink" Target="http://www.sec.gov/Archives/edgar/data/1547903/000154790313000020/a46warrantno2macfinancial4.htm" TargetMode="External"/><Relationship Id="rId84" Type="http://schemas.openxmlformats.org/officeDocument/2006/relationships/hyperlink" Target="https://www.sec.gov/Archives/edgar/data/1547903/000119312520174237/d949308dex41.htm" TargetMode="External"/><Relationship Id="rId85" Type="http://schemas.openxmlformats.org/officeDocument/2006/relationships/hyperlink" Target="http://www.sec.gov/Archives/edgar/data/1547903/000154790313000020/a101nmiholdingsinc2012stoc.htm" TargetMode="External"/><Relationship Id="rId86" Type="http://schemas.openxmlformats.org/officeDocument/2006/relationships/hyperlink" Target="http://www.sec.gov/Archives/edgar/data/1547903/000154790313000020/a103formofnmiholdingsinc20.htm" TargetMode="External"/><Relationship Id="rId87" Type="http://schemas.openxmlformats.org/officeDocument/2006/relationships/hyperlink" Target="http://www.sec.gov/Archives/edgar/data/1547903/000154790313000020/a105formofnonqualifiedstoc.htm" TargetMode="External"/><Relationship Id="rId88" Type="http://schemas.openxmlformats.org/officeDocument/2006/relationships/hyperlink" Target="http://www.sec.gov/Archives/edgar/data/1547903/000154790313000020/a106formofnonqualifiedstoc.htm" TargetMode="External"/><Relationship Id="rId89" Type="http://schemas.openxmlformats.org/officeDocument/2006/relationships/hyperlink" Target="http://www.sec.gov/Archives/edgar/data/1547903/000154790313000020/a107formofnonqualifiedstoc.htm" TargetMode="External"/><Relationship Id="rId90" Type="http://schemas.openxmlformats.org/officeDocument/2006/relationships/hyperlink" Target="http://www.sec.gov/Archives/edgar/data/1547903/000154790317000032/exhibit108-2012stockincent.htm" TargetMode="External"/><Relationship Id="rId91" Type="http://schemas.openxmlformats.org/officeDocument/2006/relationships/hyperlink" Target="http://www.sec.gov/Archives/edgar/data/1547903/000154790317000032/exhibit109-2012stockincent.htm" TargetMode="External"/><Relationship Id="rId92" Type="http://schemas.openxmlformats.org/officeDocument/2006/relationships/hyperlink" Target="http://www.sec.gov/Archives/edgar/data/1547903/000154790315000172/a20151223shusteremployment.htm" TargetMode="External"/><Relationship Id="rId93" Type="http://schemas.openxmlformats.org/officeDocument/2006/relationships/hyperlink" Target="http://www.sec.gov/Archives/edgar/data/1547903/000154790316000230/exhibit1010leatherberrybil.htm" TargetMode="External"/><Relationship Id="rId95" Type="http://schemas.openxmlformats.org/officeDocument/2006/relationships/hyperlink" Target="http://www.sec.gov/Archives/edgar/data/1547903/000154790317000003/exhibit101offerletterdated.htm" TargetMode="External"/><Relationship Id="rId96" Type="http://schemas.openxmlformats.org/officeDocument/2006/relationships/hyperlink" Target="http://www.sec.gov/Archives/edgar/data/1547903/000154790314000146/exhibit101november252014.htm" TargetMode="External"/><Relationship Id="rId97" Type="http://schemas.openxmlformats.org/officeDocument/2006/relationships/hyperlink" Target="http://www.sec.gov/Archives/edgar/data/1547903/000154790313000020/a1014commitmentletterforbu.htm" TargetMode="External"/><Relationship Id="rId98" Type="http://schemas.openxmlformats.org/officeDocument/2006/relationships/hyperlink" Target="http://www.sec.gov/Archives/edgar/data/1547903/000154790315000142/nmihexhibit41tlb.htm" TargetMode="External"/><Relationship Id="rId99" Type="http://schemas.openxmlformats.org/officeDocument/2006/relationships/hyperlink" Target="http://www.sec.gov/Archives/edgar/data/1547903/000154790317000005/exhibit101tlaandannex.htm" TargetMode="External"/><Relationship Id="rId100" Type="http://schemas.openxmlformats.org/officeDocument/2006/relationships/hyperlink" Target="http://www.sec.gov/Archives/edgar/data/1547903/000154790317000115/exhibit101amendmentno2.htm" TargetMode="External"/><Relationship Id="rId101" Type="http://schemas.openxmlformats.org/officeDocument/2006/relationships/hyperlink" Target="http://www.sec.gov/Archives/edgar/data/1547903/000154790318000088/exhibit41-creditagreement.htm" TargetMode="External"/><Relationship Id="rId102" Type="http://schemas.openxmlformats.org/officeDocument/2006/relationships/hyperlink" Target="https://www.sec.gov/Archives/edgar/data/1547903/000154790320000032/exhibit101-extensionam.htm" TargetMode="External"/><Relationship Id="rId103" Type="http://schemas.openxmlformats.org/officeDocument/2006/relationships/hyperlink" Target="https://www.sec.gov/Archives/edgar/data/1547903/000154790320000032/exhibit102joinderagree.htm" TargetMode="External"/><Relationship Id="rId104" Type="http://schemas.openxmlformats.org/officeDocument/2006/relationships/hyperlink" Target="https://www.sec.gov/Archives/edgar/data/1547903/000154790320000043/exhibit101-amendmentto.htm" TargetMode="External"/><Relationship Id="rId105" Type="http://schemas.openxmlformats.org/officeDocument/2006/relationships/hyperlink" Target="http://www.sec.gov/Archives/edgar/data/1547903/000154790317000043/nmihproxy2017.htm" TargetMode="External"/><Relationship Id="rId106" Type="http://schemas.openxmlformats.org/officeDocument/2006/relationships/hyperlink" Target="http://www.sec.gov/Archives/edgar/data/1547903/000154790317000100/ex1019rsuceo.htm" TargetMode="External"/><Relationship Id="rId107" Type="http://schemas.openxmlformats.org/officeDocument/2006/relationships/hyperlink" Target="http://www.sec.gov/Archives/edgar/data/1547903/000154790317000100/ex1020rsueo.htm" TargetMode="External"/><Relationship Id="rId108" Type="http://schemas.openxmlformats.org/officeDocument/2006/relationships/hyperlink" Target="http://www.sec.gov/Archives/edgar/data/1547903/000154790317000100/ex1021rsuee.htm" TargetMode="External"/><Relationship Id="rId109" Type="http://schemas.openxmlformats.org/officeDocument/2006/relationships/hyperlink" Target="http://www.sec.gov/Archives/edgar/data/1547903/000154790317000100/ex1022rsuindependentdirect.htm" TargetMode="External"/><Relationship Id="rId110" Type="http://schemas.openxmlformats.org/officeDocument/2006/relationships/hyperlink" Target="http://www.sec.gov/Archives/edgar/data/1547903/000154790317000100/ex1023nqsceo.htm" TargetMode="External"/><Relationship Id="rId111" Type="http://schemas.openxmlformats.org/officeDocument/2006/relationships/hyperlink" Target="http://www.sec.gov/Archives/edgar/data/1547903/000154790317000100/ex1024nqseoee.htm" TargetMode="External"/><Relationship Id="rId112" Type="http://schemas.openxmlformats.org/officeDocument/2006/relationships/hyperlink" Target="http://www.sec.gov/Archives/edgar/data/1547903/000154790317000032/exhibit1026-2014omnibusinc.htm" TargetMode="External"/><Relationship Id="rId113" Type="http://schemas.openxmlformats.org/officeDocument/2006/relationships/hyperlink" Target="http://www.sec.gov/Archives/edgar/data/1547903/000154790316000185/ex101severancebenefitplan.htm" TargetMode="External"/><Relationship Id="rId114" Type="http://schemas.openxmlformats.org/officeDocument/2006/relationships/hyperlink" Target="http://www.sec.gov/Archives/edgar/data/1547903/000154790318000133/exhibit1030arcicsbp.htm" TargetMode="External"/><Relationship Id="rId116" Type="http://schemas.openxmlformats.org/officeDocument/2006/relationships/hyperlink" Target="http://www.sec.gov/Archives/edgar/data/1547903/000154790317000035/exhibit102.htm" TargetMode="External"/><Relationship Id="rId117" Type="http://schemas.openxmlformats.org/officeDocument/2006/relationships/hyperlink" Target="http://www.sec.gov/Archives/edgar/data/1547903/000154790318000137/exhibit101shuster.htm" TargetMode="External"/><Relationship Id="rId118" Type="http://schemas.openxmlformats.org/officeDocument/2006/relationships/hyperlink" Target="http://www.sec.gov/Archives/edgar/data/1547903/000154790318000137/exhibit102merkle.htm" TargetMode="External"/><Relationship Id="rId119" Type="http://schemas.openxmlformats.org/officeDocument/2006/relationships/hyperlink" Target="http://www.sec.gov/Archives/edgar/data/1547903/000154790319000064/exhibit1030.htm" TargetMode="External"/><Relationship Id="rId120" Type="http://schemas.openxmlformats.org/officeDocument/2006/relationships/hyperlink" Target="http://www.sec.gov/Archives/edgar/data/1547903/000154790319000064/exhibit1031.htm" TargetMode="External"/><Relationship Id="rId121" Type="http://schemas.openxmlformats.org/officeDocument/2006/relationships/hyperlink" Target="http://www.sec.gov/Archives/edgar/data/1547903/000154790319000064/exhibit1032.htm" TargetMode="External"/><Relationship Id="rId122" Type="http://schemas.openxmlformats.org/officeDocument/2006/relationships/hyperlink" Target="http://www.sec.gov/Archives/edgar/data/1547903/000154790319000064/exhibit1033.htm" TargetMode="External"/><Relationship Id="rId123" Type="http://schemas.openxmlformats.org/officeDocument/2006/relationships/hyperlink" Target="http://www.sec.gov/Archives/edgar/data/1547903/000154790319000064/exhibit1034.htm" TargetMode="External"/><Relationship Id="rId124" Type="http://schemas.openxmlformats.org/officeDocument/2006/relationships/hyperlink" Target="http://www.sec.gov/Archives/edgar/data/1547903/000154790319000064/exhibit1035.htm" TargetMode="External"/><Relationship Id="rId125" Type="http://schemas.openxmlformats.org/officeDocument/2006/relationships/hyperlink" Target="https://www.sec.gov/Archives/edgar/data/1547903/000154790320000045/ex1038202010q.htm" TargetMode="External"/><Relationship Id="rId126"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2020-11-05T17:19:14Z</dcterms:created>
  <dcterms:modified xsi:type="dcterms:W3CDTF">2020-11-05T17:19:14Z</dcterms:modified>
</cp:coreProperties>
</file>