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0"/>
          <w:szCs w:val="10"/>
          <w:color w:val="auto"/>
        </w:rPr>
        <w:t>(Mark One)</w:t>
      </w:r>
    </w:p>
    <w:p>
      <w:pPr>
        <w:spacing w:after="0" w:line="15" w:lineRule="exact"/>
        <w:rPr>
          <w:sz w:val="24"/>
          <w:szCs w:val="24"/>
          <w:color w:val="auto"/>
        </w:rPr>
      </w:pPr>
    </w:p>
    <w:p>
      <w:pPr>
        <w:ind w:left="660" w:hanging="394"/>
        <w:spacing w:after="0"/>
        <w:tabs>
          <w:tab w:leader="none" w:pos="6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 OF THE SECURITIES EXCHANGE ACT OF 1934</w:t>
      </w:r>
    </w:p>
    <w:p>
      <w:pPr>
        <w:spacing w:after="0" w:line="25" w:lineRule="exact"/>
        <w:rPr>
          <w:sz w:val="24"/>
          <w:szCs w:val="24"/>
          <w:color w:val="auto"/>
        </w:rPr>
      </w:pPr>
    </w:p>
    <w:p>
      <w:pPr>
        <w:ind w:left="660"/>
        <w:spacing w:after="0"/>
        <w:tabs>
          <w:tab w:leader="none" w:pos="5960" w:val="left"/>
        </w:tabs>
        <w:rPr>
          <w:sz w:val="20"/>
          <w:szCs w:val="20"/>
          <w:color w:val="auto"/>
        </w:rPr>
      </w:pPr>
      <w:r>
        <w:rPr>
          <w:rFonts w:ascii="Arial" w:cs="Arial" w:eastAsia="Arial" w:hAnsi="Arial"/>
          <w:sz w:val="12"/>
          <w:szCs w:val="12"/>
          <w:color w:val="auto"/>
        </w:rPr>
        <w:t>For the quarterly period ended</w:t>
      </w:r>
      <w:r>
        <w:rPr>
          <w:sz w:val="20"/>
          <w:szCs w:val="20"/>
          <w:color w:val="auto"/>
        </w:rPr>
        <w:tab/>
      </w:r>
      <w:r>
        <w:rPr>
          <w:rFonts w:ascii="Arial" w:cs="Arial" w:eastAsia="Arial" w:hAnsi="Arial"/>
          <w:sz w:val="10"/>
          <w:szCs w:val="10"/>
          <w:b w:val="1"/>
          <w:bCs w:val="1"/>
          <w:color w:val="auto"/>
        </w:rPr>
        <w:t>March 31, 2022</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OR</w:t>
      </w:r>
    </w:p>
    <w:p>
      <w:pPr>
        <w:spacing w:after="0" w:line="24" w:lineRule="exact"/>
        <w:rPr>
          <w:sz w:val="24"/>
          <w:szCs w:val="24"/>
          <w:color w:val="auto"/>
        </w:rPr>
      </w:pPr>
    </w:p>
    <w:p>
      <w:pPr>
        <w:ind w:left="640" w:right="4880" w:hanging="387"/>
        <w:spacing w:after="0" w:line="292" w:lineRule="auto"/>
        <w:tabs>
          <w:tab w:leader="none" w:pos="6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 to ______</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47"/>
        </w:trPr>
        <w:tc>
          <w:tcPr>
            <w:tcW w:w="2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color w:val="auto"/>
                <w:w w:val="89"/>
              </w:rPr>
              <w:t xml:space="preserve">Commission file number </w:t>
            </w:r>
            <w:r>
              <w:rPr>
                <w:rFonts w:ascii="Arial" w:cs="Arial" w:eastAsia="Arial" w:hAnsi="Arial"/>
                <w:sz w:val="11"/>
                <w:szCs w:val="11"/>
                <w:b w:val="1"/>
                <w:bCs w:val="1"/>
                <w:color w:val="auto"/>
                <w:w w:val="89"/>
              </w:rPr>
              <w:t>001-36174</w:t>
            </w:r>
          </w:p>
        </w:tc>
        <w:tc>
          <w:tcPr>
            <w:tcW w:w="4140" w:type="dxa"/>
            <w:vAlign w:val="bottom"/>
            <w:tcBorders>
              <w:bottom w:val="single" w:sz="8" w:color="auto"/>
            </w:tcBorders>
          </w:tcPr>
          <w:p>
            <w:pPr>
              <w:spacing w:after="0"/>
              <w:rPr>
                <w:sz w:val="12"/>
                <w:szCs w:val="12"/>
                <w:color w:val="auto"/>
              </w:rPr>
            </w:pPr>
          </w:p>
        </w:tc>
      </w:tr>
      <w:tr>
        <w:trPr>
          <w:trHeight w:val="244"/>
        </w:trPr>
        <w:tc>
          <w:tcPr>
            <w:tcW w:w="2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tcPr>
          <w:p>
            <w:pPr>
              <w:jc w:val="center"/>
              <w:ind w:right="177"/>
              <w:spacing w:after="0" w:line="244" w:lineRule="exact"/>
              <w:rPr>
                <w:sz w:val="20"/>
                <w:szCs w:val="20"/>
                <w:color w:val="auto"/>
              </w:rPr>
            </w:pPr>
            <w:r>
              <w:rPr>
                <w:rFonts w:ascii="Arial" w:cs="Arial" w:eastAsia="Arial" w:hAnsi="Arial"/>
                <w:sz w:val="22"/>
                <w:szCs w:val="22"/>
                <w:b w:val="1"/>
                <w:bCs w:val="1"/>
                <w:color w:val="auto"/>
                <w:w w:val="94"/>
              </w:rPr>
              <w:t>NMI Holdings, Inc.</w:t>
            </w:r>
          </w:p>
        </w:tc>
        <w:tc>
          <w:tcPr>
            <w:tcW w:w="4140" w:type="dxa"/>
            <w:vAlign w:val="bottom"/>
          </w:tcPr>
          <w:p>
            <w:pPr>
              <w:spacing w:after="0"/>
              <w:rPr>
                <w:sz w:val="21"/>
                <w:szCs w:val="21"/>
                <w:color w:val="auto"/>
              </w:rPr>
            </w:pPr>
          </w:p>
        </w:tc>
      </w:tr>
      <w:tr>
        <w:trPr>
          <w:trHeight w:val="125"/>
        </w:trPr>
        <w:tc>
          <w:tcPr>
            <w:tcW w:w="2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jc w:val="center"/>
              <w:ind w:right="157"/>
              <w:spacing w:after="0"/>
              <w:rPr>
                <w:sz w:val="20"/>
                <w:szCs w:val="20"/>
                <w:color w:val="auto"/>
              </w:rPr>
            </w:pPr>
            <w:r>
              <w:rPr>
                <w:rFonts w:ascii="Arial" w:cs="Arial" w:eastAsia="Arial" w:hAnsi="Arial"/>
                <w:sz w:val="10"/>
                <w:szCs w:val="10"/>
                <w:color w:val="auto"/>
                <w:w w:val="86"/>
              </w:rPr>
              <w:t>(Exact name of registrant as specified in its charter)</w:t>
            </w:r>
          </w:p>
        </w:tc>
        <w:tc>
          <w:tcPr>
            <w:tcW w:w="4140" w:type="dxa"/>
            <w:vAlign w:val="bottom"/>
            <w:tcBorders>
              <w:bottom w:val="single" w:sz="8" w:color="auto"/>
            </w:tcBorders>
          </w:tcPr>
          <w:p>
            <w:pPr>
              <w:spacing w:after="0"/>
              <w:rPr>
                <w:sz w:val="10"/>
                <w:szCs w:val="10"/>
                <w:color w:val="auto"/>
              </w:rPr>
            </w:pPr>
          </w:p>
        </w:tc>
      </w:tr>
      <w:tr>
        <w:trPr>
          <w:trHeight w:val="222"/>
        </w:trPr>
        <w:tc>
          <w:tcPr>
            <w:tcW w:w="2820" w:type="dxa"/>
            <w:vAlign w:val="bottom"/>
          </w:tcPr>
          <w:p>
            <w:pPr>
              <w:jc w:val="center"/>
              <w:ind w:left="1904"/>
              <w:spacing w:after="0"/>
              <w:rPr>
                <w:sz w:val="20"/>
                <w:szCs w:val="20"/>
                <w:color w:val="auto"/>
              </w:rPr>
            </w:pPr>
            <w:r>
              <w:rPr>
                <w:rFonts w:ascii="Arial" w:cs="Arial" w:eastAsia="Arial" w:hAnsi="Arial"/>
                <w:sz w:val="12"/>
                <w:szCs w:val="12"/>
                <w:b w:val="1"/>
                <w:bCs w:val="1"/>
                <w:color w:val="auto"/>
                <w:w w:val="94"/>
              </w:rPr>
              <w:t>Delaware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right"/>
              <w:ind w:right="2844"/>
              <w:spacing w:after="0"/>
              <w:rPr>
                <w:sz w:val="20"/>
                <w:szCs w:val="20"/>
                <w:color w:val="auto"/>
              </w:rPr>
            </w:pPr>
            <w:r>
              <w:rPr>
                <w:rFonts w:ascii="Arial" w:cs="Arial" w:eastAsia="Arial" w:hAnsi="Arial"/>
                <w:sz w:val="12"/>
                <w:szCs w:val="12"/>
                <w:b w:val="1"/>
                <w:bCs w:val="1"/>
                <w:color w:val="auto"/>
              </w:rPr>
              <w:t>45-4914248</w:t>
            </w:r>
          </w:p>
        </w:tc>
      </w:tr>
      <w:tr>
        <w:trPr>
          <w:trHeight w:val="123"/>
        </w:trPr>
        <w:tc>
          <w:tcPr>
            <w:tcW w:w="4080" w:type="dxa"/>
            <w:vAlign w:val="bottom"/>
            <w:gridSpan w:val="2"/>
          </w:tcPr>
          <w:p>
            <w:pPr>
              <w:jc w:val="center"/>
              <w:ind w:left="644"/>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c>
          <w:tcPr>
            <w:tcW w:w="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140" w:type="dxa"/>
            <w:vAlign w:val="bottom"/>
          </w:tcPr>
          <w:p>
            <w:pPr>
              <w:jc w:val="center"/>
              <w:ind w:right="2184"/>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28"/>
        </w:trPr>
        <w:tc>
          <w:tcPr>
            <w:tcW w:w="2820" w:type="dxa"/>
            <w:vAlign w:val="bottom"/>
          </w:tcPr>
          <w:p>
            <w:pPr>
              <w:ind w:left="1360"/>
              <w:spacing w:after="0"/>
              <w:rPr>
                <w:sz w:val="20"/>
                <w:szCs w:val="20"/>
                <w:color w:val="auto"/>
              </w:rPr>
            </w:pPr>
            <w:r>
              <w:rPr>
                <w:rFonts w:ascii="Arial" w:cs="Arial" w:eastAsia="Arial" w:hAnsi="Arial"/>
                <w:sz w:val="12"/>
                <w:szCs w:val="12"/>
                <w:b w:val="1"/>
                <w:bCs w:val="1"/>
                <w:color w:val="auto"/>
              </w:rPr>
              <w:t>2100 Powell Street</w:t>
            </w:r>
          </w:p>
        </w:tc>
        <w:tc>
          <w:tcPr>
            <w:tcW w:w="1260" w:type="dxa"/>
            <w:vAlign w:val="bottom"/>
          </w:tcPr>
          <w:p>
            <w:pPr>
              <w:ind w:left="180"/>
              <w:spacing w:after="0"/>
              <w:rPr>
                <w:sz w:val="20"/>
                <w:szCs w:val="20"/>
                <w:color w:val="auto"/>
              </w:rPr>
            </w:pPr>
            <w:r>
              <w:rPr>
                <w:rFonts w:ascii="Arial" w:cs="Arial" w:eastAsia="Arial" w:hAnsi="Arial"/>
                <w:sz w:val="12"/>
                <w:szCs w:val="12"/>
                <w:b w:val="1"/>
                <w:bCs w:val="1"/>
                <w:color w:val="auto"/>
              </w:rPr>
              <w:t>Emeryville ,  CA</w:t>
            </w: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right"/>
              <w:ind w:right="2984"/>
              <w:spacing w:after="0"/>
              <w:rPr>
                <w:sz w:val="20"/>
                <w:szCs w:val="20"/>
                <w:color w:val="auto"/>
              </w:rPr>
            </w:pPr>
            <w:r>
              <w:rPr>
                <w:rFonts w:ascii="Arial" w:cs="Arial" w:eastAsia="Arial" w:hAnsi="Arial"/>
                <w:sz w:val="12"/>
                <w:szCs w:val="12"/>
                <w:b w:val="1"/>
                <w:bCs w:val="1"/>
                <w:color w:val="auto"/>
              </w:rPr>
              <w:t>94608</w:t>
            </w:r>
          </w:p>
        </w:tc>
      </w:tr>
      <w:tr>
        <w:trPr>
          <w:trHeight w:val="123"/>
        </w:trPr>
        <w:tc>
          <w:tcPr>
            <w:tcW w:w="4080" w:type="dxa"/>
            <w:vAlign w:val="bottom"/>
            <w:gridSpan w:val="2"/>
          </w:tcPr>
          <w:p>
            <w:pPr>
              <w:jc w:val="center"/>
              <w:ind w:left="644"/>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140" w:type="dxa"/>
            <w:vAlign w:val="bottom"/>
          </w:tcPr>
          <w:p>
            <w:pPr>
              <w:jc w:val="center"/>
              <w:ind w:right="2164"/>
              <w:spacing w:after="0"/>
              <w:rPr>
                <w:sz w:val="20"/>
                <w:szCs w:val="20"/>
                <w:color w:val="auto"/>
              </w:rPr>
            </w:pPr>
            <w:r>
              <w:rPr>
                <w:rFonts w:ascii="Arial" w:cs="Arial" w:eastAsia="Arial" w:hAnsi="Arial"/>
                <w:sz w:val="10"/>
                <w:szCs w:val="10"/>
                <w:b w:val="1"/>
                <w:bCs w:val="1"/>
                <w:color w:val="auto"/>
                <w:w w:val="88"/>
              </w:rPr>
              <w:t>(Zip Code)</w:t>
            </w:r>
          </w:p>
        </w:tc>
      </w:tr>
      <w:tr>
        <w:trPr>
          <w:trHeight w:val="363"/>
        </w:trPr>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(855) 530-6642</w:t>
            </w:r>
          </w:p>
        </w:tc>
        <w:tc>
          <w:tcPr>
            <w:tcW w:w="4140" w:type="dxa"/>
            <w:vAlign w:val="bottom"/>
          </w:tcPr>
          <w:p>
            <w:pPr>
              <w:spacing w:after="0"/>
              <w:rPr>
                <w:sz w:val="24"/>
                <w:szCs w:val="24"/>
                <w:color w:val="auto"/>
              </w:rPr>
            </w:pPr>
          </w:p>
        </w:tc>
      </w:tr>
      <w:tr>
        <w:trPr>
          <w:trHeight w:val="123"/>
        </w:trPr>
        <w:tc>
          <w:tcPr>
            <w:tcW w:w="2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40" w:type="dxa"/>
            <w:vAlign w:val="bottom"/>
          </w:tcPr>
          <w:p>
            <w:pPr>
              <w:jc w:val="center"/>
              <w:ind w:right="17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4140" w:type="dxa"/>
            <w:vAlign w:val="bottom"/>
          </w:tcPr>
          <w:p>
            <w:pPr>
              <w:spacing w:after="0"/>
              <w:rPr>
                <w:sz w:val="10"/>
                <w:szCs w:val="10"/>
                <w:color w:val="auto"/>
              </w:rPr>
            </w:pPr>
          </w:p>
        </w:tc>
      </w:tr>
      <w:tr>
        <w:trPr>
          <w:trHeight w:val="224"/>
        </w:trPr>
        <w:tc>
          <w:tcPr>
            <w:tcW w:w="2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4140" w:type="dxa"/>
            <w:vAlign w:val="bottom"/>
            <w:tcBorders>
              <w:bottom w:val="single" w:sz="8" w:color="auto"/>
            </w:tcBorders>
          </w:tcPr>
          <w:p>
            <w:pPr>
              <w:spacing w:after="0"/>
              <w:rPr>
                <w:sz w:val="19"/>
                <w:szCs w:val="19"/>
                <w:color w:val="auto"/>
              </w:rPr>
            </w:pPr>
          </w:p>
        </w:tc>
      </w:tr>
      <w:tr>
        <w:trPr>
          <w:trHeight w:val="151"/>
        </w:trPr>
        <w:tc>
          <w:tcPr>
            <w:tcW w:w="2820" w:type="dxa"/>
            <w:vAlign w:val="bottom"/>
            <w:tcBorders>
              <w:left w:val="single" w:sz="8" w:color="auto"/>
              <w:bottom w:val="single" w:sz="8" w:color="auto"/>
            </w:tcBorders>
          </w:tcPr>
          <w:p>
            <w:pPr>
              <w:jc w:val="center"/>
              <w:ind w:left="1464"/>
              <w:spacing w:after="0"/>
              <w:rPr>
                <w:sz w:val="20"/>
                <w:szCs w:val="20"/>
                <w:color w:val="auto"/>
              </w:rPr>
            </w:pPr>
            <w:r>
              <w:rPr>
                <w:rFonts w:ascii="Arial" w:cs="Arial" w:eastAsia="Arial" w:hAnsi="Arial"/>
                <w:sz w:val="12"/>
                <w:szCs w:val="12"/>
                <w:color w:val="auto"/>
                <w:w w:val="89"/>
              </w:rPr>
              <w:t>Title of each class</w:t>
            </w:r>
          </w:p>
        </w:tc>
        <w:tc>
          <w:tcPr>
            <w:tcW w:w="12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42"/>
        </w:trPr>
        <w:tc>
          <w:tcPr>
            <w:tcW w:w="4080" w:type="dxa"/>
            <w:vAlign w:val="bottom"/>
            <w:tcBorders>
              <w:left w:val="single" w:sz="8" w:color="auto"/>
              <w:bottom w:val="single" w:sz="8" w:color="auto"/>
            </w:tcBorders>
            <w:gridSpan w:val="2"/>
          </w:tcPr>
          <w:p>
            <w:pPr>
              <w:jc w:val="center"/>
              <w:ind w:left="184"/>
              <w:spacing w:after="0"/>
              <w:rPr>
                <w:sz w:val="20"/>
                <w:szCs w:val="20"/>
                <w:color w:val="auto"/>
              </w:rPr>
            </w:pPr>
            <w:r>
              <w:rPr>
                <w:rFonts w:ascii="Arial" w:cs="Arial" w:eastAsia="Arial" w:hAnsi="Arial"/>
                <w:sz w:val="12"/>
                <w:szCs w:val="12"/>
                <w:color w:val="auto"/>
                <w:w w:val="90"/>
              </w:rPr>
              <w:t>Class A Common Stock, par value $0.01</w:t>
            </w:r>
          </w:p>
        </w:tc>
        <w:tc>
          <w:tcPr>
            <w:tcW w:w="2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NMIH</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Nasdaq</w:t>
            </w:r>
          </w:p>
        </w:tc>
      </w:tr>
    </w:tbl>
    <w:p>
      <w:pPr>
        <w:spacing w:after="0" w:line="117" w:lineRule="exact"/>
        <w:rPr>
          <w:sz w:val="24"/>
          <w:szCs w:val="24"/>
          <w:color w:val="auto"/>
        </w:rPr>
      </w:pPr>
    </w:p>
    <w:p>
      <w:pPr>
        <w:jc w:val="both"/>
        <w:spacing w:after="0" w:line="26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jc w:val="both"/>
        <w:spacing w:after="0" w:line="262"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780" w:type="dxa"/>
            <w:vAlign w:val="bottom"/>
          </w:tcPr>
          <w:p>
            <w:pPr>
              <w:spacing w:after="0"/>
              <w:rPr>
                <w:sz w:val="20"/>
                <w:szCs w:val="20"/>
                <w:color w:val="auto"/>
              </w:rPr>
            </w:pPr>
            <w:r>
              <w:rPr>
                <w:rFonts w:ascii="Arial" w:cs="Arial" w:eastAsia="Arial" w:hAnsi="Arial"/>
                <w:sz w:val="12"/>
                <w:szCs w:val="12"/>
                <w:color w:val="auto"/>
              </w:rPr>
              <w:t>"accelerated</w:t>
            </w:r>
          </w:p>
        </w:tc>
        <w:tc>
          <w:tcPr>
            <w:tcW w:w="680" w:type="dxa"/>
            <w:vAlign w:val="bottom"/>
          </w:tcPr>
          <w:p>
            <w:pPr>
              <w:ind w:left="200"/>
              <w:spacing w:after="0"/>
              <w:rPr>
                <w:sz w:val="20"/>
                <w:szCs w:val="20"/>
                <w:color w:val="auto"/>
              </w:rPr>
            </w:pPr>
            <w:r>
              <w:rPr>
                <w:rFonts w:ascii="Arial" w:cs="Arial" w:eastAsia="Arial" w:hAnsi="Arial"/>
                <w:sz w:val="12"/>
                <w:szCs w:val="12"/>
                <w:color w:val="auto"/>
              </w:rPr>
              <w:t>filer,"</w:t>
            </w:r>
          </w:p>
        </w:tc>
        <w:tc>
          <w:tcPr>
            <w:tcW w:w="800" w:type="dxa"/>
            <w:vAlign w:val="bottom"/>
          </w:tcPr>
          <w:p>
            <w:pPr>
              <w:ind w:left="200"/>
              <w:spacing w:after="0"/>
              <w:rPr>
                <w:sz w:val="20"/>
                <w:szCs w:val="20"/>
                <w:color w:val="auto"/>
              </w:rPr>
            </w:pPr>
            <w:r>
              <w:rPr>
                <w:rFonts w:ascii="Arial" w:cs="Arial" w:eastAsia="Arial" w:hAnsi="Arial"/>
                <w:sz w:val="12"/>
                <w:szCs w:val="12"/>
                <w:color w:val="auto"/>
              </w:rPr>
              <w:t>"smaller</w:t>
            </w:r>
          </w:p>
        </w:tc>
        <w:tc>
          <w:tcPr>
            <w:tcW w:w="780" w:type="dxa"/>
            <w:vAlign w:val="bottom"/>
          </w:tcPr>
          <w:p>
            <w:pPr>
              <w:ind w:left="200"/>
              <w:spacing w:after="0"/>
              <w:rPr>
                <w:sz w:val="20"/>
                <w:szCs w:val="20"/>
                <w:color w:val="auto"/>
              </w:rPr>
            </w:pPr>
            <w:r>
              <w:rPr>
                <w:rFonts w:ascii="Arial" w:cs="Arial" w:eastAsia="Arial" w:hAnsi="Arial"/>
                <w:sz w:val="12"/>
                <w:szCs w:val="12"/>
                <w:color w:val="auto"/>
              </w:rPr>
              <w:t>reporting</w:t>
            </w:r>
          </w:p>
        </w:tc>
        <w:tc>
          <w:tcPr>
            <w:tcW w:w="980" w:type="dxa"/>
            <w:vAlign w:val="bottom"/>
          </w:tcPr>
          <w:p>
            <w:pPr>
              <w:ind w:left="280"/>
              <w:spacing w:after="0"/>
              <w:rPr>
                <w:sz w:val="20"/>
                <w:szCs w:val="20"/>
                <w:color w:val="auto"/>
              </w:rPr>
            </w:pPr>
            <w:r>
              <w:rPr>
                <w:rFonts w:ascii="Arial" w:cs="Arial" w:eastAsia="Arial" w:hAnsi="Arial"/>
                <w:sz w:val="12"/>
                <w:szCs w:val="12"/>
                <w:color w:val="auto"/>
              </w:rPr>
              <w:t>company,"</w:t>
            </w:r>
          </w:p>
        </w:tc>
        <w:tc>
          <w:tcPr>
            <w:tcW w:w="560" w:type="dxa"/>
            <w:vAlign w:val="bottom"/>
          </w:tcPr>
          <w:p>
            <w:pPr>
              <w:ind w:left="200"/>
              <w:spacing w:after="0"/>
              <w:rPr>
                <w:sz w:val="20"/>
                <w:szCs w:val="20"/>
                <w:color w:val="auto"/>
              </w:rPr>
            </w:pPr>
            <w:r>
              <w:rPr>
                <w:rFonts w:ascii="Arial" w:cs="Arial" w:eastAsia="Arial" w:hAnsi="Arial"/>
                <w:sz w:val="12"/>
                <w:szCs w:val="12"/>
                <w:color w:val="auto"/>
              </w:rPr>
              <w:t>and</w:t>
            </w:r>
          </w:p>
        </w:tc>
        <w:tc>
          <w:tcPr>
            <w:tcW w:w="1060" w:type="dxa"/>
            <w:vAlign w:val="bottom"/>
          </w:tcPr>
          <w:p>
            <w:pPr>
              <w:ind w:left="220"/>
              <w:spacing w:after="0"/>
              <w:rPr>
                <w:sz w:val="20"/>
                <w:szCs w:val="20"/>
                <w:color w:val="auto"/>
              </w:rPr>
            </w:pPr>
            <w:r>
              <w:rPr>
                <w:rFonts w:ascii="Arial" w:cs="Arial" w:eastAsia="Arial" w:hAnsi="Arial"/>
                <w:sz w:val="12"/>
                <w:szCs w:val="12"/>
                <w:color w:val="auto"/>
              </w:rPr>
              <w:t>"emerging</w:t>
            </w:r>
          </w:p>
        </w:tc>
        <w:tc>
          <w:tcPr>
            <w:tcW w:w="620" w:type="dxa"/>
            <w:vAlign w:val="bottom"/>
          </w:tcPr>
          <w:p>
            <w:pPr>
              <w:ind w:left="60"/>
              <w:spacing w:after="0"/>
              <w:rPr>
                <w:sz w:val="20"/>
                <w:szCs w:val="20"/>
                <w:color w:val="auto"/>
              </w:rPr>
            </w:pPr>
            <w:r>
              <w:rPr>
                <w:rFonts w:ascii="Arial" w:cs="Arial" w:eastAsia="Arial" w:hAnsi="Arial"/>
                <w:sz w:val="12"/>
                <w:szCs w:val="12"/>
                <w:color w:val="auto"/>
              </w:rPr>
              <w:t>growth</w:t>
            </w:r>
          </w:p>
        </w:tc>
        <w:tc>
          <w:tcPr>
            <w:tcW w:w="880" w:type="dxa"/>
            <w:vAlign w:val="bottom"/>
          </w:tcPr>
          <w:p>
            <w:pPr>
              <w:ind w:left="180"/>
              <w:spacing w:after="0"/>
              <w:rPr>
                <w:sz w:val="20"/>
                <w:szCs w:val="20"/>
                <w:color w:val="auto"/>
              </w:rPr>
            </w:pPr>
            <w:r>
              <w:rPr>
                <w:rFonts w:ascii="Arial" w:cs="Arial" w:eastAsia="Arial" w:hAnsi="Arial"/>
                <w:sz w:val="12"/>
                <w:szCs w:val="12"/>
                <w:color w:val="auto"/>
              </w:rPr>
              <w:t>company"</w:t>
            </w:r>
          </w:p>
        </w:tc>
        <w:tc>
          <w:tcPr>
            <w:tcW w:w="500" w:type="dxa"/>
            <w:vAlign w:val="bottom"/>
          </w:tcPr>
          <w:p>
            <w:pPr>
              <w:ind w:left="200"/>
              <w:spacing w:after="0"/>
              <w:rPr>
                <w:sz w:val="20"/>
                <w:szCs w:val="20"/>
                <w:color w:val="auto"/>
              </w:rPr>
            </w:pPr>
            <w:r>
              <w:rPr>
                <w:rFonts w:ascii="Arial" w:cs="Arial" w:eastAsia="Arial" w:hAnsi="Arial"/>
                <w:sz w:val="12"/>
                <w:szCs w:val="12"/>
                <w:color w:val="auto"/>
              </w:rPr>
              <w:t>in</w:t>
            </w:r>
          </w:p>
        </w:tc>
        <w:tc>
          <w:tcPr>
            <w:tcW w:w="620" w:type="dxa"/>
            <w:vAlign w:val="bottom"/>
          </w:tcPr>
          <w:p>
            <w:pPr>
              <w:ind w:left="200"/>
              <w:spacing w:after="0"/>
              <w:rPr>
                <w:sz w:val="20"/>
                <w:szCs w:val="20"/>
                <w:color w:val="auto"/>
              </w:rPr>
            </w:pPr>
            <w:r>
              <w:rPr>
                <w:rFonts w:ascii="Arial" w:cs="Arial" w:eastAsia="Arial" w:hAnsi="Arial"/>
                <w:sz w:val="12"/>
                <w:szCs w:val="12"/>
                <w:color w:val="auto"/>
              </w:rPr>
              <w:t>Rule</w:t>
            </w:r>
          </w:p>
        </w:tc>
        <w:tc>
          <w:tcPr>
            <w:tcW w:w="700" w:type="dxa"/>
            <w:vAlign w:val="bottom"/>
          </w:tcPr>
          <w:p>
            <w:pPr>
              <w:ind w:left="200"/>
              <w:spacing w:after="0"/>
              <w:rPr>
                <w:sz w:val="20"/>
                <w:szCs w:val="20"/>
                <w:color w:val="auto"/>
              </w:rPr>
            </w:pPr>
            <w:r>
              <w:rPr>
                <w:rFonts w:ascii="Arial" w:cs="Arial" w:eastAsia="Arial" w:hAnsi="Arial"/>
                <w:sz w:val="12"/>
                <w:szCs w:val="12"/>
                <w:color w:val="auto"/>
              </w:rPr>
              <w:t>12b-2</w:t>
            </w:r>
          </w:p>
        </w:tc>
        <w:tc>
          <w:tcPr>
            <w:tcW w:w="500" w:type="dxa"/>
            <w:vAlign w:val="bottom"/>
          </w:tcPr>
          <w:p>
            <w:pPr>
              <w:ind w:left="200"/>
              <w:spacing w:after="0"/>
              <w:rPr>
                <w:sz w:val="20"/>
                <w:szCs w:val="20"/>
                <w:color w:val="auto"/>
              </w:rPr>
            </w:pPr>
            <w:r>
              <w:rPr>
                <w:rFonts w:ascii="Arial" w:cs="Arial" w:eastAsia="Arial" w:hAnsi="Arial"/>
                <w:sz w:val="12"/>
                <w:szCs w:val="12"/>
                <w:color w:val="auto"/>
              </w:rPr>
              <w:t>of</w:t>
            </w:r>
          </w:p>
        </w:tc>
        <w:tc>
          <w:tcPr>
            <w:tcW w:w="540" w:type="dxa"/>
            <w:vAlign w:val="bottom"/>
          </w:tcPr>
          <w:p>
            <w:pPr>
              <w:ind w:left="200"/>
              <w:spacing w:after="0"/>
              <w:rPr>
                <w:sz w:val="20"/>
                <w:szCs w:val="20"/>
                <w:color w:val="auto"/>
              </w:rPr>
            </w:pPr>
            <w:r>
              <w:rPr>
                <w:rFonts w:ascii="Arial" w:cs="Arial" w:eastAsia="Arial" w:hAnsi="Arial"/>
                <w:sz w:val="12"/>
                <w:szCs w:val="12"/>
                <w:color w:val="auto"/>
              </w:rPr>
              <w:t>the</w:t>
            </w:r>
          </w:p>
        </w:tc>
        <w:tc>
          <w:tcPr>
            <w:tcW w:w="880" w:type="dxa"/>
            <w:vAlign w:val="bottom"/>
          </w:tcPr>
          <w:p>
            <w:pPr>
              <w:ind w:left="200"/>
              <w:spacing w:after="0"/>
              <w:rPr>
                <w:sz w:val="20"/>
                <w:szCs w:val="20"/>
                <w:color w:val="auto"/>
              </w:rPr>
            </w:pPr>
            <w:r>
              <w:rPr>
                <w:rFonts w:ascii="Arial" w:cs="Arial" w:eastAsia="Arial" w:hAnsi="Arial"/>
                <w:sz w:val="12"/>
                <w:szCs w:val="12"/>
                <w:color w:val="auto"/>
              </w:rPr>
              <w:t>Exchange</w:t>
            </w:r>
          </w:p>
        </w:tc>
        <w:tc>
          <w:tcPr>
            <w:tcW w:w="400" w:type="dxa"/>
            <w:vAlign w:val="bottom"/>
          </w:tcPr>
          <w:p>
            <w:pPr>
              <w:ind w:left="200"/>
              <w:spacing w:after="0"/>
              <w:rPr>
                <w:sz w:val="20"/>
                <w:szCs w:val="20"/>
                <w:color w:val="auto"/>
              </w:rPr>
            </w:pPr>
            <w:r>
              <w:rPr>
                <w:rFonts w:ascii="Arial" w:cs="Arial" w:eastAsia="Arial" w:hAnsi="Arial"/>
                <w:sz w:val="12"/>
                <w:szCs w:val="12"/>
                <w:color w:val="auto"/>
                <w:w w:val="86"/>
              </w:rPr>
              <w:t>Act.</w:t>
            </w:r>
          </w:p>
        </w:tc>
      </w:tr>
      <w:tr>
        <w:trPr>
          <w:trHeight w:val="153"/>
        </w:trPr>
        <w:tc>
          <w:tcPr>
            <w:tcW w:w="1460" w:type="dxa"/>
            <w:vAlign w:val="bottom"/>
            <w:gridSpan w:val="2"/>
          </w:tcPr>
          <w:p>
            <w:pPr>
              <w:spacing w:after="0"/>
              <w:rPr>
                <w:sz w:val="20"/>
                <w:szCs w:val="20"/>
                <w:color w:val="auto"/>
              </w:rPr>
            </w:pPr>
            <w:r>
              <w:rPr>
                <w:rFonts w:ascii="Arial" w:cs="Arial" w:eastAsia="Arial" w:hAnsi="Arial"/>
                <w:sz w:val="12"/>
                <w:szCs w:val="12"/>
                <w:color w:val="auto"/>
              </w:rPr>
              <w:t>Large accelerated filer</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56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w w:val="99"/>
              </w:rPr>
              <w:t>Accelerated filer</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3"/>
        </w:trPr>
        <w:tc>
          <w:tcPr>
            <w:tcW w:w="1460" w:type="dxa"/>
            <w:vAlign w:val="bottom"/>
            <w:gridSpan w:val="2"/>
          </w:tcPr>
          <w:p>
            <w:pPr>
              <w:spacing w:after="0"/>
              <w:rPr>
                <w:sz w:val="20"/>
                <w:szCs w:val="20"/>
                <w:color w:val="auto"/>
              </w:rPr>
            </w:pPr>
            <w:r>
              <w:rPr>
                <w:rFonts w:ascii="Arial" w:cs="Arial" w:eastAsia="Arial" w:hAnsi="Arial"/>
                <w:sz w:val="12"/>
                <w:szCs w:val="12"/>
                <w:color w:val="auto"/>
              </w:rPr>
              <w:t>Non-accelerated filer</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560" w:type="dxa"/>
            <w:vAlign w:val="bottom"/>
          </w:tcPr>
          <w:p>
            <w:pPr>
              <w:spacing w:after="0"/>
              <w:rPr>
                <w:sz w:val="13"/>
                <w:szCs w:val="13"/>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Smaller reporting company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7"/>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Emerging growth company</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42" w:lineRule="exact"/>
        <w:rPr>
          <w:sz w:val="24"/>
          <w:szCs w:val="24"/>
          <w:color w:val="auto"/>
        </w:rPr>
      </w:pPr>
    </w:p>
    <w:p>
      <w:pPr>
        <w:jc w:val="both"/>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common stock, $0.01 par value per share, of the registrant outstanding on May 2, 2022 was 86,079,031 shares.</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80" w:type="dxa"/>
            <w:vAlign w:val="bottom"/>
            <w:gridSpan w:val="2"/>
          </w:tcPr>
          <w:p>
            <w:pPr>
              <w:ind w:left="1060"/>
              <w:spacing w:after="0"/>
              <w:rPr>
                <w:sz w:val="20"/>
                <w:szCs w:val="20"/>
                <w:color w:val="auto"/>
              </w:rPr>
            </w:pPr>
            <w:r>
              <w:rPr>
                <w:rFonts w:ascii="Arial" w:cs="Arial" w:eastAsia="Arial" w:hAnsi="Arial"/>
                <w:sz w:val="12"/>
                <w:szCs w:val="12"/>
                <w:b w:val="1"/>
                <w:bCs w:val="1"/>
                <w:color w:val="auto"/>
              </w:rPr>
              <w:t>TABLE OF CONTENTS</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20" w:type="dxa"/>
            <w:vAlign w:val="bottom"/>
            <w:gridSpan w:val="13"/>
            <w:shd w:val="clear" w:color="auto" w:fill="CCEEFF"/>
          </w:tcPr>
          <w:p>
            <w:pPr>
              <w:spacing w:after="0" w:line="135" w:lineRule="exact"/>
              <w:rPr>
                <w:rFonts w:ascii="Arial" w:cs="Arial" w:eastAsia="Arial" w:hAnsi="Arial"/>
                <w:sz w:val="12"/>
                <w:szCs w:val="12"/>
                <w:b w:val="1"/>
                <w:bCs w:val="1"/>
                <w:color w:val="0000FF"/>
              </w:rPr>
            </w:pPr>
            <w:hyperlink w:anchor="page2">
              <w:r>
                <w:rPr>
                  <w:rFonts w:ascii="Arial" w:cs="Arial" w:eastAsia="Arial" w:hAnsi="Arial"/>
                  <w:sz w:val="12"/>
                  <w:szCs w:val="12"/>
                  <w:b w:val="1"/>
                  <w:bCs w:val="1"/>
                  <w:color w:val="0000FF"/>
                </w:rPr>
                <w:t>Cautionary Note Regarding Forward Looking Statements</w:t>
              </w:r>
            </w:hyperlink>
          </w:p>
        </w:tc>
        <w:tc>
          <w:tcPr>
            <w:tcW w:w="2580" w:type="dxa"/>
            <w:vAlign w:val="bottom"/>
            <w:tcBorders>
              <w:right w:val="single" w:sz="8" w:color="CCEEFF"/>
            </w:tcBorders>
            <w:gridSpan w:val="2"/>
            <w:shd w:val="clear" w:color="auto" w:fill="CCEEFF"/>
          </w:tcPr>
          <w:p>
            <w:pPr>
              <w:jc w:val="right"/>
              <w:spacing w:after="0" w:line="135" w:lineRule="exact"/>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3</w:t>
              </w:r>
            </w:hyperlink>
          </w:p>
        </w:tc>
      </w:tr>
      <w:tr>
        <w:trPr>
          <w:trHeight w:val="133"/>
        </w:trPr>
        <w:tc>
          <w:tcPr>
            <w:tcW w:w="400" w:type="dxa"/>
            <w:vAlign w:val="bottom"/>
            <w:tcBorders>
              <w:top w:val="single" w:sz="8" w:color="0000FF"/>
              <w:bottom w:val="single" w:sz="8" w:color="0000FF"/>
            </w:tcBorders>
          </w:tcPr>
          <w:p>
            <w:pPr>
              <w:spacing w:after="0" w:line="126" w:lineRule="exact"/>
              <w:rPr>
                <w:rFonts w:ascii="Arial" w:cs="Arial" w:eastAsia="Arial" w:hAnsi="Arial"/>
                <w:sz w:val="12"/>
                <w:szCs w:val="12"/>
                <w:b w:val="1"/>
                <w:bCs w:val="1"/>
                <w:color w:val="0000FF"/>
                <w:w w:val="96"/>
              </w:rPr>
            </w:pPr>
            <w:hyperlink w:anchor="page4">
              <w:r>
                <w:rPr>
                  <w:rFonts w:ascii="Arial" w:cs="Arial" w:eastAsia="Arial" w:hAnsi="Arial"/>
                  <w:sz w:val="12"/>
                  <w:szCs w:val="12"/>
                  <w:b w:val="1"/>
                  <w:bCs w:val="1"/>
                  <w:color w:val="0000FF"/>
                  <w:w w:val="96"/>
                </w:rPr>
                <w:t>PART I</w:t>
              </w:r>
            </w:hyperlink>
          </w:p>
        </w:tc>
        <w:tc>
          <w:tcPr>
            <w:tcW w:w="640" w:type="dxa"/>
            <w:vAlign w:val="bottom"/>
            <w:tcBorders>
              <w:top w:val="single" w:sz="8" w:color="0000FF"/>
            </w:tcBorders>
            <w:gridSpan w:val="3"/>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1400" w:type="dxa"/>
            <w:vAlign w:val="bottom"/>
            <w:tcBorders>
              <w:top w:val="single" w:sz="8" w:color="CCEEFF"/>
            </w:tcBorders>
          </w:tcPr>
          <w:p>
            <w:pPr>
              <w:spacing w:after="0"/>
              <w:rPr>
                <w:sz w:val="11"/>
                <w:szCs w:val="11"/>
                <w:color w:val="auto"/>
              </w:rPr>
            </w:pPr>
          </w:p>
        </w:tc>
        <w:tc>
          <w:tcPr>
            <w:tcW w:w="3380" w:type="dxa"/>
            <w:vAlign w:val="bottom"/>
            <w:tcBorders>
              <w:top w:val="single" w:sz="8" w:color="CCEEFF"/>
            </w:tcBorders>
          </w:tcPr>
          <w:p>
            <w:pPr>
              <w:spacing w:after="0"/>
              <w:rPr>
                <w:sz w:val="11"/>
                <w:szCs w:val="11"/>
                <w:color w:val="auto"/>
              </w:rPr>
            </w:pPr>
          </w:p>
        </w:tc>
        <w:tc>
          <w:tcPr>
            <w:tcW w:w="2580" w:type="dxa"/>
            <w:vAlign w:val="bottom"/>
            <w:tcBorders>
              <w:top w:val="single" w:sz="8" w:color="CCEEFF"/>
            </w:tcBorders>
            <w:gridSpan w:val="2"/>
          </w:tcPr>
          <w:p>
            <w:pPr>
              <w:jc w:val="right"/>
              <w:spacing w:after="0" w:line="126" w:lineRule="exact"/>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r>
      <w:tr>
        <w:trPr>
          <w:trHeight w:val="126"/>
        </w:trPr>
        <w:tc>
          <w:tcPr>
            <w:tcW w:w="1040" w:type="dxa"/>
            <w:vAlign w:val="bottom"/>
            <w:gridSpan w:val="4"/>
            <w:shd w:val="clear" w:color="auto" w:fill="CCEEFF"/>
          </w:tcPr>
          <w:p>
            <w:pPr>
              <w:ind w:left="80"/>
              <w:spacing w:after="0" w:line="126" w:lineRule="exact"/>
              <w:rPr>
                <w:sz w:val="20"/>
                <w:szCs w:val="20"/>
                <w:color w:val="auto"/>
              </w:rPr>
            </w:pPr>
            <w:r>
              <w:rPr>
                <w:rFonts w:ascii="Arial" w:cs="Arial" w:eastAsia="Arial" w:hAnsi="Arial"/>
                <w:sz w:val="12"/>
                <w:szCs w:val="12"/>
                <w:color w:val="auto"/>
              </w:rPr>
              <w:t>Item 1.</w:t>
            </w:r>
          </w:p>
        </w:tc>
        <w:tc>
          <w:tcPr>
            <w:tcW w:w="7680" w:type="dxa"/>
            <w:vAlign w:val="bottom"/>
            <w:gridSpan w:val="9"/>
            <w:shd w:val="clear" w:color="auto" w:fill="CCEEFF"/>
          </w:tcPr>
          <w:p>
            <w:pPr>
              <w:spacing w:after="0" w:line="126" w:lineRule="exact"/>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5</w:t>
              </w:r>
            </w:hyperlink>
          </w:p>
        </w:tc>
      </w:tr>
      <w:tr>
        <w:trPr>
          <w:trHeight w:val="27"/>
        </w:trPr>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r>
      <w:tr>
        <w:trPr>
          <w:trHeight w:val="133"/>
        </w:trPr>
        <w:tc>
          <w:tcPr>
            <w:tcW w:w="1040" w:type="dxa"/>
            <w:vAlign w:val="bottom"/>
            <w:gridSpan w:val="4"/>
          </w:tcPr>
          <w:p>
            <w:pPr>
              <w:ind w:left="80"/>
              <w:spacing w:after="0" w:line="126" w:lineRule="exact"/>
              <w:rPr>
                <w:sz w:val="20"/>
                <w:szCs w:val="20"/>
                <w:color w:val="auto"/>
              </w:rPr>
            </w:pPr>
            <w:r>
              <w:rPr>
                <w:rFonts w:ascii="Arial" w:cs="Arial" w:eastAsia="Arial" w:hAnsi="Arial"/>
                <w:sz w:val="12"/>
                <w:szCs w:val="12"/>
                <w:color w:val="auto"/>
              </w:rPr>
              <w:t>Item 2.</w:t>
            </w:r>
          </w:p>
        </w:tc>
        <w:tc>
          <w:tcPr>
            <w:tcW w:w="4300" w:type="dxa"/>
            <w:vAlign w:val="bottom"/>
            <w:tcBorders>
              <w:bottom w:val="single" w:sz="8" w:color="0000FF"/>
            </w:tcBorders>
            <w:gridSpan w:val="8"/>
          </w:tcPr>
          <w:p>
            <w:pPr>
              <w:spacing w:after="0" w:line="126" w:lineRule="exact"/>
              <w:rPr>
                <w:rFonts w:ascii="Arial" w:cs="Arial" w:eastAsia="Arial" w:hAnsi="Arial"/>
                <w:sz w:val="12"/>
                <w:szCs w:val="12"/>
                <w:color w:val="0000FF"/>
                <w:w w:val="90"/>
              </w:rPr>
            </w:pPr>
            <w:hyperlink w:anchor="page28">
              <w:r>
                <w:rPr>
                  <w:rFonts w:ascii="Arial" w:cs="Arial" w:eastAsia="Arial" w:hAnsi="Arial"/>
                  <w:sz w:val="12"/>
                  <w:szCs w:val="12"/>
                  <w:color w:val="0000FF"/>
                  <w:w w:val="90"/>
                </w:rPr>
                <w:t>Management's Discussion and Analysis of Financial Condition and Results of Operations</w:t>
              </w:r>
            </w:hyperlink>
          </w:p>
        </w:tc>
        <w:tc>
          <w:tcPr>
            <w:tcW w:w="3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28">
              <w:r>
                <w:rPr>
                  <w:rFonts w:ascii="Arial" w:cs="Arial" w:eastAsia="Arial" w:hAnsi="Arial"/>
                  <w:sz w:val="12"/>
                  <w:szCs w:val="12"/>
                  <w:color w:val="0000FF"/>
                  <w:w w:val="74"/>
                </w:rPr>
                <w:t>28</w:t>
              </w:r>
            </w:hyperlink>
          </w:p>
        </w:tc>
      </w:tr>
      <w:tr>
        <w:trPr>
          <w:trHeight w:val="133"/>
        </w:trPr>
        <w:tc>
          <w:tcPr>
            <w:tcW w:w="1040" w:type="dxa"/>
            <w:vAlign w:val="bottom"/>
            <w:gridSpan w:val="4"/>
            <w:shd w:val="clear" w:color="auto" w:fill="CCEEFF"/>
          </w:tcPr>
          <w:p>
            <w:pPr>
              <w:ind w:left="80"/>
              <w:spacing w:after="0" w:line="126" w:lineRule="exact"/>
              <w:rPr>
                <w:sz w:val="20"/>
                <w:szCs w:val="20"/>
                <w:color w:val="auto"/>
              </w:rPr>
            </w:pPr>
            <w:r>
              <w:rPr>
                <w:rFonts w:ascii="Arial" w:cs="Arial" w:eastAsia="Arial" w:hAnsi="Arial"/>
                <w:sz w:val="12"/>
                <w:szCs w:val="12"/>
                <w:color w:val="auto"/>
              </w:rPr>
              <w:t>Item 3.</w:t>
            </w:r>
          </w:p>
        </w:tc>
        <w:tc>
          <w:tcPr>
            <w:tcW w:w="7680" w:type="dxa"/>
            <w:vAlign w:val="bottom"/>
            <w:gridSpan w:val="9"/>
            <w:shd w:val="clear" w:color="auto" w:fill="CCEEFF"/>
          </w:tcPr>
          <w:p>
            <w:pPr>
              <w:spacing w:after="0" w:line="126" w:lineRule="exact"/>
              <w:rPr>
                <w:rFonts w:ascii="Arial" w:cs="Arial" w:eastAsia="Arial" w:hAnsi="Arial"/>
                <w:sz w:val="12"/>
                <w:szCs w:val="12"/>
                <w:color w:val="0000FF"/>
              </w:rPr>
            </w:pPr>
            <w:hyperlink w:anchor="page53">
              <w:r>
                <w:rPr>
                  <w:rFonts w:ascii="Arial" w:cs="Arial" w:eastAsia="Arial" w:hAnsi="Arial"/>
                  <w:sz w:val="12"/>
                  <w:szCs w:val="12"/>
                  <w:color w:val="0000FF"/>
                </w:rPr>
                <w:t>Quantitative and Qualitative Disclosures About Market Risk</w:t>
              </w:r>
            </w:hyperlink>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53">
              <w:r>
                <w:rPr>
                  <w:rFonts w:ascii="Arial" w:cs="Arial" w:eastAsia="Arial" w:hAnsi="Arial"/>
                  <w:sz w:val="12"/>
                  <w:szCs w:val="12"/>
                  <w:color w:val="0000FF"/>
                </w:rPr>
                <w:t>54</w:t>
              </w:r>
            </w:hyperlink>
          </w:p>
        </w:tc>
      </w:tr>
      <w:tr>
        <w:trPr>
          <w:trHeight w:val="133"/>
        </w:trPr>
        <w:tc>
          <w:tcPr>
            <w:tcW w:w="1040" w:type="dxa"/>
            <w:vAlign w:val="bottom"/>
            <w:tcBorders>
              <w:top w:val="single" w:sz="8" w:color="CCEEFF"/>
            </w:tcBorders>
            <w:gridSpan w:val="4"/>
          </w:tcPr>
          <w:p>
            <w:pPr>
              <w:ind w:left="80"/>
              <w:spacing w:after="0" w:line="126" w:lineRule="exact"/>
              <w:rPr>
                <w:sz w:val="20"/>
                <w:szCs w:val="20"/>
                <w:color w:val="auto"/>
              </w:rPr>
            </w:pPr>
            <w:r>
              <w:rPr>
                <w:rFonts w:ascii="Arial" w:cs="Arial" w:eastAsia="Arial" w:hAnsi="Arial"/>
                <w:sz w:val="12"/>
                <w:szCs w:val="12"/>
                <w:color w:val="auto"/>
              </w:rPr>
              <w:t>Item 4.</w:t>
            </w:r>
          </w:p>
        </w:tc>
        <w:tc>
          <w:tcPr>
            <w:tcW w:w="1180" w:type="dxa"/>
            <w:vAlign w:val="bottom"/>
            <w:tcBorders>
              <w:top w:val="single" w:sz="8" w:color="0000FF"/>
              <w:bottom w:val="single" w:sz="8" w:color="0000FF"/>
            </w:tcBorders>
            <w:gridSpan w:val="5"/>
          </w:tcPr>
          <w:p>
            <w:pPr>
              <w:spacing w:after="0" w:line="126" w:lineRule="exact"/>
              <w:rPr>
                <w:rFonts w:ascii="Arial" w:cs="Arial" w:eastAsia="Arial" w:hAnsi="Arial"/>
                <w:sz w:val="12"/>
                <w:szCs w:val="12"/>
                <w:color w:val="0000FF"/>
                <w:w w:val="87"/>
              </w:rPr>
            </w:pPr>
            <w:hyperlink w:anchor="page54">
              <w:r>
                <w:rPr>
                  <w:rFonts w:ascii="Arial" w:cs="Arial" w:eastAsia="Arial" w:hAnsi="Arial"/>
                  <w:sz w:val="12"/>
                  <w:szCs w:val="12"/>
                  <w:color w:val="0000FF"/>
                  <w:w w:val="87"/>
                </w:rPr>
                <w:t>Controls and Procedures</w:t>
              </w:r>
            </w:hyperlink>
          </w:p>
        </w:tc>
        <w:tc>
          <w:tcPr>
            <w:tcW w:w="1720" w:type="dxa"/>
            <w:vAlign w:val="bottom"/>
            <w:tcBorders>
              <w:top w:val="single" w:sz="8" w:color="0000FF"/>
            </w:tcBorders>
            <w:gridSpan w:val="2"/>
          </w:tcPr>
          <w:p>
            <w:pPr>
              <w:spacing w:after="0"/>
              <w:rPr>
                <w:sz w:val="11"/>
                <w:szCs w:val="11"/>
                <w:color w:val="auto"/>
              </w:rPr>
            </w:pPr>
          </w:p>
        </w:tc>
        <w:tc>
          <w:tcPr>
            <w:tcW w:w="4780" w:type="dxa"/>
            <w:vAlign w:val="bottom"/>
            <w:tcBorders>
              <w:top w:val="single" w:sz="8" w:color="CCEEFF"/>
            </w:tcBorders>
            <w:gridSpan w:val="2"/>
          </w:tcPr>
          <w:p>
            <w:pPr>
              <w:spacing w:after="0"/>
              <w:rPr>
                <w:sz w:val="11"/>
                <w:szCs w:val="11"/>
                <w:color w:val="auto"/>
              </w:rPr>
            </w:pPr>
          </w:p>
        </w:tc>
        <w:tc>
          <w:tcPr>
            <w:tcW w:w="2440" w:type="dxa"/>
            <w:vAlign w:val="bottom"/>
            <w:tcBorders>
              <w:top w:val="single" w:sz="8" w:color="CCEEFF"/>
            </w:tcBorders>
          </w:tcPr>
          <w:p>
            <w:pPr>
              <w:spacing w:after="0"/>
              <w:rPr>
                <w:sz w:val="11"/>
                <w:szCs w:val="11"/>
                <w:color w:val="auto"/>
              </w:rPr>
            </w:pPr>
          </w:p>
        </w:tc>
        <w:tc>
          <w:tcPr>
            <w:tcW w:w="140" w:type="dxa"/>
            <w:vAlign w:val="bottom"/>
            <w:tcBorders>
              <w:top w:val="single" w:sz="8" w:color="0000FF"/>
              <w:bottom w:val="single" w:sz="8" w:color="0000FF"/>
            </w:tcBorders>
          </w:tcPr>
          <w:p>
            <w:pPr>
              <w:jc w:val="right"/>
              <w:spacing w:after="0" w:line="126" w:lineRule="exact"/>
              <w:rPr>
                <w:rFonts w:ascii="Arial" w:cs="Arial" w:eastAsia="Arial" w:hAnsi="Arial"/>
                <w:sz w:val="12"/>
                <w:szCs w:val="12"/>
                <w:color w:val="0000FF"/>
                <w:w w:val="74"/>
              </w:rPr>
            </w:pPr>
            <w:hyperlink w:anchor="page54">
              <w:r>
                <w:rPr>
                  <w:rFonts w:ascii="Arial" w:cs="Arial" w:eastAsia="Arial" w:hAnsi="Arial"/>
                  <w:sz w:val="12"/>
                  <w:szCs w:val="12"/>
                  <w:color w:val="0000FF"/>
                  <w:w w:val="74"/>
                </w:rPr>
                <w:t>55</w:t>
              </w:r>
            </w:hyperlink>
          </w:p>
        </w:tc>
      </w:tr>
      <w:tr>
        <w:trPr>
          <w:trHeight w:val="133"/>
        </w:trPr>
        <w:tc>
          <w:tcPr>
            <w:tcW w:w="1040" w:type="dxa"/>
            <w:vAlign w:val="bottom"/>
            <w:gridSpan w:val="4"/>
            <w:shd w:val="clear" w:color="auto" w:fill="CCEEFF"/>
          </w:tcPr>
          <w:p>
            <w:pPr>
              <w:spacing w:after="0" w:line="126" w:lineRule="exact"/>
              <w:rPr>
                <w:rFonts w:ascii="Arial" w:cs="Arial" w:eastAsia="Arial" w:hAnsi="Arial"/>
                <w:sz w:val="12"/>
                <w:szCs w:val="12"/>
                <w:b w:val="1"/>
                <w:bCs w:val="1"/>
                <w:color w:val="0000FF"/>
              </w:rPr>
            </w:pPr>
            <w:hyperlink w:anchor="page55">
              <w:r>
                <w:rPr>
                  <w:rFonts w:ascii="Arial" w:cs="Arial" w:eastAsia="Arial" w:hAnsi="Arial"/>
                  <w:sz w:val="12"/>
                  <w:szCs w:val="12"/>
                  <w:b w:val="1"/>
                  <w:bCs w:val="1"/>
                  <w:color w:val="0000FF"/>
                </w:rPr>
                <w:t>PART II</w:t>
              </w:r>
            </w:hyperlink>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55">
              <w:r>
                <w:rPr>
                  <w:rFonts w:ascii="Arial" w:cs="Arial" w:eastAsia="Arial" w:hAnsi="Arial"/>
                  <w:sz w:val="12"/>
                  <w:szCs w:val="12"/>
                  <w:color w:val="0000FF"/>
                </w:rPr>
                <w:t>56</w:t>
              </w:r>
            </w:hyperlink>
          </w:p>
        </w:tc>
      </w:tr>
      <w:tr>
        <w:trPr>
          <w:trHeight w:val="126"/>
        </w:trPr>
        <w:tc>
          <w:tcPr>
            <w:tcW w:w="440" w:type="dxa"/>
            <w:vAlign w:val="bottom"/>
            <w:tcBorders>
              <w:top w:val="single" w:sz="8" w:color="0000FF"/>
            </w:tcBorders>
            <w:gridSpan w:val="2"/>
          </w:tcPr>
          <w:p>
            <w:pPr>
              <w:ind w:left="80"/>
              <w:spacing w:after="0" w:line="126" w:lineRule="exact"/>
              <w:rPr>
                <w:sz w:val="20"/>
                <w:szCs w:val="20"/>
                <w:color w:val="auto"/>
              </w:rPr>
            </w:pPr>
            <w:r>
              <w:rPr>
                <w:rFonts w:ascii="Arial" w:cs="Arial" w:eastAsia="Arial" w:hAnsi="Arial"/>
                <w:sz w:val="12"/>
                <w:szCs w:val="12"/>
                <w:color w:val="auto"/>
                <w:w w:val="92"/>
              </w:rPr>
              <w:t>Item 1.</w:t>
            </w:r>
          </w:p>
        </w:tc>
        <w:tc>
          <w:tcPr>
            <w:tcW w:w="600" w:type="dxa"/>
            <w:vAlign w:val="bottom"/>
            <w:tcBorders>
              <w:top w:val="single" w:sz="8" w:color="CCEEFF"/>
            </w:tcBorders>
            <w:gridSpan w:val="2"/>
          </w:tcPr>
          <w:p>
            <w:pPr>
              <w:spacing w:after="0"/>
              <w:rPr>
                <w:sz w:val="10"/>
                <w:szCs w:val="10"/>
                <w:color w:val="auto"/>
              </w:rPr>
            </w:pPr>
          </w:p>
        </w:tc>
        <w:tc>
          <w:tcPr>
            <w:tcW w:w="7680" w:type="dxa"/>
            <w:vAlign w:val="bottom"/>
            <w:tcBorders>
              <w:top w:val="single" w:sz="8" w:color="CCEEFF"/>
            </w:tcBorders>
            <w:gridSpan w:val="9"/>
          </w:tcPr>
          <w:p>
            <w:pPr>
              <w:spacing w:after="0" w:line="126" w:lineRule="exact"/>
              <w:rPr>
                <w:rFonts w:ascii="Arial" w:cs="Arial" w:eastAsia="Arial" w:hAnsi="Arial"/>
                <w:sz w:val="12"/>
                <w:szCs w:val="12"/>
                <w:color w:val="0000FF"/>
              </w:rPr>
            </w:pPr>
            <w:hyperlink w:anchor="page56">
              <w:r>
                <w:rPr>
                  <w:rFonts w:ascii="Arial" w:cs="Arial" w:eastAsia="Arial" w:hAnsi="Arial"/>
                  <w:sz w:val="12"/>
                  <w:szCs w:val="12"/>
                  <w:color w:val="0000FF"/>
                </w:rPr>
                <w:t>Legal Proceedings</w:t>
              </w:r>
            </w:hyperlink>
          </w:p>
        </w:tc>
        <w:tc>
          <w:tcPr>
            <w:tcW w:w="2440" w:type="dxa"/>
            <w:vAlign w:val="bottom"/>
            <w:tcBorders>
              <w:top w:val="single" w:sz="8" w:color="CCEEFF"/>
            </w:tcBorders>
          </w:tcPr>
          <w:p>
            <w:pPr>
              <w:spacing w:after="0"/>
              <w:rPr>
                <w:sz w:val="10"/>
                <w:szCs w:val="10"/>
                <w:color w:val="auto"/>
              </w:rPr>
            </w:pPr>
          </w:p>
        </w:tc>
        <w:tc>
          <w:tcPr>
            <w:tcW w:w="140" w:type="dxa"/>
            <w:vAlign w:val="bottom"/>
            <w:tcBorders>
              <w:top w:val="single" w:sz="8" w:color="0000FF"/>
            </w:tcBorders>
          </w:tcPr>
          <w:p>
            <w:pPr>
              <w:jc w:val="right"/>
              <w:spacing w:after="0" w:line="126" w:lineRule="exact"/>
              <w:rPr>
                <w:rFonts w:ascii="Arial" w:cs="Arial" w:eastAsia="Arial" w:hAnsi="Arial"/>
                <w:sz w:val="12"/>
                <w:szCs w:val="12"/>
                <w:color w:val="0000FF"/>
                <w:w w:val="74"/>
              </w:rPr>
            </w:pPr>
            <w:hyperlink w:anchor="page56">
              <w:r>
                <w:rPr>
                  <w:rFonts w:ascii="Arial" w:cs="Arial" w:eastAsia="Arial" w:hAnsi="Arial"/>
                  <w:sz w:val="12"/>
                  <w:szCs w:val="12"/>
                  <w:color w:val="0000FF"/>
                  <w:w w:val="74"/>
                </w:rPr>
                <w:t>56</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r>
      <w:tr>
        <w:trPr>
          <w:trHeight w:val="120"/>
        </w:trPr>
        <w:tc>
          <w:tcPr>
            <w:tcW w:w="1040" w:type="dxa"/>
            <w:vAlign w:val="bottom"/>
            <w:tcBorders>
              <w:bottom w:val="single" w:sz="8" w:color="CCEEFF"/>
            </w:tcBorders>
            <w:gridSpan w:val="4"/>
            <w:shd w:val="clear" w:color="auto" w:fill="CCEEFF"/>
          </w:tcPr>
          <w:p>
            <w:pPr>
              <w:ind w:left="80"/>
              <w:spacing w:after="0" w:line="113"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FF"/>
            </w:tcBorders>
            <w:gridSpan w:val="2"/>
            <w:shd w:val="clear" w:color="auto" w:fill="CCEEFF"/>
          </w:tcPr>
          <w:p>
            <w:pPr>
              <w:spacing w:after="0" w:line="113" w:lineRule="exact"/>
              <w:rPr>
                <w:rFonts w:ascii="Arial" w:cs="Arial" w:eastAsia="Arial" w:hAnsi="Arial"/>
                <w:sz w:val="12"/>
                <w:szCs w:val="12"/>
                <w:color w:val="0000FF"/>
                <w:w w:val="86"/>
                <w:shd w:val="clear" w:color="auto" w:fill="CCEEFF"/>
              </w:rPr>
            </w:pPr>
            <w:hyperlink w:anchor="page56">
              <w:r>
                <w:rPr>
                  <w:rFonts w:ascii="Arial" w:cs="Arial" w:eastAsia="Arial" w:hAnsi="Arial"/>
                  <w:sz w:val="12"/>
                  <w:szCs w:val="12"/>
                  <w:color w:val="0000FF"/>
                  <w:w w:val="86"/>
                  <w:shd w:val="clear" w:color="auto" w:fill="CCEEFF"/>
                </w:rPr>
                <w:t>Risk Factors</w:t>
              </w:r>
            </w:hyperlink>
          </w:p>
        </w:tc>
        <w:tc>
          <w:tcPr>
            <w:tcW w:w="7080" w:type="dxa"/>
            <w:vAlign w:val="bottom"/>
            <w:tcBorders>
              <w:bottom w:val="single" w:sz="8" w:color="CCEEFF"/>
            </w:tcBorders>
            <w:gridSpan w:val="7"/>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0000FF"/>
              <w:right w:val="single" w:sz="8" w:color="CCEEFF"/>
            </w:tcBorders>
            <w:shd w:val="clear" w:color="auto" w:fill="CCEEFF"/>
          </w:tcPr>
          <w:p>
            <w:pPr>
              <w:jc w:val="right"/>
              <w:spacing w:after="0" w:line="113" w:lineRule="exact"/>
              <w:rPr>
                <w:rFonts w:ascii="Arial" w:cs="Arial" w:eastAsia="Arial" w:hAnsi="Arial"/>
                <w:sz w:val="12"/>
                <w:szCs w:val="12"/>
                <w:color w:val="0000FF"/>
                <w:w w:val="74"/>
              </w:rPr>
            </w:pPr>
            <w:hyperlink w:anchor="page56">
              <w:r>
                <w:rPr>
                  <w:rFonts w:ascii="Arial" w:cs="Arial" w:eastAsia="Arial" w:hAnsi="Arial"/>
                  <w:sz w:val="12"/>
                  <w:szCs w:val="12"/>
                  <w:color w:val="0000FF"/>
                  <w:w w:val="74"/>
                </w:rPr>
                <w:t>56</w:t>
              </w:r>
            </w:hyperlink>
          </w:p>
        </w:tc>
      </w:tr>
      <w:tr>
        <w:trPr>
          <w:trHeight w:val="133"/>
        </w:trPr>
        <w:tc>
          <w:tcPr>
            <w:tcW w:w="1040" w:type="dxa"/>
            <w:vAlign w:val="bottom"/>
            <w:gridSpan w:val="4"/>
          </w:tcPr>
          <w:p>
            <w:pPr>
              <w:ind w:left="80"/>
              <w:spacing w:after="0" w:line="126" w:lineRule="exact"/>
              <w:rPr>
                <w:sz w:val="20"/>
                <w:szCs w:val="20"/>
                <w:color w:val="auto"/>
              </w:rPr>
            </w:pPr>
            <w:r>
              <w:rPr>
                <w:rFonts w:ascii="Arial" w:cs="Arial" w:eastAsia="Arial" w:hAnsi="Arial"/>
                <w:sz w:val="12"/>
                <w:szCs w:val="12"/>
                <w:color w:val="auto"/>
              </w:rPr>
              <w:t>Item 6.</w:t>
            </w:r>
          </w:p>
        </w:tc>
        <w:tc>
          <w:tcPr>
            <w:tcW w:w="400" w:type="dxa"/>
            <w:vAlign w:val="bottom"/>
            <w:tcBorders>
              <w:bottom w:val="single" w:sz="8" w:color="0000FF"/>
            </w:tcBorders>
          </w:tcPr>
          <w:p>
            <w:pPr>
              <w:spacing w:after="0" w:line="126" w:lineRule="exact"/>
              <w:rPr>
                <w:rFonts w:ascii="Arial" w:cs="Arial" w:eastAsia="Arial" w:hAnsi="Arial"/>
                <w:sz w:val="12"/>
                <w:szCs w:val="12"/>
                <w:color w:val="0000FF"/>
                <w:w w:val="90"/>
              </w:rPr>
            </w:pPr>
            <w:hyperlink w:anchor="page56">
              <w:r>
                <w:rPr>
                  <w:rFonts w:ascii="Arial" w:cs="Arial" w:eastAsia="Arial" w:hAnsi="Arial"/>
                  <w:sz w:val="12"/>
                  <w:szCs w:val="12"/>
                  <w:color w:val="0000FF"/>
                  <w:w w:val="90"/>
                </w:rPr>
                <w:t>Exhibits</w:t>
              </w:r>
            </w:hyperlink>
          </w:p>
        </w:tc>
        <w:tc>
          <w:tcPr>
            <w:tcW w:w="7280" w:type="dxa"/>
            <w:vAlign w:val="bottom"/>
            <w:gridSpan w:val="8"/>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56">
              <w:r>
                <w:rPr>
                  <w:rFonts w:ascii="Arial" w:cs="Arial" w:eastAsia="Arial" w:hAnsi="Arial"/>
                  <w:sz w:val="12"/>
                  <w:szCs w:val="12"/>
                  <w:color w:val="0000FF"/>
                  <w:w w:val="74"/>
                </w:rPr>
                <w:t>57</w:t>
              </w:r>
            </w:hyperlink>
          </w:p>
        </w:tc>
      </w:tr>
      <w:tr>
        <w:trPr>
          <w:trHeight w:val="126"/>
        </w:trPr>
        <w:tc>
          <w:tcPr>
            <w:tcW w:w="1040" w:type="dxa"/>
            <w:vAlign w:val="bottom"/>
            <w:gridSpan w:val="4"/>
            <w:shd w:val="clear" w:color="auto" w:fill="CCEEFF"/>
          </w:tcPr>
          <w:p>
            <w:pPr>
              <w:spacing w:after="0" w:line="126" w:lineRule="exact"/>
              <w:rPr>
                <w:rFonts w:ascii="Arial" w:cs="Arial" w:eastAsia="Arial" w:hAnsi="Arial"/>
                <w:sz w:val="12"/>
                <w:szCs w:val="12"/>
                <w:b w:val="1"/>
                <w:bCs w:val="1"/>
                <w:color w:val="0000FF"/>
              </w:rPr>
            </w:pPr>
            <w:hyperlink w:anchor="page59">
              <w:r>
                <w:rPr>
                  <w:rFonts w:ascii="Arial" w:cs="Arial" w:eastAsia="Arial" w:hAnsi="Arial"/>
                  <w:sz w:val="12"/>
                  <w:szCs w:val="12"/>
                  <w:b w:val="1"/>
                  <w:bCs w:val="1"/>
                  <w:color w:val="0000FF"/>
                </w:rPr>
                <w:t>Signatures</w:t>
              </w:r>
            </w:hyperlink>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59">
              <w:r>
                <w:rPr>
                  <w:rFonts w:ascii="Arial" w:cs="Arial" w:eastAsia="Arial" w:hAnsi="Arial"/>
                  <w:sz w:val="12"/>
                  <w:szCs w:val="12"/>
                  <w:color w:val="0000FF"/>
                </w:rPr>
                <w:t>60</w:t>
              </w:r>
            </w:hyperlink>
          </w:p>
        </w:tc>
      </w:tr>
      <w:tr>
        <w:trPr>
          <w:trHeight w:val="27"/>
        </w:trPr>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18" w:lineRule="exact"/>
        <w:rPr>
          <w:sz w:val="20"/>
          <w:szCs w:val="20"/>
          <w:color w:val="auto"/>
        </w:rPr>
      </w:pPr>
    </w:p>
    <w:p>
      <w:pPr>
        <w:jc w:val="both"/>
        <w:ind w:firstLine="132"/>
        <w:spacing w:after="0" w:line="279" w:lineRule="auto"/>
        <w:rPr>
          <w:sz w:val="20"/>
          <w:szCs w:val="20"/>
          <w:color w:val="auto"/>
        </w:rPr>
      </w:pPr>
      <w:r>
        <w:rPr>
          <w:rFonts w:ascii="Arial" w:cs="Arial" w:eastAsia="Arial" w:hAnsi="Arial"/>
          <w:sz w:val="11"/>
          <w:szCs w:val="11"/>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81" w:lineRule="exact"/>
        <w:rPr>
          <w:sz w:val="20"/>
          <w:szCs w:val="20"/>
          <w:color w:val="auto"/>
        </w:rPr>
      </w:pPr>
    </w:p>
    <w:p>
      <w:pPr>
        <w:ind w:left="640" w:right="2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uncertainty relating to the coronavirus (COVID-19) pandemic and the measures taken by governmental authorities and other third parties to contain the spread of COVID-19, including their impact on the global economy, the U.S. housing, real estate, housing finance and mortgage insurance markets, and our business, operations and personnel;</w:t>
      </w:r>
    </w:p>
    <w:p>
      <w:pPr>
        <w:spacing w:after="0" w:line="78" w:lineRule="exact"/>
        <w:rPr>
          <w:rFonts w:ascii="Arial" w:cs="Arial" w:eastAsia="Arial" w:hAnsi="Arial"/>
          <w:sz w:val="12"/>
          <w:szCs w:val="12"/>
          <w:color w:val="auto"/>
        </w:rPr>
      </w:pPr>
    </w:p>
    <w:p>
      <w:pPr>
        <w:jc w:val="both"/>
        <w:ind w:left="640" w:hanging="216"/>
        <w:spacing w:after="0" w:line="298" w:lineRule="auto"/>
        <w:tabs>
          <w:tab w:leader="none" w:pos="637" w:val="left"/>
        </w:tabs>
        <w:numPr>
          <w:ilvl w:val="0"/>
          <w:numId w:val="3"/>
        </w:numPr>
        <w:rPr>
          <w:rFonts w:ascii="Arial" w:cs="Arial" w:eastAsia="Arial" w:hAnsi="Arial"/>
          <w:sz w:val="11"/>
          <w:szCs w:val="11"/>
          <w:color w:val="auto"/>
        </w:rPr>
      </w:pPr>
      <w:r>
        <w:rPr>
          <w:rFonts w:ascii="Arial" w:cs="Arial" w:eastAsia="Arial" w:hAnsi="Arial"/>
          <w:sz w:val="11"/>
          <w:szCs w:val="11"/>
          <w:color w:val="auto"/>
        </w:rPr>
        <w:t>changes in the charters, business practices, policy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minority communities;</w:t>
      </w:r>
    </w:p>
    <w:p>
      <w:pPr>
        <w:spacing w:after="0" w:line="68" w:lineRule="exact"/>
        <w:rPr>
          <w:rFonts w:ascii="Arial" w:cs="Arial" w:eastAsia="Arial" w:hAnsi="Arial"/>
          <w:sz w:val="11"/>
          <w:szCs w:val="11"/>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remain an eligible mortgage insurer under the private mortgage insurer eligibility requirements (PMIERs) and other requirements imposed by the GSEs, which they may change at any time;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retention of our existing certificates of authority in each state and the District of Columbia (D.C.) and our ability to remain a mortgage insurer in good standing in each state and D.C.;</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profitability, liquidity and capital resources;</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developments in the world's financial, capital and credit markets and our access to such markets, including reinsurance;</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U.S. federal tax reform and other potential changes in tax law and their impact on us and our operations;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1"/>
          <w:szCs w:val="11"/>
          <w:color w:val="auto"/>
        </w:rPr>
      </w:pPr>
      <w:r>
        <w:rPr>
          <w:rFonts w:ascii="Arial" w:cs="Arial" w:eastAsia="Arial" w:hAnsi="Arial"/>
          <w:sz w:val="11"/>
          <w:szCs w:val="11"/>
          <w:color w:val="auto"/>
        </w:rPr>
        <w:t>legislative or regulatory changes to the GSEs' role in the secondary mortgage market or other changes that could affect the residential mortgage industry generally or mortgage insurance industry in particular;</w:t>
      </w:r>
    </w:p>
    <w:p>
      <w:pPr>
        <w:spacing w:after="0" w:line="125" w:lineRule="exact"/>
        <w:rPr>
          <w:rFonts w:ascii="Arial" w:cs="Arial" w:eastAsia="Arial" w:hAnsi="Arial"/>
          <w:sz w:val="11"/>
          <w:szCs w:val="11"/>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3" w:name="page4"/>
    <w:bookmarkEnd w:id="3"/>
    <w:p>
      <w:pPr>
        <w:ind w:left="64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general economic, market and political conditions and policies (including rising interest rates and inflation) and investment results or other conditions that affect the housing market or the markets for home mortgages or mortgage insurance;</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8"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attract and retain a diverse customer base, including the largest mortgage originators;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of risk management or pricing or investment strategies;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decrease in the length of time our insurance policies are in force;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emergence of unexpected claim and coverage issues, including claims exceeding our reserves or amounts we had expected to experience;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1"/>
          <w:szCs w:val="11"/>
          <w:color w:val="auto"/>
        </w:rPr>
      </w:pPr>
      <w:r>
        <w:rPr>
          <w:rFonts w:ascii="Arial" w:cs="Arial" w:eastAsia="Arial" w:hAnsi="Arial"/>
          <w:sz w:val="11"/>
          <w:szCs w:val="11"/>
          <w:color w:val="auto"/>
        </w:rPr>
        <w:t>potential adverse impacts arising from natural disasters, including, with respect to affected areas, a decline in new business, adverse effects on home prices, and an increase in notices of default on insured mortgages;</w:t>
      </w:r>
    </w:p>
    <w:p>
      <w:pPr>
        <w:spacing w:after="0" w:line="125" w:lineRule="exact"/>
        <w:rPr>
          <w:rFonts w:ascii="Arial" w:cs="Arial" w:eastAsia="Arial" w:hAnsi="Arial"/>
          <w:sz w:val="11"/>
          <w:szCs w:val="11"/>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inability of our counter-parties, including third party reinsurers, to meet their obligations to us;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to maintain, improve and continue to develop necessary information technology (IT) systems or the failure of technology providers to perform;</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effectiveness and security of our information technology systems and digital products and services, including the risks these systems, products or services may fail to operate as expected or planned, or expose us to cybersecurity or third-party risks;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recruit, train and retain key personnel.</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more information regarding these risks and uncertainties as well as certain additional risks that we face, you should refer to Part I, Item 2, "</w:t>
      </w:r>
      <w:r>
        <w:rPr>
          <w:rFonts w:ascii="Arial" w:cs="Arial" w:eastAsia="Arial" w:hAnsi="Arial"/>
          <w:sz w:val="12"/>
          <w:szCs w:val="12"/>
          <w:i w:val="1"/>
          <w:iCs w:val="1"/>
          <w:color w:val="auto"/>
        </w:rPr>
        <w:t>Management's Discussion and Analysis of Financial Condition and Results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Operations" </w:t>
      </w:r>
      <w:r>
        <w:rPr>
          <w:rFonts w:ascii="Arial" w:cs="Arial" w:eastAsia="Arial" w:hAnsi="Arial"/>
          <w:sz w:val="12"/>
          <w:szCs w:val="12"/>
          <w:color w:val="auto"/>
        </w:rPr>
        <w:t>and elsewhere in this report on Form 10-Q, including the exhibits hereto. In addition, for additional discussion of those risks and uncertainties that have the potential to affect our business, financial condition, results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operations, cash flows or prospects in a material and adverse manner, you should review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in Part II, Item 1A of this Report and in Part I, Item 1A, of our Annual Report on Form 10-K for the year ended December 31, 2021 (2021 10-K), as subsequently updated in other reports we file from time to time with the U.S. Securities and Exchange Commission (SEC).</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Unless expressly indicated or the context requires otherwise, the terms "we," "our," "us," "Company" and "NMI" in this document refer to NMI Holdings, Inc., a Delaware corporation, and its wholly 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80" w:type="dxa"/>
            <w:vAlign w:val="bottom"/>
            <w:shd w:val="clear" w:color="auto" w:fill="CCEEFF"/>
          </w:tcPr>
          <w:p>
            <w:pPr>
              <w:spacing w:after="0"/>
              <w:rPr>
                <w:sz w:val="20"/>
                <w:szCs w:val="20"/>
                <w:color w:val="auto"/>
              </w:rPr>
            </w:pPr>
            <w:r>
              <w:rPr>
                <w:rFonts w:ascii="Arial" w:cs="Arial" w:eastAsia="Arial" w:hAnsi="Arial"/>
                <w:sz w:val="12"/>
                <w:szCs w:val="12"/>
                <w:color w:val="auto"/>
              </w:rPr>
              <w:t>Condensed Consolidated Balance Sheets as of March 31, 2022 (Unaudited) and December 31, 2021</w:t>
            </w:r>
          </w:p>
        </w:tc>
        <w:tc>
          <w:tcPr>
            <w:tcW w:w="2220" w:type="dxa"/>
            <w:vAlign w:val="bottom"/>
            <w:gridSpan w:val="3"/>
            <w:shd w:val="clear" w:color="auto" w:fill="CCEEFF"/>
          </w:tcPr>
          <w:p>
            <w:pPr>
              <w:jc w:val="right"/>
              <w:ind w:right="20"/>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6</w:t>
              </w:r>
            </w:hyperlink>
          </w:p>
        </w:tc>
      </w:tr>
      <w:tr>
        <w:trPr>
          <w:trHeight w:val="153"/>
        </w:trPr>
        <w:tc>
          <w:tcPr>
            <w:tcW w:w="9080" w:type="dxa"/>
            <w:vAlign w:val="bottom"/>
          </w:tcPr>
          <w:p>
            <w:pPr>
              <w:spacing w:after="0"/>
              <w:rPr>
                <w:sz w:val="20"/>
                <w:szCs w:val="20"/>
                <w:color w:val="auto"/>
              </w:rPr>
            </w:pPr>
            <w:r>
              <w:rPr>
                <w:rFonts w:ascii="Arial" w:cs="Arial" w:eastAsia="Arial" w:hAnsi="Arial"/>
                <w:sz w:val="12"/>
                <w:szCs w:val="12"/>
                <w:color w:val="auto"/>
              </w:rPr>
              <w:t>Condensed Consolidated Statements of Operations and Comprehensive Income for the three months ended March 31, 2022 and 2021 (Unaudited)</w:t>
            </w:r>
          </w:p>
        </w:tc>
        <w:tc>
          <w:tcPr>
            <w:tcW w:w="2220" w:type="dxa"/>
            <w:vAlign w:val="bottom"/>
            <w:gridSpan w:val="3"/>
          </w:tcPr>
          <w:p>
            <w:pPr>
              <w:jc w:val="right"/>
              <w:ind w:right="20"/>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7</w:t>
              </w:r>
            </w:hyperlink>
          </w:p>
        </w:tc>
      </w:tr>
      <w:tr>
        <w:trPr>
          <w:trHeight w:val="153"/>
        </w:trPr>
        <w:tc>
          <w:tcPr>
            <w:tcW w:w="9080" w:type="dxa"/>
            <w:vAlign w:val="bottom"/>
            <w:shd w:val="clear" w:color="auto" w:fill="CCEEFF"/>
          </w:tcPr>
          <w:p>
            <w:pPr>
              <w:spacing w:after="0"/>
              <w:rPr>
                <w:sz w:val="20"/>
                <w:szCs w:val="20"/>
                <w:color w:val="auto"/>
              </w:rPr>
            </w:pPr>
            <w:r>
              <w:rPr>
                <w:rFonts w:ascii="Arial" w:cs="Arial" w:eastAsia="Arial" w:hAnsi="Arial"/>
                <w:sz w:val="12"/>
                <w:szCs w:val="12"/>
                <w:color w:val="auto"/>
              </w:rPr>
              <w:t>Condensed Consolidated Statements of Changes in Shareholders' Equity for the three months ended March 31, 2022 and 2021 (Unaudited)</w:t>
            </w:r>
          </w:p>
        </w:tc>
        <w:tc>
          <w:tcPr>
            <w:tcW w:w="2220" w:type="dxa"/>
            <w:vAlign w:val="bottom"/>
            <w:gridSpan w:val="3"/>
            <w:shd w:val="clear" w:color="auto" w:fill="CCEEFF"/>
          </w:tcPr>
          <w:p>
            <w:pPr>
              <w:jc w:val="right"/>
              <w:ind w:right="20"/>
              <w:spacing w:after="0"/>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8</w:t>
              </w:r>
            </w:hyperlink>
          </w:p>
        </w:tc>
      </w:tr>
      <w:tr>
        <w:trPr>
          <w:trHeight w:val="153"/>
        </w:trPr>
        <w:tc>
          <w:tcPr>
            <w:tcW w:w="9080" w:type="dxa"/>
            <w:vAlign w:val="bottom"/>
          </w:tcPr>
          <w:p>
            <w:pPr>
              <w:spacing w:after="0"/>
              <w:rPr>
                <w:sz w:val="20"/>
                <w:szCs w:val="20"/>
                <w:color w:val="auto"/>
              </w:rPr>
            </w:pPr>
            <w:r>
              <w:rPr>
                <w:rFonts w:ascii="Arial" w:cs="Arial" w:eastAsia="Arial" w:hAnsi="Arial"/>
                <w:sz w:val="12"/>
                <w:szCs w:val="12"/>
                <w:color w:val="auto"/>
              </w:rPr>
              <w:t>Condensed Consolidated Statements of Cash Flows for the three months ended March 31, 2022 and 2021 (Unaudited)</w:t>
            </w:r>
          </w:p>
        </w:tc>
        <w:tc>
          <w:tcPr>
            <w:tcW w:w="2220" w:type="dxa"/>
            <w:vAlign w:val="bottom"/>
            <w:gridSpan w:val="3"/>
          </w:tcPr>
          <w:p>
            <w:pPr>
              <w:jc w:val="right"/>
              <w:ind w:right="20"/>
              <w:spacing w:after="0"/>
              <w:rPr>
                <w:rFonts w:ascii="Arial" w:cs="Arial" w:eastAsia="Arial" w:hAnsi="Arial"/>
                <w:sz w:val="12"/>
                <w:szCs w:val="12"/>
                <w:u w:val="single" w:color="auto"/>
                <w:color w:val="0000FF"/>
              </w:rPr>
            </w:pPr>
            <w:hyperlink w:anchor="page8">
              <w:r>
                <w:rPr>
                  <w:rFonts w:ascii="Arial" w:cs="Arial" w:eastAsia="Arial" w:hAnsi="Arial"/>
                  <w:sz w:val="12"/>
                  <w:szCs w:val="12"/>
                  <w:u w:val="single" w:color="auto"/>
                  <w:color w:val="0000FF"/>
                </w:rPr>
                <w:t>9</w:t>
              </w:r>
            </w:hyperlink>
          </w:p>
        </w:tc>
      </w:tr>
      <w:tr>
        <w:trPr>
          <w:trHeight w:val="133"/>
        </w:trPr>
        <w:tc>
          <w:tcPr>
            <w:tcW w:w="9080" w:type="dxa"/>
            <w:vAlign w:val="bottom"/>
            <w:tcBorders>
              <w:bottom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Notes to Condensed Consolidated Financial Statements (Unaudited)</w:t>
            </w:r>
          </w:p>
        </w:tc>
        <w:tc>
          <w:tcPr>
            <w:tcW w:w="20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0000FF"/>
            </w:tcBorders>
            <w:shd w:val="clear" w:color="auto" w:fill="CCEEFF"/>
          </w:tcPr>
          <w:p>
            <w:pPr>
              <w:jc w:val="right"/>
              <w:spacing w:after="0" w:line="126" w:lineRule="exact"/>
              <w:rPr>
                <w:rFonts w:ascii="Arial" w:cs="Arial" w:eastAsia="Arial" w:hAnsi="Arial"/>
                <w:sz w:val="12"/>
                <w:szCs w:val="12"/>
                <w:color w:val="0000FF"/>
                <w:w w:val="74"/>
              </w:rPr>
            </w:pPr>
            <w:hyperlink w:anchor="page9">
              <w:r>
                <w:rPr>
                  <w:rFonts w:ascii="Arial" w:cs="Arial" w:eastAsia="Arial" w:hAnsi="Arial"/>
                  <w:sz w:val="12"/>
                  <w:szCs w:val="12"/>
                  <w:color w:val="0000FF"/>
                  <w:w w:val="74"/>
                </w:rPr>
                <w:t>10</w:t>
              </w:r>
            </w:hyperlink>
          </w:p>
        </w:tc>
        <w:tc>
          <w:tcPr>
            <w:tcW w:w="20" w:type="dxa"/>
            <w:vAlign w:val="bottom"/>
            <w:tcBorders>
              <w:bottom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BALANCE SHEETS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7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March 31, 2022</w:t>
            </w: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41"/>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Assets</w:t>
            </w:r>
          </w:p>
        </w:tc>
        <w:tc>
          <w:tcPr>
            <w:tcW w:w="30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0"/>
                <w:szCs w:val="10"/>
                <w:i w:val="1"/>
                <w:iCs w:val="1"/>
                <w:color w:val="auto"/>
              </w:rPr>
              <w:t>(In Thousands, except for share data)</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w w:val="92"/>
              </w:rPr>
              <w:t>Fixed maturities, available-for-sale, at fair value (amortized cost of $2,111,869 and $2,078,773 as of March 31, 2022 and December 31, 2021, respectively)</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1,993,972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2,085,931</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Cash and cash equivalents (including restricted cash of $3,057 and $3,165 as of March 31, 2022 and December 31, 2021, respectively)</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130,906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76,646</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60,358</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Accrued investment income</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12,421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11,900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expenses</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3,530</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59,727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59,584</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32,047</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Intangible assets and goodwill</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3,634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3,634</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reinsurance premiums</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2,393</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Reinsurance recoverable</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20,080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20,320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102,804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94,238</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2,423,944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2,450,581</w:t>
            </w: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Liabilities</w:t>
            </w: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Debt</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394,969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394,623</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138,393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139,237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102,372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103,551</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funds withheld</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5,601</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Warrant liability, at fair value</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tax liability, net</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164,175</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12,520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3,245</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888,902</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884,795</w:t>
            </w:r>
          </w:p>
        </w:tc>
        <w:tc>
          <w:tcPr>
            <w:tcW w:w="0" w:type="dxa"/>
            <w:vAlign w:val="bottom"/>
          </w:tcPr>
          <w:p>
            <w:pPr>
              <w:spacing w:after="0"/>
              <w:rPr>
                <w:sz w:val="1"/>
                <w:szCs w:val="1"/>
                <w:color w:val="auto"/>
              </w:rPr>
            </w:pPr>
          </w:p>
        </w:tc>
      </w:tr>
      <w:tr>
        <w:trPr>
          <w:trHeight w:val="133"/>
        </w:trPr>
        <w:tc>
          <w:tcPr>
            <w:tcW w:w="7740" w:type="dxa"/>
            <w:vAlign w:val="bottom"/>
          </w:tcPr>
          <w:p>
            <w:pPr>
              <w:spacing w:after="0" w:line="133" w:lineRule="exact"/>
              <w:rPr>
                <w:sz w:val="20"/>
                <w:szCs w:val="20"/>
                <w:color w:val="auto"/>
              </w:rPr>
            </w:pPr>
            <w:r>
              <w:rPr>
                <w:rFonts w:ascii="Arial" w:cs="Arial" w:eastAsia="Arial" w:hAnsi="Arial"/>
                <w:sz w:val="12"/>
                <w:szCs w:val="12"/>
                <w:color w:val="auto"/>
              </w:rPr>
              <w:t>Commitments and contingencies</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Shareholders' equity</w:t>
            </w: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7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90"/>
              </w:rPr>
              <w:t>Common stock - class A shares, $0.01 par value; 86,274,184 shares issued and 86,038,840 shares outstanding as of March 31, 2022 and 85,792,849 shares</w:t>
            </w:r>
          </w:p>
        </w:tc>
        <w:tc>
          <w:tcPr>
            <w:tcW w:w="30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863</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858</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issued and outstanding as of December 31, 2021 (250,000,000 shares authorized)</w:t>
            </w:r>
          </w:p>
        </w:tc>
        <w:tc>
          <w:tcPr>
            <w:tcW w:w="300" w:type="dxa"/>
            <w:vAlign w:val="bottom"/>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960,667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955,302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at cost, 235,344 and 0 common shares as of March 31, 2022 and December 31, 2021, respectively</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Accumulated other comprehensive (loss) income, net of tax</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(97,309)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1,485</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Retained earnings</w:t>
            </w: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675,821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608,141</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shareholders' equity</w:t>
            </w: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1,535,042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1,565,786</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shareholders' equity</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2,423,944</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2,450,581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w:t>
      </w:r>
      <w:r>
        <w:rPr>
          <w:rFonts w:ascii="Arial" w:cs="Arial" w:eastAsia="Arial" w:hAnsi="Arial"/>
          <w:sz w:val="10"/>
          <w:szCs w:val="10"/>
          <w:color w:val="auto"/>
        </w:rPr>
        <w:t>ONDENSED CONSOLIDATED STATEMENTS OF OPERATIONS AND COMPREHENSIVE (LOSS) INCOME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0"/>
                <w:szCs w:val="10"/>
                <w:b w:val="1"/>
                <w:bCs w:val="1"/>
                <w:color w:val="auto"/>
              </w:rPr>
              <w:t>For the three months ended March 31,</w:t>
            </w:r>
          </w:p>
        </w:tc>
        <w:tc>
          <w:tcPr>
            <w:tcW w:w="0" w:type="dxa"/>
            <w:vAlign w:val="bottom"/>
          </w:tcPr>
          <w:p>
            <w:pPr>
              <w:spacing w:after="0"/>
              <w:rPr>
                <w:sz w:val="1"/>
                <w:szCs w:val="1"/>
                <w:color w:val="auto"/>
              </w:rPr>
            </w:pPr>
          </w:p>
        </w:tc>
      </w:tr>
      <w:tr>
        <w:trPr>
          <w:trHeight w:val="118"/>
        </w:trPr>
        <w:tc>
          <w:tcPr>
            <w:tcW w:w="806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34"/>
        </w:trPr>
        <w:tc>
          <w:tcPr>
            <w:tcW w:w="80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38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jc w:val="right"/>
              <w:ind w:right="761"/>
              <w:spacing w:after="0"/>
              <w:rPr>
                <w:sz w:val="20"/>
                <w:szCs w:val="20"/>
                <w:color w:val="auto"/>
              </w:rPr>
            </w:pPr>
            <w:r>
              <w:rPr>
                <w:rFonts w:ascii="Arial" w:cs="Arial" w:eastAsia="Arial" w:hAnsi="Arial"/>
                <w:sz w:val="10"/>
                <w:szCs w:val="10"/>
                <w:i w:val="1"/>
                <w:iCs w:val="1"/>
                <w:color w:val="auto"/>
              </w:rPr>
              <w:t>(In Thousands, except for per share data)</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Arial" w:cs="Arial" w:eastAsia="Arial" w:hAnsi="Arial"/>
                <w:sz w:val="12"/>
                <w:szCs w:val="12"/>
                <w:color w:val="auto"/>
              </w:rPr>
              <w:t>Net premiums earned</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116,495</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105,879</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investment income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10,199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8,814</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Arial" w:cs="Arial" w:eastAsia="Arial" w:hAnsi="Arial"/>
                <w:sz w:val="12"/>
                <w:szCs w:val="12"/>
                <w:color w:val="auto"/>
              </w:rPr>
              <w:t>Net realized investment gains</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408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revenues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501</w:t>
            </w:r>
          </w:p>
        </w:tc>
        <w:tc>
          <w:tcPr>
            <w:tcW w:w="0" w:type="dxa"/>
            <w:vAlign w:val="bottom"/>
          </w:tcPr>
          <w:p>
            <w:pPr>
              <w:spacing w:after="0"/>
              <w:rPr>
                <w:sz w:val="1"/>
                <w:szCs w:val="1"/>
                <w:color w:val="auto"/>
              </w:rPr>
            </w:pPr>
          </w:p>
        </w:tc>
      </w:tr>
      <w:tr>
        <w:trPr>
          <w:trHeight w:val="142"/>
        </w:trPr>
        <w:tc>
          <w:tcPr>
            <w:tcW w:w="8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127,441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115,194</w:t>
            </w:r>
          </w:p>
        </w:tc>
        <w:tc>
          <w:tcPr>
            <w:tcW w:w="0" w:type="dxa"/>
            <w:vAlign w:val="bottom"/>
          </w:tcPr>
          <w:p>
            <w:pPr>
              <w:spacing w:after="0"/>
              <w:rPr>
                <w:sz w:val="1"/>
                <w:szCs w:val="1"/>
                <w:color w:val="auto"/>
              </w:rPr>
            </w:pPr>
          </w:p>
        </w:tc>
      </w:tr>
      <w:tr>
        <w:trPr>
          <w:trHeight w:val="133"/>
        </w:trPr>
        <w:tc>
          <w:tcPr>
            <w:tcW w:w="8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Expenses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Arial" w:cs="Arial" w:eastAsia="Arial" w:hAnsi="Arial"/>
                <w:sz w:val="12"/>
                <w:szCs w:val="12"/>
                <w:color w:val="auto"/>
              </w:rPr>
              <w:t>Insurance claims and claim (benefits) expenses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(619)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4,962</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Underwriting and operating expenses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32,935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34,065</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Arial" w:cs="Arial" w:eastAsia="Arial" w:hAnsi="Arial"/>
                <w:sz w:val="12"/>
                <w:szCs w:val="12"/>
                <w:color w:val="auto"/>
              </w:rPr>
              <w:t>Service expenses</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430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591</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8,041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7,915</w:t>
            </w:r>
          </w:p>
        </w:tc>
        <w:tc>
          <w:tcPr>
            <w:tcW w:w="0" w:type="dxa"/>
            <w:vAlign w:val="bottom"/>
          </w:tcPr>
          <w:p>
            <w:pPr>
              <w:spacing w:after="0"/>
              <w:rPr>
                <w:sz w:val="1"/>
                <w:szCs w:val="1"/>
                <w:color w:val="auto"/>
              </w:rPr>
            </w:pPr>
          </w:p>
        </w:tc>
      </w:tr>
      <w:tr>
        <w:trPr>
          <w:trHeight w:val="15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42"/>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Total expenses</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40,694</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47,738</w:t>
            </w:r>
          </w:p>
        </w:tc>
        <w:tc>
          <w:tcPr>
            <w:tcW w:w="0" w:type="dxa"/>
            <w:vAlign w:val="bottom"/>
          </w:tcPr>
          <w:p>
            <w:pPr>
              <w:spacing w:after="0"/>
              <w:rPr>
                <w:sz w:val="1"/>
                <w:szCs w:val="1"/>
                <w:color w:val="auto"/>
              </w:rPr>
            </w:pPr>
          </w:p>
        </w:tc>
      </w:tr>
      <w:tr>
        <w:trPr>
          <w:trHeight w:val="160"/>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86,747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67,456</w:t>
            </w:r>
          </w:p>
        </w:tc>
        <w:tc>
          <w:tcPr>
            <w:tcW w:w="0" w:type="dxa"/>
            <w:vAlign w:val="bottom"/>
          </w:tcPr>
          <w:p>
            <w:pPr>
              <w:spacing w:after="0"/>
              <w:rPr>
                <w:sz w:val="1"/>
                <w:szCs w:val="1"/>
                <w:color w:val="auto"/>
              </w:rPr>
            </w:pPr>
          </w:p>
        </w:tc>
      </w:tr>
      <w:tr>
        <w:trPr>
          <w:trHeight w:val="15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Income tax expense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19,067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14,565</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67,680</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52,891</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Arial" w:cs="Arial" w:eastAsia="Arial" w:hAnsi="Arial"/>
                <w:sz w:val="12"/>
                <w:szCs w:val="12"/>
                <w:color w:val="auto"/>
              </w:rPr>
              <w:t>Basic</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0.79</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0.61</w:t>
            </w:r>
          </w:p>
        </w:tc>
        <w:tc>
          <w:tcPr>
            <w:tcW w:w="0" w:type="dxa"/>
            <w:vAlign w:val="bottom"/>
          </w:tcPr>
          <w:p>
            <w:pPr>
              <w:spacing w:after="0"/>
              <w:rPr>
                <w:sz w:val="1"/>
                <w:szCs w:val="1"/>
                <w:color w:val="auto"/>
              </w:rPr>
            </w:pPr>
          </w:p>
        </w:tc>
      </w:tr>
      <w:tr>
        <w:trPr>
          <w:trHeight w:val="180"/>
        </w:trPr>
        <w:tc>
          <w:tcPr>
            <w:tcW w:w="8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Arial" w:cs="Arial" w:eastAsia="Arial" w:hAnsi="Arial"/>
                <w:sz w:val="12"/>
                <w:szCs w:val="12"/>
                <w:color w:val="auto"/>
              </w:rPr>
              <w:t>Basic</w:t>
            </w: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85,953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85,317</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87,310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86,487</w:t>
            </w:r>
          </w:p>
        </w:tc>
        <w:tc>
          <w:tcPr>
            <w:tcW w:w="0" w:type="dxa"/>
            <w:vAlign w:val="bottom"/>
          </w:tcPr>
          <w:p>
            <w:pPr>
              <w:spacing w:after="0"/>
              <w:rPr>
                <w:sz w:val="1"/>
                <w:szCs w:val="1"/>
                <w:color w:val="auto"/>
              </w:rPr>
            </w:pPr>
          </w:p>
        </w:tc>
      </w:tr>
      <w:tr>
        <w:trPr>
          <w:trHeight w:val="180"/>
        </w:trPr>
        <w:tc>
          <w:tcPr>
            <w:tcW w:w="8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67,680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52,891</w:t>
            </w:r>
          </w:p>
        </w:tc>
        <w:tc>
          <w:tcPr>
            <w:tcW w:w="0" w:type="dxa"/>
            <w:vAlign w:val="bottom"/>
          </w:tcPr>
          <w:p>
            <w:pPr>
              <w:spacing w:after="0"/>
              <w:rPr>
                <w:sz w:val="1"/>
                <w:szCs w:val="1"/>
                <w:color w:val="auto"/>
              </w:rPr>
            </w:pPr>
          </w:p>
        </w:tc>
      </w:tr>
      <w:tr>
        <w:trPr>
          <w:trHeight w:val="153"/>
        </w:trPr>
        <w:tc>
          <w:tcPr>
            <w:tcW w:w="8060" w:type="dxa"/>
            <w:vAlign w:val="bottom"/>
          </w:tcPr>
          <w:p>
            <w:pPr>
              <w:spacing w:after="0"/>
              <w:rPr>
                <w:sz w:val="20"/>
                <w:szCs w:val="20"/>
                <w:color w:val="auto"/>
              </w:rPr>
            </w:pPr>
            <w:r>
              <w:rPr>
                <w:rFonts w:ascii="Arial" w:cs="Arial" w:eastAsia="Arial" w:hAnsi="Arial"/>
                <w:sz w:val="12"/>
                <w:szCs w:val="12"/>
                <w:color w:val="auto"/>
              </w:rPr>
              <w:t>Other comprehensive loss, net of tax:</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0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7"/>
              </w:rPr>
              <w:t>Unrealized losses in accumulated other comprehensive income, net of tax benefit of $26,176 and $11,997 for the quarters ended March 31, 2022 and 2021,</w:t>
            </w:r>
          </w:p>
        </w:tc>
        <w:tc>
          <w:tcPr>
            <w:tcW w:w="3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(98,471)</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(45,133)</w:t>
            </w: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respectively</w:t>
            </w:r>
          </w:p>
        </w:tc>
        <w:tc>
          <w:tcPr>
            <w:tcW w:w="3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Reclassification adjustment for realized gains included in net income, net of tax expense $86 for the quarter ended March 31, 2022</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loss, net of tax</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(98,794)</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(45,133)</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20"/>
                <w:szCs w:val="20"/>
                <w:color w:val="auto"/>
              </w:rPr>
            </w:pPr>
            <w:r>
              <w:rPr>
                <w:rFonts w:ascii="Arial" w:cs="Arial" w:eastAsia="Arial" w:hAnsi="Arial"/>
                <w:sz w:val="12"/>
                <w:szCs w:val="12"/>
                <w:color w:val="auto"/>
              </w:rPr>
              <w:t>Comprehensive (loss) income</w:t>
            </w: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(31,114)</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7,758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0"/>
                <w:szCs w:val="10"/>
                <w:b w:val="1"/>
                <w:bCs w:val="1"/>
                <w:color w:val="auto"/>
                <w:w w:val="85"/>
              </w:rPr>
              <w:t>Common Stock - Class A</w:t>
            </w: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164"/>
              <w:spacing w:after="0"/>
              <w:rPr>
                <w:sz w:val="20"/>
                <w:szCs w:val="20"/>
                <w:color w:val="auto"/>
              </w:rPr>
            </w:pPr>
            <w:r>
              <w:rPr>
                <w:rFonts w:ascii="Arial" w:cs="Arial" w:eastAsia="Arial" w:hAnsi="Arial"/>
                <w:sz w:val="10"/>
                <w:szCs w:val="10"/>
                <w:b w:val="1"/>
                <w:bCs w:val="1"/>
                <w:color w:val="auto"/>
              </w:rPr>
              <w:t>Additional</w:t>
            </w:r>
          </w:p>
        </w:tc>
        <w:tc>
          <w:tcPr>
            <w:tcW w:w="1060" w:type="dxa"/>
            <w:vAlign w:val="bottom"/>
            <w:gridSpan w:val="2"/>
          </w:tcPr>
          <w:p>
            <w:pPr>
              <w:jc w:val="right"/>
              <w:ind w:right="124"/>
              <w:spacing w:after="0"/>
              <w:rPr>
                <w:sz w:val="20"/>
                <w:szCs w:val="20"/>
                <w:color w:val="auto"/>
              </w:rPr>
            </w:pPr>
            <w:r>
              <w:rPr>
                <w:rFonts w:ascii="Arial" w:cs="Arial" w:eastAsia="Arial" w:hAnsi="Arial"/>
                <w:sz w:val="10"/>
                <w:szCs w:val="10"/>
                <w:b w:val="1"/>
                <w:bCs w:val="1"/>
                <w:color w:val="auto"/>
                <w:w w:val="97"/>
              </w:rPr>
              <w:t>Treasury Stock, At</w:t>
            </w:r>
          </w:p>
        </w:tc>
        <w:tc>
          <w:tcPr>
            <w:tcW w:w="1120" w:type="dxa"/>
            <w:vAlign w:val="bottom"/>
            <w:gridSpan w:val="2"/>
          </w:tcPr>
          <w:p>
            <w:pPr>
              <w:jc w:val="right"/>
              <w:ind w:right="142"/>
              <w:spacing w:after="0"/>
              <w:rPr>
                <w:sz w:val="20"/>
                <w:szCs w:val="20"/>
                <w:color w:val="auto"/>
              </w:rPr>
            </w:pPr>
            <w:r>
              <w:rPr>
                <w:rFonts w:ascii="Arial" w:cs="Arial" w:eastAsia="Arial" w:hAnsi="Arial"/>
                <w:sz w:val="10"/>
                <w:szCs w:val="10"/>
                <w:b w:val="1"/>
                <w:bCs w:val="1"/>
                <w:color w:val="auto"/>
                <w:w w:val="97"/>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0"/>
                <w:szCs w:val="10"/>
                <w:b w:val="1"/>
                <w:bCs w:val="1"/>
                <w:color w:val="auto"/>
              </w:rPr>
              <w:t>Shares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86"/>
              </w:rPr>
              <w:t>Paid-in Capital</w:t>
            </w: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Cost</w:t>
            </w:r>
          </w:p>
        </w:tc>
        <w:tc>
          <w:tcPr>
            <w:tcW w:w="11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0"/>
                <w:szCs w:val="10"/>
                <w:b w:val="1"/>
                <w:bCs w:val="1"/>
                <w:color w:val="auto"/>
                <w:w w:val="86"/>
              </w:rPr>
              <w:t>Comprehensive Income</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86"/>
              </w:rPr>
              <w:t>Retained Earnings</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20"/>
                <w:szCs w:val="20"/>
                <w:color w:val="auto"/>
              </w:rPr>
            </w:pPr>
            <w:r>
              <w:rPr>
                <w:rFonts w:ascii="Arial" w:cs="Arial" w:eastAsia="Arial" w:hAnsi="Arial"/>
                <w:sz w:val="10"/>
                <w:szCs w:val="10"/>
                <w:i w:val="1"/>
                <w:iCs w:val="1"/>
                <w:color w:val="auto"/>
                <w:w w:val="95"/>
              </w:rPr>
              <w:t>(In Thousands)</w:t>
            </w: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Balances, December 31, 2021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85,793</w:t>
            </w:r>
          </w:p>
        </w:tc>
        <w:tc>
          <w:tcPr>
            <w:tcW w:w="680" w:type="dxa"/>
            <w:vAlign w:val="bottom"/>
            <w:shd w:val="clear" w:color="auto" w:fill="CCEEFF"/>
          </w:tcPr>
          <w:p>
            <w:pPr>
              <w:jc w:val="right"/>
              <w:ind w:right="546"/>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858</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955,302</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 $</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608,141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1,565,786</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580" w:type="dxa"/>
            <w:vAlign w:val="bottom"/>
            <w:gridSpan w:val="3"/>
          </w:tcPr>
          <w:p>
            <w:pPr>
              <w:spacing w:after="0"/>
              <w:rPr>
                <w:sz w:val="20"/>
                <w:szCs w:val="20"/>
                <w:color w:val="auto"/>
              </w:rPr>
            </w:pPr>
            <w:r>
              <w:rPr>
                <w:rFonts w:ascii="Arial" w:cs="Arial" w:eastAsia="Arial" w:hAnsi="Arial"/>
                <w:sz w:val="12"/>
                <w:szCs w:val="12"/>
                <w:color w:val="auto"/>
              </w:rPr>
              <w:t>Common stock: class A shares issued related to warrant exercises</w:t>
            </w:r>
          </w:p>
        </w:tc>
        <w:tc>
          <w:tcPr>
            <w:tcW w:w="560" w:type="dxa"/>
            <w:vAlign w:val="bottom"/>
          </w:tcPr>
          <w:p>
            <w:pPr>
              <w:jc w:val="right"/>
              <w:spacing w:after="0"/>
              <w:rPr>
                <w:sz w:val="20"/>
                <w:szCs w:val="20"/>
                <w:color w:val="auto"/>
              </w:rPr>
            </w:pPr>
            <w:r>
              <w:rPr>
                <w:rFonts w:ascii="Arial" w:cs="Arial" w:eastAsia="Arial" w:hAnsi="Arial"/>
                <w:sz w:val="12"/>
                <w:szCs w:val="12"/>
                <w:color w:val="auto"/>
              </w:rPr>
              <w:t>51</w:t>
            </w:r>
          </w:p>
        </w:tc>
        <w:tc>
          <w:tcPr>
            <w:tcW w:w="6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1,143</w:t>
            </w:r>
          </w:p>
        </w:tc>
        <w:tc>
          <w:tcPr>
            <w:tcW w:w="400" w:type="dxa"/>
            <w:vAlign w:val="bottom"/>
          </w:tcPr>
          <w:p>
            <w:pPr>
              <w:spacing w:after="0"/>
              <w:rPr>
                <w:sz w:val="13"/>
                <w:szCs w:val="13"/>
                <w:color w:val="auto"/>
              </w:rPr>
            </w:pPr>
          </w:p>
        </w:tc>
        <w:tc>
          <w:tcPr>
            <w:tcW w:w="660" w:type="dxa"/>
            <w:vAlign w:val="bottom"/>
          </w:tcPr>
          <w:p>
            <w:pPr>
              <w:ind w:left="3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1,144</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580" w:type="dxa"/>
            <w:vAlign w:val="bottom"/>
            <w:gridSpan w:val="3"/>
            <w:shd w:val="clear" w:color="auto" w:fill="CCEEFF"/>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6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4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560" w:type="dxa"/>
            <w:vAlign w:val="bottom"/>
            <w:vMerge w:val="continue"/>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580" w:type="dxa"/>
            <w:vAlign w:val="bottom"/>
            <w:gridSpan w:val="3"/>
          </w:tcPr>
          <w:p>
            <w:pPr>
              <w:spacing w:after="0"/>
              <w:rPr>
                <w:sz w:val="20"/>
                <w:szCs w:val="20"/>
                <w:color w:val="auto"/>
              </w:rPr>
            </w:pPr>
            <w:r>
              <w:rPr>
                <w:rFonts w:ascii="Arial" w:cs="Arial" w:eastAsia="Arial" w:hAnsi="Arial"/>
                <w:sz w:val="12"/>
                <w:szCs w:val="12"/>
                <w:color w:val="auto"/>
              </w:rPr>
              <w:t>Repurchase of common stock</w:t>
            </w:r>
          </w:p>
        </w:tc>
        <w:tc>
          <w:tcPr>
            <w:tcW w:w="560" w:type="dxa"/>
            <w:vAlign w:val="bottom"/>
          </w:tcPr>
          <w:p>
            <w:pPr>
              <w:jc w:val="right"/>
              <w:spacing w:after="0"/>
              <w:rPr>
                <w:sz w:val="20"/>
                <w:szCs w:val="20"/>
                <w:color w:val="auto"/>
              </w:rPr>
            </w:pPr>
            <w:r>
              <w:rPr>
                <w:rFonts w:ascii="Arial" w:cs="Arial" w:eastAsia="Arial" w:hAnsi="Arial"/>
                <w:sz w:val="12"/>
                <w:szCs w:val="12"/>
                <w:color w:val="auto"/>
              </w:rPr>
              <w:t>(235)</w:t>
            </w:r>
          </w:p>
        </w:tc>
        <w:tc>
          <w:tcPr>
            <w:tcW w:w="6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2"/>
                <w:szCs w:val="12"/>
                <w:color w:val="auto"/>
              </w:rPr>
              <w:t>(5,000)</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4,196</w:t>
            </w: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4,196</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580" w:type="dxa"/>
            <w:vAlign w:val="bottom"/>
            <w:gridSpan w:val="3"/>
          </w:tcPr>
          <w:p>
            <w:pPr>
              <w:spacing w:after="0"/>
              <w:rPr>
                <w:sz w:val="20"/>
                <w:szCs w:val="20"/>
                <w:color w:val="auto"/>
              </w:rPr>
            </w:pPr>
            <w:r>
              <w:rPr>
                <w:rFonts w:ascii="Arial" w:cs="Arial" w:eastAsia="Arial" w:hAnsi="Arial"/>
                <w:sz w:val="12"/>
                <w:szCs w:val="12"/>
                <w:color w:val="auto"/>
              </w:rPr>
              <w:t>Change in unrealized investment gains/losses, net of tax benefit of $26,262</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660" w:type="dxa"/>
            <w:vAlign w:val="bottom"/>
          </w:tcPr>
          <w:p>
            <w:pPr>
              <w:ind w:left="3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(98,794)</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(98,794)</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4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67,680</w:t>
            </w:r>
          </w:p>
        </w:tc>
        <w:tc>
          <w:tcPr>
            <w:tcW w:w="2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67,680</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580" w:type="dxa"/>
            <w:vAlign w:val="bottom"/>
            <w:gridSpan w:val="3"/>
          </w:tcPr>
          <w:p>
            <w:pPr>
              <w:spacing w:after="0"/>
              <w:rPr>
                <w:sz w:val="20"/>
                <w:szCs w:val="20"/>
                <w:color w:val="auto"/>
              </w:rPr>
            </w:pPr>
            <w:r>
              <w:rPr>
                <w:rFonts w:ascii="Arial" w:cs="Arial" w:eastAsia="Arial" w:hAnsi="Arial"/>
                <w:sz w:val="12"/>
                <w:szCs w:val="12"/>
                <w:color w:val="auto"/>
              </w:rPr>
              <w:t>Balances, March 31, 2022</w:t>
            </w:r>
          </w:p>
        </w:tc>
        <w:tc>
          <w:tcPr>
            <w:tcW w:w="560" w:type="dxa"/>
            <w:vAlign w:val="bottom"/>
          </w:tcPr>
          <w:p>
            <w:pPr>
              <w:jc w:val="right"/>
              <w:spacing w:after="0"/>
              <w:rPr>
                <w:sz w:val="20"/>
                <w:szCs w:val="20"/>
                <w:color w:val="auto"/>
              </w:rPr>
            </w:pPr>
            <w:r>
              <w:rPr>
                <w:rFonts w:ascii="Arial" w:cs="Arial" w:eastAsia="Arial" w:hAnsi="Arial"/>
                <w:sz w:val="12"/>
                <w:szCs w:val="12"/>
                <w:color w:val="auto"/>
              </w:rPr>
              <w:t>86,039</w:t>
            </w:r>
          </w:p>
        </w:tc>
        <w:tc>
          <w:tcPr>
            <w:tcW w:w="680" w:type="dxa"/>
            <w:vAlign w:val="bottom"/>
          </w:tcPr>
          <w:p>
            <w:pPr>
              <w:jc w:val="right"/>
              <w:ind w:right="546"/>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99"/>
              </w:rPr>
              <w:t>863</w:t>
            </w:r>
          </w:p>
        </w:tc>
        <w:tc>
          <w:tcPr>
            <w:tcW w:w="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960,667</w:t>
            </w:r>
          </w:p>
        </w:tc>
        <w:tc>
          <w:tcPr>
            <w:tcW w:w="40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660" w:type="dxa"/>
            <w:vAlign w:val="bottom"/>
          </w:tcPr>
          <w:p>
            <w:pPr>
              <w:ind w:left="180"/>
              <w:spacing w:after="0"/>
              <w:rPr>
                <w:sz w:val="20"/>
                <w:szCs w:val="20"/>
                <w:color w:val="auto"/>
              </w:rPr>
            </w:pPr>
            <w:r>
              <w:rPr>
                <w:rFonts w:ascii="Arial" w:cs="Arial" w:eastAsia="Arial" w:hAnsi="Arial"/>
                <w:sz w:val="12"/>
                <w:szCs w:val="12"/>
                <w:color w:val="auto"/>
                <w:w w:val="95"/>
              </w:rPr>
              <w:t>(5,000) $</w:t>
            </w:r>
          </w:p>
        </w:tc>
        <w:tc>
          <w:tcPr>
            <w:tcW w:w="6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(97,309)</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675,821</w:t>
            </w:r>
          </w:p>
        </w:tc>
        <w:tc>
          <w:tcPr>
            <w:tcW w:w="200" w:type="dxa"/>
            <w:vAlign w:val="bottom"/>
          </w:tcPr>
          <w:p>
            <w:pPr>
              <w:jc w:val="right"/>
              <w:ind w:right="44"/>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1,535,042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0"/>
                <w:szCs w:val="10"/>
                <w:b w:val="1"/>
                <w:bCs w:val="1"/>
                <w:color w:val="auto"/>
              </w:rPr>
              <w:t>Common Stock - Class A</w:t>
            </w: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0"/>
                <w:szCs w:val="10"/>
                <w:b w:val="1"/>
                <w:bCs w:val="1"/>
                <w:color w:val="auto"/>
              </w:rPr>
              <w:t>Additional</w:t>
            </w:r>
          </w:p>
        </w:tc>
        <w:tc>
          <w:tcPr>
            <w:tcW w:w="40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0"/>
                <w:szCs w:val="10"/>
                <w:b w:val="1"/>
                <w:bCs w:val="1"/>
                <w:color w:val="auto"/>
              </w:rPr>
              <w:t>Accumulated Other</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180"/>
              <w:spacing w:after="0"/>
              <w:rPr>
                <w:sz w:val="20"/>
                <w:szCs w:val="20"/>
                <w:color w:val="auto"/>
              </w:rPr>
            </w:pPr>
            <w:r>
              <w:rPr>
                <w:rFonts w:ascii="Arial" w:cs="Arial" w:eastAsia="Arial" w:hAnsi="Arial"/>
                <w:sz w:val="10"/>
                <w:szCs w:val="10"/>
                <w:b w:val="1"/>
                <w:bCs w:val="1"/>
                <w:color w:val="auto"/>
                <w:w w:val="83"/>
              </w:rPr>
              <w:t>Shares</w:t>
            </w:r>
          </w:p>
        </w:tc>
        <w:tc>
          <w:tcPr>
            <w:tcW w:w="5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182"/>
              <w:spacing w:after="0"/>
              <w:rPr>
                <w:sz w:val="20"/>
                <w:szCs w:val="20"/>
                <w:color w:val="auto"/>
              </w:rPr>
            </w:pPr>
            <w:r>
              <w:rPr>
                <w:rFonts w:ascii="Arial" w:cs="Arial" w:eastAsia="Arial" w:hAnsi="Arial"/>
                <w:sz w:val="10"/>
                <w:szCs w:val="10"/>
                <w:b w:val="1"/>
                <w:bCs w:val="1"/>
                <w:color w:val="auto"/>
              </w:rPr>
              <w:t>Paid-in Capital</w:t>
            </w: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w w:val="97"/>
              </w:rPr>
              <w:t>Comprehensive Income</w:t>
            </w:r>
          </w:p>
        </w:tc>
        <w:tc>
          <w:tcPr>
            <w:tcW w:w="1440" w:type="dxa"/>
            <w:vAlign w:val="bottom"/>
            <w:gridSpan w:val="3"/>
          </w:tcPr>
          <w:p>
            <w:pPr>
              <w:jc w:val="right"/>
              <w:ind w:right="521"/>
              <w:spacing w:after="0"/>
              <w:rPr>
                <w:sz w:val="20"/>
                <w:szCs w:val="20"/>
                <w:color w:val="auto"/>
              </w:rPr>
            </w:pPr>
            <w:r>
              <w:rPr>
                <w:rFonts w:ascii="Arial" w:cs="Arial" w:eastAsia="Arial" w:hAnsi="Arial"/>
                <w:sz w:val="10"/>
                <w:szCs w:val="10"/>
                <w:b w:val="1"/>
                <w:bCs w:val="1"/>
                <w:color w:val="auto"/>
                <w:w w:val="95"/>
              </w:rPr>
              <w:t>Retained Earnings</w:t>
            </w:r>
          </w:p>
        </w:tc>
        <w:tc>
          <w:tcPr>
            <w:tcW w:w="1160" w:type="dxa"/>
            <w:vAlign w:val="bottom"/>
            <w:gridSpan w:val="3"/>
          </w:tcPr>
          <w:p>
            <w:pPr>
              <w:jc w:val="right"/>
              <w:ind w:right="8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right"/>
              <w:ind w:right="384"/>
              <w:spacing w:after="0" w:line="112" w:lineRule="exact"/>
              <w:rPr>
                <w:sz w:val="20"/>
                <w:szCs w:val="20"/>
                <w:color w:val="auto"/>
              </w:rPr>
            </w:pPr>
            <w:r>
              <w:rPr>
                <w:rFonts w:ascii="Arial" w:cs="Arial" w:eastAsia="Arial" w:hAnsi="Arial"/>
                <w:sz w:val="10"/>
                <w:szCs w:val="10"/>
                <w:i w:val="1"/>
                <w:iCs w:val="1"/>
                <w:color w:val="auto"/>
                <w:w w:val="89"/>
              </w:rPr>
              <w:t>(In Thousands)</w:t>
            </w:r>
          </w:p>
        </w:tc>
        <w:tc>
          <w:tcPr>
            <w:tcW w:w="6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660" w:type="dxa"/>
            <w:vAlign w:val="bottom"/>
            <w:gridSpan w:val="4"/>
          </w:tcPr>
          <w:p>
            <w:pPr>
              <w:spacing w:after="0"/>
              <w:rPr>
                <w:sz w:val="20"/>
                <w:szCs w:val="20"/>
                <w:color w:val="auto"/>
              </w:rPr>
            </w:pPr>
            <w:r>
              <w:rPr>
                <w:rFonts w:ascii="Arial" w:cs="Arial" w:eastAsia="Arial" w:hAnsi="Arial"/>
                <w:sz w:val="12"/>
                <w:szCs w:val="12"/>
                <w:color w:val="auto"/>
              </w:rPr>
              <w:t>Balances, December 31, 2020</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85,163$</w:t>
            </w:r>
          </w:p>
        </w:tc>
        <w:tc>
          <w:tcPr>
            <w:tcW w:w="68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2"/>
                <w:szCs w:val="12"/>
                <w:color w:val="auto"/>
              </w:rPr>
              <w:t>852$</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75"/>
              </w:rPr>
              <w:t>937,872$</w:t>
            </w:r>
          </w:p>
        </w:tc>
        <w:tc>
          <w:tcPr>
            <w:tcW w:w="66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53,856$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1"/>
              <w:spacing w:after="0"/>
              <w:rPr>
                <w:sz w:val="20"/>
                <w:szCs w:val="20"/>
                <w:color w:val="auto"/>
              </w:rPr>
            </w:pPr>
            <w:r>
              <w:rPr>
                <w:rFonts w:ascii="Arial" w:cs="Arial" w:eastAsia="Arial" w:hAnsi="Arial"/>
                <w:sz w:val="12"/>
                <w:szCs w:val="12"/>
                <w:color w:val="auto"/>
              </w:rPr>
              <w:t>377,011$</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1,369,591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gridSpan w:val="4"/>
          </w:tcPr>
          <w:p>
            <w:pPr>
              <w:spacing w:after="0"/>
              <w:rPr>
                <w:sz w:val="20"/>
                <w:szCs w:val="20"/>
                <w:color w:val="auto"/>
              </w:rPr>
            </w:pPr>
            <w:r>
              <w:rPr>
                <w:rFonts w:ascii="Arial" w:cs="Arial" w:eastAsia="Arial" w:hAnsi="Arial"/>
                <w:sz w:val="12"/>
                <w:szCs w:val="12"/>
                <w:color w:val="auto"/>
              </w:rPr>
              <w:t>Common stock: class A shares issued related to warrant exercises</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24</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557</w:t>
            </w:r>
          </w:p>
        </w:tc>
        <w:tc>
          <w:tcPr>
            <w:tcW w:w="66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660" w:type="dxa"/>
            <w:vAlign w:val="bottom"/>
            <w:gridSpan w:val="4"/>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color w:val="auto"/>
              </w:rPr>
              <w:t>413</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4</w:t>
            </w:r>
          </w:p>
        </w:tc>
        <w:tc>
          <w:tcPr>
            <w:tcW w:w="740" w:type="dxa"/>
            <w:vAlign w:val="bottom"/>
          </w:tcPr>
          <w:p>
            <w:pPr>
              <w:spacing w:after="0"/>
              <w:rPr>
                <w:sz w:val="10"/>
                <w:szCs w:val="10"/>
                <w:color w:val="auto"/>
              </w:rPr>
            </w:pPr>
          </w:p>
        </w:tc>
        <w:tc>
          <w:tcPr>
            <w:tcW w:w="1060" w:type="dxa"/>
            <w:vAlign w:val="bottom"/>
            <w:gridSpan w:val="2"/>
            <w:vMerge w:val="restart"/>
          </w:tcPr>
          <w:p>
            <w:pPr>
              <w:jc w:val="right"/>
              <w:ind w:right="564"/>
              <w:spacing w:after="0"/>
              <w:rPr>
                <w:sz w:val="20"/>
                <w:szCs w:val="20"/>
                <w:color w:val="auto"/>
              </w:rPr>
            </w:pPr>
            <w:r>
              <w:rPr>
                <w:rFonts w:ascii="Arial" w:cs="Arial" w:eastAsia="Arial" w:hAnsi="Arial"/>
                <w:sz w:val="12"/>
                <w:szCs w:val="12"/>
                <w:color w:val="auto"/>
              </w:rPr>
              <w:t>(624)</w:t>
            </w:r>
          </w:p>
        </w:tc>
        <w:tc>
          <w:tcPr>
            <w:tcW w:w="640" w:type="dxa"/>
            <w:vAlign w:val="bottom"/>
            <w:vMerge w:val="restart"/>
          </w:tcPr>
          <w:p>
            <w:pPr>
              <w:jc w:val="right"/>
              <w:ind w:right="23"/>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(620)</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580" w:type="dxa"/>
            <w:vAlign w:val="bottom"/>
            <w:gridSpan w:val="3"/>
          </w:tcPr>
          <w:p>
            <w:pPr>
              <w:ind w:left="120"/>
              <w:spacing w:after="0"/>
              <w:rPr>
                <w:sz w:val="20"/>
                <w:szCs w:val="20"/>
                <w:color w:val="auto"/>
              </w:rPr>
            </w:pPr>
            <w:r>
              <w:rPr>
                <w:rFonts w:ascii="Arial" w:cs="Arial" w:eastAsia="Arial" w:hAnsi="Arial"/>
                <w:sz w:val="12"/>
                <w:szCs w:val="12"/>
                <w:color w:val="auto"/>
              </w:rPr>
              <w:t>employee taxes</w:t>
            </w:r>
          </w:p>
        </w:tc>
        <w:tc>
          <w:tcPr>
            <w:tcW w:w="5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gridSpan w:val="4"/>
          </w:tcPr>
          <w:p>
            <w:pPr>
              <w:spacing w:after="0"/>
              <w:rPr>
                <w:sz w:val="20"/>
                <w:szCs w:val="20"/>
                <w:color w:val="auto"/>
              </w:rPr>
            </w:pPr>
            <w:r>
              <w:rPr>
                <w:rFonts w:ascii="Arial" w:cs="Arial" w:eastAsia="Arial" w:hAnsi="Arial"/>
                <w:sz w:val="12"/>
                <w:szCs w:val="12"/>
                <w:color w:val="auto"/>
              </w:rPr>
              <w:t>Share-based compensation expense</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3,022</w:t>
            </w:r>
          </w:p>
        </w:tc>
        <w:tc>
          <w:tcPr>
            <w:tcW w:w="66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3,022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gridSpan w:val="4"/>
          </w:tcPr>
          <w:p>
            <w:pPr>
              <w:spacing w:after="0"/>
              <w:rPr>
                <w:sz w:val="20"/>
                <w:szCs w:val="20"/>
                <w:color w:val="auto"/>
              </w:rPr>
            </w:pPr>
            <w:r>
              <w:rPr>
                <w:rFonts w:ascii="Arial" w:cs="Arial" w:eastAsia="Arial" w:hAnsi="Arial"/>
                <w:sz w:val="12"/>
                <w:szCs w:val="12"/>
                <w:color w:val="auto"/>
              </w:rPr>
              <w:t>Change in unrealized investment gains/losses, net of tax benefit of $11,997</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(45,133)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(45,133)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660" w:type="dxa"/>
            <w:vAlign w:val="bottom"/>
            <w:tcBorders>
              <w:bottom w:val="single" w:sz="8" w:color="auto"/>
            </w:tcBorders>
            <w:gridSpan w:val="2"/>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99"/>
              </w:rPr>
              <w:t>—</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52,891</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52,891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gridSpan w:val="2"/>
          </w:tcPr>
          <w:p>
            <w:pPr>
              <w:spacing w:after="0"/>
              <w:rPr>
                <w:sz w:val="20"/>
                <w:szCs w:val="20"/>
                <w:color w:val="auto"/>
              </w:rPr>
            </w:pPr>
            <w:r>
              <w:rPr>
                <w:rFonts w:ascii="Arial" w:cs="Arial" w:eastAsia="Arial" w:hAnsi="Arial"/>
                <w:sz w:val="12"/>
                <w:szCs w:val="12"/>
                <w:color w:val="auto"/>
              </w:rPr>
              <w:t>Balances, March 31, 2021</w:t>
            </w:r>
          </w:p>
        </w:tc>
        <w:tc>
          <w:tcPr>
            <w:tcW w:w="660" w:type="dxa"/>
            <w:vAlign w:val="bottom"/>
            <w:tcBorders>
              <w:bottom w:val="single" w:sz="8" w:color="auto"/>
            </w:tcBorders>
            <w:gridSpan w:val="2"/>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85,600$</w:t>
            </w: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856$</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5"/>
              </w:rPr>
              <w:t>940,827$</w:t>
            </w: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8,723$</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429,902$</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1,380,308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-782320</wp:posOffset>
            </wp:positionV>
            <wp:extent cx="6886575"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9715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-588010</wp:posOffset>
            </wp:positionV>
            <wp:extent cx="6886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-319405</wp:posOffset>
            </wp:positionV>
            <wp:extent cx="6886575"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9715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-125095</wp:posOffset>
            </wp:positionV>
            <wp:extent cx="688657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6575" cy="114300"/>
                    </a:xfrm>
                    <a:prstGeom prst="rect">
                      <a:avLst/>
                    </a:prstGeom>
                    <a:noFill/>
                  </pic:spPr>
                </pic:pic>
              </a:graphicData>
            </a:graphic>
          </wp:anchor>
        </w:drawing>
      </w:r>
    </w:p>
    <w:p>
      <w:pPr>
        <w:spacing w:after="0" w:line="112" w:lineRule="exact"/>
        <w:rPr>
          <w:sz w:val="20"/>
          <w:szCs w:val="20"/>
          <w:color w:val="auto"/>
        </w:rPr>
      </w:pPr>
    </w:p>
    <w:p>
      <w:pPr>
        <w:ind w:left="80"/>
        <w:spacing w:after="0"/>
        <w:tabs>
          <w:tab w:leader="none" w:pos="200"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8"/>
          <w:szCs w:val="8"/>
          <w:color w:val="auto"/>
        </w:rPr>
        <w:t>During the months ended March 31, 2021, we issued 23,750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STATEMENTS OF CASH FLOWS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80" w:type="dxa"/>
            <w:vAlign w:val="bottom"/>
          </w:tcPr>
          <w:p>
            <w:pPr>
              <w:spacing w:after="0"/>
              <w:rPr>
                <w:sz w:val="11"/>
                <w:szCs w:val="11"/>
                <w:color w:val="auto"/>
              </w:rPr>
            </w:pPr>
          </w:p>
        </w:tc>
        <w:tc>
          <w:tcPr>
            <w:tcW w:w="2380" w:type="dxa"/>
            <w:vAlign w:val="bottom"/>
            <w:tcBorders>
              <w:bottom w:val="single" w:sz="8" w:color="auto"/>
            </w:tcBorders>
            <w:gridSpan w:val="4"/>
          </w:tcPr>
          <w:p>
            <w:pPr>
              <w:jc w:val="center"/>
              <w:ind w:left="488"/>
              <w:spacing w:after="0"/>
              <w:rPr>
                <w:sz w:val="20"/>
                <w:szCs w:val="20"/>
                <w:color w:val="auto"/>
              </w:rPr>
            </w:pPr>
            <w:r>
              <w:rPr>
                <w:rFonts w:ascii="Arial" w:cs="Arial" w:eastAsia="Arial" w:hAnsi="Arial"/>
                <w:sz w:val="10"/>
                <w:szCs w:val="10"/>
                <w:b w:val="1"/>
                <w:bCs w:val="1"/>
                <w:color w:val="auto"/>
                <w:w w:val="86"/>
              </w:rPr>
              <w:t>For the three months ended March 31,</w:t>
            </w:r>
          </w:p>
        </w:tc>
        <w:tc>
          <w:tcPr>
            <w:tcW w:w="540" w:type="dxa"/>
            <w:vAlign w:val="bottom"/>
            <w:tcBorders>
              <w:bottom w:val="single" w:sz="8" w:color="auto"/>
            </w:tcBorders>
          </w:tcPr>
          <w:p>
            <w:pPr>
              <w:spacing w:after="0"/>
              <w:rPr>
                <w:sz w:val="11"/>
                <w:szCs w:val="11"/>
                <w:color w:val="auto"/>
              </w:rPr>
            </w:pPr>
          </w:p>
        </w:tc>
      </w:tr>
      <w:tr>
        <w:trPr>
          <w:trHeight w:val="116"/>
        </w:trPr>
        <w:tc>
          <w:tcPr>
            <w:tcW w:w="8380" w:type="dxa"/>
            <w:vAlign w:val="bottom"/>
          </w:tcPr>
          <w:p>
            <w:pPr>
              <w:spacing w:after="0"/>
              <w:rPr>
                <w:sz w:val="10"/>
                <w:szCs w:val="10"/>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r>
      <w:tr>
        <w:trPr>
          <w:trHeight w:val="126"/>
        </w:trPr>
        <w:tc>
          <w:tcPr>
            <w:tcW w:w="8380" w:type="dxa"/>
            <w:vAlign w:val="bottom"/>
          </w:tcPr>
          <w:p>
            <w:pPr>
              <w:spacing w:after="0"/>
              <w:rPr>
                <w:sz w:val="20"/>
                <w:szCs w:val="20"/>
                <w:color w:val="auto"/>
              </w:rPr>
            </w:pPr>
            <w:r>
              <w:rPr>
                <w:rFonts w:ascii="Arial" w:cs="Arial" w:eastAsia="Arial" w:hAnsi="Arial"/>
                <w:sz w:val="11"/>
                <w:szCs w:val="11"/>
                <w:color w:val="auto"/>
              </w:rPr>
              <w:t>Cash flows from operating activities</w:t>
            </w:r>
          </w:p>
        </w:tc>
        <w:tc>
          <w:tcPr>
            <w:tcW w:w="900" w:type="dxa"/>
            <w:vAlign w:val="bottom"/>
          </w:tcPr>
          <w:p>
            <w:pPr>
              <w:spacing w:after="0"/>
              <w:rPr>
                <w:sz w:val="10"/>
                <w:szCs w:val="10"/>
                <w:color w:val="auto"/>
              </w:rPr>
            </w:pPr>
          </w:p>
        </w:tc>
        <w:tc>
          <w:tcPr>
            <w:tcW w:w="1480" w:type="dxa"/>
            <w:vAlign w:val="bottom"/>
            <w:gridSpan w:val="3"/>
          </w:tcPr>
          <w:p>
            <w:pPr>
              <w:jc w:val="center"/>
              <w:ind w:right="326"/>
              <w:spacing w:after="0"/>
              <w:rPr>
                <w:sz w:val="20"/>
                <w:szCs w:val="20"/>
                <w:color w:val="auto"/>
              </w:rPr>
            </w:pPr>
            <w:r>
              <w:rPr>
                <w:rFonts w:ascii="Arial" w:cs="Arial" w:eastAsia="Arial" w:hAnsi="Arial"/>
                <w:sz w:val="10"/>
                <w:szCs w:val="10"/>
                <w:i w:val="1"/>
                <w:iCs w:val="1"/>
                <w:color w:val="auto"/>
                <w:w w:val="86"/>
              </w:rPr>
              <w:t>(In Thousands)</w:t>
            </w:r>
          </w:p>
        </w:tc>
        <w:tc>
          <w:tcPr>
            <w:tcW w:w="540" w:type="dxa"/>
            <w:vAlign w:val="bottom"/>
          </w:tcPr>
          <w:p>
            <w:pPr>
              <w:spacing w:after="0"/>
              <w:rPr>
                <w:sz w:val="10"/>
                <w:szCs w:val="10"/>
                <w:color w:val="auto"/>
              </w:rPr>
            </w:pPr>
          </w:p>
        </w:tc>
      </w:tr>
      <w:tr>
        <w:trPr>
          <w:trHeight w:val="153"/>
        </w:trPr>
        <w:tc>
          <w:tcPr>
            <w:tcW w:w="8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900" w:type="dxa"/>
            <w:vAlign w:val="bottom"/>
            <w:shd w:val="clear" w:color="auto" w:fill="CCEEFF"/>
          </w:tcPr>
          <w:p>
            <w:pPr>
              <w:jc w:val="right"/>
              <w:ind w:right="76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67,680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52,891</w:t>
            </w:r>
          </w:p>
        </w:tc>
      </w:tr>
      <w:tr>
        <w:trPr>
          <w:trHeight w:val="144"/>
        </w:trPr>
        <w:tc>
          <w:tcPr>
            <w:tcW w:w="8380" w:type="dxa"/>
            <w:vAlign w:val="bottom"/>
          </w:tcPr>
          <w:p>
            <w:pPr>
              <w:ind w:left="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4"/>
        </w:trPr>
        <w:tc>
          <w:tcPr>
            <w:tcW w:w="8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realized investment gains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4"/>
        </w:trPr>
        <w:tc>
          <w:tcPr>
            <w:tcW w:w="8380" w:type="dxa"/>
            <w:vAlign w:val="bottom"/>
          </w:tcPr>
          <w:p>
            <w:pPr>
              <w:ind w:left="140"/>
              <w:spacing w:after="0"/>
              <w:rPr>
                <w:sz w:val="20"/>
                <w:szCs w:val="20"/>
                <w:color w:val="auto"/>
              </w:rPr>
            </w:pPr>
            <w:r>
              <w:rPr>
                <w:rFonts w:ascii="Arial" w:cs="Arial" w:eastAsia="Arial" w:hAnsi="Arial"/>
                <w:sz w:val="11"/>
                <w:szCs w:val="11"/>
                <w:color w:val="auto"/>
              </w:rPr>
              <w:t>(Gain) loss from change in fair value of warrant liability</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205</w:t>
            </w:r>
          </w:p>
        </w:tc>
      </w:tr>
      <w:tr>
        <w:trPr>
          <w:trHeight w:val="144"/>
        </w:trPr>
        <w:tc>
          <w:tcPr>
            <w:tcW w:w="8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Depreciation and amortization</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3,093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2,675</w:t>
            </w:r>
          </w:p>
        </w:tc>
      </w:tr>
      <w:tr>
        <w:trPr>
          <w:trHeight w:val="144"/>
        </w:trPr>
        <w:tc>
          <w:tcPr>
            <w:tcW w:w="8380" w:type="dxa"/>
            <w:vAlign w:val="bottom"/>
          </w:tcPr>
          <w:p>
            <w:pPr>
              <w:ind w:left="140"/>
              <w:spacing w:after="0"/>
              <w:rPr>
                <w:sz w:val="20"/>
                <w:szCs w:val="20"/>
                <w:color w:val="auto"/>
              </w:rPr>
            </w:pPr>
            <w:r>
              <w:rPr>
                <w:rFonts w:ascii="Arial" w:cs="Arial" w:eastAsia="Arial" w:hAnsi="Arial"/>
                <w:sz w:val="11"/>
                <w:szCs w:val="11"/>
                <w:color w:val="auto"/>
              </w:rPr>
              <w:t>Net amortization of premium on investment securities</w:t>
            </w:r>
          </w:p>
        </w:tc>
        <w:tc>
          <w:tcPr>
            <w:tcW w:w="9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1,707</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1,636</w:t>
            </w:r>
          </w:p>
        </w:tc>
      </w:tr>
      <w:tr>
        <w:trPr>
          <w:trHeight w:val="144"/>
        </w:trPr>
        <w:tc>
          <w:tcPr>
            <w:tcW w:w="8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debt discount and debt issuance costs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443</w:t>
            </w:r>
          </w:p>
        </w:tc>
      </w:tr>
      <w:tr>
        <w:trPr>
          <w:trHeight w:val="144"/>
        </w:trPr>
        <w:tc>
          <w:tcPr>
            <w:tcW w:w="8380" w:type="dxa"/>
            <w:vAlign w:val="bottom"/>
          </w:tcPr>
          <w:p>
            <w:pPr>
              <w:ind w:left="140"/>
              <w:spacing w:after="0"/>
              <w:rPr>
                <w:sz w:val="20"/>
                <w:szCs w:val="20"/>
                <w:color w:val="auto"/>
              </w:rPr>
            </w:pPr>
            <w:r>
              <w:rPr>
                <w:rFonts w:ascii="Arial" w:cs="Arial" w:eastAsia="Arial" w:hAnsi="Arial"/>
                <w:sz w:val="11"/>
                <w:szCs w:val="11"/>
                <w:color w:val="auto"/>
              </w:rPr>
              <w:t>Deferred income taxes</w:t>
            </w:r>
          </w:p>
        </w:tc>
        <w:tc>
          <w:tcPr>
            <w:tcW w:w="9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19,054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14,561</w:t>
            </w:r>
          </w:p>
        </w:tc>
      </w:tr>
      <w:tr>
        <w:trPr>
          <w:trHeight w:val="144"/>
        </w:trPr>
        <w:tc>
          <w:tcPr>
            <w:tcW w:w="8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Share-based compensation expense</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4,196</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3,022</w:t>
            </w:r>
          </w:p>
        </w:tc>
      </w:tr>
      <w:tr>
        <w:trPr>
          <w:trHeight w:val="144"/>
        </w:trPr>
        <w:tc>
          <w:tcPr>
            <w:tcW w:w="838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4"/>
        </w:trPr>
        <w:tc>
          <w:tcPr>
            <w:tcW w:w="8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Premiums receivable</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(2,427)</w:t>
            </w:r>
          </w:p>
        </w:tc>
      </w:tr>
      <w:tr>
        <w:trPr>
          <w:trHeight w:val="144"/>
        </w:trPr>
        <w:tc>
          <w:tcPr>
            <w:tcW w:w="8380" w:type="dxa"/>
            <w:vAlign w:val="bottom"/>
          </w:tcPr>
          <w:p>
            <w:pPr>
              <w:ind w:left="220"/>
              <w:spacing w:after="0"/>
              <w:rPr>
                <w:sz w:val="20"/>
                <w:szCs w:val="20"/>
                <w:color w:val="auto"/>
              </w:rPr>
            </w:pPr>
            <w:r>
              <w:rPr>
                <w:rFonts w:ascii="Arial" w:cs="Arial" w:eastAsia="Arial" w:hAnsi="Arial"/>
                <w:sz w:val="11"/>
                <w:szCs w:val="11"/>
                <w:color w:val="auto"/>
              </w:rPr>
              <w:t>Accrued investment income</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(633)</w:t>
            </w:r>
          </w:p>
        </w:tc>
      </w:tr>
      <w:tr>
        <w:trPr>
          <w:trHeight w:val="144"/>
        </w:trPr>
        <w:tc>
          <w:tcPr>
            <w:tcW w:w="8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Prepaid expenses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(1,947)</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(1,707)</w:t>
            </w:r>
          </w:p>
        </w:tc>
      </w:tr>
      <w:tr>
        <w:trPr>
          <w:trHeight w:val="144"/>
        </w:trPr>
        <w:tc>
          <w:tcPr>
            <w:tcW w:w="8380" w:type="dxa"/>
            <w:vAlign w:val="bottom"/>
          </w:tcPr>
          <w:p>
            <w:pPr>
              <w:ind w:left="220"/>
              <w:spacing w:after="0"/>
              <w:rPr>
                <w:sz w:val="20"/>
                <w:szCs w:val="20"/>
                <w:color w:val="auto"/>
              </w:rPr>
            </w:pPr>
            <w:r>
              <w:rPr>
                <w:rFonts w:ascii="Arial" w:cs="Arial" w:eastAsia="Arial" w:hAnsi="Arial"/>
                <w:sz w:val="11"/>
                <w:szCs w:val="11"/>
                <w:color w:val="auto"/>
              </w:rPr>
              <w:t>Deferred policy acquisition costs, net</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(143)</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(69)</w:t>
            </w:r>
          </w:p>
        </w:tc>
      </w:tr>
      <w:tr>
        <w:trPr>
          <w:trHeight w:val="144"/>
        </w:trPr>
        <w:tc>
          <w:tcPr>
            <w:tcW w:w="8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Reinsurance recoverable</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w:t>
            </w:r>
          </w:p>
        </w:tc>
      </w:tr>
      <w:tr>
        <w:trPr>
          <w:trHeight w:val="144"/>
        </w:trPr>
        <w:tc>
          <w:tcPr>
            <w:tcW w:w="8380" w:type="dxa"/>
            <w:vAlign w:val="bottom"/>
          </w:tcPr>
          <w:p>
            <w:pPr>
              <w:ind w:left="220"/>
              <w:spacing w:after="0"/>
              <w:rPr>
                <w:sz w:val="20"/>
                <w:szCs w:val="20"/>
                <w:color w:val="auto"/>
              </w:rPr>
            </w:pPr>
            <w:r>
              <w:rPr>
                <w:rFonts w:ascii="Arial" w:cs="Arial" w:eastAsia="Arial" w:hAnsi="Arial"/>
                <w:sz w:val="11"/>
                <w:szCs w:val="11"/>
                <w:color w:val="auto"/>
              </w:rPr>
              <w:t>Other assets</w:t>
            </w:r>
          </w:p>
        </w:tc>
        <w:tc>
          <w:tcPr>
            <w:tcW w:w="9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648</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148</w:t>
            </w:r>
          </w:p>
        </w:tc>
      </w:tr>
      <w:tr>
        <w:trPr>
          <w:trHeight w:val="144"/>
        </w:trPr>
        <w:tc>
          <w:tcPr>
            <w:tcW w:w="8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Unearned premiums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8,590</w:t>
            </w:r>
          </w:p>
        </w:tc>
      </w:tr>
      <w:tr>
        <w:trPr>
          <w:trHeight w:val="144"/>
        </w:trPr>
        <w:tc>
          <w:tcPr>
            <w:tcW w:w="8380" w:type="dxa"/>
            <w:vAlign w:val="bottom"/>
          </w:tcPr>
          <w:p>
            <w:pPr>
              <w:ind w:left="220"/>
              <w:spacing w:after="0"/>
              <w:rPr>
                <w:sz w:val="20"/>
                <w:szCs w:val="20"/>
                <w:color w:val="auto"/>
              </w:rPr>
            </w:pPr>
            <w:r>
              <w:rPr>
                <w:rFonts w:ascii="Arial" w:cs="Arial" w:eastAsia="Arial" w:hAnsi="Arial"/>
                <w:sz w:val="11"/>
                <w:szCs w:val="11"/>
                <w:color w:val="auto"/>
              </w:rPr>
              <w:t>Reserve for insurance claims and claim expenses</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(1,179)</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5,536</w:t>
            </w:r>
          </w:p>
        </w:tc>
      </w:tr>
      <w:tr>
        <w:trPr>
          <w:trHeight w:val="144"/>
        </w:trPr>
        <w:tc>
          <w:tcPr>
            <w:tcW w:w="8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Reinsurance balances, net</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w:t>
            </w:r>
          </w:p>
        </w:tc>
      </w:tr>
      <w:tr>
        <w:trPr>
          <w:trHeight w:val="144"/>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Accounts payable and accrued expenses</w:t>
            </w: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(11,535)</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1,570</w:t>
            </w:r>
          </w:p>
        </w:tc>
      </w:tr>
      <w:tr>
        <w:trPr>
          <w:trHeight w:val="133"/>
        </w:trPr>
        <w:tc>
          <w:tcPr>
            <w:tcW w:w="838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9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80,310</w:t>
            </w:r>
          </w:p>
        </w:tc>
        <w:tc>
          <w:tcPr>
            <w:tcW w:w="8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85,464</w:t>
            </w:r>
          </w:p>
        </w:tc>
      </w:tr>
      <w:tr>
        <w:trPr>
          <w:trHeight w:val="124"/>
        </w:trPr>
        <w:tc>
          <w:tcPr>
            <w:tcW w:w="838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8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Purchase of short-term investments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4"/>
        </w:trPr>
        <w:tc>
          <w:tcPr>
            <w:tcW w:w="8380" w:type="dxa"/>
            <w:vAlign w:val="bottom"/>
          </w:tcPr>
          <w:p>
            <w:pPr>
              <w:ind w:left="80"/>
              <w:spacing w:after="0"/>
              <w:rPr>
                <w:sz w:val="20"/>
                <w:szCs w:val="20"/>
                <w:color w:val="auto"/>
              </w:rPr>
            </w:pPr>
            <w:r>
              <w:rPr>
                <w:rFonts w:ascii="Arial" w:cs="Arial" w:eastAsia="Arial" w:hAnsi="Arial"/>
                <w:sz w:val="11"/>
                <w:szCs w:val="11"/>
                <w:color w:val="auto"/>
              </w:rPr>
              <w:t>Purchase of fixed-maturity investments, available-for-sale</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(66,513)</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(109,933)</w:t>
            </w:r>
          </w:p>
        </w:tc>
      </w:tr>
      <w:tr>
        <w:trPr>
          <w:trHeight w:val="153"/>
        </w:trPr>
        <w:tc>
          <w:tcPr>
            <w:tcW w:w="8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maturity of short-term investments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10,640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44"/>
        </w:trPr>
        <w:tc>
          <w:tcPr>
            <w:tcW w:w="8380" w:type="dxa"/>
            <w:vAlign w:val="bottom"/>
          </w:tcPr>
          <w:p>
            <w:pPr>
              <w:ind w:left="80"/>
              <w:spacing w:after="0"/>
              <w:rPr>
                <w:sz w:val="20"/>
                <w:szCs w:val="20"/>
                <w:color w:val="auto"/>
              </w:rPr>
            </w:pPr>
            <w:r>
              <w:rPr>
                <w:rFonts w:ascii="Arial" w:cs="Arial" w:eastAsia="Arial" w:hAnsi="Arial"/>
                <w:sz w:val="11"/>
                <w:szCs w:val="11"/>
                <w:color w:val="auto"/>
              </w:rPr>
              <w:t>Proceeds from redemptions, maturities and sale of fixed-maturity investments, available-for-sale</w:t>
            </w:r>
          </w:p>
        </w:tc>
        <w:tc>
          <w:tcPr>
            <w:tcW w:w="9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36,479</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15,942</w:t>
            </w:r>
          </w:p>
        </w:tc>
      </w:tr>
      <w:tr>
        <w:trPr>
          <w:trHeight w:val="144"/>
        </w:trPr>
        <w:tc>
          <w:tcPr>
            <w:tcW w:w="8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Software and equipment</w:t>
            </w: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(1,974)</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(2,456)</w:t>
            </w:r>
          </w:p>
        </w:tc>
      </w:tr>
      <w:tr>
        <w:trPr>
          <w:trHeight w:val="133"/>
        </w:trPr>
        <w:tc>
          <w:tcPr>
            <w:tcW w:w="83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investing activities</w:t>
            </w: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(21,370)</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(96,447)</w:t>
            </w:r>
          </w:p>
        </w:tc>
      </w:tr>
      <w:tr>
        <w:trPr>
          <w:trHeight w:val="124"/>
        </w:trPr>
        <w:tc>
          <w:tcPr>
            <w:tcW w:w="83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Cash flows from financing activities</w:t>
            </w: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4"/>
        </w:trPr>
        <w:tc>
          <w:tcPr>
            <w:tcW w:w="838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employee equity plans</w:t>
            </w:r>
          </w:p>
        </w:tc>
        <w:tc>
          <w:tcPr>
            <w:tcW w:w="9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4,491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3,886</w:t>
            </w:r>
          </w:p>
        </w:tc>
      </w:tr>
      <w:tr>
        <w:trPr>
          <w:trHeight w:val="144"/>
        </w:trPr>
        <w:tc>
          <w:tcPr>
            <w:tcW w:w="8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issuance of common stock related to warrants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w:t>
            </w:r>
          </w:p>
        </w:tc>
      </w:tr>
      <w:tr>
        <w:trPr>
          <w:trHeight w:val="144"/>
        </w:trPr>
        <w:tc>
          <w:tcPr>
            <w:tcW w:w="8380" w:type="dxa"/>
            <w:vAlign w:val="bottom"/>
          </w:tcPr>
          <w:p>
            <w:pPr>
              <w:ind w:left="80"/>
              <w:spacing w:after="0"/>
              <w:rPr>
                <w:sz w:val="20"/>
                <w:szCs w:val="20"/>
                <w:color w:val="auto"/>
              </w:rPr>
            </w:pPr>
            <w:r>
              <w:rPr>
                <w:rFonts w:ascii="Arial" w:cs="Arial" w:eastAsia="Arial" w:hAnsi="Arial"/>
                <w:sz w:val="11"/>
                <w:szCs w:val="11"/>
                <w:color w:val="auto"/>
              </w:rPr>
              <w:t>Taxes paid related to net share settlement of equity awards</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(4,461)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(4,505)</w:t>
            </w:r>
          </w:p>
        </w:tc>
      </w:tr>
      <w:tr>
        <w:trPr>
          <w:trHeight w:val="153"/>
        </w:trPr>
        <w:tc>
          <w:tcPr>
            <w:tcW w:w="8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Repurchases of common stock</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33"/>
        </w:trPr>
        <w:tc>
          <w:tcPr>
            <w:tcW w:w="83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financing activities</w:t>
            </w: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(4,680)</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w:t>
            </w:r>
          </w:p>
        </w:tc>
      </w:tr>
      <w:tr>
        <w:trPr>
          <w:trHeight w:val="124"/>
        </w:trPr>
        <w:tc>
          <w:tcPr>
            <w:tcW w:w="8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11300"/>
          </w:cols>
          <w:pgMar w:left="300" w:top="131" w:right="299" w:bottom="1440" w:gutter="0" w:footer="0" w:header="0"/>
        </w:sectPr>
      </w:pPr>
    </w:p>
    <w:p>
      <w:pPr>
        <w:spacing w:after="0"/>
        <w:rPr>
          <w:sz w:val="20"/>
          <w:szCs w:val="20"/>
          <w:color w:val="auto"/>
        </w:rPr>
      </w:pPr>
      <w:r>
        <w:rPr>
          <w:rFonts w:ascii="Arial" w:cs="Arial" w:eastAsia="Arial" w:hAnsi="Arial"/>
          <w:sz w:val="10"/>
          <w:szCs w:val="10"/>
          <w:color w:val="auto"/>
        </w:rPr>
        <w:t>Net increase (decrease) in cash, cash equivalents and restricted cash</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4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54,260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(11,420)</w:t>
            </w:r>
          </w:p>
        </w:tc>
      </w:tr>
      <w:tr>
        <w:trPr>
          <w:trHeight w:val="147"/>
        </w:trPr>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76,646</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126,937</w:t>
            </w:r>
          </w:p>
        </w:tc>
      </w:tr>
      <w:tr>
        <w:trPr>
          <w:trHeight w:val="134"/>
        </w:trPr>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130,906</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115,517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7660" w:space="720"/>
            <w:col w:w="292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5360" w:type="dxa"/>
            <w:vAlign w:val="bottom"/>
          </w:tcPr>
          <w:p>
            <w:pPr>
              <w:spacing w:after="0"/>
              <w:rPr>
                <w:sz w:val="20"/>
                <w:szCs w:val="20"/>
                <w:color w:val="auto"/>
              </w:rPr>
            </w:pPr>
            <w:r>
              <w:rPr>
                <w:rFonts w:ascii="Arial" w:cs="Arial" w:eastAsia="Arial" w:hAnsi="Arial"/>
                <w:sz w:val="11"/>
                <w:szCs w:val="11"/>
                <w:color w:val="auto"/>
              </w:rPr>
              <w:t>Supplemental disclosures of cash flow information</w:t>
            </w:r>
          </w:p>
        </w:tc>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5360" w:type="dxa"/>
            <w:vAlign w:val="bottom"/>
          </w:tcPr>
          <w:p>
            <w:pPr>
              <w:ind w:left="140"/>
              <w:spacing w:after="0"/>
              <w:rPr>
                <w:sz w:val="20"/>
                <w:szCs w:val="20"/>
                <w:color w:val="auto"/>
              </w:rPr>
            </w:pPr>
            <w:r>
              <w:rPr>
                <w:rFonts w:ascii="Arial" w:cs="Arial" w:eastAsia="Arial" w:hAnsi="Arial"/>
                <w:sz w:val="11"/>
                <w:szCs w:val="11"/>
                <w:color w:val="auto"/>
              </w:rPr>
              <w:t>Income taxes refunded</w:t>
            </w:r>
          </w:p>
        </w:tc>
        <w:tc>
          <w:tcPr>
            <w:tcW w:w="3680" w:type="dxa"/>
            <w:vAlign w:val="bottom"/>
          </w:tcPr>
          <w:p>
            <w:pPr>
              <w:jc w:val="right"/>
              <w:ind w:right="543"/>
              <w:spacing w:after="0"/>
              <w:rPr>
                <w:sz w:val="20"/>
                <w:szCs w:val="20"/>
                <w:color w:val="auto"/>
              </w:rPr>
            </w:pPr>
            <w:r>
              <w:rPr>
                <w:rFonts w:ascii="Arial" w:cs="Arial" w:eastAsia="Arial" w:hAnsi="Arial"/>
                <w:sz w:val="11"/>
                <w:szCs w:val="11"/>
                <w:color w:val="auto"/>
              </w:rPr>
              <w:t>$</w:t>
            </w:r>
          </w:p>
        </w:tc>
        <w:tc>
          <w:tcPr>
            <w:tcW w:w="1480" w:type="dxa"/>
            <w:vAlign w:val="bottom"/>
          </w:tcPr>
          <w:p>
            <w:pPr>
              <w:ind w:left="600"/>
              <w:spacing w:after="0"/>
              <w:rPr>
                <w:sz w:val="20"/>
                <w:szCs w:val="20"/>
                <w:color w:val="auto"/>
              </w:rPr>
            </w:pPr>
            <w:r>
              <w:rPr>
                <w:rFonts w:ascii="Arial" w:cs="Arial" w:eastAsia="Arial" w:hAnsi="Arial"/>
                <w:sz w:val="11"/>
                <w:szCs w:val="11"/>
                <w:color w:val="auto"/>
              </w:rPr>
              <w:t>—   $</w:t>
            </w:r>
          </w:p>
        </w:tc>
        <w:tc>
          <w:tcPr>
            <w:tcW w:w="720" w:type="dxa"/>
            <w:vAlign w:val="bottom"/>
          </w:tcPr>
          <w:p>
            <w:pPr>
              <w:jc w:val="right"/>
              <w:spacing w:after="0"/>
              <w:rPr>
                <w:sz w:val="20"/>
                <w:szCs w:val="20"/>
                <w:color w:val="auto"/>
              </w:rPr>
            </w:pPr>
            <w:r>
              <w:rPr>
                <w:rFonts w:ascii="Arial" w:cs="Arial" w:eastAsia="Arial" w:hAnsi="Arial"/>
                <w:sz w:val="11"/>
                <w:szCs w:val="11"/>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1"/>
          <w:szCs w:val="11"/>
          <w:i w:val="1"/>
          <w:iCs w:val="1"/>
          <w:color w:val="auto"/>
        </w:rPr>
        <w:t>See accompanying notes to condensed consolidated financial statements (unaudited).</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Basis of Presentation and Summary of Accounting Principles</w:t>
      </w:r>
    </w:p>
    <w:p>
      <w:pPr>
        <w:spacing w:after="0" w:line="11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Our common stock is listed on the Nasdaq exchange under the ticker symbol "NMIH".</w:t>
      </w:r>
    </w:p>
    <w:p>
      <w:pPr>
        <w:spacing w:after="0" w:line="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 owned, licensed insurance subsidiary; however, it does not currently have active insurance exposures. In August 2015, NMIH capitalized a wholly owned subsidiary, NMI Services, Inc. (NMIS), through which we offer outsourced loan review services to mortgage loan originators.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2021, included in our 2021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2022.</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COVID-19 Developments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January 30, 2020, the World Health Organization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Significant Accounting Principles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There have been no changes to our significant accounting principles as described in Item 8, "</w:t>
      </w:r>
      <w:r>
        <w:rPr>
          <w:rFonts w:ascii="Arial" w:cs="Arial" w:eastAsia="Arial" w:hAnsi="Arial"/>
          <w:sz w:val="12"/>
          <w:szCs w:val="12"/>
          <w:i w:val="1"/>
          <w:iCs w:val="1"/>
          <w:color w:val="auto"/>
        </w:rPr>
        <w:t>Financial Statements and Supplementary Data - Notes to Consolidated Financial Statements - Note 2 - Summary of 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Principles</w:t>
      </w:r>
      <w:r>
        <w:rPr>
          <w:rFonts w:ascii="Arial" w:cs="Arial" w:eastAsia="Arial" w:hAnsi="Arial"/>
          <w:sz w:val="12"/>
          <w:szCs w:val="12"/>
          <w:color w:val="auto"/>
        </w:rPr>
        <w:t>" of our 2021 10-K, except as noted in "</w:t>
      </w:r>
      <w:r>
        <w:rPr>
          <w:rFonts w:ascii="Arial" w:cs="Arial" w:eastAsia="Arial" w:hAnsi="Arial"/>
          <w:sz w:val="12"/>
          <w:szCs w:val="12"/>
          <w:i w:val="1"/>
          <w:iCs w:val="1"/>
          <w:color w:val="auto"/>
        </w:rPr>
        <w:t xml:space="preserve">Share Repurchases" </w:t>
      </w:r>
      <w:r>
        <w:rPr>
          <w:rFonts w:ascii="Arial" w:cs="Arial" w:eastAsia="Arial" w:hAnsi="Arial"/>
          <w:sz w:val="12"/>
          <w:szCs w:val="12"/>
          <w:color w:val="auto"/>
        </w:rPr>
        <w:t>and "</w:t>
      </w:r>
      <w:r>
        <w:rPr>
          <w:rFonts w:ascii="Arial" w:cs="Arial" w:eastAsia="Arial" w:hAnsi="Arial"/>
          <w:sz w:val="12"/>
          <w:szCs w:val="12"/>
          <w:i w:val="1"/>
          <w:iCs w:val="1"/>
          <w:color w:val="auto"/>
        </w:rPr>
        <w:t>Recent Accounting Pronouncements - Adopted</w:t>
      </w:r>
      <w:r>
        <w:rPr>
          <w:rFonts w:ascii="Arial" w:cs="Arial" w:eastAsia="Arial" w:hAnsi="Arial"/>
          <w:sz w:val="12"/>
          <w:szCs w:val="12"/>
          <w:color w:val="auto"/>
        </w:rPr>
        <w:t>" below.</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Share Repurchases</w:t>
      </w:r>
    </w:p>
    <w:p>
      <w:pPr>
        <w:spacing w:after="0" w:line="114" w:lineRule="exact"/>
        <w:rPr>
          <w:sz w:val="20"/>
          <w:szCs w:val="20"/>
          <w:color w:val="auto"/>
        </w:rPr>
      </w:pPr>
    </w:p>
    <w:p>
      <w:pPr>
        <w:ind w:left="80" w:firstLine="324"/>
        <w:spacing w:after="0" w:line="276" w:lineRule="auto"/>
        <w:rPr>
          <w:sz w:val="20"/>
          <w:szCs w:val="20"/>
          <w:color w:val="auto"/>
        </w:rPr>
      </w:pPr>
      <w:r>
        <w:rPr>
          <w:rFonts w:ascii="Arial" w:cs="Arial" w:eastAsia="Arial" w:hAnsi="Arial"/>
          <w:sz w:val="12"/>
          <w:szCs w:val="12"/>
          <w:color w:val="auto"/>
        </w:rPr>
        <w:t>Common stock repurchases are recorded at cost and presented as "Treasury Stock" in the consolidated balance sheet and statement of changes in shareholders' equity. At the date of repurchase, shareholders' equity is reduced by the aggregate repurchase price plus commissions and other expenses that arise from the repurchase transaction.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Adopted</w:t>
      </w:r>
    </w:p>
    <w:p>
      <w:pPr>
        <w:spacing w:after="0" w:line="114"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2"/>
          <w:szCs w:val="12"/>
          <w:color w:val="auto"/>
        </w:rPr>
        <w:t xml:space="preserve">In August 2020, the Financial Accounting Standards Board (the FASB) issued ASU 2020-06,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xml:space="preserve"> (Subtopic 470-20) </w:t>
      </w:r>
      <w:r>
        <w:rPr>
          <w:rFonts w:ascii="Arial" w:cs="Arial" w:eastAsia="Arial" w:hAnsi="Arial"/>
          <w:sz w:val="12"/>
          <w:szCs w:val="12"/>
          <w:i w:val="1"/>
          <w:iCs w:val="1"/>
          <w:color w:val="auto"/>
        </w:rPr>
        <w:t>and Derivatives and Hedging— Contracts in Entity's Own</w:t>
      </w:r>
      <w:r>
        <w:rPr>
          <w:rFonts w:ascii="Arial" w:cs="Arial" w:eastAsia="Arial" w:hAnsi="Arial"/>
          <w:sz w:val="12"/>
          <w:szCs w:val="12"/>
          <w:color w:val="auto"/>
        </w:rPr>
        <w:t xml:space="preserve"> </w:t>
      </w:r>
      <w:r>
        <w:rPr>
          <w:rFonts w:ascii="Arial" w:cs="Arial" w:eastAsia="Arial" w:hAnsi="Arial"/>
          <w:sz w:val="12"/>
          <w:szCs w:val="12"/>
          <w:i w:val="1"/>
          <w:iCs w:val="1"/>
          <w:color w:val="auto"/>
        </w:rPr>
        <w:t>Equity (Subtopic 815-40</w:t>
      </w:r>
      <w:r>
        <w:rPr>
          <w:rFonts w:ascii="Arial" w:cs="Arial" w:eastAsia="Arial" w:hAnsi="Arial"/>
          <w:sz w:val="12"/>
          <w:szCs w:val="12"/>
          <w:color w:val="auto"/>
        </w:rPr>
        <w:t>). The update simplifies the accounting for convertible instruments and contracts on an entity's own equity, including warrants, eliminating certain triggers for derivative accounting. We adopted this ASU on</w:t>
      </w:r>
      <w:r>
        <w:rPr>
          <w:rFonts w:ascii="Arial" w:cs="Arial" w:eastAsia="Arial" w:hAnsi="Arial"/>
          <w:sz w:val="12"/>
          <w:szCs w:val="12"/>
          <w:i w:val="1"/>
          <w:iCs w:val="1"/>
          <w:color w:val="auto"/>
        </w:rPr>
        <w:t xml:space="preserve"> </w:t>
      </w:r>
      <w:r>
        <w:rPr>
          <w:rFonts w:ascii="Arial" w:cs="Arial" w:eastAsia="Arial" w:hAnsi="Arial"/>
          <w:sz w:val="12"/>
          <w:szCs w:val="12"/>
          <w:color w:val="auto"/>
        </w:rPr>
        <w:t>January 1, 2022 and determined it did not have a material impact on our consolidated financial statements, including our warrant liability.</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Not Yet Adopted</w:t>
      </w:r>
    </w:p>
    <w:p>
      <w:pPr>
        <w:spacing w:after="0" w:line="114"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2"/>
          <w:szCs w:val="12"/>
          <w:color w:val="auto"/>
        </w:rPr>
        <w:t xml:space="preserve">In August 2018, the FASB issued ASU 2018-12, </w:t>
      </w:r>
      <w:r>
        <w:rPr>
          <w:rFonts w:ascii="Arial" w:cs="Arial" w:eastAsia="Arial" w:hAnsi="Arial"/>
          <w:sz w:val="12"/>
          <w:szCs w:val="12"/>
          <w:i w:val="1"/>
          <w:iCs w:val="1"/>
          <w:color w:val="auto"/>
        </w:rPr>
        <w:t>Targeted Improvements to the Accounting for Long-Duration Contracts</w:t>
      </w:r>
      <w:r>
        <w:rPr>
          <w:rFonts w:ascii="Arial" w:cs="Arial" w:eastAsia="Arial" w:hAnsi="Arial"/>
          <w:sz w:val="12"/>
          <w:szCs w:val="12"/>
          <w:color w:val="auto"/>
        </w:rPr>
        <w:t xml:space="preserve"> (Topic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are currently evaluating the impact the adoption of this ASU will have, if any, on our consolidated financial statements.</w:t>
      </w:r>
    </w:p>
    <w:p>
      <w:pPr>
        <w:spacing w:after="0" w:line="88"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2"/>
          <w:szCs w:val="12"/>
          <w:color w:val="auto"/>
        </w:rPr>
        <w:t xml:space="preserve">In March 2020, the FASB issued ASU 2020-04, </w:t>
      </w:r>
      <w:r>
        <w:rPr>
          <w:rFonts w:ascii="Arial" w:cs="Arial" w:eastAsia="Arial" w:hAnsi="Arial"/>
          <w:sz w:val="12"/>
          <w:szCs w:val="12"/>
          <w:i w:val="1"/>
          <w:iCs w:val="1"/>
          <w:color w:val="auto"/>
        </w:rPr>
        <w:t>Reference Rate Reform</w:t>
      </w:r>
      <w:r>
        <w:rPr>
          <w:rFonts w:ascii="Arial" w:cs="Arial" w:eastAsia="Arial" w:hAnsi="Arial"/>
          <w:sz w:val="12"/>
          <w:szCs w:val="12"/>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We continue to monitor the impact the discontinuance of LIBOR will have on our contracts and other transactions; however, the adoption of, and future elections under, this ASU, are not expected to have a material impact on our consolidated financial statements as the ASU will ease, if warranted, the requirements for accounting for the future effects of the rate reform.</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Investments</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 of operations and comprehensive income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Fair Values and Gross Unrealized Gains and Losses on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140" w:type="dxa"/>
            <w:vAlign w:val="bottom"/>
          </w:tcPr>
          <w:p>
            <w:pPr>
              <w:jc w:val="center"/>
              <w:ind w:left="526"/>
              <w:spacing w:after="0"/>
              <w:rPr>
                <w:sz w:val="20"/>
                <w:szCs w:val="20"/>
                <w:color w:val="auto"/>
              </w:rPr>
            </w:pPr>
            <w:r>
              <w:rPr>
                <w:rFonts w:ascii="Arial" w:cs="Arial" w:eastAsia="Arial" w:hAnsi="Arial"/>
                <w:sz w:val="10"/>
                <w:szCs w:val="10"/>
                <w:b w:val="1"/>
                <w:bCs w:val="1"/>
                <w:color w:val="auto"/>
                <w:w w:val="89"/>
              </w:rPr>
              <w:t>Amortized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ind w:left="43"/>
              <w:spacing w:after="0"/>
              <w:rPr>
                <w:sz w:val="20"/>
                <w:szCs w:val="20"/>
                <w:color w:val="auto"/>
              </w:rPr>
            </w:pPr>
            <w:r>
              <w:rPr>
                <w:rFonts w:ascii="Arial" w:cs="Arial" w:eastAsia="Arial" w:hAnsi="Arial"/>
                <w:sz w:val="10"/>
                <w:szCs w:val="10"/>
                <w:b w:val="1"/>
                <w:bCs w:val="1"/>
                <w:color w:val="auto"/>
                <w:w w:val="85"/>
              </w:rPr>
              <w:t>Gross Unrealized</w:t>
            </w:r>
          </w:p>
        </w:tc>
        <w:tc>
          <w:tcPr>
            <w:tcW w:w="1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1140" w:type="dxa"/>
            <w:vAlign w:val="bottom"/>
            <w:tcBorders>
              <w:bottom w:val="single" w:sz="8" w:color="auto"/>
            </w:tcBorders>
          </w:tcPr>
          <w:p>
            <w:pPr>
              <w:jc w:val="center"/>
              <w:ind w:left="546"/>
              <w:spacing w:after="0"/>
              <w:rPr>
                <w:sz w:val="20"/>
                <w:szCs w:val="20"/>
                <w:color w:val="auto"/>
              </w:rPr>
            </w:pPr>
            <w:r>
              <w:rPr>
                <w:rFonts w:ascii="Arial" w:cs="Arial" w:eastAsia="Arial" w:hAnsi="Arial"/>
                <w:sz w:val="10"/>
                <w:szCs w:val="10"/>
                <w:b w:val="1"/>
                <w:bCs w:val="1"/>
                <w:color w:val="auto"/>
                <w:w w:val="80"/>
              </w:rPr>
              <w:t>Cost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Gains</w:t>
            </w: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March 31, 2022</w:t>
            </w: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gridSpan w:val="4"/>
          </w:tcPr>
          <w:p>
            <w:pPr>
              <w:jc w:val="center"/>
              <w:ind w:left="43"/>
              <w:spacing w:after="0"/>
              <w:rPr>
                <w:sz w:val="20"/>
                <w:szCs w:val="20"/>
                <w:color w:val="auto"/>
              </w:rPr>
            </w:pPr>
            <w:r>
              <w:rPr>
                <w:rFonts w:ascii="Arial" w:cs="Arial" w:eastAsia="Arial" w:hAnsi="Arial"/>
                <w:sz w:val="10"/>
                <w:szCs w:val="10"/>
                <w:i w:val="1"/>
                <w:iCs w:val="1"/>
                <w:color w:val="auto"/>
                <w:w w:val="86"/>
              </w:rPr>
              <w:t>(In Thousands)</w:t>
            </w: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29,443</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29,244</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578,524</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(36,756)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541,951</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1,419,017</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(82,991)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1,340,688</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84,514</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(2,870)</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81,718</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2,111,498</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(122,863)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1,993,601</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371</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360" w:type="dxa"/>
            <w:vAlign w:val="bottom"/>
            <w:gridSpan w:val="3"/>
          </w:tcPr>
          <w:p>
            <w:pPr>
              <w:ind w:left="11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371</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top w:val="single" w:sz="8" w:color="auto"/>
              <w:bottom w:val="single" w:sz="8" w:color="auto"/>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2,111,869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(122,863)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1,993,972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18"/>
        </w:trPr>
        <w:tc>
          <w:tcPr>
            <w:tcW w:w="4080" w:type="dxa"/>
            <w:vAlign w:val="bottom"/>
          </w:tcPr>
          <w:p>
            <w:pPr>
              <w:spacing w:after="0"/>
              <w:rPr>
                <w:sz w:val="24"/>
                <w:szCs w:val="24"/>
                <w:color w:val="auto"/>
              </w:rPr>
            </w:pPr>
          </w:p>
        </w:tc>
        <w:tc>
          <w:tcPr>
            <w:tcW w:w="1140" w:type="dxa"/>
            <w:vAlign w:val="bottom"/>
          </w:tcPr>
          <w:p>
            <w:pPr>
              <w:jc w:val="center"/>
              <w:ind w:left="526"/>
              <w:spacing w:after="0"/>
              <w:rPr>
                <w:sz w:val="20"/>
                <w:szCs w:val="20"/>
                <w:color w:val="auto"/>
              </w:rPr>
            </w:pPr>
            <w:r>
              <w:rPr>
                <w:rFonts w:ascii="Arial" w:cs="Arial" w:eastAsia="Arial" w:hAnsi="Arial"/>
                <w:sz w:val="10"/>
                <w:szCs w:val="10"/>
                <w:b w:val="1"/>
                <w:bCs w:val="1"/>
                <w:color w:val="auto"/>
                <w:w w:val="89"/>
              </w:rPr>
              <w:t>Amortized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ind w:left="43"/>
              <w:spacing w:after="0"/>
              <w:rPr>
                <w:sz w:val="20"/>
                <w:szCs w:val="20"/>
                <w:color w:val="auto"/>
              </w:rPr>
            </w:pPr>
            <w:r>
              <w:rPr>
                <w:rFonts w:ascii="Arial" w:cs="Arial" w:eastAsia="Arial" w:hAnsi="Arial"/>
                <w:sz w:val="10"/>
                <w:szCs w:val="10"/>
                <w:b w:val="1"/>
                <w:bCs w:val="1"/>
                <w:color w:val="auto"/>
                <w:w w:val="85"/>
              </w:rPr>
              <w:t>Gross Unrealized</w:t>
            </w: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1140" w:type="dxa"/>
            <w:vAlign w:val="bottom"/>
            <w:tcBorders>
              <w:bottom w:val="single" w:sz="8" w:color="auto"/>
            </w:tcBorders>
          </w:tcPr>
          <w:p>
            <w:pPr>
              <w:jc w:val="center"/>
              <w:ind w:left="546"/>
              <w:spacing w:after="0"/>
              <w:rPr>
                <w:sz w:val="20"/>
                <w:szCs w:val="20"/>
                <w:color w:val="auto"/>
              </w:rPr>
            </w:pPr>
            <w:r>
              <w:rPr>
                <w:rFonts w:ascii="Arial" w:cs="Arial" w:eastAsia="Arial" w:hAnsi="Arial"/>
                <w:sz w:val="10"/>
                <w:szCs w:val="10"/>
                <w:b w:val="1"/>
                <w:bCs w:val="1"/>
                <w:color w:val="auto"/>
                <w:w w:val="80"/>
              </w:rPr>
              <w:t>Cost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Gains</w:t>
            </w: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December 31, 2021</w:t>
            </w: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gridSpan w:val="4"/>
          </w:tcPr>
          <w:p>
            <w:pPr>
              <w:jc w:val="center"/>
              <w:ind w:left="43"/>
              <w:spacing w:after="0"/>
              <w:rPr>
                <w:sz w:val="20"/>
                <w:szCs w:val="20"/>
                <w:color w:val="auto"/>
              </w:rPr>
            </w:pPr>
            <w:r>
              <w:rPr>
                <w:rFonts w:ascii="Arial" w:cs="Arial" w:eastAsia="Arial" w:hAnsi="Arial"/>
                <w:sz w:val="10"/>
                <w:szCs w:val="10"/>
                <w:i w:val="1"/>
                <w:iCs w:val="1"/>
                <w:color w:val="auto"/>
                <w:w w:val="86"/>
              </w:rPr>
              <w:t>(In Thousands)</w:t>
            </w: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29,443</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360" w:type="dxa"/>
            <w:vAlign w:val="bottom"/>
            <w:gridSpan w:val="3"/>
            <w:shd w:val="clear" w:color="auto" w:fill="CCEEFF"/>
          </w:tcPr>
          <w:p>
            <w:pPr>
              <w:ind w:left="11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30,424</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553,793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5,689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(5,404)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554,078</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1,388,204</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(17,364)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1,393,830</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96,324</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96,581</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2,067,764</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30,344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(23,195)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2,074,913</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11,009</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3"/>
          </w:tcPr>
          <w:p>
            <w:pPr>
              <w:ind w:left="11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11,018</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top w:val="single" w:sz="8" w:color="auto"/>
              <w:bottom w:val="single" w:sz="8" w:color="CCEEFF"/>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2,078,773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CCEEFF"/>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30,353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(23,195)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2,085,931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7080" w:type="dxa"/>
            <w:vAlign w:val="bottom"/>
            <w:gridSpan w:val="5"/>
          </w:tcPr>
          <w:p>
            <w:pPr>
              <w:ind w:left="420"/>
              <w:spacing w:after="0"/>
              <w:rPr>
                <w:sz w:val="20"/>
                <w:szCs w:val="20"/>
                <w:color w:val="auto"/>
              </w:rPr>
            </w:pPr>
            <w:r>
              <w:rPr>
                <w:rFonts w:ascii="Arial" w:cs="Arial" w:eastAsia="Arial" w:hAnsi="Arial"/>
                <w:sz w:val="12"/>
                <w:szCs w:val="12"/>
                <w:color w:val="auto"/>
                <w:w w:val="96"/>
              </w:rPr>
              <w:t>We did not own any mortgage-backed securities in our asset-backed securities portfolio at March 31, 2022 or December 31, 2021.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8200" w:type="dxa"/>
            <w:vAlign w:val="bottom"/>
            <w:gridSpan w:val="9"/>
          </w:tcPr>
          <w:p>
            <w:pPr>
              <w:ind w:left="420"/>
              <w:spacing w:after="0"/>
              <w:rPr>
                <w:sz w:val="20"/>
                <w:szCs w:val="20"/>
                <w:color w:val="auto"/>
              </w:rPr>
            </w:pPr>
            <w:r>
              <w:rPr>
                <w:rFonts w:ascii="Arial" w:cs="Arial" w:eastAsia="Arial" w:hAnsi="Arial"/>
                <w:sz w:val="12"/>
                <w:szCs w:val="12"/>
                <w:color w:val="auto"/>
                <w:w w:val="90"/>
              </w:rPr>
              <w:t>The following table presents a breakdown of the fair value of our corporate debt securities by issuer industry group as of March 31, 2022 and December 31, 2021:</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Arial" w:cs="Arial" w:eastAsia="Arial" w:hAnsi="Arial"/>
                <w:sz w:val="10"/>
                <w:szCs w:val="10"/>
                <w:b w:val="1"/>
                <w:bCs w:val="1"/>
                <w:color w:val="auto"/>
              </w:rPr>
              <w:t>March 31, 2022</w:t>
            </w:r>
          </w:p>
        </w:tc>
        <w:tc>
          <w:tcPr>
            <w:tcW w:w="260" w:type="dxa"/>
            <w:vAlign w:val="bottom"/>
          </w:tcPr>
          <w:p>
            <w:pPr>
              <w:spacing w:after="0"/>
              <w:rPr>
                <w:sz w:val="21"/>
                <w:szCs w:val="21"/>
                <w:color w:val="auto"/>
              </w:rPr>
            </w:pPr>
          </w:p>
        </w:tc>
        <w:tc>
          <w:tcPr>
            <w:tcW w:w="148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 2021</w:t>
            </w:r>
          </w:p>
        </w:tc>
      </w:tr>
      <w:tr>
        <w:trPr>
          <w:trHeight w:val="14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Financial</w:t>
            </w:r>
          </w:p>
        </w:tc>
        <w:tc>
          <w:tcPr>
            <w:tcW w:w="1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36 %</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38 %</w:t>
            </w:r>
          </w:p>
        </w:tc>
        <w:tc>
          <w:tcPr>
            <w:tcW w:w="20" w:type="dxa"/>
            <w:vAlign w:val="bottom"/>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Consumer</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Communications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Utilities</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jc w:val="right"/>
              <w:ind w:right="142"/>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Technology</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rPr>
              <w:t>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Industrial</w:t>
            </w:r>
          </w:p>
        </w:tc>
        <w:tc>
          <w:tcPr>
            <w:tcW w:w="114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8</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3"/>
                <w:szCs w:val="13"/>
                <w:color w:val="auto"/>
              </w:rPr>
            </w:pPr>
          </w:p>
        </w:tc>
      </w:tr>
      <w:tr>
        <w:trPr>
          <w:trHeight w:val="15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100 %</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3"/>
                <w:szCs w:val="13"/>
                <w:color w:val="auto"/>
              </w:rPr>
            </w:pPr>
          </w:p>
        </w:tc>
      </w:tr>
    </w:tbl>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2022 and December 31, 2021, approximately $5.5 million and $5.6 million, respectively, of our cash and investments were held in the form of U.S. Treasury securities on deposit with various state insurance departments to satisfy regulatory requirements.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Scheduled Maturities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amortized cost and fair value of available-for-sale securities as of March 31, 2022 and December 31, 2021,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March 31, 2022</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80,129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80,274</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730,283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711,670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1,180,849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1,087,290</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36,094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33,020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84,514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81,718</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2,111,869</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1,993,972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2021</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81,699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82,201</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630,625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644,447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1,215,224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1,207,997</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54,901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54,705</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96,324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96,581</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2,078,773</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2,085,931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Aging of Unrealized Losses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2022, the investment portfolio had gross unrealized losses of $122.9 million, of which $29.0 million were associated with securities that had been in an unrealized loss position for a period of twelve-months or longer. As of December 31, 2021, the investment portfolio had gross unrealized losses of $23.2 million, of which $6.5 million were associated with securities that had been in an unrealized loss position for a period of twelve-months or longer. For those securities in an unrealized loss position, the length of time the securities were in such a position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6"/>
              </w:rPr>
              <w:t>Less Than 12 Months</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1"/>
              </w:rPr>
              <w:t>12 Months or Greater</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rPr>
              <w:t># of Securities</w:t>
            </w: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81"/>
              </w:rPr>
              <w:t>Unrealized Losses</w:t>
            </w: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07"/>
              <w:spacing w:after="0"/>
              <w:rPr>
                <w:sz w:val="20"/>
                <w:szCs w:val="20"/>
                <w:color w:val="auto"/>
              </w:rPr>
            </w:pPr>
            <w:r>
              <w:rPr>
                <w:rFonts w:ascii="Arial" w:cs="Arial" w:eastAsia="Arial" w:hAnsi="Arial"/>
                <w:sz w:val="10"/>
                <w:szCs w:val="10"/>
                <w:b w:val="1"/>
                <w:bCs w:val="1"/>
                <w:color w:val="auto"/>
              </w:rPr>
              <w:t># of Securities</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81"/>
              </w:rPr>
              <w:t>Unrealized Losses</w:t>
            </w: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rPr>
              <w:t># of Securities</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w w:val="84"/>
              </w:rPr>
              <w:t>Unrealized Losses</w:t>
            </w:r>
          </w:p>
        </w:tc>
        <w:tc>
          <w:tcPr>
            <w:tcW w:w="0" w:type="dxa"/>
            <w:vAlign w:val="bottom"/>
          </w:tcPr>
          <w:p>
            <w:pPr>
              <w:spacing w:after="0"/>
              <w:rPr>
                <w:sz w:val="1"/>
                <w:szCs w:val="1"/>
                <w:color w:val="auto"/>
              </w:rPr>
            </w:pPr>
          </w:p>
        </w:tc>
      </w:tr>
      <w:tr>
        <w:trPr>
          <w:trHeight w:val="115"/>
        </w:trPr>
        <w:tc>
          <w:tcPr>
            <w:tcW w:w="2640" w:type="dxa"/>
            <w:vAlign w:val="bottom"/>
          </w:tcPr>
          <w:p>
            <w:pPr>
              <w:spacing w:after="0" w:line="110" w:lineRule="exact"/>
              <w:rPr>
                <w:sz w:val="20"/>
                <w:szCs w:val="20"/>
                <w:color w:val="auto"/>
              </w:rPr>
            </w:pPr>
            <w:r>
              <w:rPr>
                <w:rFonts w:ascii="Arial" w:cs="Arial" w:eastAsia="Arial" w:hAnsi="Arial"/>
                <w:sz w:val="10"/>
                <w:szCs w:val="10"/>
                <w:b w:val="1"/>
                <w:bCs w:val="1"/>
                <w:color w:val="auto"/>
              </w:rPr>
              <w:t>As of March 31, 2022</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4"/>
          </w:tcPr>
          <w:p>
            <w:pPr>
              <w:ind w:left="300"/>
              <w:spacing w:after="0"/>
              <w:rPr>
                <w:sz w:val="20"/>
                <w:szCs w:val="20"/>
                <w:color w:val="auto"/>
              </w:rPr>
            </w:pPr>
            <w:r>
              <w:rPr>
                <w:rFonts w:ascii="Arial" w:cs="Arial" w:eastAsia="Arial" w:hAnsi="Arial"/>
                <w:sz w:val="10"/>
                <w:szCs w:val="10"/>
                <w:i w:val="1"/>
                <w:iCs w:val="1"/>
                <w:color w:val="auto"/>
              </w:rPr>
              <w:t>(Dollars in Thousands)</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4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89"/>
              </w:rPr>
              <w:t>U.S. Treasury securities and obligations of U.S. government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24,105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1"/>
                <w:szCs w:val="11"/>
                <w:color w:val="auto"/>
              </w:rPr>
              <w:t>— $</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920" w:type="dxa"/>
            <w:vAlign w:val="bottom"/>
            <w:gridSpan w:val="2"/>
            <w:vMerge w:val="restart"/>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24,105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spacing w:after="0"/>
              <w:rPr>
                <w:sz w:val="20"/>
                <w:szCs w:val="20"/>
                <w:color w:val="auto"/>
              </w:rPr>
            </w:pPr>
            <w:r>
              <w:rPr>
                <w:rFonts w:ascii="Arial" w:cs="Arial" w:eastAsia="Arial" w:hAnsi="Arial"/>
                <w:sz w:val="11"/>
                <w:szCs w:val="11"/>
                <w:color w:val="auto"/>
              </w:rPr>
              <w:t>agencies</w:t>
            </w:r>
          </w:p>
        </w:tc>
        <w:tc>
          <w:tcPr>
            <w:tcW w:w="84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20"/>
                <w:szCs w:val="20"/>
                <w:color w:val="auto"/>
              </w:rPr>
            </w:pPr>
            <w:r>
              <w:rPr>
                <w:rFonts w:ascii="Arial" w:cs="Arial" w:eastAsia="Arial" w:hAnsi="Arial"/>
                <w:sz w:val="11"/>
                <w:szCs w:val="11"/>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1"/>
                <w:szCs w:val="11"/>
                <w:color w:val="auto"/>
              </w:rPr>
              <w:t>214</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466,969</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(33,508)</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27,711</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(3,248)</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231</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494,680</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(36,756)</w:t>
            </w: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spacing w:after="0"/>
              <w:rPr>
                <w:sz w:val="20"/>
                <w:szCs w:val="20"/>
                <w:color w:val="auto"/>
              </w:rPr>
            </w:pPr>
            <w:r>
              <w:rPr>
                <w:rFonts w:ascii="Arial" w:cs="Arial" w:eastAsia="Arial" w:hAnsi="Arial"/>
                <w:sz w:val="11"/>
                <w:szCs w:val="11"/>
                <w:color w:val="auto"/>
              </w:rPr>
              <w:t>Corporate debt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791,585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(57,405)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228,605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(25,586)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1,020,190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(82,991)</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Asset-backed securities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63,494</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(2,678)</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1,852</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65,346</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(2,870)</w:t>
            </w:r>
          </w:p>
        </w:tc>
        <w:tc>
          <w:tcPr>
            <w:tcW w:w="0" w:type="dxa"/>
            <w:vAlign w:val="bottom"/>
          </w:tcPr>
          <w:p>
            <w:pPr>
              <w:spacing w:after="0"/>
              <w:rPr>
                <w:sz w:val="1"/>
                <w:szCs w:val="1"/>
                <w:color w:val="auto"/>
              </w:rPr>
            </w:pPr>
          </w:p>
        </w:tc>
      </w:tr>
      <w:tr>
        <w:trPr>
          <w:trHeight w:val="151"/>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1,346,153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(93,837)</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258,168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(29,026)</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1,604,321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88"/>
              </w:rPr>
              <w:t>Less Than 12 Months</w:t>
            </w: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w w:val="87"/>
              </w:rPr>
              <w:t>12 Months or Greater</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w w:val="91"/>
              </w:rPr>
              <w:t>Total</w:t>
            </w:r>
          </w:p>
        </w:tc>
        <w:tc>
          <w:tcPr>
            <w:tcW w:w="940" w:type="dxa"/>
            <w:vAlign w:val="bottom"/>
            <w:tcBorders>
              <w:bottom w:val="single" w:sz="8" w:color="auto"/>
            </w:tcBorders>
          </w:tcPr>
          <w:p>
            <w:pPr>
              <w:spacing w:after="0"/>
              <w:rPr>
                <w:sz w:val="11"/>
                <w:szCs w:val="11"/>
                <w:color w:val="auto"/>
              </w:rPr>
            </w:pPr>
          </w:p>
        </w:tc>
      </w:tr>
      <w:tr>
        <w:trPr>
          <w:trHeight w:val="118"/>
        </w:trPr>
        <w:tc>
          <w:tcPr>
            <w:tcW w:w="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1"/>
              </w:rPr>
              <w:t># of Securities</w:t>
            </w: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Fair Value</w:t>
            </w: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w w:val="81"/>
              </w:rPr>
              <w:t>Unrealized Losses</w:t>
            </w: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4"/>
              </w:rPr>
              <w:t># of Securities</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Fair Value</w:t>
            </w: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84"/>
              </w:rPr>
              <w:t>Unrealized Losses</w:t>
            </w: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1"/>
              </w:rPr>
              <w:t># of Securities  Fair Value</w:t>
            </w:r>
          </w:p>
        </w:tc>
        <w:tc>
          <w:tcPr>
            <w:tcW w:w="7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w w:val="81"/>
              </w:rPr>
              <w:t>Unrealized Losses</w:t>
            </w:r>
          </w:p>
        </w:tc>
      </w:tr>
      <w:tr>
        <w:trPr>
          <w:trHeight w:val="114"/>
        </w:trPr>
        <w:tc>
          <w:tcPr>
            <w:tcW w:w="26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of December 31, 2021</w:t>
            </w: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40" w:type="dxa"/>
            <w:vAlign w:val="bottom"/>
            <w:gridSpan w:val="3"/>
          </w:tcPr>
          <w:p>
            <w:pPr>
              <w:ind w:left="420"/>
              <w:spacing w:after="0"/>
              <w:rPr>
                <w:sz w:val="20"/>
                <w:szCs w:val="20"/>
                <w:color w:val="auto"/>
              </w:rPr>
            </w:pPr>
            <w:r>
              <w:rPr>
                <w:rFonts w:ascii="Arial" w:cs="Arial" w:eastAsia="Arial" w:hAnsi="Arial"/>
                <w:sz w:val="10"/>
                <w:szCs w:val="10"/>
                <w:i w:val="1"/>
                <w:iCs w:val="1"/>
                <w:color w:val="auto"/>
              </w:rPr>
              <w:t>(Dollars in Thousands)</w:t>
            </w: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55"/>
        </w:trPr>
        <w:tc>
          <w:tcPr>
            <w:tcW w:w="80" w:type="dxa"/>
            <w:vAlign w:val="bottom"/>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unicipal debt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3"/>
              </w:rPr>
              <w:t>151$</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314,823$</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$ 2</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8,138$</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153$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322,961$</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(5,404)</w:t>
            </w:r>
          </w:p>
        </w:tc>
      </w:tr>
      <w:tr>
        <w:trPr>
          <w:trHeight w:val="153"/>
        </w:trPr>
        <w:tc>
          <w:tcPr>
            <w:tcW w:w="3200" w:type="dxa"/>
            <w:vAlign w:val="bottom"/>
            <w:gridSpan w:val="3"/>
          </w:tcPr>
          <w:p>
            <w:pPr>
              <w:spacing w:after="0"/>
              <w:rPr>
                <w:sz w:val="20"/>
                <w:szCs w:val="20"/>
                <w:color w:val="auto"/>
              </w:rPr>
            </w:pPr>
            <w:r>
              <w:rPr>
                <w:rFonts w:ascii="Arial" w:cs="Arial" w:eastAsia="Arial" w:hAnsi="Arial"/>
                <w:sz w:val="12"/>
                <w:szCs w:val="12"/>
                <w:color w:val="auto"/>
              </w:rPr>
              <w:t>rporate debt securities</w:t>
            </w:r>
          </w:p>
        </w:tc>
        <w:tc>
          <w:tcPr>
            <w:tcW w:w="220" w:type="dxa"/>
            <w:vAlign w:val="bottom"/>
          </w:tcPr>
          <w:p>
            <w:pPr>
              <w:jc w:val="right"/>
              <w:spacing w:after="0"/>
              <w:rPr>
                <w:sz w:val="20"/>
                <w:szCs w:val="20"/>
                <w:color w:val="auto"/>
              </w:rPr>
            </w:pPr>
            <w:r>
              <w:rPr>
                <w:rFonts w:ascii="Arial" w:cs="Arial" w:eastAsia="Arial" w:hAnsi="Arial"/>
                <w:sz w:val="12"/>
                <w:szCs w:val="12"/>
                <w:color w:val="auto"/>
                <w:w w:val="89"/>
              </w:rPr>
              <w:t>114</w:t>
            </w:r>
          </w:p>
        </w:tc>
        <w:tc>
          <w:tcPr>
            <w:tcW w:w="1060" w:type="dxa"/>
            <w:vAlign w:val="bottom"/>
          </w:tcPr>
          <w:p>
            <w:pPr>
              <w:jc w:val="right"/>
              <w:spacing w:after="0"/>
              <w:rPr>
                <w:sz w:val="20"/>
                <w:szCs w:val="20"/>
                <w:color w:val="auto"/>
              </w:rPr>
            </w:pPr>
            <w:r>
              <w:rPr>
                <w:rFonts w:ascii="Arial" w:cs="Arial" w:eastAsia="Arial" w:hAnsi="Arial"/>
                <w:sz w:val="12"/>
                <w:szCs w:val="12"/>
                <w:color w:val="auto"/>
              </w:rPr>
              <w:t>653,488</w:t>
            </w:r>
          </w:p>
        </w:tc>
        <w:tc>
          <w:tcPr>
            <w:tcW w:w="940" w:type="dxa"/>
            <w:vAlign w:val="bottom"/>
          </w:tcPr>
          <w:p>
            <w:pPr>
              <w:jc w:val="right"/>
              <w:spacing w:after="0"/>
              <w:rPr>
                <w:sz w:val="20"/>
                <w:szCs w:val="20"/>
                <w:color w:val="auto"/>
              </w:rPr>
            </w:pPr>
            <w:r>
              <w:rPr>
                <w:rFonts w:ascii="Arial" w:cs="Arial" w:eastAsia="Arial" w:hAnsi="Arial"/>
                <w:sz w:val="12"/>
                <w:szCs w:val="12"/>
                <w:color w:val="auto"/>
              </w:rPr>
              <w:t>(11,426)</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20</w:t>
            </w:r>
          </w:p>
        </w:tc>
        <w:tc>
          <w:tcPr>
            <w:tcW w:w="960" w:type="dxa"/>
            <w:vAlign w:val="bottom"/>
          </w:tcPr>
          <w:p>
            <w:pPr>
              <w:jc w:val="right"/>
              <w:spacing w:after="0"/>
              <w:rPr>
                <w:sz w:val="20"/>
                <w:szCs w:val="20"/>
                <w:color w:val="auto"/>
              </w:rPr>
            </w:pPr>
            <w:r>
              <w:rPr>
                <w:rFonts w:ascii="Arial" w:cs="Arial" w:eastAsia="Arial" w:hAnsi="Arial"/>
                <w:sz w:val="12"/>
                <w:szCs w:val="12"/>
                <w:color w:val="auto"/>
              </w:rPr>
              <w:t>146,003</w:t>
            </w:r>
          </w:p>
        </w:tc>
        <w:tc>
          <w:tcPr>
            <w:tcW w:w="980" w:type="dxa"/>
            <w:vAlign w:val="bottom"/>
          </w:tcPr>
          <w:p>
            <w:pPr>
              <w:jc w:val="right"/>
              <w:spacing w:after="0"/>
              <w:rPr>
                <w:sz w:val="20"/>
                <w:szCs w:val="20"/>
                <w:color w:val="auto"/>
              </w:rPr>
            </w:pPr>
            <w:r>
              <w:rPr>
                <w:rFonts w:ascii="Arial" w:cs="Arial" w:eastAsia="Arial" w:hAnsi="Arial"/>
                <w:sz w:val="12"/>
                <w:szCs w:val="12"/>
                <w:color w:val="auto"/>
              </w:rPr>
              <w:t>(5,938)</w:t>
            </w:r>
          </w:p>
        </w:tc>
        <w:tc>
          <w:tcPr>
            <w:tcW w:w="100" w:type="dxa"/>
            <w:vAlign w:val="bottom"/>
          </w:tcPr>
          <w:p>
            <w:pPr>
              <w:spacing w:after="0"/>
              <w:rPr>
                <w:sz w:val="13"/>
                <w:szCs w:val="13"/>
                <w:color w:val="auto"/>
              </w:rPr>
            </w:pPr>
          </w:p>
        </w:tc>
        <w:tc>
          <w:tcPr>
            <w:tcW w:w="1160" w:type="dxa"/>
            <w:vAlign w:val="bottom"/>
          </w:tcPr>
          <w:p>
            <w:pPr>
              <w:jc w:val="right"/>
              <w:ind w:right="302"/>
              <w:spacing w:after="0"/>
              <w:rPr>
                <w:sz w:val="20"/>
                <w:szCs w:val="20"/>
                <w:color w:val="auto"/>
              </w:rPr>
            </w:pPr>
            <w:r>
              <w:rPr>
                <w:rFonts w:ascii="Arial" w:cs="Arial" w:eastAsia="Arial" w:hAnsi="Arial"/>
                <w:sz w:val="12"/>
                <w:szCs w:val="12"/>
                <w:color w:val="auto"/>
              </w:rPr>
              <w:t>134</w:t>
            </w:r>
          </w:p>
        </w:tc>
        <w:tc>
          <w:tcPr>
            <w:tcW w:w="700" w:type="dxa"/>
            <w:vAlign w:val="bottom"/>
          </w:tcPr>
          <w:p>
            <w:pPr>
              <w:jc w:val="right"/>
              <w:spacing w:after="0"/>
              <w:rPr>
                <w:sz w:val="20"/>
                <w:szCs w:val="20"/>
                <w:color w:val="auto"/>
              </w:rPr>
            </w:pPr>
            <w:r>
              <w:rPr>
                <w:rFonts w:ascii="Arial" w:cs="Arial" w:eastAsia="Arial" w:hAnsi="Arial"/>
                <w:sz w:val="12"/>
                <w:szCs w:val="12"/>
                <w:color w:val="auto"/>
              </w:rPr>
              <w:t>799,491</w:t>
            </w:r>
          </w:p>
        </w:tc>
        <w:tc>
          <w:tcPr>
            <w:tcW w:w="940" w:type="dxa"/>
            <w:vAlign w:val="bottom"/>
          </w:tcPr>
          <w:p>
            <w:pPr>
              <w:jc w:val="right"/>
              <w:spacing w:after="0"/>
              <w:rPr>
                <w:sz w:val="20"/>
                <w:szCs w:val="20"/>
                <w:color w:val="auto"/>
              </w:rPr>
            </w:pPr>
            <w:r>
              <w:rPr>
                <w:rFonts w:ascii="Arial" w:cs="Arial" w:eastAsia="Arial" w:hAnsi="Arial"/>
                <w:sz w:val="12"/>
                <w:szCs w:val="12"/>
                <w:color w:val="auto"/>
              </w:rPr>
              <w:t>(17,364)</w:t>
            </w:r>
          </w:p>
        </w:tc>
      </w:tr>
      <w:tr>
        <w:trPr>
          <w:trHeight w:val="153"/>
        </w:trPr>
        <w:tc>
          <w:tcPr>
            <w:tcW w:w="2600" w:type="dxa"/>
            <w:vAlign w:val="bottom"/>
            <w:gridSpan w:val="2"/>
          </w:tcPr>
          <w:p>
            <w:pPr>
              <w:spacing w:after="0"/>
              <w:rPr>
                <w:sz w:val="20"/>
                <w:szCs w:val="20"/>
                <w:color w:val="auto"/>
              </w:rPr>
            </w:pPr>
            <w:r>
              <w:rPr>
                <w:rFonts w:ascii="Arial" w:cs="Arial" w:eastAsia="Arial" w:hAnsi="Arial"/>
                <w:sz w:val="12"/>
                <w:szCs w:val="12"/>
                <w:color w:val="auto"/>
              </w:rPr>
              <w:t>set-backed securities</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57,601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(357)</w:t>
            </w: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color w:val="auto"/>
              </w:rPr>
              <w:t>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59,578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w:t>
            </w:r>
          </w:p>
        </w:tc>
      </w:tr>
      <w:tr>
        <w:trPr>
          <w:trHeight w:val="142"/>
        </w:trPr>
        <w:tc>
          <w:tcPr>
            <w:tcW w:w="3200" w:type="dxa"/>
            <w:vAlign w:val="bottom"/>
            <w:gridSpan w:val="3"/>
          </w:tcPr>
          <w:p>
            <w:pPr>
              <w:spacing w:after="0"/>
              <w:rPr>
                <w:sz w:val="20"/>
                <w:szCs w:val="20"/>
                <w:color w:val="auto"/>
              </w:rPr>
            </w:pPr>
            <w:r>
              <w:rPr>
                <w:rFonts w:ascii="Arial" w:cs="Arial" w:eastAsia="Arial" w:hAnsi="Arial"/>
                <w:sz w:val="12"/>
                <w:szCs w:val="12"/>
                <w:color w:val="auto"/>
              </w:rPr>
              <w:t>tal</w:t>
            </w:r>
          </w:p>
        </w:tc>
        <w:tc>
          <w:tcPr>
            <w:tcW w:w="220" w:type="dxa"/>
            <w:vAlign w:val="bottom"/>
          </w:tcPr>
          <w:p>
            <w:pPr>
              <w:jc w:val="right"/>
              <w:spacing w:after="0"/>
              <w:rPr>
                <w:sz w:val="20"/>
                <w:szCs w:val="20"/>
                <w:color w:val="auto"/>
              </w:rPr>
            </w:pPr>
            <w:r>
              <w:rPr>
                <w:rFonts w:ascii="Arial" w:cs="Arial" w:eastAsia="Arial" w:hAnsi="Arial"/>
                <w:sz w:val="11"/>
                <w:szCs w:val="11"/>
                <w:color w:val="auto"/>
                <w:w w:val="73"/>
              </w:rPr>
              <w:t>276$</w:t>
            </w:r>
          </w:p>
        </w:tc>
        <w:tc>
          <w:tcPr>
            <w:tcW w:w="1060" w:type="dxa"/>
            <w:vAlign w:val="bottom"/>
          </w:tcPr>
          <w:p>
            <w:pPr>
              <w:jc w:val="right"/>
              <w:spacing w:after="0"/>
              <w:rPr>
                <w:sz w:val="20"/>
                <w:szCs w:val="20"/>
                <w:color w:val="auto"/>
              </w:rPr>
            </w:pPr>
            <w:r>
              <w:rPr>
                <w:rFonts w:ascii="Arial" w:cs="Arial" w:eastAsia="Arial" w:hAnsi="Arial"/>
                <w:sz w:val="12"/>
                <w:szCs w:val="12"/>
                <w:color w:val="auto"/>
              </w:rPr>
              <w:t>1,025,912$</w:t>
            </w:r>
          </w:p>
        </w:tc>
        <w:tc>
          <w:tcPr>
            <w:tcW w:w="940" w:type="dxa"/>
            <w:vAlign w:val="bottom"/>
          </w:tcPr>
          <w:p>
            <w:pPr>
              <w:jc w:val="right"/>
              <w:spacing w:after="0"/>
              <w:rPr>
                <w:sz w:val="20"/>
                <w:szCs w:val="20"/>
                <w:color w:val="auto"/>
              </w:rPr>
            </w:pPr>
            <w:r>
              <w:rPr>
                <w:rFonts w:ascii="Arial" w:cs="Arial" w:eastAsia="Arial" w:hAnsi="Arial"/>
                <w:sz w:val="12"/>
                <w:szCs w:val="12"/>
                <w:color w:val="auto"/>
              </w:rPr>
              <w:t>(16,742)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76"/>
              </w:rPr>
              <w:t>$23</w:t>
            </w:r>
          </w:p>
        </w:tc>
        <w:tc>
          <w:tcPr>
            <w:tcW w:w="960" w:type="dxa"/>
            <w:vAlign w:val="bottom"/>
          </w:tcPr>
          <w:p>
            <w:pPr>
              <w:jc w:val="right"/>
              <w:spacing w:after="0"/>
              <w:rPr>
                <w:sz w:val="20"/>
                <w:szCs w:val="20"/>
                <w:color w:val="auto"/>
              </w:rPr>
            </w:pPr>
            <w:r>
              <w:rPr>
                <w:rFonts w:ascii="Arial" w:cs="Arial" w:eastAsia="Arial" w:hAnsi="Arial"/>
                <w:sz w:val="12"/>
                <w:szCs w:val="12"/>
                <w:color w:val="auto"/>
              </w:rPr>
              <w:t>156,118$</w:t>
            </w:r>
          </w:p>
        </w:tc>
        <w:tc>
          <w:tcPr>
            <w:tcW w:w="980" w:type="dxa"/>
            <w:vAlign w:val="bottom"/>
          </w:tcPr>
          <w:p>
            <w:pPr>
              <w:jc w:val="right"/>
              <w:spacing w:after="0"/>
              <w:rPr>
                <w:sz w:val="20"/>
                <w:szCs w:val="20"/>
                <w:color w:val="auto"/>
              </w:rPr>
            </w:pPr>
            <w:r>
              <w:rPr>
                <w:rFonts w:ascii="Arial" w:cs="Arial" w:eastAsia="Arial" w:hAnsi="Arial"/>
                <w:sz w:val="12"/>
                <w:szCs w:val="12"/>
                <w:color w:val="auto"/>
              </w:rPr>
              <w:t>(6,453)</w:t>
            </w:r>
          </w:p>
        </w:tc>
        <w:tc>
          <w:tcPr>
            <w:tcW w:w="100" w:type="dxa"/>
            <w:vAlign w:val="bottom"/>
          </w:tcPr>
          <w:p>
            <w:pPr>
              <w:spacing w:after="0"/>
              <w:rPr>
                <w:sz w:val="12"/>
                <w:szCs w:val="12"/>
                <w:color w:val="auto"/>
              </w:rPr>
            </w:pPr>
          </w:p>
        </w:tc>
        <w:tc>
          <w:tcPr>
            <w:tcW w:w="1160" w:type="dxa"/>
            <w:vAlign w:val="bottom"/>
          </w:tcPr>
          <w:p>
            <w:pPr>
              <w:jc w:val="right"/>
              <w:ind w:right="302"/>
              <w:spacing w:after="0"/>
              <w:rPr>
                <w:sz w:val="20"/>
                <w:szCs w:val="20"/>
                <w:color w:val="auto"/>
              </w:rPr>
            </w:pPr>
            <w:r>
              <w:rPr>
                <w:rFonts w:ascii="Arial" w:cs="Arial" w:eastAsia="Arial" w:hAnsi="Arial"/>
                <w:sz w:val="12"/>
                <w:szCs w:val="12"/>
                <w:color w:val="auto"/>
              </w:rPr>
              <w:t>299$</w:t>
            </w:r>
          </w:p>
        </w:tc>
        <w:tc>
          <w:tcPr>
            <w:tcW w:w="700" w:type="dxa"/>
            <w:vAlign w:val="bottom"/>
          </w:tcPr>
          <w:p>
            <w:pPr>
              <w:jc w:val="right"/>
              <w:spacing w:after="0"/>
              <w:rPr>
                <w:sz w:val="20"/>
                <w:szCs w:val="20"/>
                <w:color w:val="auto"/>
              </w:rPr>
            </w:pPr>
            <w:r>
              <w:rPr>
                <w:rFonts w:ascii="Arial" w:cs="Arial" w:eastAsia="Arial" w:hAnsi="Arial"/>
                <w:sz w:val="12"/>
                <w:szCs w:val="12"/>
                <w:color w:val="auto"/>
              </w:rPr>
              <w:t>1,182,030$</w:t>
            </w:r>
          </w:p>
        </w:tc>
        <w:tc>
          <w:tcPr>
            <w:tcW w:w="940" w:type="dxa"/>
            <w:vAlign w:val="bottom"/>
          </w:tcPr>
          <w:p>
            <w:pPr>
              <w:jc w:val="right"/>
              <w:spacing w:after="0"/>
              <w:rPr>
                <w:sz w:val="20"/>
                <w:szCs w:val="20"/>
                <w:color w:val="auto"/>
              </w:rPr>
            </w:pPr>
            <w:r>
              <w:rPr>
                <w:rFonts w:ascii="Arial" w:cs="Arial" w:eastAsia="Arial" w:hAnsi="Arial"/>
                <w:sz w:val="12"/>
                <w:szCs w:val="12"/>
                <w:color w:val="auto"/>
              </w:rPr>
              <w:t>(23,195)</w:t>
            </w:r>
          </w:p>
        </w:tc>
      </w:tr>
      <w:tr>
        <w:trPr>
          <w:trHeight w:val="20"/>
        </w:trPr>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-222250</wp:posOffset>
            </wp:positionV>
            <wp:extent cx="704088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0880" cy="97155"/>
                    </a:xfrm>
                    <a:prstGeom prst="rect">
                      <a:avLst/>
                    </a:prstGeom>
                    <a:noFill/>
                  </pic:spPr>
                </pic:pic>
              </a:graphicData>
            </a:graphic>
          </wp:anchor>
        </w:drawing>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Allowance for credit losses</w:t>
      </w:r>
    </w:p>
    <w:p>
      <w:pPr>
        <w:spacing w:after="0" w:line="114" w:lineRule="exact"/>
        <w:rPr>
          <w:sz w:val="20"/>
          <w:szCs w:val="20"/>
          <w:color w:val="auto"/>
        </w:rPr>
      </w:pPr>
    </w:p>
    <w:p>
      <w:pPr>
        <w:jc w:val="both"/>
        <w:ind w:left="80" w:firstLine="432"/>
        <w:spacing w:after="0" w:line="276" w:lineRule="auto"/>
        <w:rPr>
          <w:sz w:val="20"/>
          <w:szCs w:val="20"/>
          <w:color w:val="auto"/>
        </w:rPr>
      </w:pPr>
      <w:r>
        <w:rPr>
          <w:rFonts w:ascii="Arial" w:cs="Arial" w:eastAsia="Arial" w:hAnsi="Arial"/>
          <w:sz w:val="12"/>
          <w:szCs w:val="12"/>
          <w:color w:val="auto"/>
        </w:rPr>
        <w:t>As of March 31, 2022 and December 31, 2021, we did not recognize an allowance for credit loss for any security in the investment portfolio and we did not record any provision for credit loss for investment securities during the three months ended March 31, 2022 or 2021.</w:t>
      </w:r>
    </w:p>
    <w:p>
      <w:pPr>
        <w:spacing w:after="0" w:line="79" w:lineRule="exact"/>
        <w:rPr>
          <w:sz w:val="20"/>
          <w:szCs w:val="20"/>
          <w:color w:val="auto"/>
        </w:rPr>
      </w:pPr>
    </w:p>
    <w:p>
      <w:pPr>
        <w:jc w:val="both"/>
        <w:ind w:left="80" w:firstLine="432"/>
        <w:spacing w:after="0" w:line="298" w:lineRule="auto"/>
        <w:rPr>
          <w:sz w:val="20"/>
          <w:szCs w:val="20"/>
          <w:color w:val="auto"/>
        </w:rPr>
      </w:pPr>
      <w:r>
        <w:rPr>
          <w:rFonts w:ascii="Arial" w:cs="Arial" w:eastAsia="Arial" w:hAnsi="Arial"/>
          <w:sz w:val="11"/>
          <w:szCs w:val="11"/>
          <w:color w:val="auto"/>
        </w:rPr>
        <w:t>The increase in the number of securities in and the aggregate size of the unrealized loss position as of March 31, 2022, was primarily driven by interest rate movements following the purchase date of certain securities. We evaluated the securities in an unrealized loss position as of March 31, 2022, assessing their credit ratings as well as any adverse conditions specifically related to the security. Based upon our estimate of the amount and timing of cash flows to be collected over the remaining life of each instrument, we believe the unrealized losses as of March 31, 2022 are not indicative of the ultimate collectability of the current amortized cost of the securities.</w:t>
      </w:r>
    </w:p>
    <w:p>
      <w:pPr>
        <w:sectPr>
          <w:pgSz w:w="11900" w:h="16838" w:orient="portrait"/>
          <w:cols w:equalWidth="0" w:num="1">
            <w:col w:w="11380"/>
          </w:cols>
          <w:pgMar w:left="220" w:top="131" w:right="299" w:bottom="1440" w:gutter="0" w:footer="0" w:header="0"/>
        </w:sectPr>
      </w:pPr>
    </w:p>
    <w:p>
      <w:pPr>
        <w:spacing w:after="0" w:line="69"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Net Investment Income</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following table presents the components of net investment income:</w:t>
      </w: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2"/>
          <w:szCs w:val="12"/>
          <w:color w:val="auto"/>
        </w:rPr>
        <w:t>Investment income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Investment expenses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Net investment income</w:t>
      </w:r>
    </w:p>
    <w:p>
      <w:pPr>
        <w:spacing w:after="0" w:line="200" w:lineRule="exact"/>
        <w:rPr>
          <w:sz w:val="20"/>
          <w:szCs w:val="20"/>
          <w:color w:val="auto"/>
        </w:rPr>
      </w:pPr>
    </w:p>
    <w:p>
      <w:pPr>
        <w:spacing w:after="0" w:line="256" w:lineRule="exact"/>
        <w:rPr>
          <w:sz w:val="20"/>
          <w:szCs w:val="20"/>
          <w:color w:val="auto"/>
        </w:rPr>
      </w:pPr>
    </w:p>
    <w:p>
      <w:pPr>
        <w:jc w:val="right"/>
        <w:ind w:right="2200"/>
        <w:spacing w:after="0"/>
        <w:rPr>
          <w:sz w:val="20"/>
          <w:szCs w:val="20"/>
          <w:color w:val="auto"/>
        </w:rPr>
      </w:pPr>
      <w:r>
        <w:rPr>
          <w:rFonts w:ascii="Arial" w:cs="Arial" w:eastAsia="Arial" w:hAnsi="Arial"/>
          <w:sz w:val="12"/>
          <w:szCs w:val="12"/>
          <w:color w:val="auto"/>
        </w:rPr>
        <w:t>The following table presents the components of net realized investment gains:</w:t>
      </w: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Arial" w:cs="Arial" w:eastAsia="Arial" w:hAnsi="Arial"/>
          <w:sz w:val="12"/>
          <w:szCs w:val="12"/>
          <w:color w:val="auto"/>
        </w:rPr>
        <w:t>Gross realized investment gains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Gross realized investment losses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Net realized investment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320"/>
        <w:spacing w:after="0"/>
        <w:rPr>
          <w:sz w:val="20"/>
          <w:szCs w:val="20"/>
          <w:color w:val="auto"/>
        </w:rPr>
      </w:pPr>
      <w:r>
        <w:rPr>
          <w:rFonts w:ascii="Arial" w:cs="Arial" w:eastAsia="Arial" w:hAnsi="Arial"/>
          <w:sz w:val="10"/>
          <w:szCs w:val="10"/>
          <w:b w:val="1"/>
          <w:bCs w:val="1"/>
          <w:color w:val="auto"/>
        </w:rPr>
        <w:t>For the three months 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0" w:type="dxa"/>
            <w:vAlign w:val="bottom"/>
            <w:tcBorders>
              <w:top w:val="single" w:sz="8" w:color="auto"/>
              <w:bottom w:val="single" w:sz="8" w:color="auto"/>
            </w:tcBorders>
          </w:tcPr>
          <w:p>
            <w:pPr>
              <w:spacing w:after="0"/>
              <w:rPr>
                <w:sz w:val="10"/>
                <w:szCs w:val="10"/>
                <w:color w:val="auto"/>
              </w:rPr>
            </w:pPr>
          </w:p>
        </w:tc>
        <w:tc>
          <w:tcPr>
            <w:tcW w:w="156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0"/>
                <w:szCs w:val="10"/>
                <w:b w:val="1"/>
                <w:bCs w:val="1"/>
                <w:color w:val="auto"/>
              </w:rPr>
              <w:t>2021</w:t>
            </w:r>
          </w:p>
        </w:tc>
      </w:tr>
      <w:tr>
        <w:trPr>
          <w:trHeight w:val="110"/>
        </w:trPr>
        <w:tc>
          <w:tcPr>
            <w:tcW w:w="500" w:type="dxa"/>
            <w:vAlign w:val="bottom"/>
          </w:tcPr>
          <w:p>
            <w:pPr>
              <w:spacing w:after="0"/>
              <w:rPr>
                <w:sz w:val="9"/>
                <w:szCs w:val="9"/>
                <w:color w:val="auto"/>
              </w:rPr>
            </w:pPr>
          </w:p>
        </w:tc>
        <w:tc>
          <w:tcPr>
            <w:tcW w:w="2500" w:type="dxa"/>
            <w:vAlign w:val="bottom"/>
            <w:gridSpan w:val="3"/>
          </w:tcPr>
          <w:p>
            <w:pPr>
              <w:jc w:val="center"/>
              <w:ind w:left="665"/>
              <w:spacing w:after="0" w:line="111" w:lineRule="exact"/>
              <w:rPr>
                <w:sz w:val="20"/>
                <w:szCs w:val="20"/>
                <w:color w:val="auto"/>
              </w:rPr>
            </w:pPr>
            <w:r>
              <w:rPr>
                <w:rFonts w:ascii="Arial" w:cs="Arial" w:eastAsia="Arial" w:hAnsi="Arial"/>
                <w:sz w:val="10"/>
                <w:szCs w:val="10"/>
                <w:i w:val="1"/>
                <w:iCs w:val="1"/>
                <w:color w:val="auto"/>
                <w:w w:val="86"/>
              </w:rPr>
              <w:t>(In Thousands)</w:t>
            </w:r>
          </w:p>
        </w:tc>
        <w:tc>
          <w:tcPr>
            <w:tcW w:w="1220" w:type="dxa"/>
            <w:vAlign w:val="bottom"/>
          </w:tcPr>
          <w:p>
            <w:pPr>
              <w:spacing w:after="0"/>
              <w:rPr>
                <w:sz w:val="9"/>
                <w:szCs w:val="9"/>
                <w:color w:val="auto"/>
              </w:rPr>
            </w:pPr>
          </w:p>
        </w:tc>
      </w:tr>
      <w:tr>
        <w:trPr>
          <w:trHeight w:val="158"/>
        </w:trPr>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10,532</w:t>
            </w:r>
          </w:p>
        </w:tc>
        <w:tc>
          <w:tcPr>
            <w:tcW w:w="100" w:type="dxa"/>
            <w:vAlign w:val="bottom"/>
          </w:tcPr>
          <w:p>
            <w:pPr>
              <w:spacing w:after="0"/>
              <w:rPr>
                <w:sz w:val="13"/>
                <w:szCs w:val="13"/>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9,225</w:t>
            </w:r>
          </w:p>
        </w:tc>
      </w:tr>
      <w:tr>
        <w:trPr>
          <w:trHeight w:val="153"/>
        </w:trPr>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w:t>
            </w:r>
          </w:p>
        </w:tc>
      </w:tr>
      <w:tr>
        <w:trPr>
          <w:trHeight w:val="142"/>
        </w:trPr>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10,199</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8,814</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00"/>
        </w:trPr>
        <w:tc>
          <w:tcPr>
            <w:tcW w:w="5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center"/>
              <w:ind w:left="665"/>
              <w:spacing w:after="0"/>
              <w:rPr>
                <w:sz w:val="20"/>
                <w:szCs w:val="20"/>
                <w:color w:val="auto"/>
              </w:rPr>
            </w:pPr>
            <w:r>
              <w:rPr>
                <w:rFonts w:ascii="Arial" w:cs="Arial" w:eastAsia="Arial" w:hAnsi="Arial"/>
                <w:sz w:val="10"/>
                <w:szCs w:val="10"/>
                <w:b w:val="1"/>
                <w:bCs w:val="1"/>
                <w:color w:val="auto"/>
                <w:w w:val="87"/>
              </w:rPr>
              <w:t>For the three months ended March 31,</w:t>
            </w:r>
          </w:p>
        </w:tc>
        <w:tc>
          <w:tcPr>
            <w:tcW w:w="1220" w:type="dxa"/>
            <w:vAlign w:val="bottom"/>
            <w:tcBorders>
              <w:bottom w:val="single" w:sz="8" w:color="auto"/>
            </w:tcBorders>
          </w:tcPr>
          <w:p>
            <w:pPr>
              <w:spacing w:after="0"/>
              <w:rPr>
                <w:sz w:val="24"/>
                <w:szCs w:val="24"/>
                <w:color w:val="auto"/>
              </w:rPr>
            </w:pPr>
          </w:p>
        </w:tc>
      </w:tr>
      <w:tr>
        <w:trPr>
          <w:trHeight w:val="118"/>
        </w:trPr>
        <w:tc>
          <w:tcPr>
            <w:tcW w:w="5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865"/>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883"/>
              <w:spacing w:after="0"/>
              <w:rPr>
                <w:sz w:val="20"/>
                <w:szCs w:val="20"/>
                <w:color w:val="auto"/>
              </w:rPr>
            </w:pPr>
            <w:r>
              <w:rPr>
                <w:rFonts w:ascii="Arial" w:cs="Arial" w:eastAsia="Arial" w:hAnsi="Arial"/>
                <w:sz w:val="10"/>
                <w:szCs w:val="10"/>
                <w:b w:val="1"/>
                <w:bCs w:val="1"/>
                <w:color w:val="auto"/>
              </w:rPr>
              <w:t>2021</w:t>
            </w:r>
          </w:p>
        </w:tc>
      </w:tr>
      <w:tr>
        <w:trPr>
          <w:trHeight w:val="112"/>
        </w:trPr>
        <w:tc>
          <w:tcPr>
            <w:tcW w:w="500" w:type="dxa"/>
            <w:vAlign w:val="bottom"/>
          </w:tcPr>
          <w:p>
            <w:pPr>
              <w:spacing w:after="0"/>
              <w:rPr>
                <w:sz w:val="9"/>
                <w:szCs w:val="9"/>
                <w:color w:val="auto"/>
              </w:rPr>
            </w:pPr>
          </w:p>
        </w:tc>
        <w:tc>
          <w:tcPr>
            <w:tcW w:w="2500" w:type="dxa"/>
            <w:vAlign w:val="bottom"/>
            <w:gridSpan w:val="3"/>
          </w:tcPr>
          <w:p>
            <w:pPr>
              <w:jc w:val="center"/>
              <w:ind w:left="665"/>
              <w:spacing w:after="0" w:line="112" w:lineRule="exact"/>
              <w:rPr>
                <w:sz w:val="20"/>
                <w:szCs w:val="20"/>
                <w:color w:val="auto"/>
              </w:rPr>
            </w:pPr>
            <w:r>
              <w:rPr>
                <w:rFonts w:ascii="Arial" w:cs="Arial" w:eastAsia="Arial" w:hAnsi="Arial"/>
                <w:sz w:val="10"/>
                <w:szCs w:val="10"/>
                <w:i w:val="1"/>
                <w:iCs w:val="1"/>
                <w:color w:val="auto"/>
                <w:w w:val="86"/>
              </w:rPr>
              <w:t>(In Thousands)</w:t>
            </w:r>
          </w:p>
        </w:tc>
        <w:tc>
          <w:tcPr>
            <w:tcW w:w="1220" w:type="dxa"/>
            <w:vAlign w:val="bottom"/>
          </w:tcPr>
          <w:p>
            <w:pPr>
              <w:spacing w:after="0"/>
              <w:rPr>
                <w:sz w:val="9"/>
                <w:szCs w:val="9"/>
                <w:color w:val="auto"/>
              </w:rPr>
            </w:pPr>
          </w:p>
        </w:tc>
      </w:tr>
      <w:tr>
        <w:trPr>
          <w:trHeight w:val="158"/>
        </w:trPr>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409</w:t>
            </w:r>
          </w:p>
        </w:tc>
        <w:tc>
          <w:tcPr>
            <w:tcW w:w="100" w:type="dxa"/>
            <w:vAlign w:val="bottom"/>
          </w:tcPr>
          <w:p>
            <w:pPr>
              <w:spacing w:after="0"/>
              <w:rPr>
                <w:sz w:val="13"/>
                <w:szCs w:val="13"/>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3"/>
        </w:trPr>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r>
      <w:tr>
        <w:trPr>
          <w:trHeight w:val="142"/>
        </w:trPr>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-1336675</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-1142365</wp:posOffset>
            </wp:positionV>
            <wp:extent cx="717804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-319405</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-125095</wp:posOffset>
            </wp:positionV>
            <wp:extent cx="71780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220"/>
          </w:cols>
          <w:pgMar w:left="220" w:top="1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describes the valuation techniques used by us to determine the fair value of our financial instruments:</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79" w:lineRule="exact"/>
        <w:rPr>
          <w:sz w:val="20"/>
          <w:szCs w:val="20"/>
          <w:color w:val="auto"/>
        </w:rPr>
      </w:pPr>
    </w:p>
    <w:p>
      <w:pPr>
        <w:jc w:val="both"/>
        <w:ind w:left="420"/>
        <w:spacing w:after="0" w:line="276" w:lineRule="auto"/>
        <w:rPr>
          <w:sz w:val="20"/>
          <w:szCs w:val="20"/>
          <w:color w:val="auto"/>
        </w:rPr>
      </w:pPr>
      <w:r>
        <w:rPr>
          <w:rFonts w:ascii="Arial" w:cs="Arial" w:eastAsia="Arial" w:hAnsi="Arial"/>
          <w:sz w:val="12"/>
          <w:szCs w:val="12"/>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79"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86"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Assets classified as Level 1 and Level 2</w:t>
      </w:r>
    </w:p>
    <w:p>
      <w:pPr>
        <w:spacing w:after="0" w:line="11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Liabilities classified as Level 3</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level within the fair value hierarchy at which our financial instruments were measured: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March 31, 2022</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29,244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29,244</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541,951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541,951</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1,340,688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1,340,688</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81,718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81,718</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131,277</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131,277</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160,521</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1,964,357</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2,124,878</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1,416</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1,416</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1,416</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1,416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0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December 31, 2021</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30,424</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554,078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554,078</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1,393,830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1,393,830</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96,581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96,581</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87,664</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87,664</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118,088</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2,044,489</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2,162,577</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2,363</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2,363</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transfers between Level 2 and Level 3 of the fair value hierarchy during the three months ended March 31, 2022, 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a roll-forward of Level 3 liabilities measured at fair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0"/>
                <w:szCs w:val="10"/>
                <w:b w:val="1"/>
                <w:bCs w:val="1"/>
                <w:color w:val="auto"/>
                <w:w w:val="87"/>
              </w:rPr>
              <w:t>For the three months ended March 31,</w:t>
            </w:r>
          </w:p>
        </w:tc>
        <w:tc>
          <w:tcPr>
            <w:tcW w:w="640" w:type="dxa"/>
            <w:vAlign w:val="bottom"/>
            <w:tcBorders>
              <w:bottom w:val="single" w:sz="8" w:color="auto"/>
            </w:tcBorders>
          </w:tcPr>
          <w:p>
            <w:pPr>
              <w:spacing w:after="0"/>
              <w:rPr>
                <w:sz w:val="10"/>
                <w:szCs w:val="10"/>
                <w:color w:val="auto"/>
              </w:rPr>
            </w:pPr>
          </w:p>
        </w:tc>
      </w:tr>
      <w:tr>
        <w:trPr>
          <w:trHeight w:val="141"/>
        </w:trPr>
        <w:tc>
          <w:tcPr>
            <w:tcW w:w="7580" w:type="dxa"/>
            <w:vAlign w:val="bottom"/>
          </w:tcPr>
          <w:p>
            <w:pPr>
              <w:spacing w:after="0"/>
              <w:rPr>
                <w:sz w:val="20"/>
                <w:szCs w:val="20"/>
                <w:color w:val="auto"/>
              </w:rPr>
            </w:pPr>
            <w:r>
              <w:rPr>
                <w:rFonts w:ascii="Arial" w:cs="Arial" w:eastAsia="Arial" w:hAnsi="Arial"/>
                <w:sz w:val="12"/>
                <w:szCs w:val="12"/>
                <w:color w:val="auto"/>
              </w:rPr>
              <w:t>Warrant Liability</w:t>
            </w:r>
          </w:p>
        </w:tc>
        <w:tc>
          <w:tcPr>
            <w:tcW w:w="11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2022</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2021</w:t>
            </w:r>
          </w:p>
        </w:tc>
        <w:tc>
          <w:tcPr>
            <w:tcW w:w="640" w:type="dxa"/>
            <w:vAlign w:val="bottom"/>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ind w:left="420"/>
              <w:spacing w:after="0"/>
              <w:rPr>
                <w:sz w:val="20"/>
                <w:szCs w:val="20"/>
                <w:color w:val="auto"/>
              </w:rPr>
            </w:pPr>
            <w:r>
              <w:rPr>
                <w:rFonts w:ascii="Arial" w:cs="Arial" w:eastAsia="Arial" w:hAnsi="Arial"/>
                <w:sz w:val="12"/>
                <w:szCs w:val="12"/>
                <w:i w:val="1"/>
                <w:iCs w:val="1"/>
                <w:color w:val="auto"/>
              </w:rPr>
              <w:t>(In Thousands)</w:t>
            </w:r>
          </w:p>
        </w:tc>
        <w:tc>
          <w:tcPr>
            <w:tcW w:w="640" w:type="dxa"/>
            <w:vAlign w:val="bottom"/>
            <w:tcBorders>
              <w:top w:val="single" w:sz="8" w:color="auto"/>
            </w:tcBorders>
          </w:tcPr>
          <w:p>
            <w:pPr>
              <w:spacing w:after="0"/>
              <w:rPr>
                <w:sz w:val="12"/>
                <w:szCs w:val="12"/>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Balance, January 1</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3"/>
              </w:rPr>
              <w:t>2,363</w:t>
            </w:r>
          </w:p>
        </w:tc>
        <w:tc>
          <w:tcPr>
            <w:tcW w:w="1200" w:type="dxa"/>
            <w:vAlign w:val="bottom"/>
            <w:gridSpan w:val="3"/>
            <w:shd w:val="clear" w:color="auto" w:fill="CCEEFF"/>
          </w:tcPr>
          <w:p>
            <w:pPr>
              <w:jc w:val="right"/>
              <w:ind w:right="10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4,409</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Change in fair value of warrant liability included in earnings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205</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on warrant exercise</w:t>
            </w:r>
          </w:p>
        </w:tc>
        <w:tc>
          <w:tcPr>
            <w:tcW w:w="16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(854)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w:t>
            </w:r>
          </w:p>
        </w:tc>
      </w:tr>
      <w:tr>
        <w:trPr>
          <w:trHeight w:val="142"/>
        </w:trPr>
        <w:tc>
          <w:tcPr>
            <w:tcW w:w="7580" w:type="dxa"/>
            <w:vAlign w:val="bottom"/>
          </w:tcPr>
          <w:p>
            <w:pPr>
              <w:spacing w:after="0"/>
              <w:rPr>
                <w:sz w:val="20"/>
                <w:szCs w:val="20"/>
                <w:color w:val="auto"/>
              </w:rPr>
            </w:pPr>
            <w:r>
              <w:rPr>
                <w:rFonts w:ascii="Arial" w:cs="Arial" w:eastAsia="Arial" w:hAnsi="Arial"/>
                <w:sz w:val="12"/>
                <w:szCs w:val="12"/>
                <w:color w:val="auto"/>
              </w:rPr>
              <w:t>Balance, March 31</w:t>
            </w:r>
          </w:p>
        </w:tc>
        <w:tc>
          <w:tcPr>
            <w:tcW w:w="114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40"/>
              <w:spacing w:after="0"/>
              <w:rPr>
                <w:sz w:val="20"/>
                <w:szCs w:val="20"/>
                <w:color w:val="auto"/>
              </w:rPr>
            </w:pPr>
            <w:r>
              <w:rPr>
                <w:rFonts w:ascii="Arial" w:cs="Arial" w:eastAsia="Arial" w:hAnsi="Arial"/>
                <w:sz w:val="12"/>
                <w:szCs w:val="12"/>
                <w:color w:val="auto"/>
                <w:w w:val="93"/>
              </w:rPr>
              <w:t>1,416</w:t>
            </w:r>
          </w:p>
        </w:tc>
        <w:tc>
          <w:tcPr>
            <w:tcW w:w="1200" w:type="dxa"/>
            <w:vAlign w:val="bottom"/>
            <w:gridSpan w:val="3"/>
          </w:tcPr>
          <w:p>
            <w:pPr>
              <w:jc w:val="right"/>
              <w:ind w:right="10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4,239</w:t>
            </w:r>
          </w:p>
        </w:tc>
      </w:tr>
      <w:tr>
        <w:trPr>
          <w:trHeight w:val="20"/>
        </w:trPr>
        <w:tc>
          <w:tcPr>
            <w:tcW w:w="7740" w:type="dxa"/>
            <w:vAlign w:val="bottom"/>
            <w:gridSpan w:val="2"/>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9460" w:type="dxa"/>
            <w:vAlign w:val="bottom"/>
            <w:gridSpan w:val="5"/>
          </w:tcPr>
          <w:p>
            <w:pPr>
              <w:ind w:left="420"/>
              <w:spacing w:after="0"/>
              <w:rPr>
                <w:sz w:val="20"/>
                <w:szCs w:val="20"/>
                <w:color w:val="auto"/>
              </w:rPr>
            </w:pPr>
            <w:r>
              <w:rPr>
                <w:rFonts w:ascii="Arial" w:cs="Arial" w:eastAsia="Arial" w:hAnsi="Arial"/>
                <w:sz w:val="12"/>
                <w:szCs w:val="12"/>
                <w:color w:val="auto"/>
                <w:w w:val="94"/>
              </w:rPr>
              <w:t>The following table outlines the key inputs and assumptions used to calculate the fair value of the warrant liability in the Black-Scholes option-pricing model as of the dates indicated: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8"/>
        </w:trPr>
        <w:tc>
          <w:tcPr>
            <w:tcW w:w="7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0"/>
                <w:szCs w:val="10"/>
                <w:b w:val="1"/>
                <w:bCs w:val="1"/>
                <w:color w:val="auto"/>
              </w:rPr>
              <w:t>As of March 31,</w:t>
            </w:r>
          </w:p>
        </w:tc>
        <w:tc>
          <w:tcPr>
            <w:tcW w:w="640" w:type="dxa"/>
            <w:vAlign w:val="bottom"/>
            <w:tcBorders>
              <w:bottom w:val="single" w:sz="8" w:color="auto"/>
            </w:tcBorders>
          </w:tcPr>
          <w:p>
            <w:pPr>
              <w:spacing w:after="0"/>
              <w:rPr>
                <w:sz w:val="21"/>
                <w:szCs w:val="21"/>
                <w:color w:val="auto"/>
              </w:rPr>
            </w:pPr>
          </w:p>
        </w:tc>
      </w:tr>
      <w:tr>
        <w:trPr>
          <w:trHeight w:val="118"/>
        </w:trPr>
        <w:tc>
          <w:tcPr>
            <w:tcW w:w="75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2022</w:t>
            </w: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0"/>
                <w:szCs w:val="10"/>
                <w:color w:val="auto"/>
              </w:rPr>
            </w:pPr>
          </w:p>
        </w:tc>
      </w:tr>
      <w:tr>
        <w:trPr>
          <w:trHeight w:val="14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Common stock price</w:t>
            </w:r>
          </w:p>
        </w:tc>
        <w:tc>
          <w:tcPr>
            <w:tcW w:w="16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20.62</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23.64</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0.17 %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0.08 %</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Expected life</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w w:val="99"/>
              </w:rPr>
              <w:t>0.06 years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 years</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Expected volatility</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89.4 %</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w:t>
            </w:r>
          </w:p>
        </w:tc>
      </w:tr>
    </w:tbl>
    <w:p>
      <w:pPr>
        <w:spacing w:after="0" w:line="15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changes in fair value of the warrant liability for the three months ended March 31, 2022 and 2021 were driven by the exercise of outstanding warrants, as well as changes in the price of our common stock and other Black-Scholes model inputs during the respective periods.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Financial Instruments not Measured at Fair Value</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June 19, 2020, we issued $400.0 million aggregate principal amount of senior secured notes that mature on June 1, 2025 (the Notes) and used a portion of the proceeds from the Notes offering to repay the outstanding amount due under our $150 million term loan (2018 Term Loan). At March 31, 2022, the Notes were carried at a cost of $395.0 million, net of unamortized debt issuance costs of $5.0 million, and had a fair value of $421.0 million as assessed under our Level 2 hierarchy. At December 31, 2021, the Notes were carried at a cost of $394.6 million, net of unamortized debt issuance costs of $5.4 million, and had a fair value of $454.6 million.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Debt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Senior Secured Notes</w:t>
      </w:r>
    </w:p>
    <w:p>
      <w:pPr>
        <w:spacing w:after="0" w:line="105" w:lineRule="exact"/>
        <w:rPr>
          <w:sz w:val="20"/>
          <w:szCs w:val="20"/>
          <w:color w:val="auto"/>
        </w:rPr>
      </w:pPr>
    </w:p>
    <w:p>
      <w:pPr>
        <w:ind w:right="320" w:firstLine="432"/>
        <w:spacing w:after="0" w:line="245" w:lineRule="auto"/>
        <w:rPr>
          <w:sz w:val="20"/>
          <w:szCs w:val="20"/>
          <w:color w:val="auto"/>
        </w:rPr>
      </w:pPr>
      <w:r>
        <w:rPr>
          <w:rFonts w:ascii="Arial" w:cs="Arial" w:eastAsia="Arial" w:hAnsi="Arial"/>
          <w:sz w:val="12"/>
          <w:szCs w:val="12"/>
          <w:color w:val="auto"/>
        </w:rPr>
        <w:t>At March 31, 2022, we had $400.0 million aggregate principal amount of senior secured notes outstanding. The Notes were issued pursuant to an indenture dated June 19, 2020 (the Indenture) and bear interest at a rate of 7.375%, payable semi-annually on June 1 and December 1.</w:t>
      </w:r>
    </w:p>
    <w:p>
      <w:pPr>
        <w:spacing w:after="0" w:line="14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 amount.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0"/>
          <w:szCs w:val="10"/>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March 31, 2022 and December 31, 2021, approximately $5.0 million and $5.4 million, respectively, of unamortized debt issuance costs remained.</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March 31, 2022 and December 31, 2021, $9.8 million and $2.5 million, respectively, of accrued and unpaid interest on the Notes was included in "Accounts Payable and Accrued Expenses" on the consolidated balance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sheet.</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2021 Revolving Credit Facility</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As of March 31, 2022, no amount was drawn under the 2021 Revolving Credit Facility.</w:t>
      </w:r>
    </w:p>
    <w:p>
      <w:pPr>
        <w:spacing w:after="0" w:line="9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2021 Revolving Credit Facility, we are required to pay a quarterly commitment fee on the average daily undrawn amount of 0.175% to 0.525%, based on the applicable corporate credit rating at the time. As of March 31, 2022, the applicable commitment fee was 0.35%. For the three months ended March 31, 2022, we recorded $0.2 million of commitment fees in interest expense.</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will be amortized through interest expense on a straight-line basis over the contractual life of the 2021 Revolving Credit Facility. At March 31, 2022, remaining unamortized deferred debt issuance costs were $1.5 million.</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March 31, 2022.</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Reinsurance</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effect of our reinsurance agreements on premiums written and earned is as follows: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6"/>
              </w:rPr>
              <w:t>For the three months ended</w:t>
            </w:r>
          </w:p>
        </w:tc>
        <w:tc>
          <w:tcPr>
            <w:tcW w:w="1280" w:type="dxa"/>
            <w:vAlign w:val="bottom"/>
            <w:tcBorders>
              <w:bottom w:val="single" w:sz="8" w:color="auto"/>
            </w:tcBorders>
          </w:tcPr>
          <w:p>
            <w:pPr>
              <w:spacing w:after="0"/>
              <w:rPr>
                <w:sz w:val="11"/>
                <w:szCs w:val="11"/>
                <w:color w:val="auto"/>
              </w:rPr>
            </w:pPr>
          </w:p>
        </w:tc>
      </w:tr>
      <w:tr>
        <w:trPr>
          <w:trHeight w:val="118"/>
        </w:trPr>
        <w:tc>
          <w:tcPr>
            <w:tcW w:w="7540" w:type="dxa"/>
            <w:vAlign w:val="bottom"/>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March 31, 2021</w:t>
            </w:r>
          </w:p>
        </w:tc>
      </w:tr>
      <w:tr>
        <w:trPr>
          <w:trHeight w:val="114"/>
        </w:trPr>
        <w:tc>
          <w:tcPr>
            <w:tcW w:w="7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gridSpan w:val="3"/>
          </w:tcPr>
          <w:p>
            <w:pPr>
              <w:jc w:val="center"/>
              <w:spacing w:after="0"/>
              <w:rPr>
                <w:sz w:val="20"/>
                <w:szCs w:val="20"/>
                <w:color w:val="auto"/>
              </w:rPr>
            </w:pPr>
            <w:r>
              <w:rPr>
                <w:rFonts w:ascii="Arial" w:cs="Arial" w:eastAsia="Arial" w:hAnsi="Arial"/>
                <w:sz w:val="10"/>
                <w:szCs w:val="10"/>
                <w:i w:val="1"/>
                <w:iCs w:val="1"/>
                <w:color w:val="auto"/>
                <w:w w:val="86"/>
              </w:rPr>
              <w:t>(In Thousands)</w:t>
            </w:r>
          </w:p>
        </w:tc>
        <w:tc>
          <w:tcPr>
            <w:tcW w:w="1280" w:type="dxa"/>
            <w:vAlign w:val="bottom"/>
          </w:tcPr>
          <w:p>
            <w:pPr>
              <w:spacing w:after="0"/>
              <w:rPr>
                <w:sz w:val="9"/>
                <w:szCs w:val="9"/>
                <w:color w:val="auto"/>
              </w:rPr>
            </w:pPr>
          </w:p>
        </w:tc>
      </w:tr>
      <w:tr>
        <w:trPr>
          <w:trHeight w:val="155"/>
        </w:trPr>
        <w:tc>
          <w:tcPr>
            <w:tcW w:w="7540" w:type="dxa"/>
            <w:vAlign w:val="bottom"/>
            <w:shd w:val="clear" w:color="auto" w:fill="CCEEFF"/>
          </w:tcPr>
          <w:p>
            <w:pPr>
              <w:spacing w:after="0"/>
              <w:rPr>
                <w:sz w:val="20"/>
                <w:szCs w:val="20"/>
                <w:color w:val="auto"/>
              </w:rPr>
            </w:pPr>
            <w:r>
              <w:rPr>
                <w:rFonts w:ascii="Arial" w:cs="Arial" w:eastAsia="Arial" w:hAnsi="Arial"/>
                <w:sz w:val="12"/>
                <w:szCs w:val="12"/>
                <w:color w:val="auto"/>
              </w:rPr>
              <w:t>Net premiums written</w:t>
            </w:r>
          </w:p>
        </w:tc>
        <w:tc>
          <w:tcPr>
            <w:tcW w:w="1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7540" w:type="dxa"/>
            <w:vAlign w:val="bottom"/>
          </w:tcPr>
          <w:p>
            <w:pPr>
              <w:ind w:left="80"/>
              <w:spacing w:after="0"/>
              <w:rPr>
                <w:sz w:val="20"/>
                <w:szCs w:val="20"/>
                <w:color w:val="auto"/>
              </w:rPr>
            </w:pPr>
            <w:r>
              <w:rPr>
                <w:rFonts w:ascii="Arial" w:cs="Arial" w:eastAsia="Arial" w:hAnsi="Arial"/>
                <w:sz w:val="12"/>
                <w:szCs w:val="12"/>
                <w:color w:val="auto"/>
              </w:rPr>
              <w:t>Direct</w:t>
            </w:r>
          </w:p>
        </w:tc>
        <w:tc>
          <w:tcPr>
            <w:tcW w:w="1260" w:type="dxa"/>
            <w:vAlign w:val="bottom"/>
          </w:tcPr>
          <w:p>
            <w:pPr>
              <w:jc w:val="right"/>
              <w:ind w:right="1152"/>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40"/>
              <w:spacing w:after="0"/>
              <w:rPr>
                <w:sz w:val="20"/>
                <w:szCs w:val="20"/>
                <w:color w:val="auto"/>
              </w:rPr>
            </w:pPr>
            <w:r>
              <w:rPr>
                <w:rFonts w:ascii="Arial" w:cs="Arial" w:eastAsia="Arial" w:hAnsi="Arial"/>
                <w:sz w:val="12"/>
                <w:szCs w:val="12"/>
                <w:color w:val="auto"/>
                <w:w w:val="92"/>
              </w:rPr>
              <w:t>138,872</w:t>
            </w:r>
          </w:p>
        </w:tc>
        <w:tc>
          <w:tcPr>
            <w:tcW w:w="10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280" w:type="dxa"/>
            <w:vAlign w:val="bottom"/>
          </w:tcPr>
          <w:p>
            <w:pPr>
              <w:ind w:left="840"/>
              <w:spacing w:after="0"/>
              <w:rPr>
                <w:sz w:val="20"/>
                <w:szCs w:val="20"/>
                <w:color w:val="auto"/>
              </w:rPr>
            </w:pPr>
            <w:r>
              <w:rPr>
                <w:rFonts w:ascii="Arial" w:cs="Arial" w:eastAsia="Arial" w:hAnsi="Arial"/>
                <w:sz w:val="12"/>
                <w:szCs w:val="12"/>
                <w:color w:val="auto"/>
                <w:w w:val="96"/>
              </w:rPr>
              <w:t>136,232</w:t>
            </w:r>
          </w:p>
        </w:tc>
      </w:tr>
      <w:tr>
        <w:trPr>
          <w:trHeight w:val="153"/>
        </w:trPr>
        <w:tc>
          <w:tcPr>
            <w:tcW w:w="7540" w:type="dxa"/>
            <w:vAlign w:val="bottom"/>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2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89"/>
              </w:rPr>
              <w:t>(22,838)</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3"/>
              </w:rPr>
              <w:t>(20,417)</w:t>
            </w:r>
          </w:p>
        </w:tc>
      </w:tr>
      <w:tr>
        <w:trPr>
          <w:trHeight w:val="158"/>
        </w:trPr>
        <w:tc>
          <w:tcPr>
            <w:tcW w:w="75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premiums written</w:t>
            </w:r>
          </w:p>
        </w:tc>
        <w:tc>
          <w:tcPr>
            <w:tcW w:w="1260" w:type="dxa"/>
            <w:vAlign w:val="bottom"/>
            <w:tcBorders>
              <w:bottom w:val="single" w:sz="8" w:color="auto"/>
            </w:tcBorders>
          </w:tcPr>
          <w:p>
            <w:pPr>
              <w:jc w:val="right"/>
              <w:ind w:right="11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2"/>
              </w:rPr>
              <w:t>116,034</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w w:val="96"/>
              </w:rPr>
              <w:t>115,815</w:t>
            </w:r>
          </w:p>
        </w:tc>
      </w:tr>
      <w:tr>
        <w:trPr>
          <w:trHeight w:val="162"/>
        </w:trPr>
        <w:tc>
          <w:tcPr>
            <w:tcW w:w="75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3"/>
        </w:trPr>
        <w:tc>
          <w:tcPr>
            <w:tcW w:w="7540" w:type="dxa"/>
            <w:vAlign w:val="bottom"/>
          </w:tcPr>
          <w:p>
            <w:pPr>
              <w:spacing w:after="0"/>
              <w:rPr>
                <w:sz w:val="20"/>
                <w:szCs w:val="20"/>
                <w:color w:val="auto"/>
              </w:rPr>
            </w:pPr>
            <w:r>
              <w:rPr>
                <w:rFonts w:ascii="Arial" w:cs="Arial" w:eastAsia="Arial" w:hAnsi="Arial"/>
                <w:sz w:val="12"/>
                <w:szCs w:val="12"/>
                <w:color w:val="auto"/>
              </w:rPr>
              <w:t>Net premiums earned</w:t>
            </w: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7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w:t>
            </w:r>
          </w:p>
        </w:tc>
        <w:tc>
          <w:tcPr>
            <w:tcW w:w="1260" w:type="dxa"/>
            <w:vAlign w:val="bottom"/>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2"/>
              </w:rPr>
              <w:t>139,716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6"/>
              </w:rPr>
              <w:t>127,643</w:t>
            </w:r>
          </w:p>
        </w:tc>
      </w:tr>
      <w:tr>
        <w:trPr>
          <w:trHeight w:val="153"/>
        </w:trPr>
        <w:tc>
          <w:tcPr>
            <w:tcW w:w="754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9"/>
              </w:rPr>
              <w:t>(23,221)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w w:val="93"/>
              </w:rPr>
              <w:t>(21,764)</w:t>
            </w:r>
          </w:p>
        </w:tc>
      </w:tr>
      <w:tr>
        <w:trPr>
          <w:trHeight w:val="158"/>
        </w:trPr>
        <w:tc>
          <w:tcPr>
            <w:tcW w:w="7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premiums earned</w:t>
            </w:r>
          </w:p>
        </w:tc>
        <w:tc>
          <w:tcPr>
            <w:tcW w:w="12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w w:val="92"/>
              </w:rPr>
              <w:t>116,495</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6"/>
              </w:rPr>
              <w:t>105,879</w:t>
            </w:r>
          </w:p>
        </w:tc>
      </w:tr>
    </w:tbl>
    <w:p>
      <w:pPr>
        <w:spacing w:after="0" w:line="142" w:lineRule="exact"/>
        <w:rPr>
          <w:sz w:val="20"/>
          <w:szCs w:val="20"/>
          <w:color w:val="auto"/>
        </w:rPr>
      </w:pPr>
    </w:p>
    <w:p>
      <w:pPr>
        <w:ind w:left="168" w:hanging="168"/>
        <w:spacing w:after="0"/>
        <w:tabs>
          <w:tab w:leader="none" w:pos="168" w:val="left"/>
        </w:tabs>
        <w:numPr>
          <w:ilvl w:val="0"/>
          <w:numId w:val="5"/>
        </w:numPr>
        <w:rPr>
          <w:rFonts w:ascii="Arial" w:cs="Arial" w:eastAsia="Arial" w:hAnsi="Arial"/>
          <w:sz w:val="12"/>
          <w:szCs w:val="12"/>
          <w:color w:val="auto"/>
          <w:vertAlign w:val="superscript"/>
        </w:rPr>
      </w:pPr>
      <w:r>
        <w:rPr>
          <w:rFonts w:ascii="Arial" w:cs="Arial" w:eastAsia="Arial" w:hAnsi="Arial"/>
          <w:sz w:val="10"/>
          <w:szCs w:val="10"/>
          <w:color w:val="auto"/>
        </w:rPr>
        <w:t>Net of profit commission.</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NMIC is a party to reinsurance agreements with Oaktown Re Ltd., Oaktown Re II Ltd., Oaktown Re III Ltd., Oaktown Re IV Ltd., Oaktown Re V Ltd., Oaktown Re VI Ltd., and Oaktown Re VII Ltd. (special purpose reinsurance entities collectively referred to as the Oaktown Re Vehicles) effective May 2, 2017, July 25, 2018, July 30, 2019, July 30, 2020,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75"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NMIC makes risk premium payments to the Oaktown Re Vehicles for the applicable outstanding reinsurance coverage amount and pays an additional amount for anticipated operating expenses (capped at $250 thousand per year, except with respect to Oaktown Re Ltd., for which the cap is $300 thousand per year). NMIC ceded aggregate premiums to the Oaktown Re Vehicles of $10.9 million and $9.4 million during the three months ended March 31, 2022 and 2021, respectively. The increase in premiums ceded year-on-year is due to the inception of the excess-of-loss reinsurance agreements that NMIC entered in with Oaktown Re VI Ltd. and Oaktown VII Ltd.</w:t>
      </w:r>
    </w:p>
    <w:p>
      <w:pPr>
        <w:spacing w:after="0" w:line="69"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NMIC applies claims paid on covered policies against its first layer aggregate retained loss exposure under each excess-of-loss agreement. NMIC did not cede any incurred losses on covered policies to the Oaktown Re Vehicles during the three months ended March 31, 2022 and 2021, as the aggregate first layer risk retention for each applicable agreement was not exhausted during such periods.</w:t>
      </w:r>
    </w:p>
    <w:p>
      <w:pPr>
        <w:spacing w:after="0" w:line="79"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12.5-year maturity). We refer to NMIC's reinsurance agreements with and the insurance-linked note issuances by Oaktown Re Vehicles individually as the 2017 ILN Transaction, 2018 ILN Transaction, 2019 ILN Transaction, 2020-1 ILN Transaction, 2020-2 ILN Transaction, 2021-1 ILN Transaction, and 2021-2 ILN Transaction, and collectively as the ILN Transactions.</w:t>
      </w:r>
    </w:p>
    <w:p>
      <w:pPr>
        <w:spacing w:after="0" w:line="77" w:lineRule="exact"/>
        <w:rPr>
          <w:sz w:val="20"/>
          <w:szCs w:val="20"/>
          <w:color w:val="auto"/>
        </w:rPr>
      </w:pPr>
    </w:p>
    <w:p>
      <w:pPr>
        <w:jc w:val="both"/>
        <w:ind w:left="8" w:firstLine="432"/>
        <w:spacing w:after="0" w:line="241" w:lineRule="auto"/>
        <w:rPr>
          <w:sz w:val="20"/>
          <w:szCs w:val="20"/>
          <w:color w:val="auto"/>
        </w:rPr>
      </w:pPr>
      <w:r>
        <w:rPr>
          <w:rFonts w:ascii="Arial" w:cs="Arial" w:eastAsia="Arial" w:hAnsi="Arial"/>
          <w:sz w:val="12"/>
          <w:szCs w:val="12"/>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March 31, 2022, the 2018 and 2019 ILN Transactions were deemed to be in Lock Out</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9" w:name="page20"/>
    <w:bookmarkEnd w:id="19"/>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due to the default experience of the underlying reference pools for each respective transaction and the 2021-2 ILN Transaction was deemed to be in Lock Out in connection with the initial build of its target credit enhancement level. As such, the amortization of reinsurance coverage, and distribution of collateral assets and amortization of insurance-linked notes was suspended for each ILN Transaction. The amortization of reinsurance coverage, distribution of collateral assets and amortization of insurance-linked notes issued in connection with the 2018, 2019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w:t>
      </w:r>
    </w:p>
    <w:p>
      <w:pPr>
        <w:spacing w:after="0" w:line="71"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89"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2"/>
          <w:szCs w:val="12"/>
          <w:color w:val="auto"/>
        </w:rPr>
        <w:t>Effective March 25, 2022, NMIC exercised its optional clean-up call to terminate the 2017 ILN Transaction. In connection with the termination of the transaction, NMIC’s excess of loss reinsurance agreement with Oaktown Re Ltd. was commuted and the insurance-linked notes issued by Oaktown Re Ltd. were redeemed in full with a distribution of remaining collateral assets.</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presents the inception date, covered production period, initial and current reinsurance coverage amount, and initial and current first layer retained aggregate loss under each outstanding ILN Transaction.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Current amounts are presented as of March 31, 2022.</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9"/>
              </w:rPr>
              <w:t>Initial</w:t>
            </w: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4"/>
              </w:rPr>
              <w:t>Current</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Initial First Layer</w:t>
            </w: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Current First Layer</w:t>
            </w:r>
          </w:p>
        </w:tc>
        <w:tc>
          <w:tcPr>
            <w:tcW w:w="0" w:type="dxa"/>
            <w:vAlign w:val="bottom"/>
          </w:tcPr>
          <w:p>
            <w:pPr>
              <w:spacing w:after="0"/>
              <w:rPr>
                <w:sz w:val="1"/>
                <w:szCs w:val="1"/>
                <w:color w:val="auto"/>
              </w:rPr>
            </w:pPr>
          </w:p>
        </w:tc>
      </w:tr>
      <w:tr>
        <w:trPr>
          <w:trHeight w:val="90"/>
        </w:trPr>
        <w:tc>
          <w:tcPr>
            <w:tcW w:w="168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1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80" w:type="dxa"/>
            <w:vAlign w:val="bottom"/>
            <w:vMerge w:val="restart"/>
          </w:tcPr>
          <w:p>
            <w:pPr>
              <w:spacing w:after="0"/>
              <w:rPr>
                <w:sz w:val="7"/>
                <w:szCs w:val="7"/>
                <w:color w:val="auto"/>
              </w:rPr>
            </w:pPr>
          </w:p>
        </w:tc>
        <w:tc>
          <w:tcPr>
            <w:tcW w:w="158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Covered Production</w:t>
            </w:r>
          </w:p>
        </w:tc>
        <w:tc>
          <w:tcPr>
            <w:tcW w:w="60" w:type="dxa"/>
            <w:vAlign w:val="bottom"/>
            <w:vMerge w:val="restart"/>
          </w:tcPr>
          <w:p>
            <w:pPr>
              <w:spacing w:after="0"/>
              <w:rPr>
                <w:sz w:val="7"/>
                <w:szCs w:val="7"/>
                <w:color w:val="auto"/>
              </w:rPr>
            </w:pPr>
          </w:p>
        </w:tc>
        <w:tc>
          <w:tcPr>
            <w:tcW w:w="840" w:type="dxa"/>
            <w:vAlign w:val="bottom"/>
            <w:gridSpan w:val="2"/>
          </w:tcPr>
          <w:p>
            <w:pPr>
              <w:jc w:val="center"/>
              <w:ind w:right="60"/>
              <w:spacing w:after="0" w:line="90" w:lineRule="exact"/>
              <w:rPr>
                <w:sz w:val="20"/>
                <w:szCs w:val="20"/>
                <w:color w:val="auto"/>
              </w:rPr>
            </w:pPr>
            <w:r>
              <w:rPr>
                <w:rFonts w:ascii="Arial" w:cs="Arial" w:eastAsia="Arial" w:hAnsi="Arial"/>
                <w:sz w:val="10"/>
                <w:szCs w:val="10"/>
                <w:b w:val="1"/>
                <w:bCs w:val="1"/>
                <w:color w:val="auto"/>
                <w:w w:val="83"/>
              </w:rPr>
              <w:t>Reinsurance</w:t>
            </w:r>
          </w:p>
        </w:tc>
        <w:tc>
          <w:tcPr>
            <w:tcW w:w="800" w:type="dxa"/>
            <w:vAlign w:val="bottom"/>
            <w:gridSpan w:val="2"/>
          </w:tcPr>
          <w:p>
            <w:pPr>
              <w:jc w:val="center"/>
              <w:ind w:right="60"/>
              <w:spacing w:after="0" w:line="90" w:lineRule="exact"/>
              <w:rPr>
                <w:sz w:val="20"/>
                <w:szCs w:val="20"/>
                <w:color w:val="auto"/>
              </w:rPr>
            </w:pPr>
            <w:r>
              <w:rPr>
                <w:rFonts w:ascii="Arial" w:cs="Arial" w:eastAsia="Arial" w:hAnsi="Arial"/>
                <w:sz w:val="10"/>
                <w:szCs w:val="10"/>
                <w:b w:val="1"/>
                <w:bCs w:val="1"/>
                <w:color w:val="auto"/>
                <w:w w:val="83"/>
              </w:rPr>
              <w:t>Reinsurance</w:t>
            </w:r>
          </w:p>
        </w:tc>
        <w:tc>
          <w:tcPr>
            <w:tcW w:w="86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80" w:type="dxa"/>
            <w:vAlign w:val="bottom"/>
            <w:tcBorders>
              <w:bottom w:val="single" w:sz="8" w:color="CCEEFF"/>
            </w:tcBorders>
            <w:gridSpan w:val="2"/>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Coverage</w:t>
            </w: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Coverage</w:t>
            </w: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Retained Loss</w:t>
            </w: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 xml:space="preserve">Retained Loss </w:t>
            </w:r>
            <w:r>
              <w:rPr>
                <w:rFonts w:ascii="Arial" w:cs="Arial" w:eastAsia="Arial" w:hAnsi="Arial"/>
                <w:sz w:val="12"/>
                <w:szCs w:val="12"/>
                <w:b w:val="1"/>
                <w:bCs w:val="1"/>
                <w:color w:val="auto"/>
                <w:w w:val="83"/>
                <w:vertAlign w:val="superscript"/>
              </w:rPr>
              <w:t>(1)</w:t>
            </w:r>
          </w:p>
        </w:tc>
        <w:tc>
          <w:tcPr>
            <w:tcW w:w="0" w:type="dxa"/>
            <w:vAlign w:val="bottom"/>
          </w:tcPr>
          <w:p>
            <w:pPr>
              <w:spacing w:after="0"/>
              <w:rPr>
                <w:sz w:val="1"/>
                <w:szCs w:val="1"/>
                <w:color w:val="auto"/>
              </w:rPr>
            </w:pPr>
          </w:p>
        </w:tc>
      </w:tr>
      <w:tr>
        <w:trPr>
          <w:trHeight w:val="142"/>
        </w:trPr>
        <w:tc>
          <w:tcPr>
            <w:tcW w:w="1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2018 ILN Transaction</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July 25, 2018</w:t>
            </w: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1/1/2017 - 5/31/2018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264,545</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158,489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125,312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122,403</w:t>
            </w: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2019 ILN Transaction</w:t>
            </w:r>
          </w:p>
        </w:tc>
        <w:tc>
          <w:tcPr>
            <w:tcW w:w="120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July 30, 2019</w:t>
            </w:r>
          </w:p>
        </w:tc>
        <w:tc>
          <w:tcPr>
            <w:tcW w:w="1580" w:type="dxa"/>
            <w:vAlign w:val="bottom"/>
          </w:tcPr>
          <w:p>
            <w:pPr>
              <w:jc w:val="center"/>
              <w:spacing w:after="0"/>
              <w:rPr>
                <w:sz w:val="20"/>
                <w:szCs w:val="20"/>
                <w:color w:val="auto"/>
              </w:rPr>
            </w:pPr>
            <w:r>
              <w:rPr>
                <w:rFonts w:ascii="Arial" w:cs="Arial" w:eastAsia="Arial" w:hAnsi="Arial"/>
                <w:sz w:val="12"/>
                <w:szCs w:val="12"/>
                <w:color w:val="auto"/>
                <w:w w:val="92"/>
              </w:rPr>
              <w:t>6/1/2018 - 6/30/2019</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326,905</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231,877</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2"/>
              </w:rPr>
              <w:t>123,424</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7"/>
              </w:rPr>
              <w:t>122,524</w:t>
            </w: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90"/>
              </w:rPr>
              <w:t>2020-1</w:t>
            </w: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ILN Transaction </w:t>
            </w:r>
            <w:r>
              <w:rPr>
                <w:rFonts w:ascii="Arial" w:cs="Arial" w:eastAsia="Arial" w:hAnsi="Arial"/>
                <w:sz w:val="15"/>
                <w:szCs w:val="15"/>
                <w:color w:val="auto"/>
                <w:vertAlign w:val="superscript"/>
              </w:rPr>
              <w:t>(5)</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July 30, 2020</w:t>
            </w: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7/1/2019 - 3/31/2020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322,076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35,409</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169,514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169,463</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w w:val="90"/>
              </w:rPr>
              <w:t>2020-2</w:t>
            </w:r>
          </w:p>
        </w:tc>
        <w:tc>
          <w:tcPr>
            <w:tcW w:w="1320" w:type="dxa"/>
            <w:vAlign w:val="bottom"/>
          </w:tcPr>
          <w:p>
            <w:pPr>
              <w:ind w:left="20"/>
              <w:spacing w:after="0"/>
              <w:rPr>
                <w:sz w:val="20"/>
                <w:szCs w:val="20"/>
                <w:color w:val="auto"/>
              </w:rPr>
            </w:pPr>
            <w:r>
              <w:rPr>
                <w:rFonts w:ascii="Arial" w:cs="Arial" w:eastAsia="Arial" w:hAnsi="Arial"/>
                <w:sz w:val="12"/>
                <w:szCs w:val="12"/>
                <w:color w:val="auto"/>
              </w:rPr>
              <w:t>ILN Transaction</w:t>
            </w:r>
          </w:p>
        </w:tc>
        <w:tc>
          <w:tcPr>
            <w:tcW w:w="12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October 29, 2020</w:t>
            </w:r>
          </w:p>
        </w:tc>
        <w:tc>
          <w:tcPr>
            <w:tcW w:w="1580" w:type="dxa"/>
            <w:vAlign w:val="bottom"/>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242,351</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140,063</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2"/>
              </w:rPr>
              <w:t>121,777</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7"/>
              </w:rPr>
              <w:t>121,177</w:t>
            </w: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90"/>
              </w:rPr>
              <w:t>2021-1</w:t>
            </w:r>
          </w:p>
        </w:tc>
        <w:tc>
          <w:tcPr>
            <w:tcW w:w="1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ILN Transaction</w:t>
            </w: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4"/>
              </w:rPr>
              <w:t>April 27, 2021</w:t>
            </w:r>
          </w:p>
        </w:tc>
        <w:tc>
          <w:tcPr>
            <w:tcW w:w="158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10/1/2020 - 3/31/2021 </w:t>
            </w:r>
            <w:r>
              <w:rPr>
                <w:rFonts w:ascii="Arial" w:cs="Arial" w:eastAsia="Arial" w:hAnsi="Arial"/>
                <w:sz w:val="15"/>
                <w:szCs w:val="15"/>
                <w:color w:val="auto"/>
                <w:w w:val="90"/>
                <w:vertAlign w:val="superscript"/>
              </w:rPr>
              <w:t>(3)</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367,238</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359,787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163,708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163,708</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Arial" w:cs="Arial" w:eastAsia="Arial" w:hAnsi="Arial"/>
                <w:sz w:val="12"/>
                <w:szCs w:val="12"/>
                <w:color w:val="auto"/>
                <w:w w:val="90"/>
              </w:rPr>
              <w:t>2021-2</w:t>
            </w:r>
          </w:p>
        </w:tc>
        <w:tc>
          <w:tcPr>
            <w:tcW w:w="1320" w:type="dxa"/>
            <w:vAlign w:val="bottom"/>
          </w:tcPr>
          <w:p>
            <w:pPr>
              <w:ind w:left="20"/>
              <w:spacing w:after="0"/>
              <w:rPr>
                <w:sz w:val="20"/>
                <w:szCs w:val="20"/>
                <w:color w:val="auto"/>
              </w:rPr>
            </w:pPr>
            <w:r>
              <w:rPr>
                <w:rFonts w:ascii="Arial" w:cs="Arial" w:eastAsia="Arial" w:hAnsi="Arial"/>
                <w:sz w:val="12"/>
                <w:szCs w:val="12"/>
                <w:color w:val="auto"/>
              </w:rPr>
              <w:t xml:space="preserve">ILN Transaction </w:t>
            </w:r>
            <w:r>
              <w:rPr>
                <w:rFonts w:ascii="Arial" w:cs="Arial" w:eastAsia="Arial" w:hAnsi="Arial"/>
                <w:sz w:val="15"/>
                <w:szCs w:val="15"/>
                <w:color w:val="auto"/>
                <w:vertAlign w:val="superscript"/>
              </w:rPr>
              <w:t>(6)</w:t>
            </w:r>
          </w:p>
        </w:tc>
        <w:tc>
          <w:tcPr>
            <w:tcW w:w="12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October 26, 2021</w:t>
            </w:r>
          </w:p>
        </w:tc>
        <w:tc>
          <w:tcPr>
            <w:tcW w:w="1580" w:type="dxa"/>
            <w:vAlign w:val="bottom"/>
          </w:tcPr>
          <w:p>
            <w:pPr>
              <w:jc w:val="center"/>
              <w:spacing w:after="0"/>
              <w:rPr>
                <w:sz w:val="20"/>
                <w:szCs w:val="20"/>
                <w:color w:val="auto"/>
              </w:rPr>
            </w:pPr>
            <w:r>
              <w:rPr>
                <w:rFonts w:ascii="Arial" w:cs="Arial" w:eastAsia="Arial" w:hAnsi="Arial"/>
                <w:sz w:val="12"/>
                <w:szCs w:val="12"/>
                <w:color w:val="auto"/>
                <w:w w:val="90"/>
              </w:rPr>
              <w:t xml:space="preserve">4/1/2021 - 9/30/2021 </w:t>
            </w:r>
            <w:r>
              <w:rPr>
                <w:rFonts w:ascii="Arial" w:cs="Arial" w:eastAsia="Arial" w:hAnsi="Arial"/>
                <w:sz w:val="15"/>
                <w:szCs w:val="15"/>
                <w:color w:val="auto"/>
                <w:w w:val="90"/>
                <w:vertAlign w:val="superscript"/>
              </w:rPr>
              <w:t>(4)</w:t>
            </w:r>
          </w:p>
        </w:tc>
        <w:tc>
          <w:tcPr>
            <w:tcW w:w="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7"/>
              </w:rPr>
              <w:t>363,596</w:t>
            </w:r>
          </w:p>
        </w:tc>
        <w:tc>
          <w:tcPr>
            <w:tcW w:w="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363,596</w:t>
            </w:r>
          </w:p>
        </w:tc>
        <w:tc>
          <w:tcPr>
            <w:tcW w:w="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2"/>
              </w:rPr>
              <w:t>146,229</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87"/>
              </w:rPr>
              <w:t>146,229</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08" w:right="80" w:hanging="208"/>
        <w:spacing w:after="0" w:line="212" w:lineRule="auto"/>
        <w:tabs>
          <w:tab w:leader="none" w:pos="160"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188" w:hanging="188"/>
        <w:spacing w:after="0" w:line="187" w:lineRule="auto"/>
        <w:tabs>
          <w:tab w:leader="none" w:pos="188"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2020-2 ILN Transaction has coverage reporting dates between July 1, 2019 and March 31, 2020.</w:t>
      </w:r>
    </w:p>
    <w:p>
      <w:pPr>
        <w:ind w:left="128" w:hanging="128"/>
        <w:spacing w:after="0" w:line="187" w:lineRule="auto"/>
        <w:tabs>
          <w:tab w:leader="none" w:pos="128"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2021-1 ILN Transaction has coverage reporting dates between July 1, 2019 and September 30, 2020.</w:t>
      </w:r>
    </w:p>
    <w:p>
      <w:pPr>
        <w:ind w:left="128" w:hanging="128"/>
        <w:spacing w:after="0" w:line="187" w:lineRule="auto"/>
        <w:tabs>
          <w:tab w:leader="none" w:pos="128"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Approximately 2% of the production covered by the 2021-2 ILN Transaction has coverage reporting dates between July 1, 2019 and March 31, 2021.</w:t>
      </w:r>
    </w:p>
    <w:p>
      <w:pPr>
        <w:ind w:left="208" w:right="80" w:hanging="208"/>
        <w:spacing w:after="0" w:line="204" w:lineRule="auto"/>
        <w:tabs>
          <w:tab w:leader="none" w:pos="127"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Effective April 25, 2022, NMIC exercised its optional clean-up call to terminate the 2020-1 ILN Transaction. In connection with the termination of the transaction, NMIC’s excess of loss reinsurance agreement with Oaktown Re IV Ltd. was commuted and the insurance-linked notes issued by Oaktown Re IV Ltd. were redeemed in full with a distribution of remaining collateral assets.</w:t>
      </w:r>
    </w:p>
    <w:p>
      <w:pPr>
        <w:ind w:left="168" w:hanging="168"/>
        <w:spacing w:after="0" w:line="236" w:lineRule="auto"/>
        <w:tabs>
          <w:tab w:leader="none" w:pos="168" w:val="left"/>
        </w:tabs>
        <w:numPr>
          <w:ilvl w:val="0"/>
          <w:numId w:val="6"/>
        </w:numPr>
        <w:rPr>
          <w:rFonts w:ascii="Arial" w:cs="Arial" w:eastAsia="Arial" w:hAnsi="Arial"/>
          <w:sz w:val="10"/>
          <w:szCs w:val="10"/>
          <w:color w:val="auto"/>
          <w:vertAlign w:val="superscript"/>
        </w:rPr>
      </w:pPr>
      <w:r>
        <w:rPr>
          <w:rFonts w:ascii="Arial" w:cs="Arial" w:eastAsia="Arial" w:hAnsi="Arial"/>
          <w:sz w:val="8"/>
          <w:szCs w:val="8"/>
          <w:color w:val="auto"/>
        </w:rPr>
        <w:t>As of March 31, 2022, the current reinsurance coverage amount on the 2021-2 ILN Transactions is equal to the initial reinsurance coverage amount, as the reinsurance coverage provided by Oaktown Re VII Ltd. will not begin to amortize until a target credit enhancement level is reached.</w:t>
      </w:r>
    </w:p>
    <w:p>
      <w:pPr>
        <w:spacing w:after="0" w:line="99" w:lineRule="exact"/>
        <w:rPr>
          <w:sz w:val="20"/>
          <w:szCs w:val="20"/>
          <w:color w:val="auto"/>
        </w:rPr>
      </w:pPr>
    </w:p>
    <w:p>
      <w:pPr>
        <w:jc w:val="both"/>
        <w:ind w:left="8" w:firstLine="432"/>
        <w:spacing w:after="0" w:line="247" w:lineRule="auto"/>
        <w:rPr>
          <w:sz w:val="20"/>
          <w:szCs w:val="20"/>
          <w:color w:val="auto"/>
        </w:rPr>
      </w:pPr>
      <w:r>
        <w:rPr>
          <w:rFonts w:ascii="Arial" w:cs="Arial" w:eastAsia="Arial" w:hAnsi="Arial"/>
          <w:sz w:val="12"/>
          <w:szCs w:val="12"/>
          <w:color w:val="auto"/>
        </w:rPr>
        <w:t>Under the terms of our ILN Transactions, we are required to maintain a certain level of restricted funds in premium deposit accounts with Bank of New York Mellon until the respective notes have been redeemed in full. "Cash and cash equivalents" on our consolidated balance sheet includes restricted amounts of $3.1 million and $3.2 million as of March 31, 2022 and December 31, 2021, respectively. The restricted balances required under these transactions will decline over time as the outstanding principal balance of the respective insurance-linked notes are amortized.</w:t>
      </w: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 is a party to five active quota share reinsurance treaties – the 2016 QSR Transaction, effective September 1, 2016, the 2018 QSR Transaction, effective January 1, 2018, the 2020 QSR Transaction, effective April 1, 2020, the 2021 QSR Transaction, effective January 1, 2021, and the 2022 QSR Transaction, effective October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1"/>
          <w:szCs w:val="11"/>
          <w:color w:val="212529"/>
        </w:rPr>
        <w:t>The 2016 QSR Transaction is scheduled to terminate on December 31, 2027, except with respect to the ceded pool risk, which is scheduled to terminate on August 31, 2023. NMIC has the option, based on</w:t>
      </w:r>
      <w:r>
        <w:rPr>
          <w:rFonts w:ascii="Arial" w:cs="Arial" w:eastAsia="Arial" w:hAnsi="Arial"/>
          <w:sz w:val="11"/>
          <w:szCs w:val="11"/>
          <w:color w:val="auto"/>
        </w:rPr>
        <w:t xml:space="preserve"> </w:t>
      </w:r>
      <w:r>
        <w:rPr>
          <w:rFonts w:ascii="Arial" w:cs="Arial" w:eastAsia="Arial" w:hAnsi="Arial"/>
          <w:sz w:val="11"/>
          <w:szCs w:val="11"/>
          <w:color w:val="212529"/>
        </w:rPr>
        <w:t>certain conditions and subject to a termination fee, to terminate the agreement as of December 31, 2020, or at the end of any calendar quarter thereafter, which would result in NMIC recapturing the related risk.</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2025 or semi-annually thereafter, which would result in NMIC recapturing the related risk.</w:t>
      </w:r>
    </w:p>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w:t>
      </w:r>
    </w:p>
    <w:p>
      <w:pPr>
        <w:spacing w:after="0" w:line="13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2"/>
          <w:szCs w:val="12"/>
          <w:i w:val="1"/>
          <w:iCs w:val="1"/>
          <w:color w:val="auto"/>
        </w:rPr>
        <w:t>i.e.</w:t>
      </w:r>
      <w:r>
        <w:rPr>
          <w:rFonts w:ascii="Arial" w:cs="Arial" w:eastAsia="Arial" w:hAnsi="Arial"/>
          <w:sz w:val="12"/>
          <w:szCs w:val="12"/>
          <w:color w:val="auto"/>
        </w:rPr>
        <w:t>, reinsurers continue providing coverage on all risk ceded prior to the termination date, with no new cessions going forward) or cut-off basis (</w:t>
      </w:r>
      <w:r>
        <w:rPr>
          <w:rFonts w:ascii="Arial" w:cs="Arial" w:eastAsia="Arial" w:hAnsi="Arial"/>
          <w:sz w:val="12"/>
          <w:szCs w:val="12"/>
          <w:i w:val="1"/>
          <w:iCs w:val="1"/>
          <w:color w:val="auto"/>
        </w:rPr>
        <w:t>i.e.</w:t>
      </w:r>
      <w:r>
        <w:rPr>
          <w:rFonts w:ascii="Arial" w:cs="Arial" w:eastAsia="Arial" w:hAnsi="Arial"/>
          <w:sz w:val="12"/>
          <w:szCs w:val="12"/>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amounts related to the QSR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6"/>
              </w:rPr>
              <w:t>For the three months ended</w:t>
            </w:r>
          </w:p>
        </w:tc>
        <w:tc>
          <w:tcPr>
            <w:tcW w:w="1280" w:type="dxa"/>
            <w:vAlign w:val="bottom"/>
            <w:tcBorders>
              <w:bottom w:val="single" w:sz="8" w:color="auto"/>
            </w:tcBorders>
          </w:tcPr>
          <w:p>
            <w:pPr>
              <w:spacing w:after="0"/>
              <w:rPr>
                <w:sz w:val="11"/>
                <w:szCs w:val="11"/>
                <w:color w:val="auto"/>
              </w:rPr>
            </w:pPr>
          </w:p>
        </w:tc>
      </w:tr>
      <w:tr>
        <w:trPr>
          <w:trHeight w:val="118"/>
        </w:trPr>
        <w:tc>
          <w:tcPr>
            <w:tcW w:w="7540" w:type="dxa"/>
            <w:vAlign w:val="bottom"/>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92"/>
              </w:rPr>
              <w:t>March 31, 2021</w:t>
            </w:r>
          </w:p>
        </w:tc>
      </w:tr>
      <w:tr>
        <w:trPr>
          <w:trHeight w:val="114"/>
        </w:trPr>
        <w:tc>
          <w:tcPr>
            <w:tcW w:w="7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gridSpan w:val="2"/>
          </w:tcPr>
          <w:p>
            <w:pPr>
              <w:jc w:val="center"/>
              <w:spacing w:after="0"/>
              <w:rPr>
                <w:sz w:val="20"/>
                <w:szCs w:val="20"/>
                <w:color w:val="auto"/>
              </w:rPr>
            </w:pPr>
            <w:r>
              <w:rPr>
                <w:rFonts w:ascii="Arial" w:cs="Arial" w:eastAsia="Arial" w:hAnsi="Arial"/>
                <w:sz w:val="10"/>
                <w:szCs w:val="10"/>
                <w:i w:val="1"/>
                <w:iCs w:val="1"/>
                <w:color w:val="auto"/>
                <w:w w:val="86"/>
              </w:rPr>
              <w:t>(In Thousands)</w:t>
            </w:r>
          </w:p>
        </w:tc>
        <w:tc>
          <w:tcPr>
            <w:tcW w:w="1280" w:type="dxa"/>
            <w:vAlign w:val="bottom"/>
          </w:tcPr>
          <w:p>
            <w:pPr>
              <w:spacing w:after="0"/>
              <w:rPr>
                <w:sz w:val="9"/>
                <w:szCs w:val="9"/>
                <w:color w:val="auto"/>
              </w:rPr>
            </w:pPr>
          </w:p>
        </w:tc>
      </w:tr>
      <w:tr>
        <w:trPr>
          <w:trHeight w:val="155"/>
        </w:trPr>
        <w:tc>
          <w:tcPr>
            <w:tcW w:w="7540" w:type="dxa"/>
            <w:vAlign w:val="bottom"/>
            <w:shd w:val="clear" w:color="auto" w:fill="CCEEFF"/>
          </w:tcPr>
          <w:p>
            <w:pPr>
              <w:spacing w:after="0"/>
              <w:rPr>
                <w:sz w:val="20"/>
                <w:szCs w:val="20"/>
                <w:color w:val="auto"/>
              </w:rPr>
            </w:pPr>
            <w:r>
              <w:rPr>
                <w:rFonts w:ascii="Arial" w:cs="Arial" w:eastAsia="Arial" w:hAnsi="Arial"/>
                <w:sz w:val="12"/>
                <w:szCs w:val="12"/>
                <w:color w:val="auto"/>
              </w:rPr>
              <w:t>Ceded risk-in-force</w:t>
            </w:r>
          </w:p>
        </w:tc>
        <w:tc>
          <w:tcPr>
            <w:tcW w:w="1260" w:type="dxa"/>
            <w:vAlign w:val="bottom"/>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w w:val="93"/>
              </w:rPr>
              <w:t>8,504,853</w:t>
            </w: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6,330,409</w:t>
            </w:r>
          </w:p>
        </w:tc>
      </w:tr>
      <w:tr>
        <w:trPr>
          <w:trHeight w:val="153"/>
        </w:trPr>
        <w:tc>
          <w:tcPr>
            <w:tcW w:w="7540" w:type="dxa"/>
            <w:vAlign w:val="bottom"/>
          </w:tcPr>
          <w:p>
            <w:pPr>
              <w:spacing w:after="0"/>
              <w:rPr>
                <w:sz w:val="20"/>
                <w:szCs w:val="20"/>
                <w:color w:val="auto"/>
              </w:rPr>
            </w:pPr>
            <w:r>
              <w:rPr>
                <w:rFonts w:ascii="Arial" w:cs="Arial" w:eastAsia="Arial" w:hAnsi="Arial"/>
                <w:sz w:val="12"/>
                <w:szCs w:val="12"/>
                <w:color w:val="auto"/>
              </w:rPr>
              <w:t>Ceded premiums earned</w:t>
            </w:r>
          </w:p>
        </w:tc>
        <w:tc>
          <w:tcPr>
            <w:tcW w:w="126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(29,005)</w:t>
            </w:r>
          </w:p>
        </w:tc>
        <w:tc>
          <w:tcPr>
            <w:tcW w:w="6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(25,747)</w:t>
            </w:r>
          </w:p>
        </w:tc>
      </w:tr>
      <w:tr>
        <w:trPr>
          <w:trHeight w:val="153"/>
        </w:trPr>
        <w:tc>
          <w:tcPr>
            <w:tcW w:w="7540" w:type="dxa"/>
            <w:vAlign w:val="bottom"/>
            <w:shd w:val="clear" w:color="auto" w:fill="CCEEFF"/>
          </w:tcPr>
          <w:p>
            <w:pPr>
              <w:spacing w:after="0"/>
              <w:rPr>
                <w:sz w:val="20"/>
                <w:szCs w:val="20"/>
                <w:color w:val="auto"/>
              </w:rPr>
            </w:pPr>
            <w:r>
              <w:rPr>
                <w:rFonts w:ascii="Arial" w:cs="Arial" w:eastAsia="Arial" w:hAnsi="Arial"/>
                <w:sz w:val="12"/>
                <w:szCs w:val="12"/>
                <w:color w:val="auto"/>
              </w:rPr>
              <w:t>Ceded claims and claim expenses</w:t>
            </w:r>
          </w:p>
        </w:tc>
        <w:tc>
          <w:tcPr>
            <w:tcW w:w="1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(159)</w:t>
            </w:r>
          </w:p>
        </w:tc>
        <w:tc>
          <w:tcPr>
            <w:tcW w:w="6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1,180</w:t>
            </w:r>
          </w:p>
        </w:tc>
      </w:tr>
      <w:tr>
        <w:trPr>
          <w:trHeight w:val="153"/>
        </w:trPr>
        <w:tc>
          <w:tcPr>
            <w:tcW w:w="7540" w:type="dxa"/>
            <w:vAlign w:val="bottom"/>
          </w:tcPr>
          <w:p>
            <w:pPr>
              <w:spacing w:after="0"/>
              <w:rPr>
                <w:sz w:val="20"/>
                <w:szCs w:val="20"/>
                <w:color w:val="auto"/>
              </w:rPr>
            </w:pPr>
            <w:r>
              <w:rPr>
                <w:rFonts w:ascii="Arial" w:cs="Arial" w:eastAsia="Arial" w:hAnsi="Arial"/>
                <w:sz w:val="12"/>
                <w:szCs w:val="12"/>
                <w:color w:val="auto"/>
              </w:rPr>
              <w:t>Ceding commission earned</w:t>
            </w:r>
          </w:p>
        </w:tc>
        <w:tc>
          <w:tcPr>
            <w:tcW w:w="1260" w:type="dxa"/>
            <w:vAlign w:val="bottom"/>
          </w:tcPr>
          <w:p>
            <w:pPr>
              <w:spacing w:after="0"/>
              <w:rPr>
                <w:sz w:val="13"/>
                <w:szCs w:val="13"/>
                <w:color w:val="auto"/>
              </w:rPr>
            </w:pP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5,886</w:t>
            </w:r>
          </w:p>
        </w:tc>
        <w:tc>
          <w:tcPr>
            <w:tcW w:w="60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5,162</w:t>
            </w:r>
          </w:p>
        </w:tc>
      </w:tr>
      <w:tr>
        <w:trPr>
          <w:trHeight w:val="153"/>
        </w:trPr>
        <w:tc>
          <w:tcPr>
            <w:tcW w:w="7540" w:type="dxa"/>
            <w:vAlign w:val="bottom"/>
            <w:shd w:val="clear" w:color="auto" w:fill="CCEEFF"/>
          </w:tcPr>
          <w:p>
            <w:pPr>
              <w:spacing w:after="0"/>
              <w:rPr>
                <w:sz w:val="20"/>
                <w:szCs w:val="20"/>
                <w:color w:val="auto"/>
              </w:rPr>
            </w:pPr>
            <w:r>
              <w:rPr>
                <w:rFonts w:ascii="Arial" w:cs="Arial" w:eastAsia="Arial" w:hAnsi="Arial"/>
                <w:sz w:val="12"/>
                <w:szCs w:val="12"/>
                <w:color w:val="auto"/>
              </w:rPr>
              <w:t>Profit commission</w:t>
            </w:r>
          </w:p>
        </w:tc>
        <w:tc>
          <w:tcPr>
            <w:tcW w:w="1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16,723</w:t>
            </w:r>
          </w:p>
        </w:tc>
        <w:tc>
          <w:tcPr>
            <w:tcW w:w="6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13,380</w:t>
            </w:r>
          </w:p>
        </w:tc>
      </w:tr>
    </w:tbl>
    <w:p>
      <w:pPr>
        <w:spacing w:after="0" w:line="1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2018, 2020, 2021 and 2022 QSR Transactions, generally remain below 60%, 61%, 50% and 57.5% and 62%, respectively, as measured annually. Ceded claims and claim expenses under each of the QSR Transactions reduce the respective profit commission received by NMIC on a dollar-for-dollar basis.</w:t>
      </w:r>
    </w:p>
    <w:p>
      <w:pPr>
        <w:spacing w:after="0" w:line="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$4.6 million as of March 31, 2022.</w:t>
      </w:r>
    </w:p>
    <w:p>
      <w:pPr>
        <w:spacing w:after="0" w:line="8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In accordance with the terms of the 2018, 2020, 2021 and 2022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and 2022 QSR Transactions was $15.5 million as of March 31, 2022.</w:t>
      </w:r>
    </w:p>
    <w:p>
      <w:pPr>
        <w:spacing w:after="0" w:line="42" w:lineRule="exact"/>
        <w:rPr>
          <w:sz w:val="20"/>
          <w:szCs w:val="20"/>
          <w:color w:val="auto"/>
        </w:rPr>
      </w:pPr>
    </w:p>
    <w:p>
      <w:pPr>
        <w:ind w:right="160" w:firstLine="432"/>
        <w:spacing w:after="0" w:line="230" w:lineRule="auto"/>
        <w:rPr>
          <w:sz w:val="20"/>
          <w:szCs w:val="20"/>
          <w:color w:val="auto"/>
        </w:rPr>
      </w:pPr>
      <w:r>
        <w:rPr>
          <w:rFonts w:ascii="Arial" w:cs="Arial" w:eastAsia="Arial" w:hAnsi="Arial"/>
          <w:sz w:val="12"/>
          <w:szCs w:val="12"/>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The allowance for credit loss established on our reinsurance recoverable was deemed immaterial at March 31, 2022 and December 31, 2021.</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Reserves for Insurance Claims and Claim Expenses</w:t>
      </w:r>
    </w:p>
    <w:p>
      <w:pPr>
        <w:spacing w:after="0" w:line="118"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0"/>
          <w:szCs w:val="10"/>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March 31, 2022, we had 5,238 primary loans in default and held gross reserves for insurance claims and claim expenses of $102.4 million. During the three months ended March 31, 2022, we paid 19 claims totaling $0.4 million, all of which were covered under the QSR Transactions representing $0.1 million of ceded claims and claim expenses.</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March 31, 2022, 70 loans in the pool were in default.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These 70 loans represented approximately $5.3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March 31, 2022. In connection with the settlement of pool claims, we applied $1.0 million to the pool deductible through March 31, 2022. At March 31, 2022, the remaining pool deductible was $9.4 million. We have not paid any pool claims to date. 100% of our pool RIF is reinsured under the 2016 QSR Transaction.</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had 5,238 loans in default in our primary insured portfolio as of March 31, 2022, which represented a 0.99% default rate against 526,976 total policies in-force. We had 11,090 loans in default in our primary insured portfolio as of March 31, 2021, which represented a 2.54% default rate against 436,652 total policies in-force. Although our default count declined from March 31, 2021 to March 31, 2022, the population remains elevated compared to our historical experience due to the continued challenges certain borrowers are facing related to the COVID-19 pandemic and their decision to access the forbearance program for federally backed loans codified under the Coronavirus Aid, Relief and Economic Security (CARES) Act or similar programs made available by private lenders.</w:t>
      </w:r>
    </w:p>
    <w:p>
      <w:pPr>
        <w:spacing w:after="0" w:line="8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pandemic, the FHFA and GSEs introduced new repayment and loan modification options to further assist borrowers with their transition out of forbearance programs and default status.</w:t>
      </w:r>
    </w:p>
    <w:p>
      <w:pPr>
        <w:spacing w:after="0" w:line="9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reserve setting process considers the beneficial impact of forbearance, foreclosure moratorium and other assistance programs available to defaulted borrowers. At March 31, 2022 and 2021, we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(benefits) expenses: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7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For the three months ended March 31,</w:t>
            </w:r>
          </w:p>
        </w:tc>
        <w:tc>
          <w:tcPr>
            <w:tcW w:w="980" w:type="dxa"/>
            <w:vAlign w:val="bottom"/>
            <w:tcBorders>
              <w:bottom w:val="single" w:sz="8" w:color="auto"/>
            </w:tcBorders>
          </w:tcPr>
          <w:p>
            <w:pPr>
              <w:spacing w:after="0"/>
              <w:rPr>
                <w:sz w:val="11"/>
                <w:szCs w:val="11"/>
                <w:color w:val="auto"/>
              </w:rPr>
            </w:pPr>
          </w:p>
        </w:tc>
      </w:tr>
      <w:tr>
        <w:trPr>
          <w:trHeight w:val="118"/>
        </w:trPr>
        <w:tc>
          <w:tcPr>
            <w:tcW w:w="7740" w:type="dxa"/>
            <w:vAlign w:val="bottom"/>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w w:val="80"/>
              </w:rPr>
              <w:t>2021</w:t>
            </w:r>
          </w:p>
        </w:tc>
      </w:tr>
      <w:tr>
        <w:trPr>
          <w:trHeight w:val="114"/>
        </w:trPr>
        <w:tc>
          <w:tcPr>
            <w:tcW w:w="7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0"/>
                <w:szCs w:val="10"/>
                <w:i w:val="1"/>
                <w:iCs w:val="1"/>
                <w:color w:val="auto"/>
              </w:rPr>
              <w:t>(In Thousands)</w:t>
            </w:r>
          </w:p>
        </w:tc>
        <w:tc>
          <w:tcPr>
            <w:tcW w:w="980" w:type="dxa"/>
            <w:vAlign w:val="bottom"/>
          </w:tcPr>
          <w:p>
            <w:pPr>
              <w:spacing w:after="0"/>
              <w:rPr>
                <w:sz w:val="9"/>
                <w:szCs w:val="9"/>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103,551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90,567</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(20,320)</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(17,608)</w:t>
            </w: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9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83,231</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72,959</w:t>
            </w:r>
          </w:p>
        </w:tc>
      </w:tr>
      <w:tr>
        <w:trPr>
          <w:trHeight w:val="160"/>
        </w:trPr>
        <w:tc>
          <w:tcPr>
            <w:tcW w:w="7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Claims and claim (benefits) expenses incurred:</w:t>
            </w: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774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10,080</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10,557</w:t>
            </w:r>
          </w:p>
        </w:tc>
      </w:tr>
      <w:tr>
        <w:trPr>
          <w:trHeight w:val="153"/>
        </w:trPr>
        <w:tc>
          <w:tcPr>
            <w:tcW w:w="774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(10,699)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(5,595)</w:t>
            </w:r>
          </w:p>
        </w:tc>
      </w:tr>
      <w:tr>
        <w:trPr>
          <w:trHeight w:val="142"/>
        </w:trPr>
        <w:tc>
          <w:tcPr>
            <w:tcW w:w="7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(benefits) expenses incurred</w:t>
            </w:r>
          </w:p>
        </w:tc>
        <w:tc>
          <w:tcPr>
            <w:tcW w:w="9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(619)</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4,962</w:t>
            </w:r>
          </w:p>
        </w:tc>
      </w:tr>
      <w:tr>
        <w:trPr>
          <w:trHeight w:val="79"/>
        </w:trPr>
        <w:tc>
          <w:tcPr>
            <w:tcW w:w="7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7740" w:type="dxa"/>
            <w:vAlign w:val="bottom"/>
            <w:shd w:val="clear" w:color="auto" w:fill="CCEEFF"/>
          </w:tcPr>
          <w:p>
            <w:pPr>
              <w:ind w:left="22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9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r>
      <w:tr>
        <w:trPr>
          <w:trHeight w:val="153"/>
        </w:trPr>
        <w:tc>
          <w:tcPr>
            <w:tcW w:w="7740" w:type="dxa"/>
            <w:vAlign w:val="bottom"/>
            <w:tcBorders>
              <w:bottom w:val="single" w:sz="8" w:color="CCEEFF"/>
            </w:tcBorders>
          </w:tcPr>
          <w:p>
            <w:pPr>
              <w:ind w:left="22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492</w:t>
            </w:r>
          </w:p>
        </w:tc>
      </w:tr>
      <w:tr>
        <w:trPr>
          <w:trHeight w:val="142"/>
        </w:trPr>
        <w:tc>
          <w:tcPr>
            <w:tcW w:w="7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paid</w:t>
            </w:r>
          </w:p>
        </w:tc>
        <w:tc>
          <w:tcPr>
            <w:tcW w:w="9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504</w:t>
            </w:r>
          </w:p>
        </w:tc>
      </w:tr>
      <w:tr>
        <w:trPr>
          <w:trHeight w:val="160"/>
        </w:trPr>
        <w:tc>
          <w:tcPr>
            <w:tcW w:w="7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Reserve at end of period, net of reinsurance recoverables</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82,292</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77,417</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20,080</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18,686</w:t>
            </w: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102,372</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96,103</w:t>
            </w:r>
          </w:p>
        </w:tc>
      </w:tr>
    </w:tbl>
    <w:p>
      <w:pPr>
        <w:spacing w:after="0" w:line="137" w:lineRule="exact"/>
        <w:rPr>
          <w:sz w:val="20"/>
          <w:szCs w:val="20"/>
          <w:color w:val="auto"/>
        </w:rPr>
      </w:pPr>
    </w:p>
    <w:p>
      <w:pPr>
        <w:ind w:left="128" w:hanging="128"/>
        <w:spacing w:after="0"/>
        <w:tabs>
          <w:tab w:leader="none" w:pos="128"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Note 5, "</w:t>
      </w:r>
      <w:r>
        <w:rPr>
          <w:rFonts w:ascii="Arial" w:cs="Arial" w:eastAsia="Arial" w:hAnsi="Arial"/>
          <w:sz w:val="10"/>
          <w:szCs w:val="10"/>
          <w:i w:val="1"/>
          <w:iCs w:val="1"/>
          <w:color w:val="auto"/>
        </w:rPr>
        <w:t>Reinsurance</w:t>
      </w:r>
      <w:r>
        <w:rPr>
          <w:rFonts w:ascii="Arial" w:cs="Arial" w:eastAsia="Arial" w:hAnsi="Arial"/>
          <w:sz w:val="10"/>
          <w:szCs w:val="10"/>
          <w:color w:val="auto"/>
        </w:rPr>
        <w:t>" for additional information.</w:t>
      </w:r>
    </w:p>
    <w:p>
      <w:pPr>
        <w:ind w:left="208" w:hanging="208"/>
        <w:spacing w:after="0" w:line="422" w:lineRule="auto"/>
        <w:tabs>
          <w:tab w:leader="none" w:pos="80" w:val="left"/>
        </w:tabs>
        <w:numPr>
          <w:ilvl w:val="0"/>
          <w:numId w:val="7"/>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$5.2 million attributed to net case reserves and $4.7 million attributed to net IBNR reserves for the three months ended March 31, 2022 and $5.3 million attributed to net case reserves and $5.3 million attributed to net IBNR reserves for the three months ended March 31, 2021.</w:t>
      </w:r>
    </w:p>
    <w:p>
      <w:pPr>
        <w:ind w:left="208" w:hanging="208"/>
        <w:spacing w:after="0" w:line="351" w:lineRule="auto"/>
        <w:tabs>
          <w:tab w:leader="none" w:pos="80" w:val="left"/>
        </w:tabs>
        <w:numPr>
          <w:ilvl w:val="0"/>
          <w:numId w:val="7"/>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defaults occurring in prior years, which have been continuously in default before the start of the current year. Amounts are presented net of reinsurance and included $5.8 million attributed to net case reserves and $4.7 million attributed to net IBNR reserves for the three months ended March 31, 2022 and $0.6 million attributed to net case reserves and $5.0 million attributed to net IBNR reserves for the three months ended March 31, 2021.</w:t>
      </w:r>
    </w:p>
    <w:p>
      <w:pPr>
        <w:spacing w:after="0" w:line="105"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"claims incurred" section of the table above shows claims and claim (benefits)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$89.7 million related to prior year defaults remained as of March 31, 2022.</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7. Earnings per Share (EPS)</w:t>
      </w:r>
    </w:p>
    <w:p>
      <w:pPr>
        <w:spacing w:after="0" w:line="11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90"/>
              </w:rPr>
              <w:t>For the three months ended March 31,</w:t>
            </w:r>
          </w:p>
        </w:tc>
        <w:tc>
          <w:tcPr>
            <w:tcW w:w="1140" w:type="dxa"/>
            <w:vAlign w:val="bottom"/>
            <w:tcBorders>
              <w:bottom w:val="single" w:sz="8" w:color="auto"/>
            </w:tcBorders>
          </w:tcPr>
          <w:p>
            <w:pPr>
              <w:spacing w:after="0"/>
              <w:rPr>
                <w:sz w:val="11"/>
                <w:szCs w:val="11"/>
                <w:color w:val="auto"/>
              </w:rPr>
            </w:pPr>
          </w:p>
        </w:tc>
      </w:tr>
      <w:tr>
        <w:trPr>
          <w:trHeight w:val="118"/>
        </w:trPr>
        <w:tc>
          <w:tcPr>
            <w:tcW w:w="7320" w:type="dxa"/>
            <w:vAlign w:val="bottom"/>
          </w:tcPr>
          <w:p>
            <w:pPr>
              <w:spacing w:after="0"/>
              <w:rPr>
                <w:sz w:val="10"/>
                <w:szCs w:val="1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2022</w:t>
            </w: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2021</w:t>
            </w:r>
          </w:p>
        </w:tc>
      </w:tr>
      <w:tr>
        <w:trPr>
          <w:trHeight w:val="114"/>
        </w:trPr>
        <w:tc>
          <w:tcPr>
            <w:tcW w:w="7320" w:type="dxa"/>
            <w:vAlign w:val="bottom"/>
            <w:tcBorders>
              <w:bottom w:val="single" w:sz="8" w:color="CCEEFF"/>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i w:val="1"/>
                <w:iCs w:val="1"/>
                <w:color w:val="auto"/>
                <w:w w:val="89"/>
              </w:rPr>
              <w:t>(In Thousands, except for per share data)</w:t>
            </w:r>
          </w:p>
        </w:tc>
        <w:tc>
          <w:tcPr>
            <w:tcW w:w="1140" w:type="dxa"/>
            <w:vAlign w:val="bottom"/>
            <w:tcBorders>
              <w:bottom w:val="single" w:sz="8" w:color="auto"/>
            </w:tcBorders>
          </w:tcPr>
          <w:p>
            <w:pPr>
              <w:spacing w:after="0"/>
              <w:rPr>
                <w:sz w:val="9"/>
                <w:szCs w:val="9"/>
                <w:color w:val="auto"/>
              </w:rPr>
            </w:pPr>
          </w:p>
        </w:tc>
      </w:tr>
      <w:tr>
        <w:trPr>
          <w:trHeight w:val="144"/>
        </w:trPr>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120" w:type="dxa"/>
            <w:vAlign w:val="bottom"/>
            <w:shd w:val="clear" w:color="auto" w:fill="CCEEFF"/>
          </w:tcPr>
          <w:p>
            <w:pPr>
              <w:jc w:val="right"/>
              <w:ind w:right="982"/>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67,680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52,891</w:t>
            </w:r>
          </w:p>
        </w:tc>
      </w:tr>
      <w:tr>
        <w:trPr>
          <w:trHeight w:val="153"/>
        </w:trPr>
        <w:tc>
          <w:tcPr>
            <w:tcW w:w="7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Basic weighted average shares outstanding</w:t>
            </w:r>
          </w:p>
        </w:tc>
        <w:tc>
          <w:tcPr>
            <w:tcW w:w="1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85,953</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85,317</w:t>
            </w:r>
          </w:p>
        </w:tc>
      </w:tr>
      <w:tr>
        <w:trPr>
          <w:trHeight w:val="158"/>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earnings per share</w:t>
            </w:r>
          </w:p>
        </w:tc>
        <w:tc>
          <w:tcPr>
            <w:tcW w:w="112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0.79</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0.62</w:t>
            </w:r>
          </w:p>
        </w:tc>
      </w:tr>
      <w:tr>
        <w:trPr>
          <w:trHeight w:val="153"/>
        </w:trPr>
        <w:tc>
          <w:tcPr>
            <w:tcW w:w="7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120" w:type="dxa"/>
            <w:vAlign w:val="bottom"/>
            <w:shd w:val="clear" w:color="auto" w:fill="CCEEFF"/>
          </w:tcPr>
          <w:p>
            <w:pPr>
              <w:jc w:val="right"/>
              <w:ind w:right="982"/>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67,680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52,891</w:t>
            </w:r>
          </w:p>
        </w:tc>
      </w:tr>
      <w:tr>
        <w:trPr>
          <w:trHeight w:val="153"/>
        </w:trPr>
        <w:tc>
          <w:tcPr>
            <w:tcW w:w="7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Gain from change in fair value of warrant liability</w:t>
            </w:r>
          </w:p>
        </w:tc>
        <w:tc>
          <w:tcPr>
            <w:tcW w:w="1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Diluted net income</w:t>
            </w:r>
          </w:p>
        </w:tc>
        <w:tc>
          <w:tcPr>
            <w:tcW w:w="1120" w:type="dxa"/>
            <w:vAlign w:val="bottom"/>
            <w:shd w:val="clear" w:color="auto" w:fill="CCEEFF"/>
          </w:tcPr>
          <w:p>
            <w:pPr>
              <w:jc w:val="right"/>
              <w:ind w:right="982"/>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67,587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52,891</w:t>
            </w:r>
          </w:p>
        </w:tc>
      </w:tr>
      <w:tr>
        <w:trPr>
          <w:trHeight w:val="171"/>
        </w:trPr>
        <w:tc>
          <w:tcPr>
            <w:tcW w:w="7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Basic weighted average shares outstanding</w:t>
            </w: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85,953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85,317</w:t>
            </w:r>
          </w:p>
        </w:tc>
      </w:tr>
      <w:tr>
        <w:trPr>
          <w:trHeight w:val="153"/>
        </w:trPr>
        <w:tc>
          <w:tcPr>
            <w:tcW w:w="7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effect of issuable shares</w:t>
            </w:r>
          </w:p>
        </w:tc>
        <w:tc>
          <w:tcPr>
            <w:tcW w:w="1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1,357</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1,170</w:t>
            </w:r>
          </w:p>
        </w:tc>
      </w:tr>
      <w:tr>
        <w:trPr>
          <w:trHeight w:val="142"/>
        </w:trPr>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shares outstanding</w:t>
            </w:r>
          </w:p>
        </w:tc>
        <w:tc>
          <w:tcPr>
            <w:tcW w:w="1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87,310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86,487</w:t>
            </w:r>
          </w:p>
        </w:tc>
      </w:tr>
      <w:tr>
        <w:trPr>
          <w:trHeight w:val="171"/>
        </w:trPr>
        <w:tc>
          <w:tcPr>
            <w:tcW w:w="73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8"/>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112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0.77</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0.61</w:t>
            </w:r>
          </w:p>
        </w:tc>
      </w:tr>
      <w:tr>
        <w:trPr>
          <w:trHeight w:val="153"/>
        </w:trPr>
        <w:tc>
          <w:tcPr>
            <w:tcW w:w="7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Anti-dilutive shares</w:t>
            </w: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314</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Warrants</w:t>
      </w:r>
    </w:p>
    <w:p>
      <w:pPr>
        <w:spacing w:after="0" w:line="109" w:lineRule="exact"/>
        <w:rPr>
          <w:sz w:val="20"/>
          <w:szCs w:val="20"/>
          <w:color w:val="auto"/>
        </w:rPr>
      </w:pPr>
    </w:p>
    <w:p>
      <w:pPr>
        <w:ind w:right="300" w:firstLine="432"/>
        <w:spacing w:after="0" w:line="245" w:lineRule="auto"/>
        <w:rPr>
          <w:sz w:val="20"/>
          <w:szCs w:val="20"/>
          <w:color w:val="auto"/>
        </w:rPr>
      </w:pPr>
      <w:r>
        <w:rPr>
          <w:rFonts w:ascii="Arial" w:cs="Arial" w:eastAsia="Arial" w:hAnsi="Arial"/>
          <w:sz w:val="12"/>
          <w:szCs w:val="12"/>
          <w:color w:val="auto"/>
        </w:rPr>
        <w:t>We issued 992 thousand warrants in connection with a private placement of our common stock in April 2012, of which 133 thousand remained outstanding available for exercise at March 31, 2022. Each warrant gives the holder thereof the right to purchase one share of common stock at an exercise price equal to $10.00. The warrants were issued with an aggregate fair value of $5.1 million.</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three months ended March 31, 2022, 66 thousand warrants were exercised resulting in the issuance of 51 thousand shares of common stock. Upon exercise, we reclassified approximately $0.9 million of warrant fair value from warrant liability to additional paid-in capital. During the three months ended March 31, 2021, 27 thousand warrants were exercised resulting in the issuance of 24 thousand shares of common stock. Upon exercise, we reclassified approximately $0.4 million of warrant fair value from warrant liability to additional paid-in capital.</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Income Taxes</w:t>
      </w:r>
    </w:p>
    <w:p>
      <w:pPr>
        <w:spacing w:after="0" w:line="11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22.0% and 21.6% for the three months ended March 31, 2022 and 2021,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7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2022 represents a change in our net deferred tax liability. As of March 31, 2022 and December 31, 2021, we held $89.2 million of tax and loss bonds in "Other assets"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Stockholders' Equity</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February 10, 2022, our Board of Directors approved a $125 million share repurchase program effective through December 31, 2023. The authorization provides us the flexibility to repurchase stock from time to time in the open market or in privately negotiated transactions, based on market and business conditions, stock price and other factors. During the three months ended March 31, 2022, we repurchased 235,344 shares pursuant to a trading plan under Rule 10b-18 of the Exchange Act at an average price of $21.23 per share, excluding associated costs.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Leases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two operating lease agreements related to our corporate headquarters and a data center facility for which we recognized operating right-of-use (ROU) assets and lease liabilities of $11.3 million and $12.2 million in "Other assets" and "Other liabilities," respectively, on our consolidated balance sheet as of March 31, 2022. As of December 31, 2021, we recognized operating ROU assets and lease liabilities of $2.6 million and $2.9 million, respectively. As of March 31, 2022 and December 31, 2021, we did not have any finance leases.</w:t>
      </w:r>
    </w:p>
    <w:p>
      <w:pPr>
        <w:spacing w:after="0" w:line="86"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In January 2022, we modified the lease for our corporate headquarters, securing a reduction in pricing and incremental leasehold improvement concessions, reducing the square footage of leased space and extending the remaining term through March 2030. In February 2022, we renewed the lease of our data center facility, extending its term through January 2024. Upon the respective modification and extension, the ROU asset and liability associated with each lease was remeasured, using our current estimated incremental borrowing rate, resulting in an aggregate increase to ROU assets and lease liabilities of $9.7 million during the three months ended March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20" w:type="dxa"/>
            <w:vAlign w:val="bottom"/>
          </w:tcPr>
          <w:p>
            <w:pPr>
              <w:ind w:left="420"/>
              <w:spacing w:after="0"/>
              <w:rPr>
                <w:sz w:val="20"/>
                <w:szCs w:val="20"/>
                <w:color w:val="auto"/>
              </w:rPr>
            </w:pPr>
            <w:r>
              <w:rPr>
                <w:rFonts w:ascii="Arial" w:cs="Arial" w:eastAsia="Arial" w:hAnsi="Arial"/>
                <w:sz w:val="12"/>
                <w:szCs w:val="12"/>
                <w:color w:val="auto"/>
              </w:rPr>
              <w:t>The following table provides a summary of our ROU asset and lease liability assumptions as of March 31, 2022:</w:t>
            </w:r>
          </w:p>
        </w:tc>
        <w:tc>
          <w:tcPr>
            <w:tcW w:w="2960" w:type="dxa"/>
            <w:vAlign w:val="bottom"/>
          </w:tcPr>
          <w:p>
            <w:pPr>
              <w:spacing w:after="0"/>
              <w:rPr>
                <w:sz w:val="13"/>
                <w:szCs w:val="13"/>
                <w:color w:val="auto"/>
              </w:rPr>
            </w:pPr>
          </w:p>
        </w:tc>
      </w:tr>
      <w:tr>
        <w:trPr>
          <w:trHeight w:val="117"/>
        </w:trPr>
        <w:tc>
          <w:tcPr>
            <w:tcW w:w="832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5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remaining lease term</w:t>
            </w:r>
          </w:p>
        </w:tc>
        <w:tc>
          <w:tcPr>
            <w:tcW w:w="2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 years</w:t>
            </w:r>
          </w:p>
        </w:tc>
      </w:t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Weighted-average discount rate</w:t>
            </w:r>
          </w:p>
        </w:tc>
        <w:tc>
          <w:tcPr>
            <w:tcW w:w="2960" w:type="dxa"/>
            <w:vAlign w:val="bottom"/>
          </w:tcPr>
          <w:p>
            <w:pPr>
              <w:jc w:val="right"/>
              <w:spacing w:after="0"/>
              <w:rPr>
                <w:sz w:val="20"/>
                <w:szCs w:val="20"/>
                <w:color w:val="auto"/>
              </w:rPr>
            </w:pPr>
            <w:r>
              <w:rPr>
                <w:rFonts w:ascii="Arial" w:cs="Arial" w:eastAsia="Arial" w:hAnsi="Arial"/>
                <w:sz w:val="12"/>
                <w:szCs w:val="12"/>
                <w:color w:val="auto"/>
              </w:rPr>
              <w:t>6.50 %</w:t>
            </w:r>
          </w:p>
        </w:tc>
      </w:tr>
    </w:tbl>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Cash paid on our operating leases for the three months ended March 31, 2022 and 2021, was $29 thousand and $0.6 million, respectively. Lease expenses incurred for the three months ended March 31, 2022 and 2021, were $0.5 million and $0.6 million, respectively.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Future payments due under our existing operating leases as of March 31, 2022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6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i w:val="1"/>
                <w:iCs w:val="1"/>
                <w:color w:val="auto"/>
              </w:rPr>
              <w:t>($</w:t>
            </w:r>
          </w:p>
        </w:tc>
        <w:tc>
          <w:tcPr>
            <w:tcW w:w="1540" w:type="dxa"/>
            <w:vAlign w:val="bottom"/>
          </w:tcPr>
          <w:p>
            <w:pPr>
              <w:jc w:val="right"/>
              <w:ind w:right="921"/>
              <w:spacing w:after="0"/>
              <w:rPr>
                <w:sz w:val="20"/>
                <w:szCs w:val="20"/>
                <w:color w:val="auto"/>
              </w:rPr>
            </w:pPr>
            <w:r>
              <w:rPr>
                <w:rFonts w:ascii="Arial" w:cs="Arial" w:eastAsia="Arial" w:hAnsi="Arial"/>
                <w:sz w:val="10"/>
                <w:szCs w:val="10"/>
                <w:i w:val="1"/>
                <w:iCs w:val="1"/>
                <w:color w:val="auto"/>
                <w:w w:val="84"/>
              </w:rPr>
              <w:t>In Thousands)</w:t>
            </w:r>
          </w:p>
        </w:tc>
      </w:tr>
      <w:tr>
        <w:trPr>
          <w:trHeight w:val="157"/>
        </w:trPr>
        <w:tc>
          <w:tcPr>
            <w:tcW w:w="8640" w:type="dxa"/>
            <w:vAlign w:val="bottom"/>
            <w:shd w:val="clear" w:color="auto" w:fill="CCEEFF"/>
          </w:tcPr>
          <w:p>
            <w:pPr>
              <w:spacing w:after="0"/>
              <w:rPr>
                <w:sz w:val="20"/>
                <w:szCs w:val="20"/>
                <w:color w:val="auto"/>
              </w:rPr>
            </w:pPr>
            <w:r>
              <w:rPr>
                <w:rFonts w:ascii="Arial" w:cs="Arial" w:eastAsia="Arial" w:hAnsi="Arial"/>
                <w:sz w:val="12"/>
                <w:szCs w:val="12"/>
                <w:color w:val="auto"/>
              </w:rPr>
              <w:t>Remaining in 2022</w:t>
            </w:r>
          </w:p>
        </w:tc>
        <w:tc>
          <w:tcPr>
            <w:tcW w:w="1060" w:type="dxa"/>
            <w:vAlign w:val="bottom"/>
            <w:shd w:val="clear" w:color="auto" w:fill="CCEEFF"/>
          </w:tcPr>
          <w:p>
            <w:pPr>
              <w:jc w:val="right"/>
              <w:ind w:right="924"/>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w:t>
            </w:r>
          </w:p>
        </w:tc>
      </w:tr>
      <w:tr>
        <w:trPr>
          <w:trHeight w:val="153"/>
        </w:trPr>
        <w:tc>
          <w:tcPr>
            <w:tcW w:w="8640" w:type="dxa"/>
            <w:vAlign w:val="bottom"/>
          </w:tcPr>
          <w:p>
            <w:pPr>
              <w:spacing w:after="0"/>
              <w:rPr>
                <w:sz w:val="20"/>
                <w:szCs w:val="20"/>
                <w:color w:val="auto"/>
              </w:rPr>
            </w:pPr>
            <w:r>
              <w:rPr>
                <w:rFonts w:ascii="Arial" w:cs="Arial" w:eastAsia="Arial" w:hAnsi="Arial"/>
                <w:sz w:val="12"/>
                <w:szCs w:val="12"/>
                <w:color w:val="auto"/>
              </w:rPr>
              <w:t>2023</w:t>
            </w:r>
          </w:p>
        </w:tc>
        <w:tc>
          <w:tcPr>
            <w:tcW w:w="106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2,096</w:t>
            </w:r>
          </w:p>
        </w:tc>
      </w:tr>
      <w:tr>
        <w:trPr>
          <w:trHeight w:val="153"/>
        </w:trPr>
        <w:tc>
          <w:tcPr>
            <w:tcW w:w="86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106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2,080</w:t>
            </w:r>
          </w:p>
        </w:tc>
      </w:tr>
      <w:tr>
        <w:trPr>
          <w:trHeight w:val="153"/>
        </w:trPr>
        <w:tc>
          <w:tcPr>
            <w:tcW w:w="8640" w:type="dxa"/>
            <w:vAlign w:val="bottom"/>
          </w:tcPr>
          <w:p>
            <w:pPr>
              <w:spacing w:after="0"/>
              <w:rPr>
                <w:sz w:val="20"/>
                <w:szCs w:val="20"/>
                <w:color w:val="auto"/>
              </w:rPr>
            </w:pPr>
            <w:r>
              <w:rPr>
                <w:rFonts w:ascii="Arial" w:cs="Arial" w:eastAsia="Arial" w:hAnsi="Arial"/>
                <w:sz w:val="12"/>
                <w:szCs w:val="12"/>
                <w:color w:val="auto"/>
              </w:rPr>
              <w:t>2025</w:t>
            </w:r>
          </w:p>
        </w:tc>
        <w:tc>
          <w:tcPr>
            <w:tcW w:w="106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2,128</w:t>
            </w:r>
          </w:p>
        </w:tc>
      </w:tr>
      <w:tr>
        <w:trPr>
          <w:trHeight w:val="153"/>
        </w:trPr>
        <w:tc>
          <w:tcPr>
            <w:tcW w:w="86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106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2,190</w:t>
            </w:r>
          </w:p>
        </w:tc>
      </w:tr>
      <w:tr>
        <w:trPr>
          <w:trHeight w:val="153"/>
        </w:trPr>
        <w:tc>
          <w:tcPr>
            <w:tcW w:w="8640" w:type="dxa"/>
            <w:vAlign w:val="bottom"/>
          </w:tcPr>
          <w:p>
            <w:pPr>
              <w:spacing w:after="0"/>
              <w:rPr>
                <w:sz w:val="20"/>
                <w:szCs w:val="20"/>
                <w:color w:val="auto"/>
              </w:rPr>
            </w:pPr>
            <w:r>
              <w:rPr>
                <w:rFonts w:ascii="Arial" w:cs="Arial" w:eastAsia="Arial" w:hAnsi="Arial"/>
                <w:sz w:val="12"/>
                <w:szCs w:val="12"/>
                <w:color w:val="auto"/>
              </w:rPr>
              <w:t>2027</w:t>
            </w:r>
          </w:p>
        </w:tc>
        <w:tc>
          <w:tcPr>
            <w:tcW w:w="106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2,256</w:t>
            </w:r>
          </w:p>
        </w:tc>
      </w:tr>
      <w:tr>
        <w:trPr>
          <w:trHeight w:val="153"/>
        </w:trPr>
        <w:tc>
          <w:tcPr>
            <w:tcW w:w="864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106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2,322</w:t>
            </w:r>
          </w:p>
        </w:tc>
      </w:tr>
      <w:tr>
        <w:trPr>
          <w:trHeight w:val="153"/>
        </w:trPr>
        <w:tc>
          <w:tcPr>
            <w:tcW w:w="8640" w:type="dxa"/>
            <w:vAlign w:val="bottom"/>
          </w:tcPr>
          <w:p>
            <w:pPr>
              <w:spacing w:after="0"/>
              <w:rPr>
                <w:sz w:val="20"/>
                <w:szCs w:val="20"/>
                <w:color w:val="auto"/>
              </w:rPr>
            </w:pPr>
            <w:r>
              <w:rPr>
                <w:rFonts w:ascii="Arial" w:cs="Arial" w:eastAsia="Arial" w:hAnsi="Arial"/>
                <w:sz w:val="12"/>
                <w:szCs w:val="12"/>
                <w:color w:val="auto"/>
              </w:rPr>
              <w:t>2029</w:t>
            </w:r>
          </w:p>
        </w:tc>
        <w:tc>
          <w:tcPr>
            <w:tcW w:w="106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2,392</w:t>
            </w:r>
          </w:p>
        </w:tc>
      </w:tr>
      <w:tr>
        <w:trPr>
          <w:trHeight w:val="153"/>
        </w:trPr>
        <w:tc>
          <w:tcPr>
            <w:tcW w:w="864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10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603</w:t>
            </w:r>
          </w:p>
        </w:tc>
      </w:tr>
      <w:tr>
        <w:trPr>
          <w:trHeight w:val="142"/>
        </w:trPr>
        <w:tc>
          <w:tcPr>
            <w:tcW w:w="8640" w:type="dxa"/>
            <w:vAlign w:val="bottom"/>
          </w:tcPr>
          <w:p>
            <w:pPr>
              <w:spacing w:after="0"/>
              <w:rPr>
                <w:sz w:val="20"/>
                <w:szCs w:val="20"/>
                <w:color w:val="auto"/>
              </w:rPr>
            </w:pPr>
            <w:r>
              <w:rPr>
                <w:rFonts w:ascii="Arial" w:cs="Arial" w:eastAsia="Arial" w:hAnsi="Arial"/>
                <w:sz w:val="12"/>
                <w:szCs w:val="12"/>
                <w:color w:val="auto"/>
              </w:rPr>
              <w:t>Total undiscounted lease payments</w:t>
            </w:r>
          </w:p>
        </w:tc>
        <w:tc>
          <w:tcPr>
            <w:tcW w:w="1060" w:type="dxa"/>
            <w:vAlign w:val="bottom"/>
          </w:tcPr>
          <w:p>
            <w:pPr>
              <w:spacing w:after="0"/>
              <w:rPr>
                <w:sz w:val="12"/>
                <w:szCs w:val="12"/>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16,198</w:t>
            </w:r>
          </w:p>
        </w:tc>
      </w:tr>
      <w:tr>
        <w:trPr>
          <w:trHeight w:val="153"/>
        </w:trPr>
        <w:tc>
          <w:tcPr>
            <w:tcW w:w="8640" w:type="dxa"/>
            <w:vAlign w:val="bottom"/>
            <w:shd w:val="clear" w:color="auto" w:fill="CCEEFF"/>
          </w:tcPr>
          <w:p>
            <w:pPr>
              <w:spacing w:after="0"/>
              <w:rPr>
                <w:sz w:val="20"/>
                <w:szCs w:val="20"/>
                <w:color w:val="auto"/>
              </w:rPr>
            </w:pPr>
            <w:r>
              <w:rPr>
                <w:rFonts w:ascii="Arial" w:cs="Arial" w:eastAsia="Arial" w:hAnsi="Arial"/>
                <w:sz w:val="12"/>
                <w:szCs w:val="12"/>
                <w:color w:val="auto"/>
              </w:rPr>
              <w:t>Less effects of discounting</w:t>
            </w:r>
          </w:p>
        </w:tc>
        <w:tc>
          <w:tcPr>
            <w:tcW w:w="10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(3,977)</w:t>
            </w:r>
          </w:p>
        </w:tc>
      </w:tr>
      <w:tr>
        <w:trPr>
          <w:trHeight w:val="142"/>
        </w:trPr>
        <w:tc>
          <w:tcPr>
            <w:tcW w:w="8640" w:type="dxa"/>
            <w:vAlign w:val="bottom"/>
          </w:tcPr>
          <w:p>
            <w:pPr>
              <w:spacing w:after="0"/>
              <w:rPr>
                <w:sz w:val="20"/>
                <w:szCs w:val="20"/>
                <w:color w:val="auto"/>
              </w:rPr>
            </w:pPr>
            <w:r>
              <w:rPr>
                <w:rFonts w:ascii="Arial" w:cs="Arial" w:eastAsia="Arial" w:hAnsi="Arial"/>
                <w:sz w:val="12"/>
                <w:szCs w:val="12"/>
                <w:color w:val="auto"/>
              </w:rPr>
              <w:t>Present value of lease payments</w:t>
            </w:r>
          </w:p>
        </w:tc>
        <w:tc>
          <w:tcPr>
            <w:tcW w:w="1060" w:type="dxa"/>
            <w:vAlign w:val="bottom"/>
            <w:tcBorders>
              <w:bottom w:val="single" w:sz="8" w:color="auto"/>
            </w:tcBorders>
          </w:tcPr>
          <w:p>
            <w:pPr>
              <w:jc w:val="right"/>
              <w:ind w:right="924"/>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12,221</w:t>
            </w:r>
          </w:p>
        </w:tc>
      </w:tr>
      <w:tr>
        <w:trPr>
          <w:trHeight w:val="20"/>
        </w:trPr>
        <w:tc>
          <w:tcPr>
            <w:tcW w:w="8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Lease expense is recorded in underwriting and operating expenses on the consolidated statements of operations and comprehensive income. Our existing leases have terms ranging from two to eight years. The lease for our corporate headquarters includes an option to renew for an additional five years at prevailing market rates at the time of renewal. This renewal option is not included in the calculation of future lease payments due under the existing lease as presented above as it is not reasonably certain to be exercised.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Premium Receivable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March 31, 2022 and December 31, 2021.</w:t>
      </w:r>
    </w:p>
    <w:p>
      <w:pPr>
        <w:spacing w:after="0" w:line="14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Premiums receivable may be written off prior to 120 days in the ordinary course of business for non-credit events including, but not limited to, the modification or refinancing of an underlying insured loan. We established a $1.8 million and $2.3 million reserve for premium write-offs at March 31, 2022 and December 31, 2021, respectively.</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13. Regulatory Information</w:t>
      </w:r>
    </w:p>
    <w:p>
      <w:pPr>
        <w:spacing w:after="0" w:line="118" w:lineRule="exact"/>
        <w:rPr>
          <w:sz w:val="20"/>
          <w:szCs w:val="20"/>
          <w:color w:val="auto"/>
        </w:rPr>
      </w:pPr>
    </w:p>
    <w:p>
      <w:pPr>
        <w:ind w:left="128"/>
        <w:spacing w:after="0"/>
        <w:rPr>
          <w:sz w:val="20"/>
          <w:szCs w:val="20"/>
          <w:color w:val="auto"/>
        </w:rPr>
      </w:pPr>
      <w:r>
        <w:rPr>
          <w:rFonts w:ascii="Arial" w:cs="Arial" w:eastAsia="Arial" w:hAnsi="Arial"/>
          <w:sz w:val="12"/>
          <w:szCs w:val="12"/>
          <w:i w:val="1"/>
          <w:iCs w:val="1"/>
          <w:color w:val="auto"/>
        </w:rPr>
        <w:t>Statutory Requirements</w:t>
      </w:r>
    </w:p>
    <w:p>
      <w:pPr>
        <w:spacing w:after="0" w:line="114"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6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NMIC and Re One generated combined statutory net income of $18.6 million and $6.4 million for the three months ended March 31, 2022 and 2021, respectively.</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NMIC's statutory surplus, contingency reserve, statutory capital and risk-to-capital (RTC) ratio as of March 31, 2022 and December 31, 2021.</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040" w:type="dxa"/>
            <w:vAlign w:val="bottom"/>
          </w:tcPr>
          <w:p>
            <w:pPr>
              <w:spacing w:after="0"/>
              <w:rPr>
                <w:sz w:val="11"/>
                <w:szCs w:val="11"/>
                <w:color w:val="auto"/>
              </w:rPr>
            </w:pPr>
          </w:p>
        </w:tc>
        <w:tc>
          <w:tcPr>
            <w:tcW w:w="184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March 31, 2022</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December 31, 2021</w:t>
            </w:r>
          </w:p>
        </w:tc>
      </w:tr>
      <w:tr>
        <w:trPr>
          <w:trHeight w:val="117"/>
        </w:trPr>
        <w:tc>
          <w:tcPr>
            <w:tcW w:w="6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20" w:type="dxa"/>
            <w:vAlign w:val="bottom"/>
            <w:gridSpan w:val="3"/>
          </w:tcPr>
          <w:p>
            <w:pPr>
              <w:jc w:val="right"/>
              <w:ind w:right="292"/>
              <w:spacing w:after="0"/>
              <w:rPr>
                <w:sz w:val="20"/>
                <w:szCs w:val="20"/>
                <w:color w:val="auto"/>
              </w:rPr>
            </w:pPr>
            <w:r>
              <w:rPr>
                <w:rFonts w:ascii="Arial" w:cs="Arial" w:eastAsia="Arial" w:hAnsi="Arial"/>
                <w:sz w:val="10"/>
                <w:szCs w:val="10"/>
                <w:i w:val="1"/>
                <w:iCs w:val="1"/>
                <w:color w:val="auto"/>
              </w:rPr>
              <w:t>(In Thousands)</w:t>
            </w:r>
          </w:p>
        </w:tc>
        <w:tc>
          <w:tcPr>
            <w:tcW w:w="2000" w:type="dxa"/>
            <w:vAlign w:val="bottom"/>
          </w:tcPr>
          <w:p>
            <w:pPr>
              <w:spacing w:after="0"/>
              <w:rPr>
                <w:sz w:val="10"/>
                <w:szCs w:val="10"/>
                <w:color w:val="auto"/>
              </w:rPr>
            </w:pPr>
          </w:p>
        </w:tc>
      </w:tr>
      <w:tr>
        <w:trPr>
          <w:trHeight w:val="155"/>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Statutory surplus</w:t>
            </w:r>
          </w:p>
        </w:tc>
        <w:tc>
          <w:tcPr>
            <w:tcW w:w="1840" w:type="dxa"/>
            <w:vAlign w:val="bottom"/>
            <w:shd w:val="clear" w:color="auto" w:fill="CCEEFF"/>
          </w:tcPr>
          <w:p>
            <w:pPr>
              <w:jc w:val="right"/>
              <w:ind w:right="1704"/>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873,259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893,848</w:t>
            </w:r>
          </w:p>
        </w:tc>
      </w:tr>
      <w:tr>
        <w:trPr>
          <w:trHeight w:val="153"/>
        </w:trPr>
        <w:tc>
          <w:tcPr>
            <w:tcW w:w="6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Contingency reserve</w:t>
            </w:r>
          </w:p>
        </w:tc>
        <w:tc>
          <w:tcPr>
            <w:tcW w:w="18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1,106,497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1,036,639</w:t>
            </w:r>
          </w:p>
        </w:tc>
      </w:tr>
      <w:tr>
        <w:trPr>
          <w:trHeight w:val="158"/>
        </w:trPr>
        <w:tc>
          <w:tcPr>
            <w:tcW w:w="6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2"/>
                <w:szCs w:val="12"/>
                <w:color w:val="auto"/>
              </w:rPr>
              <w:t xml:space="preserve">Statutory capital </w:t>
            </w:r>
            <w:r>
              <w:rPr>
                <w:rFonts w:ascii="Arial" w:cs="Arial" w:eastAsia="Arial" w:hAnsi="Arial"/>
                <w:sz w:val="15"/>
                <w:szCs w:val="15"/>
                <w:color w:val="auto"/>
                <w:vertAlign w:val="superscript"/>
              </w:rPr>
              <w:t>(1)</w:t>
            </w:r>
          </w:p>
        </w:tc>
        <w:tc>
          <w:tcPr>
            <w:tcW w:w="1840" w:type="dxa"/>
            <w:vAlign w:val="bottom"/>
            <w:tcBorders>
              <w:bottom w:val="single" w:sz="8" w:color="auto"/>
            </w:tcBorders>
            <w:shd w:val="clear" w:color="auto" w:fill="CCEEFF"/>
          </w:tcPr>
          <w:p>
            <w:pPr>
              <w:jc w:val="right"/>
              <w:ind w:right="1704"/>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1,979,756</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1,930,487</w:t>
            </w:r>
          </w:p>
        </w:tc>
      </w:tr>
      <w:tr>
        <w:trPr>
          <w:trHeight w:val="162"/>
        </w:trPr>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53"/>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Risk-to-capital</w:t>
            </w:r>
          </w:p>
        </w:tc>
        <w:tc>
          <w:tcPr>
            <w:tcW w:w="18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11.6:1</w:t>
            </w:r>
          </w:p>
        </w:tc>
      </w:tr>
    </w:tbl>
    <w:p>
      <w:pPr>
        <w:spacing w:after="0" w:line="159" w:lineRule="exact"/>
        <w:rPr>
          <w:sz w:val="20"/>
          <w:szCs w:val="20"/>
          <w:color w:val="auto"/>
        </w:rPr>
      </w:pPr>
    </w:p>
    <w:p>
      <w:pPr>
        <w:ind w:left="88" w:hanging="88"/>
        <w:spacing w:after="0"/>
        <w:tabs>
          <w:tab w:leader="none" w:pos="88" w:val="left"/>
        </w:tabs>
        <w:numPr>
          <w:ilvl w:val="0"/>
          <w:numId w:val="8"/>
        </w:numPr>
        <w:rPr>
          <w:rFonts w:ascii="Arial" w:cs="Arial" w:eastAsia="Arial" w:hAnsi="Arial"/>
          <w:sz w:val="10"/>
          <w:szCs w:val="10"/>
          <w:color w:val="auto"/>
          <w:vertAlign w:val="superscript"/>
        </w:rPr>
      </w:pPr>
      <w:r>
        <w:rPr>
          <w:rFonts w:ascii="Arial" w:cs="Arial" w:eastAsia="Arial" w:hAnsi="Arial"/>
          <w:sz w:val="8"/>
          <w:szCs w:val="8"/>
          <w:color w:val="auto"/>
        </w:rPr>
        <w:t>Represents the total of the statutory surplus and contingency reserve.</w:t>
      </w:r>
    </w:p>
    <w:p>
      <w:pPr>
        <w:spacing w:after="0" w:line="150" w:lineRule="exact"/>
        <w:rPr>
          <w:sz w:val="20"/>
          <w:szCs w:val="20"/>
          <w:color w:val="auto"/>
        </w:rPr>
      </w:pPr>
    </w:p>
    <w:p>
      <w:pPr>
        <w:ind w:left="8" w:right="40" w:firstLine="432"/>
        <w:spacing w:after="0" w:line="292" w:lineRule="auto"/>
        <w:rPr>
          <w:sz w:val="20"/>
          <w:szCs w:val="20"/>
          <w:color w:val="auto"/>
        </w:rPr>
      </w:pPr>
      <w:r>
        <w:rPr>
          <w:rFonts w:ascii="Arial" w:cs="Arial" w:eastAsia="Arial" w:hAnsi="Arial"/>
          <w:sz w:val="12"/>
          <w:szCs w:val="12"/>
          <w:color w:val="auto"/>
        </w:rPr>
        <w:t>Re One had $5.6 million of statutory capital at March 31, 2022 and December 31, 2021. Effective October 1, 2021, the reinsurance agreement between NMIC and Re One was commuted and all ceded risk was transferred back to NMIC. Following the commutation, Re One has no risk in force or further obligation on future claims.</w:t>
      </w:r>
    </w:p>
    <w:p>
      <w:pPr>
        <w:spacing w:after="0" w:line="114" w:lineRule="exact"/>
        <w:rPr>
          <w:sz w:val="20"/>
          <w:szCs w:val="20"/>
          <w:color w:val="auto"/>
        </w:rPr>
      </w:pPr>
    </w:p>
    <w:p>
      <w:pPr>
        <w:ind w:left="8" w:firstLine="459"/>
        <w:spacing w:after="0" w:line="276" w:lineRule="auto"/>
        <w:rPr>
          <w:sz w:val="20"/>
          <w:szCs w:val="20"/>
          <w:color w:val="auto"/>
        </w:rPr>
      </w:pPr>
      <w:r>
        <w:rPr>
          <w:rFonts w:ascii="Arial" w:cs="Arial" w:eastAsia="Arial" w:hAnsi="Arial"/>
          <w:sz w:val="12"/>
          <w:szCs w:val="12"/>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NMIC and Re One are subject to certain rules and regulations prescribed by jurisdictions in which they are authorized to operate and the GSEs that may restrict their ability to pay dividends to NMIH. NMIC has the capacity to pay $34.9 million of aggregate ordinary dividends to NMIH during the twelve-month period ending December 31, 2022 and on April 1, 2022, NMIC paid a $34.9 million ordinary course dividend to NMIH.</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Subsequent Event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Excess-of-loss reinsurance (XOL) Agreement</w:t>
      </w:r>
    </w:p>
    <w:p>
      <w:pPr>
        <w:spacing w:after="0" w:line="159"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On May 2, 2022, NMIC entered into a reinsurance agreement with a broad panel of highly rated reinsurers that provides for $289.7 million of aggregate excess-of-loss reinsurance coverage at inception for new delinquencies on an existing portfolio of mortgage insurance policies primarily written between October 1, 2021, and March 31, 2022 (2022-1 XOL Transaction). For the reinsurance coverage period, NMIC will retain the first layer of $133.4 million of aggregate losses and reinsurers then provide second layer coverage up to $289.7 million, subject to retained participation limits. NMIC will then retain losses in excess of the outstanding reinsurance coverage amount.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Warrants</w:t>
      </w:r>
    </w:p>
    <w:p>
      <w:pPr>
        <w:spacing w:after="0" w:line="114" w:lineRule="exact"/>
        <w:rPr>
          <w:sz w:val="20"/>
          <w:szCs w:val="20"/>
          <w:color w:val="auto"/>
        </w:rPr>
      </w:pPr>
    </w:p>
    <w:p>
      <w:pPr>
        <w:jc w:val="both"/>
        <w:ind w:firstLine="459"/>
        <w:spacing w:after="0" w:line="276" w:lineRule="auto"/>
        <w:rPr>
          <w:sz w:val="20"/>
          <w:szCs w:val="20"/>
          <w:color w:val="auto"/>
        </w:rPr>
      </w:pPr>
      <w:r>
        <w:rPr>
          <w:rFonts w:ascii="Arial" w:cs="Arial" w:eastAsia="Arial" w:hAnsi="Arial"/>
          <w:sz w:val="12"/>
          <w:szCs w:val="12"/>
          <w:color w:val="auto"/>
        </w:rPr>
        <w:t>As of March 31, 2022, we had 133 thousand unexercised warrants. They were issued on April 24, 2012 with a contractual term of ten years expiring on April 24, 2022. On April 24, 2022, 90 thousand warrants expired unexercised, resulting in a gain of approximately $0.9 million.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8" w:lineRule="exact"/>
        <w:rPr>
          <w:sz w:val="20"/>
          <w:szCs w:val="20"/>
          <w:color w:val="auto"/>
        </w:rPr>
      </w:pPr>
    </w:p>
    <w:p>
      <w:pPr>
        <w:jc w:val="both"/>
        <w:ind w:firstLine="201"/>
        <w:spacing w:after="0" w:line="256" w:lineRule="auto"/>
        <w:rPr>
          <w:sz w:val="20"/>
          <w:szCs w:val="20"/>
          <w:color w:val="auto"/>
        </w:rPr>
      </w:pPr>
      <w:r>
        <w:rPr>
          <w:rFonts w:ascii="Arial" w:cs="Arial" w:eastAsia="Arial" w:hAnsi="Arial"/>
          <w:sz w:val="12"/>
          <w:szCs w:val="12"/>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2021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2021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provide private MI through our primary insurance subsidiary, NMIC. NMIC is a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high-loan-to-value (LTV) (</w:t>
      </w:r>
      <w:r>
        <w:rPr>
          <w:rFonts w:ascii="Arial" w:cs="Arial" w:eastAsia="Arial" w:hAnsi="Arial"/>
          <w:sz w:val="11"/>
          <w:szCs w:val="11"/>
          <w:i w:val="1"/>
          <w:iCs w:val="1"/>
          <w:color w:val="auto"/>
        </w:rPr>
        <w:t>i.e.,</w:t>
      </w:r>
      <w:r>
        <w:rPr>
          <w:rFonts w:ascii="Arial" w:cs="Arial" w:eastAsia="Arial" w:hAnsi="Arial"/>
          <w:sz w:val="11"/>
          <w:szCs w:val="11"/>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2022, we had issued master policies with 1,776 customers, including national and regional mortgage banks, money center banks, credit unions, community banks, builder-owned mortgage lenders, internet-sourced lenders and other non-bank lenders. As of March 31, 2022, we had $158.9 billion of primary insurance-in-force (IIF) and $40.5 billion of primary risk-in-force (RIF).</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believe that our success in acquiring a large and diverse group of lender customers and growing a portfolio of high-quality IIF traces to our founding principles, whereby we aim to help qualified individuals achieve their homeownership goals,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jc w:val="both"/>
        <w:ind w:right="20"/>
        <w:spacing w:after="0" w:line="261" w:lineRule="auto"/>
        <w:rPr>
          <w:sz w:val="20"/>
          <w:szCs w:val="20"/>
          <w:color w:val="auto"/>
        </w:rPr>
      </w:pPr>
      <w:r>
        <w:rPr>
          <w:rFonts w:ascii="Arial" w:cs="Arial" w:eastAsia="Arial" w:hAnsi="Arial"/>
          <w:sz w:val="12"/>
          <w:szCs w:val="12"/>
          <w:color w:val="auto"/>
        </w:rPr>
        <w:t>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13"/>
          <w:szCs w:val="13"/>
          <w:color w:val="auto"/>
        </w:rPr>
        <w:t>®</w:t>
      </w:r>
      <w:r>
        <w:rPr>
          <w:rFonts w:ascii="Arial" w:cs="Arial" w:eastAsia="Arial" w:hAnsi="Arial"/>
          <w:sz w:val="12"/>
          <w:szCs w:val="12"/>
          <w:color w:val="auto"/>
        </w:rPr>
        <w:t xml:space="preserve"> pricing platform to dynamically evaluate risk and price our policies, and foster a culture of collaboration and excellence that helps us attract and retain experienced industry leaders.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Our common stock trades on the Nasdaq under the symbol "NMIH." Our headquarters is located in Emeryville, California. As of March 31, 2022, we had 246 employees. Our corporate website is located at </w:t>
      </w:r>
      <w:r>
        <w:rPr>
          <w:rFonts w:ascii="Arial" w:cs="Arial" w:eastAsia="Arial" w:hAnsi="Arial"/>
          <w:sz w:val="12"/>
          <w:szCs w:val="12"/>
          <w:i w:val="1"/>
          <w:iCs w:val="1"/>
          <w:color w:val="auto"/>
        </w:rPr>
        <w:t>www.nationalmi.com</w:t>
      </w:r>
      <w:r>
        <w:rPr>
          <w:rFonts w:ascii="Arial" w:cs="Arial" w:eastAsia="Arial" w:hAnsi="Arial"/>
          <w:sz w:val="12"/>
          <w:szCs w:val="12"/>
          <w:color w:val="auto"/>
        </w:rPr>
        <w:t>. Our website and the information contained on or accessible through our website are not incorporated by reference into this report.</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COVID-19 Developments</w:t>
      </w:r>
    </w:p>
    <w:p>
      <w:pPr>
        <w:spacing w:after="0" w:line="114"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On January 30, 2020, the World Health Organization (WHO)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New Insurance Written, Insurance-In-Force and Risk-In-Force</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Premiums Written and Net Premiums Earned</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29" w:name="page30"/>
    <w:bookmarkEnd w:id="29"/>
    <w:p>
      <w:pPr>
        <w:jc w:val="both"/>
        <w:spacing w:after="0" w:line="298" w:lineRule="auto"/>
        <w:rPr>
          <w:sz w:val="20"/>
          <w:szCs w:val="20"/>
          <w:color w:val="auto"/>
        </w:rPr>
      </w:pPr>
      <w:r>
        <w:rPr>
          <w:rFonts w:ascii="Arial" w:cs="Arial" w:eastAsia="Arial" w:hAnsi="Arial"/>
          <w:sz w:val="11"/>
          <w:szCs w:val="11"/>
          <w:color w:val="auto"/>
        </w:rPr>
        <w:t>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6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79" w:lineRule="exact"/>
        <w:rPr>
          <w:sz w:val="20"/>
          <w:szCs w:val="20"/>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NIW;</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premium rates and the mix of premium payment type, which are either single, monthly or annual premiums, as described below;</w:t>
      </w:r>
    </w:p>
    <w:p>
      <w:pPr>
        <w:spacing w:after="0" w:line="114"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9"/>
        </w:numPr>
        <w:rPr>
          <w:rFonts w:ascii="Arial" w:cs="Arial" w:eastAsia="Arial" w:hAnsi="Arial"/>
          <w:sz w:val="12"/>
          <w:szCs w:val="12"/>
          <w:color w:val="auto"/>
        </w:rPr>
      </w:pPr>
      <w:r>
        <w:rPr>
          <w:rFonts w:ascii="Arial" w:cs="Arial" w:eastAsia="Arial" w:hAnsi="Arial"/>
          <w:sz w:val="12"/>
          <w:szCs w:val="12"/>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cession of premiums under third-party reinsurance arrangements.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2022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9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Effect of reinsurance on our results</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0" w:name="page31"/>
    <w:bookmarkEnd w:id="30"/>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 is a party to five active quota share reinsurance treaties – the 2016 QSR Transaction, effective September 1, 2016, the 2018 QSR Transaction, effective January 1, 2018, the 2020 QSR Transaction, effective April 1, 2020, the 2021 QSR Transaction, effective January 1, 2021, and the 2022 QSR Transaction, effective October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7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2022 QSR Transaction, NMIC cedes premiums earned related to 20% of the risk on eligible policies written between October 30, 2021 and December 31, 2022, in exchange for reimbursement of ceded claims and claims expenses on covered policies, a 20% ceding commission, and a profit commission of up to 62% that varies directly and inversely with ceded claims.</w:t>
      </w:r>
    </w:p>
    <w:p>
      <w:pPr>
        <w:spacing w:after="0" w:line="7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NMIC may elect to terminate its engagement with individual reinsurers on a run-off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reinsurers continue providing coverage on all risk ceded prior to the termination date, with no new cessions going forward) or cut-off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1" w:name="page32"/>
    <w:bookmarkEnd w:id="31"/>
    <w:p>
      <w:pPr>
        <w:jc w:val="both"/>
        <w:ind w:left="8" w:firstLine="432"/>
        <w:spacing w:after="0" w:line="289" w:lineRule="auto"/>
        <w:rPr>
          <w:sz w:val="20"/>
          <w:szCs w:val="20"/>
          <w:color w:val="auto"/>
        </w:rPr>
      </w:pPr>
      <w:r>
        <w:rPr>
          <w:rFonts w:ascii="Arial" w:cs="Arial" w:eastAsia="Arial" w:hAnsi="Arial"/>
          <w:sz w:val="10"/>
          <w:szCs w:val="10"/>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March 31, 2022, the 2018 and 2019 ILN Transactions were deemed to be in Lock Out due to the default experience of the underlying reference pools for each respective transaction and the 2021-2 ILN Transaction was deemed to be in Lock</w:t>
      </w:r>
    </w:p>
    <w:p>
      <w:pPr>
        <w:spacing w:after="0" w:line="1" w:lineRule="exact"/>
        <w:rPr>
          <w:sz w:val="20"/>
          <w:szCs w:val="20"/>
          <w:color w:val="auto"/>
        </w:rPr>
      </w:pPr>
    </w:p>
    <w:p>
      <w:pPr>
        <w:jc w:val="both"/>
        <w:ind w:left="8"/>
        <w:spacing w:after="0" w:line="248" w:lineRule="auto"/>
        <w:rPr>
          <w:sz w:val="20"/>
          <w:szCs w:val="20"/>
          <w:color w:val="auto"/>
        </w:rPr>
      </w:pPr>
      <w:r>
        <w:rPr>
          <w:rFonts w:ascii="Arial" w:cs="Arial" w:eastAsia="Arial" w:hAnsi="Arial"/>
          <w:sz w:val="12"/>
          <w:szCs w:val="12"/>
          <w:color w:val="auto"/>
        </w:rPr>
        <w:t>Out in connection with the initial build of its target credit enhancement level. As such, the amortization of reinsurance coverage, and distribution of collateral assets and amortization of insurance-linked notes was suspended for each ILN Transaction. The amortization of reinsurance coverage, distribution of collateral assets and amortization of insurance-linked notes issued in connection with the 2018, 2019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w:t>
      </w:r>
    </w:p>
    <w:p>
      <w:pPr>
        <w:spacing w:after="0" w:line="87"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07"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Effective March 25, 2022, NMIC exercised its optional clean-up call to terminate the 2017 ILN Transaction. In connection with the termination of the transaction, NMIC’s excess of loss reinsurance agreement with Oaktown Re Ltd. was commuted and the insurance-linked notes issued by Oaktown Re Ltd. were redeemed in full with a distribution of remaining collateral assets.</w:t>
      </w:r>
    </w:p>
    <w:p>
      <w:pPr>
        <w:spacing w:after="0" w:line="12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current reinsurance coverage amount, current first layer retained aggregate loss and detail on the level of overcollateralization under each outstanding ILN Transaction. Current amounts are presented as of March 31, 2022.</w:t>
      </w:r>
    </w:p>
    <w:p>
      <w:pPr>
        <w:sectPr>
          <w:pgSz w:w="11900" w:h="16838" w:orient="portrait"/>
          <w:cols w:equalWidth="0" w:num="1">
            <w:col w:w="11308"/>
          </w:cols>
          <w:pgMar w:left="292" w:top="842" w:right="299" w:bottom="1440" w:gutter="0" w:footer="0" w:header="0"/>
        </w:sectPr>
      </w:pPr>
    </w:p>
    <w:p>
      <w:pPr>
        <w:spacing w:after="0" w:line="12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 values in thousands)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Inception date</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Covered production</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1"/>
          <w:szCs w:val="11"/>
          <w:color w:val="auto"/>
        </w:rPr>
        <w:t>Current ceded RIF</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9"/>
          <w:szCs w:val="9"/>
          <w:color w:val="auto"/>
        </w:rPr>
        <w:t>Current first layer retained loss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0"/>
          <w:szCs w:val="10"/>
          <w:color w:val="auto"/>
        </w:rPr>
        <w:t>Current reinsurance coverage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Eligible coverage</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Subordinated coverage </w:t>
      </w:r>
      <w:r>
        <w:rPr>
          <w:rFonts w:ascii="Arial" w:cs="Arial" w:eastAsia="Arial" w:hAnsi="Arial"/>
          <w:sz w:val="14"/>
          <w:szCs w:val="14"/>
          <w:color w:val="auto"/>
          <w:vertAlign w:val="superscript"/>
        </w:rPr>
        <w:t>(5)</w:t>
      </w:r>
    </w:p>
    <w:p>
      <w:pPr>
        <w:spacing w:after="0" w:line="136" w:lineRule="exact"/>
        <w:rPr>
          <w:sz w:val="20"/>
          <w:szCs w:val="20"/>
          <w:color w:val="auto"/>
        </w:rPr>
      </w:pPr>
    </w:p>
    <w:p>
      <w:pPr>
        <w:ind w:left="8" w:right="520"/>
        <w:spacing w:after="0" w:line="402" w:lineRule="auto"/>
        <w:rPr>
          <w:sz w:val="20"/>
          <w:szCs w:val="20"/>
          <w:color w:val="auto"/>
        </w:rPr>
      </w:pPr>
      <w:r>
        <w:rPr>
          <w:rFonts w:ascii="Arial" w:cs="Arial" w:eastAsia="Arial" w:hAnsi="Arial"/>
          <w:sz w:val="9"/>
          <w:szCs w:val="9"/>
          <w:color w:val="auto"/>
        </w:rPr>
        <w:t xml:space="preserve">PMIERs charge on ceded RIF Overcollateralization </w:t>
      </w:r>
      <w:r>
        <w:rPr>
          <w:rFonts w:ascii="Arial" w:cs="Arial" w:eastAsia="Arial" w:hAnsi="Arial"/>
          <w:sz w:val="12"/>
          <w:szCs w:val="12"/>
          <w:color w:val="auto"/>
          <w:vertAlign w:val="superscript"/>
        </w:rPr>
        <w:t>(6) (7)</w:t>
      </w:r>
    </w:p>
    <w:p>
      <w:pPr>
        <w:spacing w:after="0" w:line="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Delinquency Trigger </w:t>
      </w:r>
      <w:r>
        <w:rPr>
          <w:rFonts w:ascii="Arial" w:cs="Arial" w:eastAsia="Arial" w:hAnsi="Arial"/>
          <w:sz w:val="14"/>
          <w:szCs w:val="14"/>
          <w:color w:val="auto"/>
          <w:vertAlign w:val="superscript"/>
        </w:rPr>
        <w:t>(8)</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2"/>
              </w:rPr>
              <w:t>2018 ILN Transaction</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2"/>
              </w:rPr>
              <w:t>2019 ILN Transaction</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2020-1 ILN Transaction</w:t>
            </w:r>
            <w:r>
              <w:rPr>
                <w:rFonts w:ascii="Arial" w:cs="Arial" w:eastAsia="Arial" w:hAnsi="Arial"/>
                <w:sz w:val="14"/>
                <w:szCs w:val="14"/>
                <w:b w:val="1"/>
                <w:bCs w:val="1"/>
                <w:color w:val="auto"/>
                <w:w w:val="90"/>
                <w:vertAlign w:val="superscript"/>
              </w:rPr>
              <w:t>(4)</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2020-2 ILN Transaction</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9"/>
              </w:rPr>
              <w:t>2021-1 ILN Transaction</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2021-2 ILN Transaction</w:t>
            </w:r>
          </w:p>
        </w:tc>
      </w:tr>
      <w:tr>
        <w:trPr>
          <w:trHeight w:val="129"/>
        </w:trPr>
        <w:tc>
          <w:tcPr>
            <w:tcW w:w="120" w:type="dxa"/>
            <w:vAlign w:val="bottom"/>
          </w:tcPr>
          <w:p>
            <w:pPr>
              <w:spacing w:after="0"/>
              <w:rPr>
                <w:sz w:val="11"/>
                <w:szCs w:val="11"/>
                <w:color w:val="auto"/>
              </w:rPr>
            </w:pPr>
          </w:p>
        </w:tc>
        <w:tc>
          <w:tcPr>
            <w:tcW w:w="1220" w:type="dxa"/>
            <w:vAlign w:val="bottom"/>
          </w:tcPr>
          <w:p>
            <w:pPr>
              <w:jc w:val="center"/>
              <w:ind w:right="66"/>
              <w:spacing w:after="0"/>
              <w:rPr>
                <w:sz w:val="20"/>
                <w:szCs w:val="20"/>
                <w:color w:val="auto"/>
              </w:rPr>
            </w:pPr>
            <w:r>
              <w:rPr>
                <w:rFonts w:ascii="Arial" w:cs="Arial" w:eastAsia="Arial" w:hAnsi="Arial"/>
                <w:sz w:val="11"/>
                <w:szCs w:val="11"/>
                <w:color w:val="auto"/>
                <w:w w:val="88"/>
              </w:rPr>
              <w:t>July 25, 2018</w:t>
            </w:r>
          </w:p>
        </w:tc>
        <w:tc>
          <w:tcPr>
            <w:tcW w:w="140" w:type="dxa"/>
            <w:vAlign w:val="bottom"/>
          </w:tcPr>
          <w:p>
            <w:pPr>
              <w:spacing w:after="0"/>
              <w:rPr>
                <w:sz w:val="11"/>
                <w:szCs w:val="11"/>
                <w:color w:val="auto"/>
              </w:rPr>
            </w:pPr>
          </w:p>
        </w:tc>
        <w:tc>
          <w:tcPr>
            <w:tcW w:w="1240" w:type="dxa"/>
            <w:vAlign w:val="bottom"/>
          </w:tcPr>
          <w:p>
            <w:pPr>
              <w:jc w:val="center"/>
              <w:ind w:right="86"/>
              <w:spacing w:after="0"/>
              <w:rPr>
                <w:sz w:val="20"/>
                <w:szCs w:val="20"/>
                <w:color w:val="auto"/>
              </w:rPr>
            </w:pPr>
            <w:r>
              <w:rPr>
                <w:rFonts w:ascii="Arial" w:cs="Arial" w:eastAsia="Arial" w:hAnsi="Arial"/>
                <w:sz w:val="11"/>
                <w:szCs w:val="11"/>
                <w:color w:val="auto"/>
                <w:w w:val="88"/>
              </w:rPr>
              <w:t>July 30, 2019</w:t>
            </w:r>
          </w:p>
        </w:tc>
        <w:tc>
          <w:tcPr>
            <w:tcW w:w="80" w:type="dxa"/>
            <w:vAlign w:val="bottom"/>
          </w:tcPr>
          <w:p>
            <w:pPr>
              <w:spacing w:after="0"/>
              <w:rPr>
                <w:sz w:val="11"/>
                <w:szCs w:val="11"/>
                <w:color w:val="auto"/>
              </w:rPr>
            </w:pPr>
          </w:p>
        </w:tc>
        <w:tc>
          <w:tcPr>
            <w:tcW w:w="1240" w:type="dxa"/>
            <w:vAlign w:val="bottom"/>
          </w:tcPr>
          <w:p>
            <w:pPr>
              <w:jc w:val="right"/>
              <w:ind w:right="306"/>
              <w:spacing w:after="0"/>
              <w:rPr>
                <w:sz w:val="20"/>
                <w:szCs w:val="20"/>
                <w:color w:val="auto"/>
              </w:rPr>
            </w:pPr>
            <w:r>
              <w:rPr>
                <w:rFonts w:ascii="Arial" w:cs="Arial" w:eastAsia="Arial" w:hAnsi="Arial"/>
                <w:sz w:val="11"/>
                <w:szCs w:val="11"/>
                <w:color w:val="auto"/>
              </w:rPr>
              <w:t>July 30, 2020</w:t>
            </w:r>
          </w:p>
        </w:tc>
        <w:tc>
          <w:tcPr>
            <w:tcW w:w="160" w:type="dxa"/>
            <w:vAlign w:val="bottom"/>
          </w:tcPr>
          <w:p>
            <w:pPr>
              <w:spacing w:after="0"/>
              <w:rPr>
                <w:sz w:val="11"/>
                <w:szCs w:val="11"/>
                <w:color w:val="auto"/>
              </w:rPr>
            </w:pPr>
          </w:p>
        </w:tc>
        <w:tc>
          <w:tcPr>
            <w:tcW w:w="1360" w:type="dxa"/>
            <w:vAlign w:val="bottom"/>
          </w:tcPr>
          <w:p>
            <w:pPr>
              <w:jc w:val="right"/>
              <w:ind w:right="326"/>
              <w:spacing w:after="0"/>
              <w:rPr>
                <w:sz w:val="20"/>
                <w:szCs w:val="20"/>
                <w:color w:val="auto"/>
              </w:rPr>
            </w:pPr>
            <w:r>
              <w:rPr>
                <w:rFonts w:ascii="Arial" w:cs="Arial" w:eastAsia="Arial" w:hAnsi="Arial"/>
                <w:sz w:val="11"/>
                <w:szCs w:val="11"/>
                <w:color w:val="auto"/>
              </w:rPr>
              <w:t>October 29, 2020</w:t>
            </w:r>
          </w:p>
        </w:tc>
        <w:tc>
          <w:tcPr>
            <w:tcW w:w="140" w:type="dxa"/>
            <w:vAlign w:val="bottom"/>
          </w:tcPr>
          <w:p>
            <w:pPr>
              <w:spacing w:after="0"/>
              <w:rPr>
                <w:sz w:val="11"/>
                <w:szCs w:val="11"/>
                <w:color w:val="auto"/>
              </w:rPr>
            </w:pPr>
          </w:p>
        </w:tc>
        <w:tc>
          <w:tcPr>
            <w:tcW w:w="1380" w:type="dxa"/>
            <w:vAlign w:val="bottom"/>
          </w:tcPr>
          <w:p>
            <w:pPr>
              <w:jc w:val="right"/>
              <w:ind w:right="406"/>
              <w:spacing w:after="0"/>
              <w:rPr>
                <w:sz w:val="20"/>
                <w:szCs w:val="20"/>
                <w:color w:val="auto"/>
              </w:rPr>
            </w:pPr>
            <w:r>
              <w:rPr>
                <w:rFonts w:ascii="Arial" w:cs="Arial" w:eastAsia="Arial" w:hAnsi="Arial"/>
                <w:sz w:val="11"/>
                <w:szCs w:val="11"/>
                <w:color w:val="auto"/>
              </w:rPr>
              <w:t>April 27, 2021</w:t>
            </w:r>
          </w:p>
        </w:tc>
        <w:tc>
          <w:tcPr>
            <w:tcW w:w="160" w:type="dxa"/>
            <w:vAlign w:val="bottom"/>
          </w:tcPr>
          <w:p>
            <w:pPr>
              <w:spacing w:after="0"/>
              <w:rPr>
                <w:sz w:val="11"/>
                <w:szCs w:val="11"/>
                <w:color w:val="auto"/>
              </w:rPr>
            </w:pPr>
          </w:p>
        </w:tc>
        <w:tc>
          <w:tcPr>
            <w:tcW w:w="1420" w:type="dxa"/>
            <w:vAlign w:val="bottom"/>
          </w:tcPr>
          <w:p>
            <w:pPr>
              <w:jc w:val="right"/>
              <w:ind w:right="366"/>
              <w:spacing w:after="0"/>
              <w:rPr>
                <w:sz w:val="20"/>
                <w:szCs w:val="20"/>
                <w:color w:val="auto"/>
              </w:rPr>
            </w:pPr>
            <w:r>
              <w:rPr>
                <w:rFonts w:ascii="Arial" w:cs="Arial" w:eastAsia="Arial" w:hAnsi="Arial"/>
                <w:sz w:val="11"/>
                <w:szCs w:val="11"/>
                <w:color w:val="auto"/>
              </w:rPr>
              <w:t>October 26, 2021</w:t>
            </w:r>
          </w:p>
        </w:tc>
      </w:tr>
      <w:tr>
        <w:trPr>
          <w:trHeight w:val="190"/>
        </w:trPr>
        <w:tc>
          <w:tcPr>
            <w:tcW w:w="120" w:type="dxa"/>
            <w:vAlign w:val="bottom"/>
          </w:tcPr>
          <w:p>
            <w:pPr>
              <w:spacing w:after="0"/>
              <w:rPr>
                <w:sz w:val="16"/>
                <w:szCs w:val="16"/>
                <w:color w:val="auto"/>
              </w:rPr>
            </w:pPr>
          </w:p>
        </w:tc>
        <w:tc>
          <w:tcPr>
            <w:tcW w:w="1220" w:type="dxa"/>
            <w:vAlign w:val="bottom"/>
          </w:tcPr>
          <w:p>
            <w:pPr>
              <w:jc w:val="center"/>
              <w:ind w:right="46"/>
              <w:spacing w:after="0"/>
              <w:rPr>
                <w:sz w:val="20"/>
                <w:szCs w:val="20"/>
                <w:color w:val="auto"/>
              </w:rPr>
            </w:pPr>
            <w:r>
              <w:rPr>
                <w:rFonts w:ascii="Arial" w:cs="Arial" w:eastAsia="Arial" w:hAnsi="Arial"/>
                <w:sz w:val="11"/>
                <w:szCs w:val="11"/>
                <w:color w:val="auto"/>
                <w:w w:val="90"/>
              </w:rPr>
              <w:t>1/1/2017 - 5/31/2018</w:t>
            </w:r>
          </w:p>
        </w:tc>
        <w:tc>
          <w:tcPr>
            <w:tcW w:w="140" w:type="dxa"/>
            <w:vAlign w:val="bottom"/>
          </w:tcPr>
          <w:p>
            <w:pPr>
              <w:spacing w:after="0"/>
              <w:rPr>
                <w:sz w:val="16"/>
                <w:szCs w:val="16"/>
                <w:color w:val="auto"/>
              </w:rPr>
            </w:pPr>
          </w:p>
        </w:tc>
        <w:tc>
          <w:tcPr>
            <w:tcW w:w="1240" w:type="dxa"/>
            <w:vAlign w:val="bottom"/>
          </w:tcPr>
          <w:p>
            <w:pPr>
              <w:jc w:val="center"/>
              <w:ind w:right="86"/>
              <w:spacing w:after="0"/>
              <w:rPr>
                <w:sz w:val="20"/>
                <w:szCs w:val="20"/>
                <w:color w:val="auto"/>
              </w:rPr>
            </w:pPr>
            <w:r>
              <w:rPr>
                <w:rFonts w:ascii="Arial" w:cs="Arial" w:eastAsia="Arial" w:hAnsi="Arial"/>
                <w:sz w:val="11"/>
                <w:szCs w:val="11"/>
                <w:color w:val="auto"/>
                <w:w w:val="88"/>
              </w:rPr>
              <w:t>6/1/2018 - 6/30/2019</w:t>
            </w:r>
          </w:p>
        </w:tc>
        <w:tc>
          <w:tcPr>
            <w:tcW w:w="80" w:type="dxa"/>
            <w:vAlign w:val="bottom"/>
          </w:tcPr>
          <w:p>
            <w:pPr>
              <w:spacing w:after="0"/>
              <w:rPr>
                <w:sz w:val="16"/>
                <w:szCs w:val="16"/>
                <w:color w:val="auto"/>
              </w:rPr>
            </w:pPr>
          </w:p>
        </w:tc>
        <w:tc>
          <w:tcPr>
            <w:tcW w:w="1240" w:type="dxa"/>
            <w:vAlign w:val="bottom"/>
          </w:tcPr>
          <w:p>
            <w:pPr>
              <w:jc w:val="right"/>
              <w:ind w:right="146"/>
              <w:spacing w:after="0"/>
              <w:rPr>
                <w:sz w:val="20"/>
                <w:szCs w:val="20"/>
                <w:color w:val="auto"/>
              </w:rPr>
            </w:pPr>
            <w:r>
              <w:rPr>
                <w:rFonts w:ascii="Arial" w:cs="Arial" w:eastAsia="Arial" w:hAnsi="Arial"/>
                <w:sz w:val="11"/>
                <w:szCs w:val="11"/>
                <w:color w:val="auto"/>
              </w:rPr>
              <w:t>7/1/2019 - 3/31/2020</w:t>
            </w:r>
          </w:p>
        </w:tc>
        <w:tc>
          <w:tcPr>
            <w:tcW w:w="160" w:type="dxa"/>
            <w:vAlign w:val="bottom"/>
          </w:tcPr>
          <w:p>
            <w:pPr>
              <w:spacing w:after="0"/>
              <w:rPr>
                <w:sz w:val="16"/>
                <w:szCs w:val="16"/>
                <w:color w:val="auto"/>
              </w:rPr>
            </w:pPr>
          </w:p>
        </w:tc>
        <w:tc>
          <w:tcPr>
            <w:tcW w:w="1360" w:type="dxa"/>
            <w:vAlign w:val="bottom"/>
          </w:tcPr>
          <w:p>
            <w:pPr>
              <w:jc w:val="right"/>
              <w:ind w:right="206"/>
              <w:spacing w:after="0"/>
              <w:rPr>
                <w:sz w:val="20"/>
                <w:szCs w:val="20"/>
                <w:color w:val="auto"/>
              </w:rPr>
            </w:pPr>
            <w:r>
              <w:rPr>
                <w:rFonts w:ascii="Arial" w:cs="Arial" w:eastAsia="Arial" w:hAnsi="Arial"/>
                <w:sz w:val="11"/>
                <w:szCs w:val="11"/>
                <w:color w:val="auto"/>
                <w:w w:val="93"/>
              </w:rPr>
              <w:t xml:space="preserve">4/1/2020 - 9/30/2020 </w:t>
            </w:r>
            <w:r>
              <w:rPr>
                <w:rFonts w:ascii="Arial" w:cs="Arial" w:eastAsia="Arial" w:hAnsi="Arial"/>
                <w:sz w:val="14"/>
                <w:szCs w:val="14"/>
                <w:color w:val="auto"/>
                <w:w w:val="93"/>
                <w:vertAlign w:val="superscript"/>
              </w:rPr>
              <w:t>(1)</w:t>
            </w:r>
          </w:p>
        </w:tc>
        <w:tc>
          <w:tcPr>
            <w:tcW w:w="140" w:type="dxa"/>
            <w:vAlign w:val="bottom"/>
          </w:tcPr>
          <w:p>
            <w:pPr>
              <w:spacing w:after="0"/>
              <w:rPr>
                <w:sz w:val="16"/>
                <w:szCs w:val="16"/>
                <w:color w:val="auto"/>
              </w:rPr>
            </w:pPr>
          </w:p>
        </w:tc>
        <w:tc>
          <w:tcPr>
            <w:tcW w:w="1380" w:type="dxa"/>
            <w:vAlign w:val="bottom"/>
          </w:tcPr>
          <w:p>
            <w:pPr>
              <w:jc w:val="right"/>
              <w:ind w:right="166"/>
              <w:spacing w:after="0"/>
              <w:rPr>
                <w:sz w:val="20"/>
                <w:szCs w:val="20"/>
                <w:color w:val="auto"/>
              </w:rPr>
            </w:pPr>
            <w:r>
              <w:rPr>
                <w:rFonts w:ascii="Arial" w:cs="Arial" w:eastAsia="Arial" w:hAnsi="Arial"/>
                <w:sz w:val="11"/>
                <w:szCs w:val="11"/>
                <w:color w:val="auto"/>
                <w:w w:val="93"/>
              </w:rPr>
              <w:t xml:space="preserve">10/1/2020 - 3/31/2021 </w:t>
            </w:r>
            <w:r>
              <w:rPr>
                <w:rFonts w:ascii="Arial" w:cs="Arial" w:eastAsia="Arial" w:hAnsi="Arial"/>
                <w:sz w:val="14"/>
                <w:szCs w:val="14"/>
                <w:color w:val="auto"/>
                <w:w w:val="93"/>
                <w:vertAlign w:val="superscript"/>
              </w:rPr>
              <w:t>(2)</w:t>
            </w:r>
          </w:p>
        </w:tc>
        <w:tc>
          <w:tcPr>
            <w:tcW w:w="160" w:type="dxa"/>
            <w:vAlign w:val="bottom"/>
          </w:tcPr>
          <w:p>
            <w:pPr>
              <w:spacing w:after="0"/>
              <w:rPr>
                <w:sz w:val="16"/>
                <w:szCs w:val="16"/>
                <w:color w:val="auto"/>
              </w:rPr>
            </w:pPr>
          </w:p>
        </w:tc>
        <w:tc>
          <w:tcPr>
            <w:tcW w:w="1420" w:type="dxa"/>
            <w:vAlign w:val="bottom"/>
          </w:tcPr>
          <w:p>
            <w:pPr>
              <w:jc w:val="right"/>
              <w:ind w:right="226"/>
              <w:spacing w:after="0"/>
              <w:rPr>
                <w:sz w:val="20"/>
                <w:szCs w:val="20"/>
                <w:color w:val="auto"/>
              </w:rPr>
            </w:pPr>
            <w:r>
              <w:rPr>
                <w:rFonts w:ascii="Arial" w:cs="Arial" w:eastAsia="Arial" w:hAnsi="Arial"/>
                <w:sz w:val="11"/>
                <w:szCs w:val="11"/>
                <w:color w:val="auto"/>
                <w:w w:val="96"/>
              </w:rPr>
              <w:t xml:space="preserve">4/1/2021 - 9/30/2021 </w:t>
            </w:r>
            <w:r>
              <w:rPr>
                <w:rFonts w:ascii="Arial" w:cs="Arial" w:eastAsia="Arial" w:hAnsi="Arial"/>
                <w:sz w:val="14"/>
                <w:szCs w:val="14"/>
                <w:color w:val="auto"/>
                <w:w w:val="96"/>
                <w:vertAlign w:val="superscript"/>
              </w:rPr>
              <w:t>(3)</w:t>
            </w:r>
          </w:p>
        </w:tc>
      </w:tr>
      <w:tr>
        <w:trPr>
          <w:trHeight w:val="260"/>
        </w:trPr>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1,049,140</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1,171,775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2,437,684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4,100,877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7,731,544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7,504,161</w:t>
            </w:r>
          </w:p>
        </w:tc>
      </w:tr>
      <w:tr>
        <w:trPr>
          <w:trHeight w:val="279"/>
        </w:trPr>
        <w:tc>
          <w:tcPr>
            <w:tcW w:w="120" w:type="dxa"/>
            <w:vAlign w:val="bottom"/>
          </w:tcPr>
          <w:p>
            <w:pPr>
              <w:spacing w:after="0"/>
              <w:rPr>
                <w:sz w:val="24"/>
                <w:szCs w:val="24"/>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122,403</w:t>
            </w:r>
          </w:p>
        </w:tc>
        <w:tc>
          <w:tcPr>
            <w:tcW w:w="140" w:type="dxa"/>
            <w:vAlign w:val="bottom"/>
          </w:tcPr>
          <w:p>
            <w:pPr>
              <w:spacing w:after="0"/>
              <w:rPr>
                <w:sz w:val="24"/>
                <w:szCs w:val="24"/>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122,524</w:t>
            </w:r>
          </w:p>
        </w:tc>
        <w:tc>
          <w:tcPr>
            <w:tcW w:w="80" w:type="dxa"/>
            <w:vAlign w:val="bottom"/>
          </w:tcPr>
          <w:p>
            <w:pPr>
              <w:spacing w:after="0"/>
              <w:rPr>
                <w:sz w:val="24"/>
                <w:szCs w:val="24"/>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169,463</w:t>
            </w:r>
          </w:p>
        </w:tc>
        <w:tc>
          <w:tcPr>
            <w:tcW w:w="160" w:type="dxa"/>
            <w:vAlign w:val="bottom"/>
          </w:tcPr>
          <w:p>
            <w:pPr>
              <w:spacing w:after="0"/>
              <w:rPr>
                <w:sz w:val="24"/>
                <w:szCs w:val="2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121,177</w:t>
            </w:r>
          </w:p>
        </w:tc>
        <w:tc>
          <w:tcPr>
            <w:tcW w:w="140" w:type="dxa"/>
            <w:vAlign w:val="bottom"/>
          </w:tcPr>
          <w:p>
            <w:pPr>
              <w:spacing w:after="0"/>
              <w:rPr>
                <w:sz w:val="24"/>
                <w:szCs w:val="24"/>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163,708</w:t>
            </w:r>
          </w:p>
        </w:tc>
        <w:tc>
          <w:tcPr>
            <w:tcW w:w="160" w:type="dxa"/>
            <w:vAlign w:val="bottom"/>
          </w:tcPr>
          <w:p>
            <w:pPr>
              <w:spacing w:after="0"/>
              <w:rPr>
                <w:sz w:val="24"/>
                <w:szCs w:val="24"/>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146,229</w:t>
            </w:r>
          </w:p>
        </w:tc>
      </w:tr>
      <w:tr>
        <w:trPr>
          <w:trHeight w:val="160"/>
        </w:trPr>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158,489</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231,877</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35,409</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140,063</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359,787</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363,596</w:t>
            </w:r>
          </w:p>
        </w:tc>
      </w:tr>
      <w:tr>
        <w:trPr>
          <w:trHeight w:val="135"/>
        </w:trPr>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280,892</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354,401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204,872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261,240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523,495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509,825</w:t>
            </w:r>
          </w:p>
        </w:tc>
      </w:tr>
      <w:tr>
        <w:trPr>
          <w:trHeight w:val="153"/>
        </w:trPr>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26.77 %</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30.24 %</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8.00 %</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6.25 %</w:t>
            </w: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6.75 %</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6.79 %</w:t>
            </w:r>
          </w:p>
        </w:tc>
      </w:tr>
      <w:tr>
        <w:trPr>
          <w:trHeight w:val="303"/>
        </w:trPr>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8.22 %</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7.99 %</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5.95 %</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5.54 %</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6.06 %</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6.53 %</w:t>
            </w:r>
          </w:p>
        </w:tc>
      </w:tr>
      <w:tr>
        <w:trPr>
          <w:trHeight w:val="136"/>
        </w:trPr>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158,489</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231,877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35,409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33,855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54,997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20,148</w:t>
            </w:r>
          </w:p>
        </w:tc>
      </w:tr>
      <w:tr>
        <w:trPr>
          <w:trHeight w:val="252"/>
        </w:trPr>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4.0%</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6.0 %</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4.7 %</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5.1 %</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-1305560</wp:posOffset>
            </wp:positionV>
            <wp:extent cx="7120890" cy="97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-1111250</wp:posOffset>
            </wp:positionV>
            <wp:extent cx="7120890" cy="91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0890" cy="9144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-922655</wp:posOffset>
            </wp:positionV>
            <wp:extent cx="7120890"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0890" cy="8572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-739775</wp:posOffset>
            </wp:positionV>
            <wp:extent cx="7120890" cy="97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-539750</wp:posOffset>
            </wp:positionV>
            <wp:extent cx="7120890" cy="97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-351155</wp:posOffset>
            </wp:positionV>
            <wp:extent cx="7120890" cy="97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-156845</wp:posOffset>
            </wp:positionV>
            <wp:extent cx="712089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0890" cy="6858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1828" w:space="720"/>
            <w:col w:w="8760"/>
          </w:cols>
          <w:pgMar w:left="292" w:top="842" w:right="299" w:bottom="1440" w:gutter="0" w:footer="0" w:header="0"/>
          <w:type w:val="continuous"/>
        </w:sectPr>
      </w:pPr>
    </w:p>
    <w:p>
      <w:pPr>
        <w:ind w:left="188" w:hanging="188"/>
        <w:spacing w:after="0"/>
        <w:tabs>
          <w:tab w:leader="none" w:pos="188" w:val="left"/>
        </w:tabs>
        <w:numPr>
          <w:ilvl w:val="0"/>
          <w:numId w:val="10"/>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2020-2 ILN Transaction has coverage reporting dates between July 1, 2019 and March 31, 2020.</w:t>
      </w:r>
    </w:p>
    <w:p>
      <w:pPr>
        <w:ind w:left="128" w:hanging="128"/>
        <w:spacing w:after="0" w:line="187" w:lineRule="auto"/>
        <w:tabs>
          <w:tab w:leader="none" w:pos="128" w:val="left"/>
        </w:tabs>
        <w:numPr>
          <w:ilvl w:val="0"/>
          <w:numId w:val="10"/>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2021-1 ILN Transaction has coverage reporting dates between July 1, 2019 and September 30, 2020.</w:t>
      </w:r>
    </w:p>
    <w:p>
      <w:pPr>
        <w:ind w:left="128" w:hanging="128"/>
        <w:spacing w:after="0" w:line="187" w:lineRule="auto"/>
        <w:tabs>
          <w:tab w:leader="none" w:pos="128" w:val="left"/>
        </w:tabs>
        <w:numPr>
          <w:ilvl w:val="0"/>
          <w:numId w:val="10"/>
        </w:numPr>
        <w:rPr>
          <w:rFonts w:ascii="Arial" w:cs="Arial" w:eastAsia="Arial" w:hAnsi="Arial"/>
          <w:sz w:val="12"/>
          <w:szCs w:val="12"/>
          <w:color w:val="auto"/>
          <w:vertAlign w:val="superscript"/>
        </w:rPr>
      </w:pPr>
      <w:r>
        <w:rPr>
          <w:rFonts w:ascii="Arial" w:cs="Arial" w:eastAsia="Arial" w:hAnsi="Arial"/>
          <w:sz w:val="10"/>
          <w:szCs w:val="10"/>
          <w:color w:val="auto"/>
        </w:rPr>
        <w:t>Approximately 2% of the production covered by the 2021-2 ILN Transaction has coverage reporting dates between July 1, 2019 and March 31, 2021.</w:t>
      </w:r>
    </w:p>
    <w:p>
      <w:pPr>
        <w:ind w:left="208" w:right="80" w:hanging="208"/>
        <w:spacing w:after="0" w:line="210" w:lineRule="auto"/>
        <w:tabs>
          <w:tab w:leader="none" w:pos="127" w:val="left"/>
        </w:tabs>
        <w:numPr>
          <w:ilvl w:val="0"/>
          <w:numId w:val="10"/>
        </w:numPr>
        <w:rPr>
          <w:rFonts w:ascii="Arial" w:cs="Arial" w:eastAsia="Arial" w:hAnsi="Arial"/>
          <w:sz w:val="12"/>
          <w:szCs w:val="12"/>
          <w:color w:val="auto"/>
          <w:vertAlign w:val="superscript"/>
        </w:rPr>
      </w:pPr>
      <w:r>
        <w:rPr>
          <w:rFonts w:ascii="Arial" w:cs="Arial" w:eastAsia="Arial" w:hAnsi="Arial"/>
          <w:sz w:val="10"/>
          <w:szCs w:val="10"/>
          <w:color w:val="auto"/>
        </w:rPr>
        <w:t>Effective April 25, 2022, NMIC exercised its optional clean-up call to terminate the 2020-1 ILN Transaction. In connection with the termination of the transaction, NMIC's excess of loss reinsurance agreement with Oaktown Re IV Ltd. was commuted and the insurance-linked notes issued by Oaktown Re IV Ltd. were redeemed in full with a distribution of remaining collateral assets.</w:t>
      </w:r>
    </w:p>
    <w:p>
      <w:pPr>
        <w:spacing w:after="0" w:line="200" w:lineRule="exact"/>
        <w:rPr>
          <w:sz w:val="20"/>
          <w:szCs w:val="20"/>
          <w:color w:val="auto"/>
        </w:rPr>
      </w:pPr>
    </w:p>
    <w:p>
      <w:pPr>
        <w:spacing w:after="0" w:line="240"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type w:val="continuous"/>
        </w:sectPr>
      </w:pPr>
    </w:p>
    <w:bookmarkStart w:id="32" w:name="page33"/>
    <w:bookmarkEnd w:id="32"/>
    <w:p>
      <w:pPr>
        <w:ind w:left="148" w:hanging="148"/>
        <w:spacing w:after="0"/>
        <w:tabs>
          <w:tab w:leader="none" w:pos="148"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Absent a delinquency trigger, the subordinated coverage is capped at 8.00%, 6.25%, 6.75% and 7.45% for the 2020-1, 2020-2, 2021-1 and 2021-2 ILN Transactions, respectively.</w:t>
      </w:r>
    </w:p>
    <w:p>
      <w:pPr>
        <w:ind w:left="128" w:hanging="128"/>
        <w:spacing w:after="0" w:line="204" w:lineRule="auto"/>
        <w:tabs>
          <w:tab w:leader="none" w:pos="128" w:val="left"/>
        </w:tabs>
        <w:numPr>
          <w:ilvl w:val="0"/>
          <w:numId w:val="11"/>
        </w:numPr>
        <w:rPr>
          <w:rFonts w:ascii="Arial" w:cs="Arial" w:eastAsia="Arial" w:hAnsi="Arial"/>
          <w:sz w:val="11"/>
          <w:szCs w:val="11"/>
          <w:color w:val="auto"/>
          <w:vertAlign w:val="superscript"/>
        </w:rPr>
      </w:pPr>
      <w:r>
        <w:rPr>
          <w:rFonts w:ascii="Arial" w:cs="Arial" w:eastAsia="Arial" w:hAnsi="Arial"/>
          <w:sz w:val="9"/>
          <w:szCs w:val="9"/>
          <w:color w:val="auto"/>
        </w:rPr>
        <w:t>Overcollateralization for each of the 2018, 2019 and 2020-1 ILN Transactions is equal to their current reinsurance coverage as the PMIERs required asset amount on RIF ceded under each transaction is currently below its remaining first layer retained loss.</w:t>
      </w:r>
    </w:p>
    <w:p>
      <w:pPr>
        <w:ind w:left="128" w:hanging="128"/>
        <w:spacing w:after="0" w:line="187" w:lineRule="auto"/>
        <w:tabs>
          <w:tab w:leader="none" w:pos="128"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May not be replicated based on the rounded figures presented in the table.</w:t>
      </w:r>
    </w:p>
    <w:p>
      <w:pPr>
        <w:ind w:left="208" w:right="20" w:hanging="208"/>
        <w:spacing w:after="0" w:line="210" w:lineRule="auto"/>
        <w:tabs>
          <w:tab w:leader="none" w:pos="127"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Delinquency triggers for the 2018 and 2019 ILN Transactions are set at a fixed 4.0% and assessed on a discrete monthly basis; delinquency triggers for the 2020-1, 2020-2, 2021-1 and 2021-2 ILN Transactions are equal to seventy-five percent of the subordinated coverage level and assessed on the basis of a three-month rolling average.</w:t>
      </w:r>
    </w:p>
    <w:p>
      <w:pPr>
        <w:spacing w:after="0" w:line="152"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See Item 1, "</w:t>
      </w:r>
      <w:r>
        <w:rPr>
          <w:rFonts w:ascii="Arial" w:cs="Arial" w:eastAsia="Arial" w:hAnsi="Arial"/>
          <w:sz w:val="12"/>
          <w:szCs w:val="12"/>
          <w:i w:val="1"/>
          <w:iCs w:val="1"/>
          <w:color w:val="auto"/>
        </w:rPr>
        <w:t>Financial Statements - Notes to Condensed Consolidated Financial Statements - Note 5, Reinsurance</w:t>
      </w:r>
      <w:r>
        <w:rPr>
          <w:rFonts w:ascii="Arial" w:cs="Arial" w:eastAsia="Arial" w:hAnsi="Arial"/>
          <w:sz w:val="12"/>
          <w:szCs w:val="12"/>
          <w:color w:val="auto"/>
        </w:rPr>
        <w:t>" for further discussion of these third-party reinsurance arrangements.</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Portfolio Data</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following table presents primary and pool NIW and IIF as of the dates and for the periods indicated. Unless otherwise noted, the tables below do not include the effects of our third-party reinsurance arrangements described</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above.</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980" w:type="dxa"/>
            <w:vAlign w:val="bottom"/>
          </w:tcPr>
          <w:p>
            <w:pPr>
              <w:spacing w:after="0"/>
              <w:rPr>
                <w:sz w:val="20"/>
                <w:szCs w:val="20"/>
                <w:color w:val="auto"/>
              </w:rPr>
            </w:pPr>
            <w:r>
              <w:rPr>
                <w:rFonts w:ascii="Arial" w:cs="Arial" w:eastAsia="Arial" w:hAnsi="Arial"/>
                <w:sz w:val="10"/>
                <w:szCs w:val="10"/>
                <w:b w:val="1"/>
                <w:bCs w:val="1"/>
                <w:color w:val="auto"/>
              </w:rPr>
              <w:t>Primary and pool IIF and NIW</w:t>
            </w: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740" w:type="dxa"/>
            <w:vAlign w:val="bottom"/>
            <w:gridSpan w:val="5"/>
          </w:tcPr>
          <w:p>
            <w:pPr>
              <w:ind w:left="340"/>
              <w:spacing w:after="0"/>
              <w:rPr>
                <w:sz w:val="20"/>
                <w:szCs w:val="20"/>
                <w:color w:val="auto"/>
              </w:rPr>
            </w:pPr>
            <w:r>
              <w:rPr>
                <w:rFonts w:ascii="Arial" w:cs="Arial" w:eastAsia="Arial" w:hAnsi="Arial"/>
                <w:sz w:val="10"/>
                <w:szCs w:val="10"/>
                <w:b w:val="1"/>
                <w:bCs w:val="1"/>
                <w:color w:val="auto"/>
              </w:rPr>
              <w:t>As of and for the three months ended</w:t>
            </w: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0"/>
        </w:trPr>
        <w:tc>
          <w:tcPr>
            <w:tcW w:w="49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March 31, 2022</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March 31, 2021</w:t>
            </w:r>
          </w:p>
        </w:tc>
        <w:tc>
          <w:tcPr>
            <w:tcW w:w="1060" w:type="dxa"/>
            <w:vAlign w:val="bottom"/>
            <w:tcBorders>
              <w:bottom w:val="single" w:sz="8" w:color="auto"/>
            </w:tcBorders>
          </w:tcPr>
          <w:p>
            <w:pPr>
              <w:spacing w:after="0"/>
              <w:rPr>
                <w:sz w:val="11"/>
                <w:szCs w:val="11"/>
                <w:color w:val="auto"/>
              </w:rPr>
            </w:pPr>
          </w:p>
        </w:tc>
      </w:tr>
      <w:tr>
        <w:trPr>
          <w:trHeight w:val="118"/>
        </w:trPr>
        <w:tc>
          <w:tcPr>
            <w:tcW w:w="49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IIF</w:t>
            </w:r>
          </w:p>
        </w:tc>
        <w:tc>
          <w:tcPr>
            <w:tcW w:w="4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b w:val="1"/>
                <w:bCs w:val="1"/>
                <w:color w:val="auto"/>
              </w:rPr>
              <w:t>NIW</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IIF</w:t>
            </w:r>
          </w:p>
        </w:tc>
        <w:tc>
          <w:tcPr>
            <w:tcW w:w="4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NIW</w:t>
            </w:r>
          </w:p>
        </w:tc>
      </w:tr>
      <w:tr>
        <w:trPr>
          <w:trHeight w:val="114"/>
        </w:trPr>
        <w:tc>
          <w:tcPr>
            <w:tcW w:w="4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0"/>
                <w:szCs w:val="10"/>
                <w:i w:val="1"/>
                <w:iCs w:val="1"/>
                <w:color w:val="auto"/>
              </w:rPr>
              <w:t>(In Millions)</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55"/>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Monthly</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139,156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13,094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106,920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23,764</w:t>
            </w:r>
          </w:p>
        </w:tc>
      </w:tr>
      <w:tr>
        <w:trPr>
          <w:trHeight w:val="153"/>
        </w:trPr>
        <w:tc>
          <w:tcPr>
            <w:tcW w:w="4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Single</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19,721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1,071</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16,857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2,633</w:t>
            </w:r>
          </w:p>
        </w:tc>
      </w:tr>
      <w:tr>
        <w:trPr>
          <w:trHeight w:val="142"/>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Primary</w:t>
            </w: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158,877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14,165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123,777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26,397</w:t>
            </w:r>
          </w:p>
        </w:tc>
      </w:tr>
      <w:tr>
        <w:trPr>
          <w:trHeight w:val="72"/>
        </w:trPr>
        <w:tc>
          <w:tcPr>
            <w:tcW w:w="4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153"/>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Pool</w:t>
            </w: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1,642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4980" w:type="dxa"/>
            <w:vAlign w:val="bottom"/>
          </w:tcPr>
          <w:p>
            <w:pPr>
              <w:spacing w:after="0"/>
              <w:rPr>
                <w:sz w:val="20"/>
                <w:szCs w:val="20"/>
                <w:color w:val="auto"/>
              </w:rPr>
            </w:pPr>
            <w:r>
              <w:rPr>
                <w:rFonts w:ascii="Arial" w:cs="Arial" w:eastAsia="Arial" w:hAnsi="Arial"/>
                <w:sz w:val="12"/>
                <w:szCs w:val="12"/>
                <w:color w:val="auto"/>
              </w:rPr>
              <w:t>Total</w:t>
            </w: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160,039</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rPr>
              <w:t>14,165</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125,419</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26,397</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left="8" w:firstLine="432"/>
        <w:spacing w:after="0" w:line="245" w:lineRule="auto"/>
        <w:rPr>
          <w:sz w:val="20"/>
          <w:szCs w:val="20"/>
          <w:color w:val="auto"/>
        </w:rPr>
      </w:pPr>
      <w:r>
        <w:rPr>
          <w:rFonts w:ascii="Arial" w:cs="Arial" w:eastAsia="Arial" w:hAnsi="Arial"/>
          <w:sz w:val="12"/>
          <w:szCs w:val="12"/>
          <w:color w:val="auto"/>
        </w:rPr>
        <w:t>NIW for the three months ended March 31, 2022 was $14.2 billion compared to $26.4 billion for the three months ended March 31, 2021. NIW decreased year-on-year primarily due to a decline in the size of the total mortgage insurance market.</w:t>
      </w:r>
    </w:p>
    <w:p>
      <w:pPr>
        <w:spacing w:after="0" w:line="141"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Total IIF increased 28% at March 31, 2022 compared to March 31, 2021, primarily due to the NIW generated between such measurement dates, partially offset by the run-off of in-force policies. Our persistency rate improved to 71.5% at March 31, 2022 from 51.9% at March 31, 2021, reflecting a slowdown in the pace of refinancing activity during the intervening twelve month period tied to an increase in interest and mortgage note rates.</w:t>
      </w:r>
    </w:p>
    <w:p>
      <w:pPr>
        <w:spacing w:after="0" w:line="5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net premiums written and earned for the periods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440" w:type="dxa"/>
            <w:vAlign w:val="bottom"/>
          </w:tcPr>
          <w:p>
            <w:pPr>
              <w:spacing w:after="0"/>
              <w:rPr>
                <w:sz w:val="20"/>
                <w:szCs w:val="20"/>
                <w:color w:val="auto"/>
              </w:rPr>
            </w:pPr>
            <w:r>
              <w:rPr>
                <w:rFonts w:ascii="Arial" w:cs="Arial" w:eastAsia="Arial" w:hAnsi="Arial"/>
                <w:sz w:val="10"/>
                <w:szCs w:val="10"/>
                <w:b w:val="1"/>
                <w:bCs w:val="1"/>
                <w:color w:val="auto"/>
              </w:rPr>
              <w:t>Primary and pool premiums written and earned</w:t>
            </w:r>
          </w:p>
        </w:tc>
        <w:tc>
          <w:tcPr>
            <w:tcW w:w="1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6"/>
              </w:rPr>
              <w:t>For the three months ended</w:t>
            </w:r>
          </w:p>
        </w:tc>
        <w:tc>
          <w:tcPr>
            <w:tcW w:w="1260" w:type="dxa"/>
            <w:vAlign w:val="bottom"/>
            <w:tcBorders>
              <w:bottom w:val="single" w:sz="8" w:color="auto"/>
            </w:tcBorders>
          </w:tcPr>
          <w:p>
            <w:pPr>
              <w:spacing w:after="0"/>
              <w:rPr>
                <w:sz w:val="11"/>
                <w:szCs w:val="11"/>
                <w:color w:val="auto"/>
              </w:rPr>
            </w:pPr>
          </w:p>
        </w:tc>
      </w:tr>
      <w:tr>
        <w:trPr>
          <w:trHeight w:val="118"/>
        </w:trPr>
        <w:tc>
          <w:tcPr>
            <w:tcW w:w="7440" w:type="dxa"/>
            <w:vAlign w:val="bottom"/>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5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w w:val="89"/>
              </w:rPr>
              <w:t>March 31, 2021</w:t>
            </w:r>
          </w:p>
        </w:tc>
      </w:tr>
      <w:tr>
        <w:trPr>
          <w:trHeight w:val="114"/>
        </w:trPr>
        <w:tc>
          <w:tcPr>
            <w:tcW w:w="7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20" w:type="dxa"/>
            <w:vAlign w:val="bottom"/>
            <w:gridSpan w:val="2"/>
          </w:tcPr>
          <w:p>
            <w:pPr>
              <w:jc w:val="center"/>
              <w:spacing w:after="0"/>
              <w:rPr>
                <w:sz w:val="20"/>
                <w:szCs w:val="20"/>
                <w:color w:val="auto"/>
              </w:rPr>
            </w:pPr>
            <w:r>
              <w:rPr>
                <w:rFonts w:ascii="Arial" w:cs="Arial" w:eastAsia="Arial" w:hAnsi="Arial"/>
                <w:sz w:val="10"/>
                <w:szCs w:val="10"/>
                <w:i w:val="1"/>
                <w:iCs w:val="1"/>
                <w:color w:val="auto"/>
                <w:w w:val="86"/>
              </w:rPr>
              <w:t>(In Thousands)</w:t>
            </w:r>
          </w:p>
        </w:tc>
        <w:tc>
          <w:tcPr>
            <w:tcW w:w="1260" w:type="dxa"/>
            <w:vAlign w:val="bottom"/>
          </w:tcPr>
          <w:p>
            <w:pPr>
              <w:spacing w:after="0"/>
              <w:rPr>
                <w:sz w:val="9"/>
                <w:szCs w:val="9"/>
                <w:color w:val="auto"/>
              </w:rPr>
            </w:pPr>
          </w:p>
        </w:tc>
      </w:tr>
      <w:tr>
        <w:trPr>
          <w:trHeight w:val="155"/>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Net premiums written</w:t>
            </w:r>
          </w:p>
        </w:tc>
        <w:tc>
          <w:tcPr>
            <w:tcW w:w="1280" w:type="dxa"/>
            <w:vAlign w:val="bottom"/>
            <w:shd w:val="clear" w:color="auto" w:fill="CCEEFF"/>
          </w:tcPr>
          <w:p>
            <w:pPr>
              <w:jc w:val="right"/>
              <w:ind w:right="1146"/>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116,034</w:t>
            </w:r>
          </w:p>
        </w:tc>
        <w:tc>
          <w:tcPr>
            <w:tcW w:w="64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115,815</w:t>
            </w:r>
          </w:p>
        </w:tc>
      </w:tr>
      <w:tr>
        <w:trPr>
          <w:trHeight w:val="153"/>
        </w:trPr>
        <w:tc>
          <w:tcPr>
            <w:tcW w:w="7440" w:type="dxa"/>
            <w:vAlign w:val="bottom"/>
          </w:tcPr>
          <w:p>
            <w:pPr>
              <w:spacing w:after="0"/>
              <w:rPr>
                <w:sz w:val="20"/>
                <w:szCs w:val="20"/>
                <w:color w:val="auto"/>
              </w:rPr>
            </w:pPr>
            <w:r>
              <w:rPr>
                <w:rFonts w:ascii="Arial" w:cs="Arial" w:eastAsia="Arial" w:hAnsi="Arial"/>
                <w:sz w:val="12"/>
                <w:szCs w:val="12"/>
                <w:color w:val="auto"/>
              </w:rPr>
              <w:t>Net premiums earned</w:t>
            </w:r>
          </w:p>
        </w:tc>
        <w:tc>
          <w:tcPr>
            <w:tcW w:w="128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2"/>
                <w:szCs w:val="12"/>
                <w:color w:val="auto"/>
              </w:rPr>
              <w:t>116,495</w:t>
            </w:r>
          </w:p>
        </w:tc>
        <w:tc>
          <w:tcPr>
            <w:tcW w:w="6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105,879</w:t>
            </w:r>
          </w:p>
        </w:tc>
      </w:tr>
    </w:tbl>
    <w:p>
      <w:pPr>
        <w:spacing w:after="0" w:line="16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Net premiums earned increased 10% during the three months ended March 31, 2022 compared to the three months ended March 31, 2021, primarily due to the growth of our IIF, partially offset by a decrease in the contribution from single premium policy cancellations and an increase in cessions under the ILN Transactions. The accelerated rate of growth in net premiums earned compared to net premiums written is due to a decrease in the volume and mix of our single premium policy production from period to period.</w:t>
      </w:r>
    </w:p>
    <w:p>
      <w:pPr>
        <w:spacing w:after="0" w:line="86"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Pool premiums written and earned for the three months ended March 31, 2022 and 2021, were $0.3 million and $0.5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6" w:right="299" w:bottom="1440" w:gutter="0" w:footer="0" w:header="0"/>
        </w:sectPr>
      </w:pPr>
    </w:p>
    <w:bookmarkStart w:id="33" w:name="page34"/>
    <w:bookmarkEnd w:id="33"/>
    <w:p>
      <w:pPr>
        <w:ind w:left="8"/>
        <w:spacing w:after="0"/>
        <w:rPr>
          <w:sz w:val="20"/>
          <w:szCs w:val="20"/>
          <w:color w:val="auto"/>
        </w:rPr>
      </w:pPr>
      <w:r>
        <w:rPr>
          <w:rFonts w:ascii="Arial" w:cs="Arial" w:eastAsia="Arial" w:hAnsi="Arial"/>
          <w:sz w:val="12"/>
          <w:szCs w:val="12"/>
          <w:b w:val="1"/>
          <w:bCs w:val="1"/>
          <w:i w:val="1"/>
          <w:iCs w:val="1"/>
          <w:color w:val="auto"/>
        </w:rPr>
        <w:t>Portfolio Statistics</w:t>
      </w:r>
    </w:p>
    <w:p>
      <w:pPr>
        <w:spacing w:after="0" w:line="114"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3940" w:type="dxa"/>
            <w:vAlign w:val="bottom"/>
          </w:tcPr>
          <w:p>
            <w:pPr>
              <w:spacing w:after="0"/>
              <w:rPr>
                <w:sz w:val="20"/>
                <w:szCs w:val="20"/>
                <w:color w:val="auto"/>
              </w:rPr>
            </w:pPr>
            <w:r>
              <w:rPr>
                <w:rFonts w:ascii="Arial" w:cs="Arial" w:eastAsia="Arial" w:hAnsi="Arial"/>
                <w:sz w:val="10"/>
                <w:szCs w:val="10"/>
                <w:b w:val="1"/>
                <w:bCs w:val="1"/>
                <w:color w:val="auto"/>
              </w:rPr>
              <w:t>Primary portfolio trends</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60" w:type="dxa"/>
            <w:vAlign w:val="bottom"/>
            <w:gridSpan w:val="2"/>
          </w:tcPr>
          <w:p>
            <w:pPr>
              <w:jc w:val="right"/>
              <w:ind w:right="61"/>
              <w:spacing w:after="0"/>
              <w:rPr>
                <w:sz w:val="20"/>
                <w:szCs w:val="20"/>
                <w:color w:val="auto"/>
              </w:rPr>
            </w:pPr>
            <w:r>
              <w:rPr>
                <w:rFonts w:ascii="Arial" w:cs="Arial" w:eastAsia="Arial" w:hAnsi="Arial"/>
                <w:sz w:val="10"/>
                <w:szCs w:val="10"/>
                <w:b w:val="1"/>
                <w:bCs w:val="1"/>
                <w:color w:val="auto"/>
                <w:w w:val="85"/>
              </w:rPr>
              <w:t>As of and for the three months ended</w:t>
            </w: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30"/>
        </w:trPr>
        <w:tc>
          <w:tcPr>
            <w:tcW w:w="39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March 31, 2022</w:t>
            </w: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w w:val="99"/>
              </w:rPr>
              <w:t>December 31, 2021</w:t>
            </w: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w w:val="98"/>
              </w:rPr>
              <w:t>September 30, 2021</w:t>
            </w: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June 30, 2021</w:t>
            </w: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March 31, 2021</w:t>
            </w:r>
          </w:p>
        </w:tc>
      </w:tr>
      <w:tr>
        <w:trPr>
          <w:trHeight w:val="117"/>
        </w:trPr>
        <w:tc>
          <w:tcPr>
            <w:tcW w:w="3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80" w:type="dxa"/>
            <w:vAlign w:val="bottom"/>
            <w:gridSpan w:val="3"/>
          </w:tcPr>
          <w:p>
            <w:pPr>
              <w:jc w:val="right"/>
              <w:spacing w:after="0"/>
              <w:rPr>
                <w:sz w:val="20"/>
                <w:szCs w:val="20"/>
                <w:color w:val="auto"/>
              </w:rPr>
            </w:pPr>
            <w:r>
              <w:rPr>
                <w:rFonts w:ascii="Arial" w:cs="Arial" w:eastAsia="Arial" w:hAnsi="Arial"/>
                <w:sz w:val="10"/>
                <w:szCs w:val="10"/>
                <w:i w:val="1"/>
                <w:iCs w:val="1"/>
                <w:color w:val="auto"/>
              </w:rPr>
              <w:t>($ Values In Millions, except as noted below)</w:t>
            </w: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5"/>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New insurance written</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14,165</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18,342</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18,084</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22,751</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26,397</w:t>
            </w:r>
          </w:p>
        </w:tc>
      </w:tr>
      <w:tr>
        <w:trPr>
          <w:trHeight w:val="153"/>
        </w:trPr>
        <w:tc>
          <w:tcPr>
            <w:tcW w:w="394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20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92 %</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93 %</w:t>
            </w:r>
          </w:p>
        </w:tc>
        <w:tc>
          <w:tcPr>
            <w:tcW w:w="28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93 %</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85 %</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90 %</w:t>
            </w:r>
          </w:p>
        </w:tc>
      </w:tr>
      <w:tr>
        <w:trPr>
          <w:trHeight w:val="153"/>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8 %</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r>
      <w:tr>
        <w:trPr>
          <w:trHeight w:val="153"/>
        </w:trPr>
        <w:tc>
          <w:tcPr>
            <w:tcW w:w="3940" w:type="dxa"/>
            <w:vAlign w:val="bottom"/>
          </w:tcPr>
          <w:p>
            <w:pPr>
              <w:ind w:left="140"/>
              <w:spacing w:after="0"/>
              <w:rPr>
                <w:sz w:val="20"/>
                <w:szCs w:val="20"/>
                <w:color w:val="auto"/>
              </w:rPr>
            </w:pPr>
            <w:r>
              <w:rPr>
                <w:rFonts w:ascii="Arial" w:cs="Arial" w:eastAsia="Arial" w:hAnsi="Arial"/>
                <w:sz w:val="12"/>
                <w:szCs w:val="12"/>
                <w:color w:val="auto"/>
              </w:rPr>
              <w:t>New risk written</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2"/>
                <w:szCs w:val="12"/>
                <w:color w:val="auto"/>
              </w:rPr>
              <w:t>3,721</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1"/>
              <w:spacing w:after="0"/>
              <w:rPr>
                <w:sz w:val="20"/>
                <w:szCs w:val="20"/>
                <w:color w:val="auto"/>
              </w:rPr>
            </w:pPr>
            <w:r>
              <w:rPr>
                <w:rFonts w:ascii="Arial" w:cs="Arial" w:eastAsia="Arial" w:hAnsi="Arial"/>
                <w:sz w:val="12"/>
                <w:szCs w:val="12"/>
                <w:color w:val="auto"/>
              </w:rPr>
              <w:t>4,786</w:t>
            </w:r>
          </w:p>
        </w:tc>
        <w:tc>
          <w:tcPr>
            <w:tcW w:w="2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141"/>
              <w:spacing w:after="0"/>
              <w:rPr>
                <w:sz w:val="20"/>
                <w:szCs w:val="20"/>
                <w:color w:val="auto"/>
              </w:rPr>
            </w:pPr>
            <w:r>
              <w:rPr>
                <w:rFonts w:ascii="Arial" w:cs="Arial" w:eastAsia="Arial" w:hAnsi="Arial"/>
                <w:sz w:val="12"/>
                <w:szCs w:val="12"/>
                <w:color w:val="auto"/>
              </w:rPr>
              <w:t>4,640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2"/>
                <w:szCs w:val="12"/>
                <w:color w:val="auto"/>
              </w:rPr>
              <w:t>5,650</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6,531</w:t>
            </w:r>
          </w:p>
        </w:tc>
      </w:tr>
      <w:tr>
        <w:trPr>
          <w:trHeight w:val="153"/>
        </w:trPr>
        <w:tc>
          <w:tcPr>
            <w:tcW w:w="39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Insurance-in-force </w:t>
            </w:r>
            <w:r>
              <w:rPr>
                <w:rFonts w:ascii="Arial" w:cs="Arial" w:eastAsia="Arial" w:hAnsi="Arial"/>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158,877</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152,343</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143,618</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136,598</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123,777</w:t>
            </w:r>
          </w:p>
        </w:tc>
      </w:tr>
      <w:tr>
        <w:trPr>
          <w:trHeight w:val="153"/>
        </w:trPr>
        <w:tc>
          <w:tcPr>
            <w:tcW w:w="394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20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88 %</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87 %</w:t>
            </w:r>
          </w:p>
        </w:tc>
        <w:tc>
          <w:tcPr>
            <w:tcW w:w="28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87 %</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86 %</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86 %</w:t>
            </w:r>
          </w:p>
        </w:tc>
      </w:tr>
      <w:tr>
        <w:trPr>
          <w:trHeight w:val="153"/>
        </w:trPr>
        <w:tc>
          <w:tcPr>
            <w:tcW w:w="39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12 %</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r>
      <w:tr>
        <w:trPr>
          <w:trHeight w:val="153"/>
        </w:trPr>
        <w:tc>
          <w:tcPr>
            <w:tcW w:w="394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w:t>
            </w:r>
            <w:r>
              <w:rPr>
                <w:rFonts w:ascii="Arial" w:cs="Arial" w:eastAsia="Arial" w:hAnsi="Arial"/>
                <w:sz w:val="15"/>
                <w:szCs w:val="15"/>
                <w:color w:val="auto"/>
                <w:vertAlign w:val="superscript"/>
              </w:rPr>
              <w:t>(1)</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2"/>
                <w:szCs w:val="12"/>
                <w:color w:val="auto"/>
              </w:rPr>
              <w:t>40,522</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1"/>
              <w:spacing w:after="0"/>
              <w:rPr>
                <w:sz w:val="20"/>
                <w:szCs w:val="20"/>
                <w:color w:val="auto"/>
              </w:rPr>
            </w:pPr>
            <w:r>
              <w:rPr>
                <w:rFonts w:ascii="Arial" w:cs="Arial" w:eastAsia="Arial" w:hAnsi="Arial"/>
                <w:sz w:val="12"/>
                <w:szCs w:val="12"/>
                <w:color w:val="auto"/>
              </w:rPr>
              <w:t>38,661</w:t>
            </w:r>
          </w:p>
        </w:tc>
        <w:tc>
          <w:tcPr>
            <w:tcW w:w="2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141"/>
              <w:spacing w:after="0"/>
              <w:rPr>
                <w:sz w:val="20"/>
                <w:szCs w:val="20"/>
                <w:color w:val="auto"/>
              </w:rPr>
            </w:pPr>
            <w:r>
              <w:rPr>
                <w:rFonts w:ascii="Arial" w:cs="Arial" w:eastAsia="Arial" w:hAnsi="Arial"/>
                <w:sz w:val="12"/>
                <w:szCs w:val="12"/>
                <w:color w:val="auto"/>
              </w:rPr>
              <w:t>36,253</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2"/>
                <w:szCs w:val="12"/>
                <w:color w:val="auto"/>
              </w:rPr>
              <w:t>34,366</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31,206</w:t>
            </w:r>
          </w:p>
        </w:tc>
      </w:tr>
      <w:tr>
        <w:trPr>
          <w:trHeight w:val="153"/>
        </w:trPr>
        <w:tc>
          <w:tcPr>
            <w:tcW w:w="39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Policies in force (count) </w:t>
            </w:r>
            <w:r>
              <w:rPr>
                <w:rFonts w:ascii="Arial" w:cs="Arial" w:eastAsia="Arial" w:hAnsi="Arial"/>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526,976</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512,316</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490,714</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471,794</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436,652</w:t>
            </w:r>
          </w:p>
        </w:tc>
      </w:tr>
      <w:tr>
        <w:trPr>
          <w:trHeight w:val="153"/>
        </w:trPr>
        <w:tc>
          <w:tcPr>
            <w:tcW w:w="394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Average loan size </w:t>
            </w:r>
            <w:r>
              <w:rPr>
                <w:rFonts w:ascii="Arial" w:cs="Arial" w:eastAsia="Arial" w:hAnsi="Arial"/>
                <w:sz w:val="9"/>
                <w:szCs w:val="9"/>
                <w:i w:val="1"/>
                <w:iCs w:val="1"/>
                <w:color w:val="auto"/>
              </w:rPr>
              <w:t>($ value in thousands)</w:t>
            </w:r>
            <w:r>
              <w:rPr>
                <w:rFonts w:ascii="Arial" w:cs="Arial" w:eastAsia="Arial" w:hAnsi="Arial"/>
                <w:sz w:val="12"/>
                <w:szCs w:val="12"/>
                <w:color w:val="auto"/>
              </w:rPr>
              <w:t xml:space="preserve"> </w:t>
            </w:r>
            <w:r>
              <w:rPr>
                <w:rFonts w:ascii="Arial" w:cs="Arial" w:eastAsia="Arial" w:hAnsi="Arial"/>
                <w:sz w:val="15"/>
                <w:szCs w:val="15"/>
                <w:color w:val="auto"/>
                <w:vertAlign w:val="superscript"/>
              </w:rPr>
              <w:t>(1)</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2"/>
                <w:szCs w:val="12"/>
                <w:color w:val="auto"/>
              </w:rPr>
              <w:t>301</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1"/>
              <w:spacing w:after="0"/>
              <w:rPr>
                <w:sz w:val="20"/>
                <w:szCs w:val="20"/>
                <w:color w:val="auto"/>
              </w:rPr>
            </w:pPr>
            <w:r>
              <w:rPr>
                <w:rFonts w:ascii="Arial" w:cs="Arial" w:eastAsia="Arial" w:hAnsi="Arial"/>
                <w:sz w:val="12"/>
                <w:szCs w:val="12"/>
                <w:color w:val="auto"/>
              </w:rPr>
              <w:t>297</w:t>
            </w:r>
          </w:p>
        </w:tc>
        <w:tc>
          <w:tcPr>
            <w:tcW w:w="2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141"/>
              <w:spacing w:after="0"/>
              <w:rPr>
                <w:sz w:val="20"/>
                <w:szCs w:val="20"/>
                <w:color w:val="auto"/>
              </w:rPr>
            </w:pPr>
            <w:r>
              <w:rPr>
                <w:rFonts w:ascii="Arial" w:cs="Arial" w:eastAsia="Arial" w:hAnsi="Arial"/>
                <w:sz w:val="12"/>
                <w:szCs w:val="12"/>
                <w:color w:val="auto"/>
              </w:rPr>
              <w:t>293</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2"/>
                <w:szCs w:val="12"/>
                <w:color w:val="auto"/>
              </w:rPr>
              <w:t>290</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283</w:t>
            </w:r>
          </w:p>
        </w:tc>
      </w:tr>
      <w:tr>
        <w:trPr>
          <w:trHeight w:val="153"/>
        </w:trPr>
        <w:tc>
          <w:tcPr>
            <w:tcW w:w="39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Coverage percentage </w:t>
            </w:r>
            <w:r>
              <w:rPr>
                <w:rFonts w:ascii="Arial" w:cs="Arial" w:eastAsia="Arial" w:hAnsi="Arial"/>
                <w:sz w:val="15"/>
                <w:szCs w:val="15"/>
                <w:color w:val="auto"/>
                <w:vertAlign w:val="superscript"/>
              </w:rPr>
              <w:t>(2)</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25.5 %</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25.4 %</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25.2 %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25.2 %</w:t>
            </w:r>
          </w:p>
        </w:tc>
      </w:tr>
      <w:tr>
        <w:trPr>
          <w:trHeight w:val="153"/>
        </w:trPr>
        <w:tc>
          <w:tcPr>
            <w:tcW w:w="394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Loans in default (count) </w:t>
            </w:r>
            <w:r>
              <w:rPr>
                <w:rFonts w:ascii="Arial" w:cs="Arial" w:eastAsia="Arial" w:hAnsi="Arial"/>
                <w:sz w:val="15"/>
                <w:szCs w:val="15"/>
                <w:color w:val="auto"/>
                <w:vertAlign w:val="superscript"/>
              </w:rPr>
              <w:t>(1)</w:t>
            </w:r>
          </w:p>
        </w:tc>
        <w:tc>
          <w:tcPr>
            <w:tcW w:w="200" w:type="dxa"/>
            <w:vAlign w:val="bottom"/>
          </w:tcPr>
          <w:p>
            <w:pPr>
              <w:spacing w:after="0"/>
              <w:rPr>
                <w:sz w:val="13"/>
                <w:szCs w:val="13"/>
                <w:color w:val="auto"/>
              </w:rPr>
            </w:pPr>
          </w:p>
        </w:tc>
        <w:tc>
          <w:tcPr>
            <w:tcW w:w="1120" w:type="dxa"/>
            <w:vAlign w:val="bottom"/>
          </w:tcPr>
          <w:p>
            <w:pPr>
              <w:jc w:val="right"/>
              <w:ind w:right="121"/>
              <w:spacing w:after="0"/>
              <w:rPr>
                <w:sz w:val="20"/>
                <w:szCs w:val="20"/>
                <w:color w:val="auto"/>
              </w:rPr>
            </w:pPr>
            <w:r>
              <w:rPr>
                <w:rFonts w:ascii="Arial" w:cs="Arial" w:eastAsia="Arial" w:hAnsi="Arial"/>
                <w:sz w:val="12"/>
                <w:szCs w:val="12"/>
                <w:color w:val="auto"/>
              </w:rPr>
              <w:t>5,238</w:t>
            </w:r>
          </w:p>
        </w:tc>
        <w:tc>
          <w:tcPr>
            <w:tcW w:w="260" w:type="dxa"/>
            <w:vAlign w:val="bottom"/>
          </w:tcPr>
          <w:p>
            <w:pPr>
              <w:spacing w:after="0"/>
              <w:rPr>
                <w:sz w:val="13"/>
                <w:szCs w:val="13"/>
                <w:color w:val="auto"/>
              </w:rPr>
            </w:pPr>
          </w:p>
        </w:tc>
        <w:tc>
          <w:tcPr>
            <w:tcW w:w="1320" w:type="dxa"/>
            <w:vAlign w:val="bottom"/>
          </w:tcPr>
          <w:p>
            <w:pPr>
              <w:jc w:val="right"/>
              <w:ind w:right="121"/>
              <w:spacing w:after="0"/>
              <w:rPr>
                <w:sz w:val="20"/>
                <w:szCs w:val="20"/>
                <w:color w:val="auto"/>
              </w:rPr>
            </w:pPr>
            <w:r>
              <w:rPr>
                <w:rFonts w:ascii="Arial" w:cs="Arial" w:eastAsia="Arial" w:hAnsi="Arial"/>
                <w:sz w:val="12"/>
                <w:szCs w:val="12"/>
                <w:color w:val="auto"/>
              </w:rPr>
              <w:t>6,227</w:t>
            </w:r>
          </w:p>
        </w:tc>
        <w:tc>
          <w:tcPr>
            <w:tcW w:w="280" w:type="dxa"/>
            <w:vAlign w:val="bottom"/>
          </w:tcPr>
          <w:p>
            <w:pPr>
              <w:spacing w:after="0"/>
              <w:rPr>
                <w:sz w:val="13"/>
                <w:szCs w:val="13"/>
                <w:color w:val="auto"/>
              </w:rPr>
            </w:pPr>
          </w:p>
        </w:tc>
        <w:tc>
          <w:tcPr>
            <w:tcW w:w="1380" w:type="dxa"/>
            <w:vAlign w:val="bottom"/>
          </w:tcPr>
          <w:p>
            <w:pPr>
              <w:jc w:val="right"/>
              <w:ind w:right="141"/>
              <w:spacing w:after="0"/>
              <w:rPr>
                <w:sz w:val="20"/>
                <w:szCs w:val="20"/>
                <w:color w:val="auto"/>
              </w:rPr>
            </w:pPr>
            <w:r>
              <w:rPr>
                <w:rFonts w:ascii="Arial" w:cs="Arial" w:eastAsia="Arial" w:hAnsi="Arial"/>
                <w:sz w:val="12"/>
                <w:szCs w:val="12"/>
                <w:color w:val="auto"/>
              </w:rPr>
              <w:t>7,670</w:t>
            </w:r>
          </w:p>
        </w:tc>
        <w:tc>
          <w:tcPr>
            <w:tcW w:w="240" w:type="dxa"/>
            <w:vAlign w:val="bottom"/>
          </w:tcPr>
          <w:p>
            <w:pPr>
              <w:spacing w:after="0"/>
              <w:rPr>
                <w:sz w:val="13"/>
                <w:szCs w:val="13"/>
                <w:color w:val="auto"/>
              </w:rPr>
            </w:pPr>
          </w:p>
        </w:tc>
        <w:tc>
          <w:tcPr>
            <w:tcW w:w="1160" w:type="dxa"/>
            <w:vAlign w:val="bottom"/>
          </w:tcPr>
          <w:p>
            <w:pPr>
              <w:jc w:val="right"/>
              <w:ind w:right="121"/>
              <w:spacing w:after="0"/>
              <w:rPr>
                <w:sz w:val="20"/>
                <w:szCs w:val="20"/>
                <w:color w:val="auto"/>
              </w:rPr>
            </w:pPr>
            <w:r>
              <w:rPr>
                <w:rFonts w:ascii="Arial" w:cs="Arial" w:eastAsia="Arial" w:hAnsi="Arial"/>
                <w:sz w:val="12"/>
                <w:szCs w:val="12"/>
                <w:color w:val="auto"/>
              </w:rPr>
              <w:t>8,764</w:t>
            </w:r>
          </w:p>
        </w:tc>
        <w:tc>
          <w:tcPr>
            <w:tcW w:w="260" w:type="dxa"/>
            <w:vAlign w:val="bottom"/>
          </w:tcPr>
          <w:p>
            <w:pPr>
              <w:spacing w:after="0"/>
              <w:rPr>
                <w:sz w:val="13"/>
                <w:szCs w:val="13"/>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11,090</w:t>
            </w:r>
          </w:p>
        </w:tc>
      </w:tr>
      <w:tr>
        <w:trPr>
          <w:trHeight w:val="153"/>
        </w:trPr>
        <w:tc>
          <w:tcPr>
            <w:tcW w:w="39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0.99 %</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1.22 %</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1.56 %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2.54 %</w:t>
            </w:r>
          </w:p>
        </w:tc>
      </w:tr>
      <w:tr>
        <w:trPr>
          <w:trHeight w:val="153"/>
        </w:trPr>
        <w:tc>
          <w:tcPr>
            <w:tcW w:w="394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on defaulted loans </w:t>
            </w:r>
            <w:r>
              <w:rPr>
                <w:rFonts w:ascii="Arial" w:cs="Arial" w:eastAsia="Arial" w:hAnsi="Arial"/>
                <w:sz w:val="15"/>
                <w:szCs w:val="15"/>
                <w:color w:val="auto"/>
                <w:vertAlign w:val="superscript"/>
              </w:rPr>
              <w:t>(1)</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2"/>
                <w:szCs w:val="12"/>
                <w:color w:val="auto"/>
              </w:rPr>
              <w:t>362</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1"/>
              <w:spacing w:after="0"/>
              <w:rPr>
                <w:sz w:val="20"/>
                <w:szCs w:val="20"/>
                <w:color w:val="auto"/>
              </w:rPr>
            </w:pPr>
            <w:r>
              <w:rPr>
                <w:rFonts w:ascii="Arial" w:cs="Arial" w:eastAsia="Arial" w:hAnsi="Arial"/>
                <w:sz w:val="12"/>
                <w:szCs w:val="12"/>
                <w:color w:val="auto"/>
              </w:rPr>
              <w:t>435</w:t>
            </w:r>
          </w:p>
        </w:tc>
        <w:tc>
          <w:tcPr>
            <w:tcW w:w="2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141"/>
              <w:spacing w:after="0"/>
              <w:rPr>
                <w:sz w:val="20"/>
                <w:szCs w:val="20"/>
                <w:color w:val="auto"/>
              </w:rPr>
            </w:pPr>
            <w:r>
              <w:rPr>
                <w:rFonts w:ascii="Arial" w:cs="Arial" w:eastAsia="Arial" w:hAnsi="Arial"/>
                <w:sz w:val="12"/>
                <w:szCs w:val="12"/>
                <w:color w:val="auto"/>
              </w:rPr>
              <w:t>546</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2"/>
                <w:szCs w:val="12"/>
                <w:color w:val="auto"/>
              </w:rPr>
              <w:t>625</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785</w:t>
            </w:r>
          </w:p>
        </w:tc>
      </w:tr>
      <w:tr>
        <w:trPr>
          <w:trHeight w:val="153"/>
        </w:trPr>
        <w:tc>
          <w:tcPr>
            <w:tcW w:w="39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Net premium yield </w:t>
            </w:r>
            <w:r>
              <w:rPr>
                <w:rFonts w:ascii="Arial" w:cs="Arial" w:eastAsia="Arial" w:hAnsi="Arial"/>
                <w:sz w:val="15"/>
                <w:szCs w:val="15"/>
                <w:color w:val="auto"/>
                <w:vertAlign w:val="superscript"/>
              </w:rPr>
              <w:t>(3)</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0.30 %</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0.31 %</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0.32 %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0.34 %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0.36 %</w:t>
            </w:r>
          </w:p>
        </w:tc>
      </w:tr>
      <w:tr>
        <w:trPr>
          <w:trHeight w:val="153"/>
        </w:trPr>
        <w:tc>
          <w:tcPr>
            <w:tcW w:w="3940" w:type="dxa"/>
            <w:vAlign w:val="bottom"/>
          </w:tcPr>
          <w:p>
            <w:pPr>
              <w:ind w:left="140"/>
              <w:spacing w:after="0"/>
              <w:rPr>
                <w:sz w:val="20"/>
                <w:szCs w:val="20"/>
                <w:color w:val="auto"/>
              </w:rPr>
            </w:pPr>
            <w:r>
              <w:rPr>
                <w:rFonts w:ascii="Arial" w:cs="Arial" w:eastAsia="Arial" w:hAnsi="Arial"/>
                <w:sz w:val="12"/>
                <w:szCs w:val="12"/>
                <w:color w:val="auto"/>
              </w:rPr>
              <w:t>Earnings from cancellations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2"/>
                <w:szCs w:val="12"/>
                <w:color w:val="auto"/>
              </w:rPr>
              <w:t>2.9</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1"/>
              <w:spacing w:after="0"/>
              <w:rPr>
                <w:sz w:val="20"/>
                <w:szCs w:val="20"/>
                <w:color w:val="auto"/>
              </w:rPr>
            </w:pPr>
            <w:r>
              <w:rPr>
                <w:rFonts w:ascii="Arial" w:cs="Arial" w:eastAsia="Arial" w:hAnsi="Arial"/>
                <w:sz w:val="12"/>
                <w:szCs w:val="12"/>
                <w:color w:val="auto"/>
              </w:rPr>
              <w:t>5.1</w:t>
            </w:r>
          </w:p>
        </w:tc>
        <w:tc>
          <w:tcPr>
            <w:tcW w:w="2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141"/>
              <w:spacing w:after="0"/>
              <w:rPr>
                <w:sz w:val="20"/>
                <w:szCs w:val="20"/>
                <w:color w:val="auto"/>
              </w:rPr>
            </w:pPr>
            <w:r>
              <w:rPr>
                <w:rFonts w:ascii="Arial" w:cs="Arial" w:eastAsia="Arial" w:hAnsi="Arial"/>
                <w:sz w:val="12"/>
                <w:szCs w:val="12"/>
                <w:color w:val="auto"/>
              </w:rPr>
              <w:t>7.7</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2"/>
                <w:szCs w:val="12"/>
                <w:color w:val="auto"/>
              </w:rPr>
              <w:t>7.0</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9.9</w:t>
            </w:r>
          </w:p>
        </w:tc>
      </w:tr>
      <w:tr>
        <w:trPr>
          <w:trHeight w:val="153"/>
        </w:trPr>
        <w:tc>
          <w:tcPr>
            <w:tcW w:w="39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Annual persistency </w:t>
            </w:r>
            <w:r>
              <w:rPr>
                <w:rFonts w:ascii="Arial" w:cs="Arial" w:eastAsia="Arial" w:hAnsi="Arial"/>
                <w:sz w:val="15"/>
                <w:szCs w:val="15"/>
                <w:color w:val="auto"/>
                <w:vertAlign w:val="superscript"/>
              </w:rPr>
              <w:t>(4)</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71.5 %</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63.8 %</w:t>
            </w: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58.1 %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51.9 %</w:t>
            </w:r>
          </w:p>
        </w:tc>
      </w:tr>
      <w:tr>
        <w:trPr>
          <w:trHeight w:val="207"/>
        </w:trPr>
        <w:tc>
          <w:tcPr>
            <w:tcW w:w="3940" w:type="dxa"/>
            <w:vAlign w:val="bottom"/>
          </w:tcPr>
          <w:p>
            <w:pPr>
              <w:ind w:left="140"/>
              <w:spacing w:after="0"/>
              <w:rPr>
                <w:sz w:val="20"/>
                <w:szCs w:val="20"/>
                <w:color w:val="auto"/>
              </w:rPr>
            </w:pPr>
            <w:r>
              <w:rPr>
                <w:rFonts w:ascii="Arial" w:cs="Arial" w:eastAsia="Arial" w:hAnsi="Arial"/>
                <w:sz w:val="12"/>
                <w:szCs w:val="12"/>
                <w:color w:val="auto"/>
              </w:rPr>
              <w:t xml:space="preserve">Quarterly run-off </w:t>
            </w:r>
            <w:r>
              <w:rPr>
                <w:rFonts w:ascii="Arial" w:cs="Arial" w:eastAsia="Arial" w:hAnsi="Arial"/>
                <w:sz w:val="15"/>
                <w:szCs w:val="15"/>
                <w:color w:val="auto"/>
                <w:vertAlign w:val="superscript"/>
              </w:rPr>
              <w:t>(5)</w:t>
            </w: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5.0 %</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6.7 %</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8.1 %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8.0 %</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12.5 %</w:t>
            </w:r>
          </w:p>
        </w:tc>
      </w:tr>
    </w:tbl>
    <w:p>
      <w:pPr>
        <w:spacing w:after="0" w:line="82" w:lineRule="exact"/>
        <w:rPr>
          <w:sz w:val="20"/>
          <w:szCs w:val="20"/>
          <w:color w:val="auto"/>
        </w:rPr>
      </w:pPr>
    </w:p>
    <w:p>
      <w:pPr>
        <w:ind w:left="128" w:hanging="128"/>
        <w:spacing w:after="0"/>
        <w:tabs>
          <w:tab w:leader="none" w:pos="12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Reported as of the end of the period.</w:t>
      </w:r>
    </w:p>
    <w:p>
      <w:pPr>
        <w:ind w:left="128" w:hanging="128"/>
        <w:spacing w:after="0" w:line="187" w:lineRule="auto"/>
        <w:tabs>
          <w:tab w:leader="none" w:pos="12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Calculated as end of period RIF divided by end of period IIF.</w:t>
      </w:r>
    </w:p>
    <w:p>
      <w:pPr>
        <w:ind w:left="128" w:hanging="128"/>
        <w:spacing w:after="0" w:line="187" w:lineRule="auto"/>
        <w:tabs>
          <w:tab w:leader="none" w:pos="12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Calculated as net premiums earned divided by average primary IIF for the period, annualized.</w:t>
      </w:r>
    </w:p>
    <w:p>
      <w:pPr>
        <w:ind w:left="128" w:hanging="128"/>
        <w:spacing w:after="0" w:line="187" w:lineRule="auto"/>
        <w:tabs>
          <w:tab w:leader="none" w:pos="12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Defined as the percentage of IIF that remains on our books after a given twelve-month period.</w:t>
      </w:r>
    </w:p>
    <w:p>
      <w:pPr>
        <w:ind w:left="128" w:hanging="128"/>
        <w:spacing w:after="0" w:line="197" w:lineRule="auto"/>
        <w:tabs>
          <w:tab w:leader="none" w:pos="128"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Defined as the percentage of IIF that is no longer on our books after a given three-month period.</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presents a summary of the change in total primary IIF for the dates and periods indicated.</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220" w:type="dxa"/>
            <w:vAlign w:val="bottom"/>
          </w:tcPr>
          <w:p>
            <w:pPr>
              <w:spacing w:after="0"/>
              <w:rPr>
                <w:sz w:val="20"/>
                <w:szCs w:val="20"/>
                <w:color w:val="auto"/>
              </w:rPr>
            </w:pPr>
            <w:r>
              <w:rPr>
                <w:rFonts w:ascii="Arial" w:cs="Arial" w:eastAsia="Arial" w:hAnsi="Arial"/>
                <w:sz w:val="10"/>
                <w:szCs w:val="10"/>
                <w:b w:val="1"/>
                <w:bCs w:val="1"/>
                <w:color w:val="auto"/>
              </w:rPr>
              <w:t>Primary IIF</w:t>
            </w:r>
          </w:p>
        </w:tc>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20" w:type="dxa"/>
            <w:vAlign w:val="bottom"/>
            <w:gridSpan w:val="5"/>
          </w:tcPr>
          <w:p>
            <w:pPr>
              <w:ind w:left="700"/>
              <w:spacing w:after="0"/>
              <w:rPr>
                <w:sz w:val="20"/>
                <w:szCs w:val="20"/>
                <w:color w:val="auto"/>
              </w:rPr>
            </w:pPr>
            <w:r>
              <w:rPr>
                <w:rFonts w:ascii="Arial" w:cs="Arial" w:eastAsia="Arial" w:hAnsi="Arial"/>
                <w:sz w:val="10"/>
                <w:szCs w:val="10"/>
                <w:b w:val="1"/>
                <w:bCs w:val="1"/>
                <w:color w:val="auto"/>
              </w:rPr>
              <w:t>As of and for the three months ended</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March 31, 2022</w:t>
            </w:r>
          </w:p>
        </w:tc>
        <w:tc>
          <w:tcPr>
            <w:tcW w:w="380" w:type="dxa"/>
            <w:vAlign w:val="bottom"/>
            <w:tcBorders>
              <w:top w:val="single" w:sz="8" w:color="auto"/>
              <w:bottom w:val="single" w:sz="8" w:color="auto"/>
            </w:tcBorders>
          </w:tcPr>
          <w:p>
            <w:pPr>
              <w:spacing w:after="0"/>
              <w:rPr>
                <w:sz w:val="10"/>
                <w:szCs w:val="10"/>
                <w:color w:val="auto"/>
              </w:rPr>
            </w:pPr>
          </w:p>
        </w:tc>
        <w:tc>
          <w:tcPr>
            <w:tcW w:w="13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March 31, 2021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2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0"/>
                <w:szCs w:val="10"/>
                <w:i w:val="1"/>
                <w:iCs w:val="1"/>
                <w:color w:val="auto"/>
              </w:rPr>
              <w:t>(In Millions)</w:t>
            </w: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IIF, beginning of period</w:t>
            </w:r>
          </w:p>
        </w:tc>
        <w:tc>
          <w:tcPr>
            <w:tcW w:w="3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152,343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111,252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NIW</w:t>
            </w:r>
          </w:p>
        </w:tc>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14,165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26,397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Cancellations, principal repayments and other reductions</w:t>
            </w:r>
          </w:p>
        </w:tc>
        <w:tc>
          <w:tcPr>
            <w:tcW w:w="3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(7,631)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20"/>
                <w:szCs w:val="20"/>
                <w:color w:val="auto"/>
              </w:rPr>
            </w:pPr>
            <w:r>
              <w:rPr>
                <w:rFonts w:ascii="Arial" w:cs="Arial" w:eastAsia="Arial" w:hAnsi="Arial"/>
                <w:sz w:val="12"/>
                <w:szCs w:val="12"/>
                <w:color w:val="auto"/>
              </w:rPr>
              <w:t>IIF, end of period</w:t>
            </w:r>
          </w:p>
        </w:tc>
        <w:tc>
          <w:tcPr>
            <w:tcW w:w="3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158,877</w:t>
            </w:r>
          </w:p>
        </w:tc>
        <w:tc>
          <w:tcPr>
            <w:tcW w:w="8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123,777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340" w:type="dxa"/>
            <w:vAlign w:val="bottom"/>
            <w:vMerge w:val="restart"/>
          </w:tcPr>
          <w:p>
            <w:pPr>
              <w:jc w:val="right"/>
              <w:ind w:right="1800"/>
              <w:spacing w:after="0"/>
              <w:rPr>
                <w:sz w:val="20"/>
                <w:szCs w:val="20"/>
                <w:color w:val="auto"/>
              </w:rPr>
            </w:pPr>
            <w:r>
              <w:rPr>
                <w:rFonts w:ascii="Arial" w:cs="Arial" w:eastAsia="Arial" w:hAnsi="Arial"/>
                <w:sz w:val="12"/>
                <w:szCs w:val="12"/>
                <w:color w:val="auto"/>
              </w:rPr>
              <w:t>34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2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20" w:type="dxa"/>
            <w:vAlign w:val="bottom"/>
            <w:tcBorders>
              <w:bottom w:val="single" w:sz="8" w:color="9A9A9A"/>
            </w:tcBorders>
          </w:tcPr>
          <w:p>
            <w:pPr>
              <w:spacing w:after="0"/>
              <w:rPr>
                <w:sz w:val="6"/>
                <w:szCs w:val="6"/>
                <w:color w:val="auto"/>
              </w:rPr>
            </w:pPr>
          </w:p>
        </w:tc>
        <w:tc>
          <w:tcPr>
            <w:tcW w:w="33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4" w:name="page35"/>
    <w:bookmarkEnd w:id="34"/>
    <w:p>
      <w:pPr>
        <w:jc w:val="both"/>
        <w:ind w:firstLine="432"/>
        <w:spacing w:after="0" w:line="259" w:lineRule="auto"/>
        <w:rPr>
          <w:sz w:val="20"/>
          <w:szCs w:val="20"/>
          <w:color w:val="auto"/>
        </w:rPr>
      </w:pPr>
      <w:r>
        <w:rPr>
          <w:rFonts w:ascii="Arial" w:cs="Arial" w:eastAsia="Arial" w:hAnsi="Arial"/>
          <w:sz w:val="12"/>
          <w:szCs w:val="12"/>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presents a summary of our primary IIF and RIF by book year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40" w:type="dxa"/>
            <w:vAlign w:val="bottom"/>
          </w:tcPr>
          <w:p>
            <w:pPr>
              <w:spacing w:after="0"/>
              <w:rPr>
                <w:sz w:val="20"/>
                <w:szCs w:val="20"/>
                <w:color w:val="auto"/>
              </w:rPr>
            </w:pPr>
            <w:r>
              <w:rPr>
                <w:rFonts w:ascii="Arial" w:cs="Arial" w:eastAsia="Arial" w:hAnsi="Arial"/>
                <w:sz w:val="10"/>
                <w:szCs w:val="10"/>
                <w:b w:val="1"/>
                <w:bCs w:val="1"/>
                <w:color w:val="auto"/>
              </w:rPr>
              <w:t>Primary IIF and RIF</w:t>
            </w:r>
          </w:p>
        </w:tc>
        <w:tc>
          <w:tcPr>
            <w:tcW w:w="10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b w:val="1"/>
                <w:bCs w:val="1"/>
                <w:color w:val="auto"/>
              </w:rPr>
              <w:t>As of March 31, 2022</w:t>
            </w: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As of March 31, 2021</w:t>
            </w:r>
          </w:p>
        </w:tc>
        <w:tc>
          <w:tcPr>
            <w:tcW w:w="1100" w:type="dxa"/>
            <w:vAlign w:val="bottom"/>
            <w:tcBorders>
              <w:bottom w:val="single" w:sz="8" w:color="auto"/>
            </w:tcBorders>
          </w:tcPr>
          <w:p>
            <w:pPr>
              <w:spacing w:after="0"/>
              <w:rPr>
                <w:sz w:val="11"/>
                <w:szCs w:val="11"/>
                <w:color w:val="auto"/>
              </w:rPr>
            </w:pPr>
          </w:p>
        </w:tc>
      </w:tr>
      <w:tr>
        <w:trPr>
          <w:trHeight w:val="118"/>
        </w:trPr>
        <w:tc>
          <w:tcPr>
            <w:tcW w:w="4240" w:type="dxa"/>
            <w:vAlign w:val="bottom"/>
          </w:tcPr>
          <w:p>
            <w:pPr>
              <w:spacing w:after="0"/>
              <w:rPr>
                <w:sz w:val="10"/>
                <w:szCs w:val="1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IIF</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RIF</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IIF</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RIF</w:t>
            </w:r>
          </w:p>
        </w:tc>
      </w:tr>
      <w:tr>
        <w:trPr>
          <w:trHeight w:val="114"/>
        </w:trPr>
        <w:tc>
          <w:tcPr>
            <w:tcW w:w="4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0"/>
                <w:szCs w:val="10"/>
                <w:i w:val="1"/>
                <w:iCs w:val="1"/>
                <w:color w:val="auto"/>
              </w:rPr>
              <w:t>(In Millions)</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55"/>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March 31, 2022</w:t>
            </w: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3,699</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2021</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78,955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20,058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26,296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6,508</w:t>
            </w:r>
          </w:p>
        </w:tc>
      </w:tr>
      <w:tr>
        <w:trPr>
          <w:trHeight w:val="153"/>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41,311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53,650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13,397</w:t>
            </w: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2019</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11,102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2,910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20,402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5,342</w:t>
            </w:r>
          </w:p>
        </w:tc>
      </w:tr>
      <w:tr>
        <w:trPr>
          <w:trHeight w:val="153"/>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8,074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2,057</w:t>
            </w:r>
          </w:p>
        </w:tc>
      </w:tr>
      <w:tr>
        <w:trPr>
          <w:trHeight w:val="153"/>
        </w:trPr>
        <w:tc>
          <w:tcPr>
            <w:tcW w:w="4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2017 and before</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9,022</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2,297</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15,355</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3,902</w:t>
            </w:r>
          </w:p>
        </w:tc>
      </w:tr>
      <w:tr>
        <w:trPr>
          <w:trHeight w:val="158"/>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158,877</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40,522</w:t>
            </w:r>
          </w:p>
        </w:tc>
        <w:tc>
          <w:tcPr>
            <w:tcW w:w="100" w:type="dxa"/>
            <w:vAlign w:val="bottom"/>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123,777</w:t>
            </w:r>
          </w:p>
        </w:tc>
        <w:tc>
          <w:tcPr>
            <w:tcW w:w="80" w:type="dxa"/>
            <w:vAlign w:val="bottom"/>
          </w:tcPr>
          <w:p>
            <w:pPr>
              <w:spacing w:after="0"/>
              <w:rPr>
                <w:sz w:val="13"/>
                <w:szCs w:val="13"/>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31,206</w:t>
            </w:r>
          </w:p>
        </w:tc>
      </w:tr>
    </w:tbl>
    <w:p>
      <w:pPr>
        <w:spacing w:after="0" w:line="16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5" w:name="page36"/>
    <w:bookmarkEnd w:id="35"/>
    <w:p>
      <w:pPr>
        <w:ind w:firstLine="432"/>
        <w:spacing w:after="0" w:line="276" w:lineRule="auto"/>
        <w:rPr>
          <w:sz w:val="20"/>
          <w:szCs w:val="20"/>
          <w:color w:val="auto"/>
        </w:rPr>
      </w:pPr>
      <w:r>
        <w:rPr>
          <w:rFonts w:ascii="Arial" w:cs="Arial" w:eastAsia="Arial" w:hAnsi="Arial"/>
          <w:sz w:val="12"/>
          <w:szCs w:val="12"/>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00" w:type="dxa"/>
            <w:vAlign w:val="bottom"/>
          </w:tcPr>
          <w:p>
            <w:pPr>
              <w:spacing w:after="0"/>
              <w:rPr>
                <w:sz w:val="20"/>
                <w:szCs w:val="20"/>
                <w:color w:val="auto"/>
              </w:rPr>
            </w:pPr>
            <w:r>
              <w:rPr>
                <w:rFonts w:ascii="Arial" w:cs="Arial" w:eastAsia="Arial" w:hAnsi="Arial"/>
                <w:sz w:val="10"/>
                <w:szCs w:val="10"/>
                <w:b w:val="1"/>
                <w:bCs w:val="1"/>
                <w:color w:val="auto"/>
              </w:rPr>
              <w:t>Primary NIW by FICO</w:t>
            </w:r>
          </w:p>
        </w:tc>
        <w:tc>
          <w:tcPr>
            <w:tcW w:w="1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tcPr>
          <w:p>
            <w:pPr>
              <w:jc w:val="center"/>
              <w:ind w:left="43"/>
              <w:spacing w:after="0"/>
              <w:rPr>
                <w:sz w:val="20"/>
                <w:szCs w:val="20"/>
                <w:color w:val="auto"/>
              </w:rPr>
            </w:pPr>
            <w:r>
              <w:rPr>
                <w:rFonts w:ascii="Arial" w:cs="Arial" w:eastAsia="Arial" w:hAnsi="Arial"/>
                <w:sz w:val="10"/>
                <w:szCs w:val="10"/>
                <w:b w:val="1"/>
                <w:bCs w:val="1"/>
                <w:color w:val="auto"/>
                <w:w w:val="84"/>
              </w:rPr>
              <w:t>For the three months ended</w:t>
            </w:r>
          </w:p>
        </w:tc>
        <w:tc>
          <w:tcPr>
            <w:tcW w:w="1200" w:type="dxa"/>
            <w:vAlign w:val="bottom"/>
            <w:tcBorders>
              <w:bottom w:val="single" w:sz="8" w:color="auto"/>
            </w:tcBorders>
          </w:tcPr>
          <w:p>
            <w:pPr>
              <w:spacing w:after="0"/>
              <w:rPr>
                <w:sz w:val="11"/>
                <w:szCs w:val="11"/>
                <w:color w:val="auto"/>
              </w:rPr>
            </w:pPr>
          </w:p>
        </w:tc>
      </w:tr>
      <w:tr>
        <w:trPr>
          <w:trHeight w:val="118"/>
        </w:trPr>
        <w:tc>
          <w:tcPr>
            <w:tcW w:w="7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0"/>
                <w:szCs w:val="10"/>
                <w:b w:val="1"/>
                <w:bCs w:val="1"/>
                <w:color w:val="auto"/>
              </w:rPr>
              <w:t>March 31, 2022</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w w:val="89"/>
              </w:rPr>
              <w:t>March 31, 2021</w:t>
            </w:r>
          </w:p>
        </w:tc>
      </w:tr>
      <w:tr>
        <w:trPr>
          <w:trHeight w:val="114"/>
        </w:trPr>
        <w:tc>
          <w:tcPr>
            <w:tcW w:w="7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60" w:type="dxa"/>
            <w:vAlign w:val="bottom"/>
            <w:gridSpan w:val="5"/>
          </w:tcPr>
          <w:p>
            <w:pPr>
              <w:jc w:val="center"/>
              <w:ind w:left="43"/>
              <w:spacing w:after="0"/>
              <w:rPr>
                <w:sz w:val="20"/>
                <w:szCs w:val="20"/>
                <w:color w:val="auto"/>
              </w:rPr>
            </w:pPr>
            <w:r>
              <w:rPr>
                <w:rFonts w:ascii="Arial" w:cs="Arial" w:eastAsia="Arial" w:hAnsi="Arial"/>
                <w:sz w:val="10"/>
                <w:szCs w:val="10"/>
                <w:i w:val="1"/>
                <w:iCs w:val="1"/>
                <w:color w:val="auto"/>
                <w:w w:val="93"/>
              </w:rPr>
              <w:t>(In Millions)</w:t>
            </w:r>
          </w:p>
        </w:tc>
        <w:tc>
          <w:tcPr>
            <w:tcW w:w="1200" w:type="dxa"/>
            <w:vAlign w:val="bottom"/>
          </w:tcPr>
          <w:p>
            <w:pPr>
              <w:spacing w:after="0"/>
              <w:rPr>
                <w:sz w:val="9"/>
                <w:szCs w:val="9"/>
                <w:color w:val="auto"/>
              </w:rPr>
            </w:pPr>
          </w:p>
        </w:tc>
      </w:tr>
      <w:tr>
        <w:trPr>
          <w:trHeight w:val="155"/>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1260" w:type="dxa"/>
            <w:vAlign w:val="bottom"/>
            <w:gridSpan w:val="2"/>
            <w:shd w:val="clear" w:color="auto" w:fill="CCEEFF"/>
          </w:tcPr>
          <w:p>
            <w:pPr>
              <w:jc w:val="right"/>
              <w:ind w:right="96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6,372</w:t>
            </w:r>
          </w:p>
        </w:tc>
        <w:tc>
          <w:tcPr>
            <w:tcW w:w="620" w:type="dxa"/>
            <w:vAlign w:val="bottom"/>
            <w:gridSpan w:val="3"/>
            <w:shd w:val="clear" w:color="auto" w:fill="CCEEFF"/>
          </w:tcPr>
          <w:p>
            <w:pPr>
              <w:jc w:val="right"/>
              <w:ind w:right="406"/>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12,914</w:t>
            </w:r>
          </w:p>
        </w:tc>
      </w:tr>
      <w:tr>
        <w:trPr>
          <w:trHeight w:val="153"/>
        </w:trPr>
        <w:tc>
          <w:tcPr>
            <w:tcW w:w="7500" w:type="dxa"/>
            <w:vAlign w:val="bottom"/>
          </w:tcPr>
          <w:p>
            <w:pPr>
              <w:ind w:left="140"/>
              <w:spacing w:after="0"/>
              <w:rPr>
                <w:sz w:val="20"/>
                <w:szCs w:val="20"/>
                <w:color w:val="auto"/>
              </w:rPr>
            </w:pPr>
            <w:r>
              <w:rPr>
                <w:rFonts w:ascii="Arial" w:cs="Arial" w:eastAsia="Arial" w:hAnsi="Arial"/>
                <w:sz w:val="12"/>
                <w:szCs w:val="12"/>
                <w:color w:val="auto"/>
              </w:rPr>
              <w:t>740-759</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2,388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5,312</w:t>
            </w:r>
          </w:p>
        </w:tc>
      </w:tr>
      <w:tr>
        <w:trPr>
          <w:trHeight w:val="153"/>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1,937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3,963</w:t>
            </w:r>
          </w:p>
        </w:tc>
      </w:tr>
      <w:tr>
        <w:trPr>
          <w:trHeight w:val="153"/>
        </w:trPr>
        <w:tc>
          <w:tcPr>
            <w:tcW w:w="7500" w:type="dxa"/>
            <w:vAlign w:val="bottom"/>
          </w:tcPr>
          <w:p>
            <w:pPr>
              <w:ind w:left="140"/>
              <w:spacing w:after="0"/>
              <w:rPr>
                <w:sz w:val="20"/>
                <w:szCs w:val="20"/>
                <w:color w:val="auto"/>
              </w:rPr>
            </w:pPr>
            <w:r>
              <w:rPr>
                <w:rFonts w:ascii="Arial" w:cs="Arial" w:eastAsia="Arial" w:hAnsi="Arial"/>
                <w:sz w:val="12"/>
                <w:szCs w:val="12"/>
                <w:color w:val="auto"/>
              </w:rPr>
              <w:t>700-719</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1,639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2,358</w:t>
            </w:r>
          </w:p>
        </w:tc>
      </w:tr>
      <w:tr>
        <w:trPr>
          <w:trHeight w:val="153"/>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1,244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1,360</w:t>
            </w:r>
          </w:p>
        </w:tc>
      </w:tr>
      <w:tr>
        <w:trPr>
          <w:trHeight w:val="15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1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585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w:t>
            </w:r>
          </w:p>
        </w:tc>
      </w:tr>
      <w:tr>
        <w:trPr>
          <w:trHeight w:val="142"/>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260" w:type="dxa"/>
            <w:vAlign w:val="bottom"/>
            <w:gridSpan w:val="2"/>
            <w:shd w:val="clear" w:color="auto" w:fill="CCEEFF"/>
          </w:tcPr>
          <w:p>
            <w:pPr>
              <w:jc w:val="right"/>
              <w:ind w:right="96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14,165</w:t>
            </w:r>
          </w:p>
        </w:tc>
        <w:tc>
          <w:tcPr>
            <w:tcW w:w="620" w:type="dxa"/>
            <w:vAlign w:val="bottom"/>
            <w:gridSpan w:val="3"/>
            <w:shd w:val="clear" w:color="auto" w:fill="CCEEFF"/>
          </w:tcPr>
          <w:p>
            <w:pPr>
              <w:jc w:val="right"/>
              <w:ind w:right="406"/>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26,397</w:t>
            </w:r>
          </w:p>
        </w:tc>
      </w:tr>
      <w:tr>
        <w:trPr>
          <w:trHeight w:val="142"/>
        </w:trPr>
        <w:tc>
          <w:tcPr>
            <w:tcW w:w="7500" w:type="dxa"/>
            <w:vAlign w:val="bottom"/>
          </w:tcPr>
          <w:p>
            <w:pPr>
              <w:spacing w:after="0"/>
              <w:rPr>
                <w:sz w:val="20"/>
                <w:szCs w:val="20"/>
                <w:color w:val="auto"/>
              </w:rPr>
            </w:pPr>
            <w:r>
              <w:rPr>
                <w:rFonts w:ascii="Arial" w:cs="Arial" w:eastAsia="Arial" w:hAnsi="Arial"/>
                <w:sz w:val="12"/>
                <w:szCs w:val="12"/>
                <w:color w:val="auto"/>
              </w:rPr>
              <w:t>Weighted average FICO</w:t>
            </w:r>
          </w:p>
        </w:tc>
        <w:tc>
          <w:tcPr>
            <w:tcW w:w="160" w:type="dxa"/>
            <w:vAlign w:val="bottom"/>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748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755</w:t>
            </w: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7"/>
        </w:trPr>
        <w:tc>
          <w:tcPr>
            <w:tcW w:w="7500" w:type="dxa"/>
            <w:vAlign w:val="bottom"/>
          </w:tcPr>
          <w:p>
            <w:pPr>
              <w:spacing w:after="0"/>
              <w:rPr>
                <w:sz w:val="20"/>
                <w:szCs w:val="20"/>
                <w:color w:val="auto"/>
              </w:rPr>
            </w:pPr>
            <w:r>
              <w:rPr>
                <w:rFonts w:ascii="Arial" w:cs="Arial" w:eastAsia="Arial" w:hAnsi="Arial"/>
                <w:sz w:val="10"/>
                <w:szCs w:val="10"/>
                <w:b w:val="1"/>
                <w:bCs w:val="1"/>
                <w:color w:val="auto"/>
              </w:rPr>
              <w:t>Primary NIW by LTV</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26"/>
              <w:spacing w:after="0"/>
              <w:rPr>
                <w:sz w:val="20"/>
                <w:szCs w:val="20"/>
                <w:color w:val="auto"/>
              </w:rPr>
            </w:pPr>
            <w:r>
              <w:rPr>
                <w:rFonts w:ascii="Arial" w:cs="Arial" w:eastAsia="Arial" w:hAnsi="Arial"/>
                <w:sz w:val="10"/>
                <w:szCs w:val="10"/>
                <w:b w:val="1"/>
                <w:bCs w:val="1"/>
                <w:color w:val="auto"/>
                <w:w w:val="87"/>
              </w:rPr>
              <w:t>For the three months ended</w:t>
            </w:r>
          </w:p>
        </w:tc>
        <w:tc>
          <w:tcPr>
            <w:tcW w:w="1200" w:type="dxa"/>
            <w:vAlign w:val="bottom"/>
            <w:tcBorders>
              <w:bottom w:val="single" w:sz="8" w:color="auto"/>
            </w:tcBorders>
          </w:tcPr>
          <w:p>
            <w:pPr>
              <w:spacing w:after="0"/>
              <w:rPr>
                <w:sz w:val="24"/>
                <w:szCs w:val="24"/>
                <w:color w:val="auto"/>
              </w:rPr>
            </w:pPr>
          </w:p>
        </w:tc>
      </w:tr>
      <w:tr>
        <w:trPr>
          <w:trHeight w:val="118"/>
        </w:trPr>
        <w:tc>
          <w:tcPr>
            <w:tcW w:w="7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0"/>
                <w:szCs w:val="10"/>
                <w:b w:val="1"/>
                <w:bCs w:val="1"/>
                <w:color w:val="auto"/>
              </w:rPr>
              <w:t>March 31, 2021</w:t>
            </w:r>
          </w:p>
        </w:tc>
      </w:tr>
      <w:tr>
        <w:trPr>
          <w:trHeight w:val="114"/>
        </w:trPr>
        <w:tc>
          <w:tcPr>
            <w:tcW w:w="7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60" w:type="dxa"/>
            <w:vAlign w:val="bottom"/>
            <w:gridSpan w:val="5"/>
          </w:tcPr>
          <w:p>
            <w:pPr>
              <w:jc w:val="right"/>
              <w:ind w:right="366"/>
              <w:spacing w:after="0"/>
              <w:rPr>
                <w:sz w:val="20"/>
                <w:szCs w:val="20"/>
                <w:color w:val="auto"/>
              </w:rPr>
            </w:pPr>
            <w:r>
              <w:rPr>
                <w:rFonts w:ascii="Arial" w:cs="Arial" w:eastAsia="Arial" w:hAnsi="Arial"/>
                <w:sz w:val="10"/>
                <w:szCs w:val="10"/>
                <w:i w:val="1"/>
                <w:iCs w:val="1"/>
                <w:color w:val="auto"/>
              </w:rPr>
              <w:t>(In Millions)</w:t>
            </w:r>
          </w:p>
        </w:tc>
        <w:tc>
          <w:tcPr>
            <w:tcW w:w="1200" w:type="dxa"/>
            <w:vAlign w:val="bottom"/>
          </w:tcPr>
          <w:p>
            <w:pPr>
              <w:spacing w:after="0"/>
              <w:rPr>
                <w:sz w:val="9"/>
                <w:szCs w:val="9"/>
                <w:color w:val="auto"/>
              </w:rPr>
            </w:pPr>
          </w:p>
        </w:tc>
      </w:tr>
      <w:tr>
        <w:trPr>
          <w:trHeight w:val="155"/>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1,366</w:t>
            </w:r>
          </w:p>
        </w:tc>
        <w:tc>
          <w:tcPr>
            <w:tcW w:w="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2,451</w:t>
            </w:r>
          </w:p>
        </w:tc>
      </w:tr>
      <w:tr>
        <w:trPr>
          <w:trHeight w:val="153"/>
        </w:trPr>
        <w:tc>
          <w:tcPr>
            <w:tcW w:w="750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color w:val="auto"/>
              </w:rPr>
              <w:t>7,055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Arial" w:cs="Arial" w:eastAsia="Arial" w:hAnsi="Arial"/>
                <w:sz w:val="12"/>
                <w:szCs w:val="12"/>
                <w:color w:val="auto"/>
              </w:rPr>
              <w:t>11,051</w:t>
            </w:r>
          </w:p>
        </w:tc>
      </w:tr>
      <w:tr>
        <w:trPr>
          <w:trHeight w:val="153"/>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3,868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7,848</w:t>
            </w:r>
          </w:p>
        </w:tc>
      </w:tr>
      <w:tr>
        <w:trPr>
          <w:trHeight w:val="15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1,876</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5,047</w:t>
            </w:r>
          </w:p>
        </w:tc>
      </w:tr>
      <w:tr>
        <w:trPr>
          <w:trHeight w:val="142"/>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14,165</w:t>
            </w: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26,397</w:t>
            </w:r>
          </w:p>
        </w:tc>
      </w:tr>
      <w:tr>
        <w:trPr>
          <w:trHeight w:val="142"/>
        </w:trPr>
        <w:tc>
          <w:tcPr>
            <w:tcW w:w="7500" w:type="dxa"/>
            <w:vAlign w:val="bottom"/>
          </w:tcPr>
          <w:p>
            <w:pPr>
              <w:spacing w:after="0"/>
              <w:rPr>
                <w:sz w:val="20"/>
                <w:szCs w:val="20"/>
                <w:color w:val="auto"/>
              </w:rPr>
            </w:pPr>
            <w:r>
              <w:rPr>
                <w:rFonts w:ascii="Arial" w:cs="Arial" w:eastAsia="Arial" w:hAnsi="Arial"/>
                <w:sz w:val="12"/>
                <w:szCs w:val="12"/>
                <w:color w:val="auto"/>
              </w:rPr>
              <w:t>Weighted average LTV</w:t>
            </w: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92.1 %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91.0 %</w:t>
            </w: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7"/>
        </w:trPr>
        <w:tc>
          <w:tcPr>
            <w:tcW w:w="7500" w:type="dxa"/>
            <w:vAlign w:val="bottom"/>
          </w:tcPr>
          <w:p>
            <w:pPr>
              <w:spacing w:after="0"/>
              <w:rPr>
                <w:sz w:val="20"/>
                <w:szCs w:val="20"/>
                <w:color w:val="auto"/>
              </w:rPr>
            </w:pPr>
            <w:r>
              <w:rPr>
                <w:rFonts w:ascii="Arial" w:cs="Arial" w:eastAsia="Arial" w:hAnsi="Arial"/>
                <w:sz w:val="10"/>
                <w:szCs w:val="10"/>
                <w:b w:val="1"/>
                <w:bCs w:val="1"/>
                <w:color w:val="auto"/>
              </w:rPr>
              <w:t>Primary NIW by purchase/refinance mix</w:t>
            </w:r>
          </w:p>
        </w:tc>
        <w:tc>
          <w:tcPr>
            <w:tcW w:w="1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left="43"/>
              <w:spacing w:after="0"/>
              <w:rPr>
                <w:sz w:val="20"/>
                <w:szCs w:val="20"/>
                <w:color w:val="auto"/>
              </w:rPr>
            </w:pPr>
            <w:r>
              <w:rPr>
                <w:rFonts w:ascii="Arial" w:cs="Arial" w:eastAsia="Arial" w:hAnsi="Arial"/>
                <w:sz w:val="10"/>
                <w:szCs w:val="10"/>
                <w:b w:val="1"/>
                <w:bCs w:val="1"/>
                <w:color w:val="auto"/>
                <w:w w:val="84"/>
              </w:rPr>
              <w:t>For the three months ended</w:t>
            </w:r>
          </w:p>
        </w:tc>
        <w:tc>
          <w:tcPr>
            <w:tcW w:w="1200" w:type="dxa"/>
            <w:vAlign w:val="bottom"/>
            <w:tcBorders>
              <w:bottom w:val="single" w:sz="8" w:color="auto"/>
            </w:tcBorders>
          </w:tcPr>
          <w:p>
            <w:pPr>
              <w:spacing w:after="0"/>
              <w:rPr>
                <w:sz w:val="24"/>
                <w:szCs w:val="24"/>
                <w:color w:val="auto"/>
              </w:rPr>
            </w:pPr>
          </w:p>
        </w:tc>
      </w:tr>
      <w:tr>
        <w:trPr>
          <w:trHeight w:val="118"/>
        </w:trPr>
        <w:tc>
          <w:tcPr>
            <w:tcW w:w="7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0"/>
                <w:szCs w:val="10"/>
                <w:b w:val="1"/>
                <w:bCs w:val="1"/>
                <w:color w:val="auto"/>
              </w:rPr>
              <w:t>March 31, 2022</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w w:val="89"/>
              </w:rPr>
              <w:t>March 31, 2021</w:t>
            </w:r>
          </w:p>
        </w:tc>
      </w:tr>
      <w:tr>
        <w:trPr>
          <w:trHeight w:val="114"/>
        </w:trPr>
        <w:tc>
          <w:tcPr>
            <w:tcW w:w="7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60" w:type="dxa"/>
            <w:vAlign w:val="bottom"/>
            <w:gridSpan w:val="5"/>
          </w:tcPr>
          <w:p>
            <w:pPr>
              <w:jc w:val="center"/>
              <w:ind w:left="43"/>
              <w:spacing w:after="0"/>
              <w:rPr>
                <w:sz w:val="20"/>
                <w:szCs w:val="20"/>
                <w:color w:val="auto"/>
              </w:rPr>
            </w:pPr>
            <w:r>
              <w:rPr>
                <w:rFonts w:ascii="Arial" w:cs="Arial" w:eastAsia="Arial" w:hAnsi="Arial"/>
                <w:sz w:val="10"/>
                <w:szCs w:val="10"/>
                <w:i w:val="1"/>
                <w:iCs w:val="1"/>
                <w:color w:val="auto"/>
                <w:w w:val="93"/>
              </w:rPr>
              <w:t>(In Millions)</w:t>
            </w:r>
          </w:p>
        </w:tc>
        <w:tc>
          <w:tcPr>
            <w:tcW w:w="1200" w:type="dxa"/>
            <w:vAlign w:val="bottom"/>
          </w:tcPr>
          <w:p>
            <w:pPr>
              <w:spacing w:after="0"/>
              <w:rPr>
                <w:sz w:val="9"/>
                <w:szCs w:val="9"/>
                <w:color w:val="auto"/>
              </w:rPr>
            </w:pPr>
          </w:p>
        </w:tc>
      </w:tr>
      <w:tr>
        <w:trPr>
          <w:trHeight w:val="155"/>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Purchase</w:t>
            </w:r>
          </w:p>
        </w:tc>
        <w:tc>
          <w:tcPr>
            <w:tcW w:w="1260" w:type="dxa"/>
            <w:vAlign w:val="bottom"/>
            <w:gridSpan w:val="2"/>
            <w:shd w:val="clear" w:color="auto" w:fill="CCEEFF"/>
          </w:tcPr>
          <w:p>
            <w:pPr>
              <w:jc w:val="right"/>
              <w:ind w:right="96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13,398</w:t>
            </w:r>
          </w:p>
        </w:tc>
        <w:tc>
          <w:tcPr>
            <w:tcW w:w="620" w:type="dxa"/>
            <w:vAlign w:val="bottom"/>
            <w:gridSpan w:val="3"/>
            <w:shd w:val="clear" w:color="auto" w:fill="CCEEFF"/>
          </w:tcPr>
          <w:p>
            <w:pPr>
              <w:jc w:val="right"/>
              <w:ind w:right="406"/>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17,909</w:t>
            </w:r>
          </w:p>
        </w:tc>
      </w:tr>
      <w:tr>
        <w:trPr>
          <w:trHeight w:val="15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Refinance</w:t>
            </w:r>
          </w:p>
        </w:tc>
        <w:tc>
          <w:tcPr>
            <w:tcW w:w="1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767</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8,488</w:t>
            </w:r>
          </w:p>
        </w:tc>
      </w:tr>
      <w:tr>
        <w:trPr>
          <w:trHeight w:val="158"/>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14,165</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6" w:name="page37"/>
    <w:bookmarkEnd w:id="36"/>
    <w:p>
      <w:pPr>
        <w:ind w:left="420"/>
        <w:spacing w:after="0"/>
        <w:rPr>
          <w:sz w:val="20"/>
          <w:szCs w:val="20"/>
          <w:color w:val="auto"/>
        </w:rPr>
      </w:pPr>
      <w:r>
        <w:rPr>
          <w:rFonts w:ascii="Arial" w:cs="Arial" w:eastAsia="Arial" w:hAnsi="Arial"/>
          <w:sz w:val="12"/>
          <w:szCs w:val="12"/>
          <w:color w:val="auto"/>
        </w:rPr>
        <w:t>The tables below present our total primary IIF and RIF by FICO and LTV, and total primary RIF by loan type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IIF by FICO</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0"/>
                <w:szCs w:val="10"/>
                <w:b w:val="1"/>
                <w:bCs w:val="1"/>
                <w:color w:val="auto"/>
              </w:rPr>
              <w:t>March 31, 2022</w:t>
            </w: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March 31, 2021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79,141</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63,919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740-759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27,406</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20,537</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22,176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17,167</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700-719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15,236</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11,536</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4,571</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r>
      <w:tr>
        <w:trPr>
          <w:trHeight w:val="149"/>
        </w:trPr>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158,877</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123,777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r>
      <w:tr>
        <w:trPr>
          <w:trHeight w:val="20"/>
        </w:trPr>
        <w:tc>
          <w:tcPr>
            <w:tcW w:w="48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2"/>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RIF by FICO</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0"/>
                <w:szCs w:val="10"/>
                <w:b w:val="1"/>
                <w:bCs w:val="1"/>
                <w:color w:val="auto"/>
              </w:rPr>
              <w:t>March 31, 2022</w:t>
            </w: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March 31, 2021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19,883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15,920</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740-759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7,054</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5,214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700-719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4,010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2,981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1,134</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817</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r>
      <w:tr>
        <w:trPr>
          <w:trHeight w:val="158"/>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40,522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31,206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293"/>
        </w:trPr>
        <w:tc>
          <w:tcPr>
            <w:tcW w:w="4860" w:type="dxa"/>
            <w:vAlign w:val="bottom"/>
            <w:tcBorders>
              <w:top w:val="single" w:sz="8" w:color="CCEEFF"/>
            </w:tcBorders>
          </w:tcPr>
          <w:p>
            <w:pPr>
              <w:spacing w:after="0"/>
              <w:rPr>
                <w:sz w:val="20"/>
                <w:szCs w:val="20"/>
                <w:color w:val="auto"/>
              </w:rPr>
            </w:pPr>
            <w:r>
              <w:rPr>
                <w:rFonts w:ascii="Arial" w:cs="Arial" w:eastAsia="Arial" w:hAnsi="Arial"/>
                <w:sz w:val="10"/>
                <w:szCs w:val="10"/>
                <w:b w:val="1"/>
                <w:bCs w:val="1"/>
                <w:color w:val="auto"/>
              </w:rPr>
              <w:t>Primary IIF by LTV</w:t>
            </w:r>
          </w:p>
        </w:tc>
        <w:tc>
          <w:tcPr>
            <w:tcW w:w="4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0"/>
                <w:szCs w:val="10"/>
                <w:b w:val="1"/>
                <w:bCs w:val="1"/>
                <w:color w:val="auto"/>
              </w:rPr>
              <w:t>March 31, 2022</w:t>
            </w: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March 31, 2021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72,381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54,832</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48,406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40,057</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23,172</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15</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18,272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r>
      <w:tr>
        <w:trPr>
          <w:trHeight w:val="158"/>
        </w:trPr>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158,877</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123,777</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284"/>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RIF by LTV</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0"/>
                <w:szCs w:val="10"/>
                <w:b w:val="1"/>
                <w:bCs w:val="1"/>
                <w:color w:val="auto"/>
              </w:rPr>
              <w:t>March 31, 2022</w:t>
            </w: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March 31, 2021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21,358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16,139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11,895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2,742</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2,143</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r>
      <w:tr>
        <w:trPr>
          <w:trHeight w:val="158"/>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40,522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31,206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747"/>
        </w:trPr>
        <w:tc>
          <w:tcPr>
            <w:tcW w:w="48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62"/>
              <w:spacing w:after="0"/>
              <w:rPr>
                <w:sz w:val="20"/>
                <w:szCs w:val="20"/>
                <w:color w:val="auto"/>
              </w:rPr>
            </w:pPr>
            <w:r>
              <w:rPr>
                <w:rFonts w:ascii="Arial" w:cs="Arial" w:eastAsia="Arial" w:hAnsi="Arial"/>
                <w:sz w:val="12"/>
                <w:szCs w:val="12"/>
                <w:color w:val="auto"/>
              </w:rPr>
              <w:t>37</w:t>
            </w:r>
          </w:p>
        </w:tc>
        <w:tc>
          <w:tcPr>
            <w:tcW w:w="8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2"/>
        </w:trPr>
        <w:tc>
          <w:tcPr>
            <w:tcW w:w="48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7" w:name="page38"/>
    <w:bookmarkEnd w:id="37"/>
    <w:tbl>
      <w:tblPr>
        <w:tblLayout w:type="fixed"/>
        <w:tblInd w:w="8" w:type="dxa"/>
        <w:tblCellMar>
          <w:top w:w="0" w:type="dxa"/>
          <w:left w:w="0" w:type="dxa"/>
          <w:bottom w:w="0" w:type="dxa"/>
          <w:right w:w="0" w:type="dxa"/>
        </w:tblCellMar>
      </w:tblPr>
      <w:tr>
        <w:trPr>
          <w:trHeight w:val="127"/>
        </w:trPr>
        <w:tc>
          <w:tcPr>
            <w:tcW w:w="8860" w:type="dxa"/>
            <w:vAlign w:val="bottom"/>
            <w:gridSpan w:val="2"/>
          </w:tcPr>
          <w:p>
            <w:pPr>
              <w:spacing w:after="0"/>
              <w:rPr>
                <w:sz w:val="20"/>
                <w:szCs w:val="20"/>
                <w:color w:val="auto"/>
              </w:rPr>
            </w:pPr>
            <w:r>
              <w:rPr>
                <w:rFonts w:ascii="Arial" w:cs="Arial" w:eastAsia="Arial" w:hAnsi="Arial"/>
                <w:sz w:val="10"/>
                <w:szCs w:val="10"/>
                <w:b w:val="1"/>
                <w:bCs w:val="1"/>
                <w:color w:val="auto"/>
              </w:rPr>
              <w:t>Primary RIF by Loan Type</w:t>
            </w:r>
          </w:p>
        </w:tc>
        <w:tc>
          <w:tcPr>
            <w:tcW w:w="880" w:type="dxa"/>
            <w:vAlign w:val="bottom"/>
            <w:gridSpan w:val="3"/>
          </w:tcPr>
          <w:p>
            <w:pPr>
              <w:ind w:left="400"/>
              <w:spacing w:after="0"/>
              <w:rPr>
                <w:sz w:val="20"/>
                <w:szCs w:val="20"/>
                <w:color w:val="auto"/>
              </w:rPr>
            </w:pPr>
            <w:r>
              <w:rPr>
                <w:rFonts w:ascii="Arial" w:cs="Arial" w:eastAsia="Arial" w:hAnsi="Arial"/>
                <w:sz w:val="10"/>
                <w:szCs w:val="10"/>
                <w:b w:val="1"/>
                <w:bCs w:val="1"/>
                <w:color w:val="auto"/>
              </w:rPr>
              <w:t>As of</w:t>
            </w:r>
          </w:p>
        </w:tc>
        <w:tc>
          <w:tcPr>
            <w:tcW w:w="1480" w:type="dxa"/>
            <w:vAlign w:val="bottom"/>
          </w:tcPr>
          <w:p>
            <w:pPr>
              <w:spacing w:after="0"/>
              <w:rPr>
                <w:sz w:val="11"/>
                <w:szCs w:val="11"/>
                <w:color w:val="auto"/>
              </w:rPr>
            </w:pPr>
          </w:p>
        </w:tc>
      </w:tr>
      <w:tr>
        <w:trPr>
          <w:trHeight w:val="118"/>
        </w:trPr>
        <w:tc>
          <w:tcPr>
            <w:tcW w:w="7520" w:type="dxa"/>
            <w:vAlign w:val="bottom"/>
          </w:tcPr>
          <w:p>
            <w:pPr>
              <w:spacing w:after="0"/>
              <w:rPr>
                <w:sz w:val="10"/>
                <w:szCs w:val="10"/>
                <w:color w:val="auto"/>
              </w:rPr>
            </w:pPr>
          </w:p>
        </w:tc>
        <w:tc>
          <w:tcPr>
            <w:tcW w:w="13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0"/>
                <w:szCs w:val="10"/>
                <w:b w:val="1"/>
                <w:bCs w:val="1"/>
                <w:color w:val="auto"/>
              </w:rPr>
              <w:t>March 31, 2022</w:t>
            </w:r>
          </w:p>
        </w:tc>
        <w:tc>
          <w:tcPr>
            <w:tcW w:w="4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4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March 31, 2021</w:t>
            </w:r>
          </w:p>
        </w:tc>
      </w:tr>
      <w:tr>
        <w:trPr>
          <w:trHeight w:val="161"/>
        </w:trPr>
        <w:tc>
          <w:tcPr>
            <w:tcW w:w="7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3"/>
        </w:trPr>
        <w:tc>
          <w:tcPr>
            <w:tcW w:w="88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Fixed</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w:t>
            </w:r>
          </w:p>
        </w:tc>
      </w:tr>
      <w:tr>
        <w:trPr>
          <w:trHeight w:val="153"/>
        </w:trPr>
        <w:tc>
          <w:tcPr>
            <w:tcW w:w="8860" w:type="dxa"/>
            <w:vAlign w:val="bottom"/>
            <w:gridSpan w:val="2"/>
          </w:tcPr>
          <w:p>
            <w:pPr>
              <w:ind w:left="80"/>
              <w:spacing w:after="0"/>
              <w:rPr>
                <w:sz w:val="20"/>
                <w:szCs w:val="20"/>
                <w:color w:val="auto"/>
              </w:rPr>
            </w:pPr>
            <w:r>
              <w:rPr>
                <w:rFonts w:ascii="Arial" w:cs="Arial" w:eastAsia="Arial" w:hAnsi="Arial"/>
                <w:sz w:val="12"/>
                <w:szCs w:val="12"/>
                <w:color w:val="auto"/>
              </w:rPr>
              <w:t>Adjustable rate mortgages: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3"/>
        </w:trPr>
        <w:tc>
          <w:tcPr>
            <w:tcW w:w="88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Less than five years</w:t>
            </w:r>
          </w:p>
        </w:tc>
        <w:tc>
          <w:tcPr>
            <w:tcW w:w="8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r>
      <w:tr>
        <w:trPr>
          <w:trHeight w:val="15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Five years and longer</w:t>
            </w:r>
          </w:p>
        </w:tc>
        <w:tc>
          <w:tcPr>
            <w:tcW w:w="1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w:t>
            </w:r>
          </w:p>
        </w:tc>
      </w:tr>
      <w:tr>
        <w:trPr>
          <w:trHeight w:val="158"/>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bl>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presents selected primary portfolio statistics, by book year, as of March 31, 2022.</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ind w:left="700"/>
              <w:spacing w:after="0"/>
              <w:rPr>
                <w:sz w:val="20"/>
                <w:szCs w:val="20"/>
                <w:color w:val="auto"/>
              </w:rPr>
            </w:pPr>
            <w:r>
              <w:rPr>
                <w:rFonts w:ascii="Arial" w:cs="Arial" w:eastAsia="Arial" w:hAnsi="Arial"/>
                <w:sz w:val="10"/>
                <w:szCs w:val="10"/>
                <w:b w:val="1"/>
                <w:bCs w:val="1"/>
                <w:color w:val="auto"/>
              </w:rPr>
              <w:t>As of March 31, 2022</w:t>
            </w: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vMerge w:val="restart"/>
          </w:tcPr>
          <w:p>
            <w:pPr>
              <w:ind w:left="440"/>
              <w:spacing w:after="0"/>
              <w:rPr>
                <w:sz w:val="20"/>
                <w:szCs w:val="20"/>
                <w:color w:val="auto"/>
              </w:rPr>
            </w:pPr>
            <w:r>
              <w:rPr>
                <w:rFonts w:ascii="Arial" w:cs="Arial" w:eastAsia="Arial" w:hAnsi="Arial"/>
                <w:sz w:val="10"/>
                <w:szCs w:val="10"/>
                <w:b w:val="1"/>
                <w:bCs w:val="1"/>
                <w:color w:val="auto"/>
                <w:w w:val="95"/>
              </w:rPr>
              <w:t>Book</w:t>
            </w:r>
          </w:p>
        </w:tc>
        <w:tc>
          <w:tcPr>
            <w:tcW w:w="500" w:type="dxa"/>
            <w:vAlign w:val="bottom"/>
          </w:tcPr>
          <w:p>
            <w:pPr>
              <w:spacing w:after="0"/>
              <w:rPr>
                <w:sz w:val="7"/>
                <w:szCs w:val="7"/>
                <w:color w:val="auto"/>
              </w:rPr>
            </w:pPr>
          </w:p>
        </w:tc>
        <w:tc>
          <w:tcPr>
            <w:tcW w:w="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Original Insurance</w:t>
            </w:r>
          </w:p>
        </w:tc>
        <w:tc>
          <w:tcPr>
            <w:tcW w:w="13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Remaining Insurance</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 Remaining of</w:t>
            </w:r>
          </w:p>
        </w:tc>
        <w:tc>
          <w:tcPr>
            <w:tcW w:w="94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Policies</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Number</w:t>
            </w:r>
          </w:p>
        </w:tc>
        <w:tc>
          <w:tcPr>
            <w:tcW w:w="860" w:type="dxa"/>
            <w:vAlign w:val="bottom"/>
            <w:gridSpan w:val="2"/>
          </w:tcPr>
          <w:p>
            <w:pPr>
              <w:ind w:left="440"/>
              <w:spacing w:after="0" w:line="83" w:lineRule="exact"/>
              <w:rPr>
                <w:sz w:val="20"/>
                <w:szCs w:val="20"/>
                <w:color w:val="auto"/>
              </w:rPr>
            </w:pPr>
            <w:r>
              <w:rPr>
                <w:rFonts w:ascii="Arial" w:cs="Arial" w:eastAsia="Arial" w:hAnsi="Arial"/>
                <w:sz w:val="8"/>
                <w:szCs w:val="8"/>
                <w:b w:val="1"/>
                <w:bCs w:val="1"/>
                <w:color w:val="auto"/>
              </w:rPr>
              <w:t>Number</w:t>
            </w: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 of</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Incurred Loss</w:t>
            </w:r>
          </w:p>
        </w:tc>
        <w:tc>
          <w:tcPr>
            <w:tcW w:w="9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Cumulative</w:t>
            </w:r>
          </w:p>
        </w:tc>
        <w:tc>
          <w:tcPr>
            <w:tcW w:w="36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Curr</w:t>
            </w: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6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6"/>
              </w:rPr>
              <w:t>of Loans in</w:t>
            </w:r>
          </w:p>
        </w:tc>
        <w:tc>
          <w:tcPr>
            <w:tcW w:w="6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20"/>
                <w:szCs w:val="20"/>
                <w:color w:val="auto"/>
              </w:rPr>
            </w:pPr>
            <w:r>
              <w:rPr>
                <w:rFonts w:ascii="Arial" w:cs="Arial" w:eastAsia="Arial" w:hAnsi="Arial"/>
                <w:sz w:val="10"/>
                <w:szCs w:val="10"/>
                <w:b w:val="1"/>
                <w:bCs w:val="1"/>
                <w:color w:val="auto"/>
              </w:rPr>
              <w:t>Year</w:t>
            </w:r>
          </w:p>
        </w:tc>
        <w:tc>
          <w:tcPr>
            <w:tcW w:w="5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Written</w:t>
            </w:r>
          </w:p>
        </w:tc>
        <w:tc>
          <w:tcPr>
            <w:tcW w:w="5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82"/>
              </w:rPr>
              <w:t>in Force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Original Insurance</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Ever in Force</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7"/>
              </w:rPr>
              <w:t>of Policies in Force</w:t>
            </w: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4"/>
              </w:rPr>
              <w:t>Default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98"/>
              </w:rPr>
              <w:t>Claims Paid</w:t>
            </w:r>
          </w:p>
        </w:tc>
        <w:tc>
          <w:tcPr>
            <w:tcW w:w="1440" w:type="dxa"/>
            <w:vAlign w:val="bottom"/>
            <w:tcBorders>
              <w:bottom w:val="single" w:sz="8" w:color="auto"/>
            </w:tcBorders>
            <w:gridSpan w:val="2"/>
          </w:tcPr>
          <w:p>
            <w:pPr>
              <w:jc w:val="right"/>
              <w:ind w:right="160"/>
              <w:spacing w:after="0" w:line="126" w:lineRule="exact"/>
              <w:rPr>
                <w:sz w:val="20"/>
                <w:szCs w:val="20"/>
                <w:color w:val="auto"/>
              </w:rPr>
            </w:pPr>
            <w:r>
              <w:rPr>
                <w:rFonts w:ascii="Arial" w:cs="Arial" w:eastAsia="Arial" w:hAnsi="Arial"/>
                <w:sz w:val="10"/>
                <w:szCs w:val="10"/>
                <w:b w:val="1"/>
                <w:bCs w:val="1"/>
                <w:color w:val="auto"/>
                <w:w w:val="93"/>
              </w:rPr>
              <w:t xml:space="preserve">Ratio (Inception to Date) </w:t>
            </w:r>
            <w:r>
              <w:rPr>
                <w:rFonts w:ascii="Arial" w:cs="Arial" w:eastAsia="Arial" w:hAnsi="Arial"/>
                <w:sz w:val="12"/>
                <w:szCs w:val="12"/>
                <w:b w:val="1"/>
                <w:bCs w:val="1"/>
                <w:color w:val="auto"/>
                <w:w w:val="93"/>
                <w:vertAlign w:val="superscript"/>
              </w:rPr>
              <w:t>(1)</w:t>
            </w:r>
          </w:p>
        </w:tc>
        <w:tc>
          <w:tcPr>
            <w:tcW w:w="940" w:type="dxa"/>
            <w:vAlign w:val="bottom"/>
            <w:tcBorders>
              <w:bottom w:val="single" w:sz="8" w:color="auto"/>
            </w:tcBorders>
          </w:tcPr>
          <w:p>
            <w:pPr>
              <w:jc w:val="right"/>
              <w:ind w:right="102"/>
              <w:spacing w:after="0" w:line="126" w:lineRule="exact"/>
              <w:rPr>
                <w:sz w:val="20"/>
                <w:szCs w:val="20"/>
                <w:color w:val="auto"/>
              </w:rPr>
            </w:pPr>
            <w:r>
              <w:rPr>
                <w:rFonts w:ascii="Arial" w:cs="Arial" w:eastAsia="Arial" w:hAnsi="Arial"/>
                <w:sz w:val="10"/>
                <w:szCs w:val="10"/>
                <w:b w:val="1"/>
                <w:bCs w:val="1"/>
                <w:color w:val="auto"/>
              </w:rPr>
              <w:t xml:space="preserve">Default Rate </w:t>
            </w:r>
            <w:r>
              <w:rPr>
                <w:rFonts w:ascii="Arial" w:cs="Arial" w:eastAsia="Arial" w:hAnsi="Arial"/>
                <w:sz w:val="12"/>
                <w:szCs w:val="12"/>
                <w:b w:val="1"/>
                <w:bCs w:val="1"/>
                <w:color w:val="auto"/>
                <w:vertAlign w:val="superscript"/>
              </w:rPr>
              <w:t>(2)</w:t>
            </w: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0"/>
                <w:szCs w:val="10"/>
                <w:b w:val="1"/>
                <w:bCs w:val="1"/>
                <w:color w:val="auto"/>
              </w:rPr>
              <w:t xml:space="preserve">Rate </w:t>
            </w:r>
            <w:r>
              <w:rPr>
                <w:rFonts w:ascii="Arial" w:cs="Arial" w:eastAsia="Arial" w:hAnsi="Arial"/>
                <w:sz w:val="12"/>
                <w:szCs w:val="12"/>
                <w:b w:val="1"/>
                <w:bCs w:val="1"/>
                <w:color w:val="auto"/>
                <w:vertAlign w:val="superscript"/>
              </w:rPr>
              <w:t>(</w:t>
            </w: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4"/>
          </w:tcPr>
          <w:p>
            <w:pPr>
              <w:ind w:left="400"/>
              <w:spacing w:after="0" w:line="113" w:lineRule="exact"/>
              <w:rPr>
                <w:sz w:val="20"/>
                <w:szCs w:val="20"/>
                <w:color w:val="auto"/>
              </w:rPr>
            </w:pPr>
            <w:r>
              <w:rPr>
                <w:rFonts w:ascii="Arial" w:cs="Arial" w:eastAsia="Arial" w:hAnsi="Arial"/>
                <w:sz w:val="10"/>
                <w:szCs w:val="10"/>
                <w:i w:val="1"/>
                <w:iCs w:val="1"/>
                <w:color w:val="auto"/>
              </w:rPr>
              <w:t>($ Values in Millions)</w:t>
            </w: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655</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0.5</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0.3</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2014</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3,451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253</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14,786</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1,568</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39</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4.2</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0.6</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2015</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12,422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52,548</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3.3</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0.6</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2016</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21,187</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3,409</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16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83,626</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17,318</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487</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134</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3.0</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0.7</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2017</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21,582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85,897</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19,700</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4.3</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1.0</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2018</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27,295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4,411</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16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104,043</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22,121</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1,032</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93</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7.6</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1.1</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2019</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45,141</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11,102</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148,423</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45,603</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10.1</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0.8</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2020</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62,702</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41,311</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66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186,174</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131,277</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902</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5.1</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0.5</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2021</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85,574</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78,955</w:t>
            </w:r>
          </w:p>
        </w:tc>
        <w:tc>
          <w:tcPr>
            <w:tcW w:w="10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92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257,972</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242,014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2.8</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0.3</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2022</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14,165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14,076</w:t>
            </w:r>
          </w:p>
        </w:tc>
        <w:tc>
          <w:tcPr>
            <w:tcW w:w="1040" w:type="dxa"/>
            <w:vAlign w:val="bottom"/>
          </w:tcPr>
          <w:p>
            <w:pPr>
              <w:jc w:val="right"/>
              <w:ind w:right="362"/>
              <w:spacing w:after="0"/>
              <w:rPr>
                <w:sz w:val="20"/>
                <w:szCs w:val="20"/>
                <w:color w:val="auto"/>
              </w:rPr>
            </w:pPr>
            <w:r>
              <w:rPr>
                <w:rFonts w:ascii="Arial" w:cs="Arial" w:eastAsia="Arial" w:hAnsi="Arial"/>
                <w:sz w:val="12"/>
                <w:szCs w:val="12"/>
                <w:color w:val="auto"/>
              </w:rPr>
              <w:t>99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38,974</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38,771</w:t>
            </w:r>
          </w:p>
        </w:tc>
        <w:tc>
          <w:tcPr>
            <w:tcW w:w="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w w:val="89"/>
              </w:rPr>
              <w:t>Total</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293,681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158,877</w:t>
            </w: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973,098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526,976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w:t>
            </w: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28" w:hanging="128"/>
        <w:spacing w:after="0"/>
        <w:tabs>
          <w:tab w:leader="none" w:pos="128" w:val="left"/>
        </w:tabs>
        <w:numPr>
          <w:ilvl w:val="0"/>
          <w:numId w:val="13"/>
        </w:numPr>
        <w:rPr>
          <w:rFonts w:ascii="Arial" w:cs="Arial" w:eastAsia="Arial" w:hAnsi="Arial"/>
          <w:sz w:val="12"/>
          <w:szCs w:val="12"/>
          <w:color w:val="auto"/>
          <w:vertAlign w:val="superscript"/>
        </w:rPr>
      </w:pPr>
      <w:r>
        <w:rPr>
          <w:rFonts w:ascii="Arial" w:cs="Arial" w:eastAsia="Arial" w:hAnsi="Arial"/>
          <w:sz w:val="10"/>
          <w:szCs w:val="10"/>
          <w:color w:val="auto"/>
        </w:rPr>
        <w:t>Calculated as total claims incurred (paid and reserved) divided by cumulative premiums earned, net of reinsurance.</w:t>
      </w:r>
    </w:p>
    <w:p>
      <w:pPr>
        <w:ind w:left="128" w:hanging="128"/>
        <w:spacing w:after="0" w:line="187" w:lineRule="auto"/>
        <w:tabs>
          <w:tab w:leader="none" w:pos="128" w:val="left"/>
        </w:tabs>
        <w:numPr>
          <w:ilvl w:val="0"/>
          <w:numId w:val="13"/>
        </w:numPr>
        <w:rPr>
          <w:rFonts w:ascii="Arial" w:cs="Arial" w:eastAsia="Arial" w:hAnsi="Arial"/>
          <w:sz w:val="12"/>
          <w:szCs w:val="12"/>
          <w:color w:val="auto"/>
          <w:vertAlign w:val="superscript"/>
        </w:rPr>
      </w:pPr>
      <w:r>
        <w:rPr>
          <w:rFonts w:ascii="Arial" w:cs="Arial" w:eastAsia="Arial" w:hAnsi="Arial"/>
          <w:sz w:val="10"/>
          <w:szCs w:val="10"/>
          <w:color w:val="auto"/>
        </w:rPr>
        <w:t>Calculated as the sum of the number of claims paid ever to date and number of loans in default divided by policies ever in force.</w:t>
      </w:r>
    </w:p>
    <w:p>
      <w:pPr>
        <w:ind w:left="128" w:hanging="128"/>
        <w:spacing w:after="0" w:line="197" w:lineRule="auto"/>
        <w:tabs>
          <w:tab w:leader="none" w:pos="128" w:val="left"/>
        </w:tabs>
        <w:numPr>
          <w:ilvl w:val="0"/>
          <w:numId w:val="13"/>
        </w:numPr>
        <w:rPr>
          <w:rFonts w:ascii="Arial" w:cs="Arial" w:eastAsia="Arial" w:hAnsi="Arial"/>
          <w:sz w:val="12"/>
          <w:szCs w:val="12"/>
          <w:color w:val="auto"/>
          <w:vertAlign w:val="superscript"/>
        </w:rPr>
      </w:pPr>
      <w:r>
        <w:rPr>
          <w:rFonts w:ascii="Arial" w:cs="Arial" w:eastAsia="Arial" w:hAnsi="Arial"/>
          <w:sz w:val="10"/>
          <w:szCs w:val="10"/>
          <w:color w:val="auto"/>
        </w:rPr>
        <w:t>Calculated as the number of loans in default divided by number of policies in force.</w:t>
      </w:r>
    </w:p>
    <w:p>
      <w:pPr>
        <w:spacing w:after="0" w:line="200" w:lineRule="exact"/>
        <w:rPr>
          <w:sz w:val="20"/>
          <w:szCs w:val="20"/>
          <w:color w:val="auto"/>
        </w:rPr>
      </w:pPr>
    </w:p>
    <w:p>
      <w:pPr>
        <w:spacing w:after="0" w:line="348"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863"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2"/>
          <w:szCs w:val="12"/>
          <w:i w:val="1"/>
          <w:iCs w:val="1"/>
          <w:color w:val="auto"/>
        </w:rPr>
        <w:t>Geographic Dispersion</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shows the distribution by state of our primary RIF as of the dates indicated. The distribution of our primary RIF as of March 31, 2022 is not necessarily representative of the geographic distribution we expect in the future.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920" w:type="dxa"/>
            <w:vAlign w:val="bottom"/>
            <w:gridSpan w:val="2"/>
          </w:tcPr>
          <w:p>
            <w:pPr>
              <w:spacing w:after="0"/>
              <w:rPr>
                <w:sz w:val="20"/>
                <w:szCs w:val="20"/>
                <w:color w:val="auto"/>
              </w:rPr>
            </w:pPr>
            <w:r>
              <w:rPr>
                <w:rFonts w:ascii="Arial" w:cs="Arial" w:eastAsia="Arial" w:hAnsi="Arial"/>
                <w:sz w:val="10"/>
                <w:szCs w:val="10"/>
                <w:b w:val="1"/>
                <w:bCs w:val="1"/>
                <w:color w:val="auto"/>
              </w:rPr>
              <w:t>Top 10 primary RIF by state</w:t>
            </w:r>
          </w:p>
        </w:tc>
        <w:tc>
          <w:tcPr>
            <w:tcW w:w="900" w:type="dxa"/>
            <w:vAlign w:val="bottom"/>
            <w:gridSpan w:val="3"/>
          </w:tcPr>
          <w:p>
            <w:pPr>
              <w:ind w:left="420"/>
              <w:spacing w:after="0"/>
              <w:rPr>
                <w:sz w:val="20"/>
                <w:szCs w:val="20"/>
                <w:color w:val="auto"/>
              </w:rPr>
            </w:pPr>
            <w:r>
              <w:rPr>
                <w:rFonts w:ascii="Arial" w:cs="Arial" w:eastAsia="Arial" w:hAnsi="Arial"/>
                <w:sz w:val="10"/>
                <w:szCs w:val="10"/>
                <w:b w:val="1"/>
                <w:bCs w:val="1"/>
                <w:color w:val="auto"/>
              </w:rPr>
              <w:t>As of</w:t>
            </w:r>
          </w:p>
        </w:tc>
        <w:tc>
          <w:tcPr>
            <w:tcW w:w="1480" w:type="dxa"/>
            <w:vAlign w:val="bottom"/>
          </w:tcPr>
          <w:p>
            <w:pPr>
              <w:spacing w:after="0"/>
              <w:rPr>
                <w:sz w:val="11"/>
                <w:szCs w:val="11"/>
                <w:color w:val="auto"/>
              </w:rPr>
            </w:pPr>
          </w:p>
        </w:tc>
      </w:tr>
      <w:tr>
        <w:trPr>
          <w:trHeight w:val="118"/>
        </w:trPr>
        <w:tc>
          <w:tcPr>
            <w:tcW w:w="7580" w:type="dxa"/>
            <w:vAlign w:val="bottom"/>
            <w:tcBorders>
              <w:bottom w:val="single" w:sz="8" w:color="CCEEFF"/>
            </w:tcBorders>
          </w:tcPr>
          <w:p>
            <w:pPr>
              <w:spacing w:after="0"/>
              <w:rPr>
                <w:sz w:val="10"/>
                <w:szCs w:val="10"/>
                <w:color w:val="auto"/>
              </w:rPr>
            </w:pPr>
          </w:p>
        </w:tc>
        <w:tc>
          <w:tcPr>
            <w:tcW w:w="13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0"/>
                <w:szCs w:val="10"/>
                <w:b w:val="1"/>
                <w:bCs w:val="1"/>
                <w:color w:val="auto"/>
              </w:rPr>
              <w:t>March 31, 2022</w:t>
            </w:r>
          </w:p>
        </w:tc>
        <w:tc>
          <w:tcPr>
            <w:tcW w:w="4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4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March 31, 2021</w:t>
            </w:r>
          </w:p>
        </w:tc>
      </w:tr>
      <w:tr>
        <w:trPr>
          <w:trHeight w:val="143"/>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California</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10.8 %</w:t>
            </w:r>
          </w:p>
        </w:tc>
      </w:tr>
      <w:tr>
        <w:trPr>
          <w:trHeight w:val="153"/>
        </w:trPr>
        <w:tc>
          <w:tcPr>
            <w:tcW w:w="8920" w:type="dxa"/>
            <w:vAlign w:val="bottom"/>
            <w:gridSpan w:val="2"/>
          </w:tcPr>
          <w:p>
            <w:pPr>
              <w:spacing w:after="0"/>
              <w:rPr>
                <w:sz w:val="20"/>
                <w:szCs w:val="20"/>
                <w:color w:val="auto"/>
              </w:rPr>
            </w:pPr>
            <w:r>
              <w:rPr>
                <w:rFonts w:ascii="Arial" w:cs="Arial" w:eastAsia="Arial" w:hAnsi="Arial"/>
                <w:sz w:val="12"/>
                <w:szCs w:val="12"/>
                <w:color w:val="auto"/>
              </w:rPr>
              <w:t>Texas</w:t>
            </w: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9.5</w:t>
            </w:r>
          </w:p>
        </w:tc>
      </w:tr>
      <w:tr>
        <w:trPr>
          <w:trHeight w:val="153"/>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Florida</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7.9</w:t>
            </w:r>
          </w:p>
        </w:tc>
      </w:tr>
      <w:tr>
        <w:trPr>
          <w:trHeight w:val="153"/>
        </w:trPr>
        <w:tc>
          <w:tcPr>
            <w:tcW w:w="8920" w:type="dxa"/>
            <w:vAlign w:val="bottom"/>
            <w:gridSpan w:val="2"/>
          </w:tcPr>
          <w:p>
            <w:pPr>
              <w:spacing w:after="0"/>
              <w:rPr>
                <w:sz w:val="20"/>
                <w:szCs w:val="20"/>
                <w:color w:val="auto"/>
              </w:rPr>
            </w:pPr>
            <w:r>
              <w:rPr>
                <w:rFonts w:ascii="Arial" w:cs="Arial" w:eastAsia="Arial" w:hAnsi="Arial"/>
                <w:sz w:val="12"/>
                <w:szCs w:val="12"/>
                <w:color w:val="auto"/>
              </w:rPr>
              <w:t>Virginia</w:t>
            </w: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5.0</w:t>
            </w:r>
          </w:p>
        </w:tc>
      </w:tr>
      <w:tr>
        <w:trPr>
          <w:trHeight w:val="153"/>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Georgia</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3.3</w:t>
            </w:r>
          </w:p>
        </w:tc>
      </w:tr>
      <w:tr>
        <w:trPr>
          <w:trHeight w:val="153"/>
        </w:trPr>
        <w:tc>
          <w:tcPr>
            <w:tcW w:w="8920" w:type="dxa"/>
            <w:vAlign w:val="bottom"/>
            <w:gridSpan w:val="2"/>
          </w:tcPr>
          <w:p>
            <w:pPr>
              <w:spacing w:after="0"/>
              <w:rPr>
                <w:sz w:val="20"/>
                <w:szCs w:val="20"/>
                <w:color w:val="auto"/>
              </w:rPr>
            </w:pPr>
            <w:r>
              <w:rPr>
                <w:rFonts w:ascii="Arial" w:cs="Arial" w:eastAsia="Arial" w:hAnsi="Arial"/>
                <w:sz w:val="12"/>
                <w:szCs w:val="12"/>
                <w:color w:val="auto"/>
              </w:rPr>
              <w:t>Illinois</w:t>
            </w: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3.7</w:t>
            </w:r>
          </w:p>
        </w:tc>
      </w:tr>
      <w:tr>
        <w:trPr>
          <w:trHeight w:val="153"/>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Colorado</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4.1</w:t>
            </w:r>
          </w:p>
        </w:tc>
      </w:tr>
      <w:tr>
        <w:trPr>
          <w:trHeight w:val="153"/>
        </w:trPr>
        <w:tc>
          <w:tcPr>
            <w:tcW w:w="8920" w:type="dxa"/>
            <w:vAlign w:val="bottom"/>
            <w:gridSpan w:val="2"/>
          </w:tcPr>
          <w:p>
            <w:pPr>
              <w:spacing w:after="0"/>
              <w:rPr>
                <w:sz w:val="20"/>
                <w:szCs w:val="20"/>
                <w:color w:val="auto"/>
              </w:rPr>
            </w:pPr>
            <w:r>
              <w:rPr>
                <w:rFonts w:ascii="Arial" w:cs="Arial" w:eastAsia="Arial" w:hAnsi="Arial"/>
                <w:sz w:val="12"/>
                <w:szCs w:val="12"/>
                <w:color w:val="auto"/>
              </w:rPr>
              <w:t>Washington</w:t>
            </w: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3.5</w:t>
            </w:r>
          </w:p>
        </w:tc>
      </w:tr>
      <w:tr>
        <w:trPr>
          <w:trHeight w:val="153"/>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Maryland</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3.8</w:t>
            </w:r>
          </w:p>
        </w:tc>
      </w:tr>
      <w:tr>
        <w:trPr>
          <w:trHeight w:val="153"/>
        </w:trPr>
        <w:tc>
          <w:tcPr>
            <w:tcW w:w="7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Pennsylvania</w:t>
            </w:r>
          </w:p>
        </w:tc>
        <w:tc>
          <w:tcPr>
            <w:tcW w:w="1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3.3</w:t>
            </w:r>
          </w:p>
        </w:tc>
      </w:tr>
      <w:tr>
        <w:trPr>
          <w:trHeight w:val="15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54.9 %</w:t>
            </w:r>
          </w:p>
        </w:tc>
      </w:tr>
    </w:tbl>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Insurance Claims and Claim 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8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7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9" w:name="page40"/>
    <w:bookmarkEnd w:id="39"/>
    <w:p>
      <w:pPr>
        <w:jc w:val="both"/>
        <w:ind w:left="8" w:firstLine="432"/>
        <w:spacing w:after="0" w:line="298" w:lineRule="auto"/>
        <w:rPr>
          <w:sz w:val="20"/>
          <w:szCs w:val="20"/>
          <w:color w:val="auto"/>
        </w:rPr>
      </w:pPr>
      <w:r>
        <w:rPr>
          <w:rFonts w:ascii="Arial" w:cs="Arial" w:eastAsia="Arial" w:hAnsi="Arial"/>
          <w:sz w:val="11"/>
          <w:szCs w:val="11"/>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6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In response to the COVID-19 pandemic, politicians, regulators, lenders, loan servicers and others have offered extraordinary assistance to dislocated borrowers through, among other programs, the forbearance, foreclosure moratorium and other assistance programs codified under the Coronavirus Aid, Relief, and Economic Security Act (CARES Act). The FHFA and GSEs have offered further assistance by introducing new repayment and loan modification options to assist borrowers with their transition out of forbearance programs and default status. At March 31, 2022 and 2021, we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(benefits) expenses: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For the three months ended</w:t>
            </w:r>
          </w:p>
        </w:tc>
        <w:tc>
          <w:tcPr>
            <w:tcW w:w="1200" w:type="dxa"/>
            <w:vAlign w:val="bottom"/>
            <w:tcBorders>
              <w:bottom w:val="single" w:sz="8" w:color="auto"/>
            </w:tcBorders>
          </w:tcPr>
          <w:p>
            <w:pPr>
              <w:spacing w:after="0"/>
              <w:rPr>
                <w:sz w:val="11"/>
                <w:szCs w:val="11"/>
                <w:color w:val="auto"/>
              </w:rPr>
            </w:pPr>
          </w:p>
        </w:tc>
      </w:tr>
      <w:tr>
        <w:trPr>
          <w:trHeight w:val="118"/>
        </w:trPr>
        <w:tc>
          <w:tcPr>
            <w:tcW w:w="7660" w:type="dxa"/>
            <w:vAlign w:val="bottom"/>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w w:val="89"/>
              </w:rPr>
              <w:t>March 31, 2021</w:t>
            </w:r>
          </w:p>
        </w:tc>
      </w:tr>
      <w:tr>
        <w:trPr>
          <w:trHeight w:val="114"/>
        </w:trPr>
        <w:tc>
          <w:tcPr>
            <w:tcW w:w="7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gridSpan w:val="3"/>
          </w:tcPr>
          <w:p>
            <w:pPr>
              <w:jc w:val="center"/>
              <w:spacing w:after="0"/>
              <w:rPr>
                <w:sz w:val="20"/>
                <w:szCs w:val="20"/>
                <w:color w:val="auto"/>
              </w:rPr>
            </w:pPr>
            <w:r>
              <w:rPr>
                <w:rFonts w:ascii="Arial" w:cs="Arial" w:eastAsia="Arial" w:hAnsi="Arial"/>
                <w:sz w:val="10"/>
                <w:szCs w:val="10"/>
                <w:i w:val="1"/>
                <w:iCs w:val="1"/>
                <w:color w:val="auto"/>
                <w:w w:val="86"/>
              </w:rPr>
              <w:t>(In Thousands)</w:t>
            </w:r>
          </w:p>
        </w:tc>
        <w:tc>
          <w:tcPr>
            <w:tcW w:w="1200" w:type="dxa"/>
            <w:vAlign w:val="bottom"/>
          </w:tcPr>
          <w:p>
            <w:pPr>
              <w:spacing w:after="0"/>
              <w:rPr>
                <w:sz w:val="9"/>
                <w:szCs w:val="9"/>
                <w:color w:val="auto"/>
              </w:rPr>
            </w:pPr>
          </w:p>
        </w:tc>
      </w:tr>
      <w:tr>
        <w:trPr>
          <w:trHeight w:val="155"/>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200" w:type="dxa"/>
            <w:vAlign w:val="bottom"/>
            <w:shd w:val="clear" w:color="auto" w:fill="CCEEFF"/>
          </w:tcPr>
          <w:p>
            <w:pPr>
              <w:jc w:val="right"/>
              <w:ind w:right="106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103,551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r>
      <w:tr>
        <w:trPr>
          <w:trHeight w:val="153"/>
        </w:trPr>
        <w:tc>
          <w:tcPr>
            <w:tcW w:w="76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1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(20,320)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(17,608)</w:t>
            </w:r>
          </w:p>
        </w:tc>
      </w:tr>
      <w:tr>
        <w:trPr>
          <w:trHeight w:val="142"/>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1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83,231</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72,959</w:t>
            </w:r>
          </w:p>
        </w:tc>
      </w:tr>
      <w:tr>
        <w:trPr>
          <w:trHeight w:val="160"/>
        </w:trPr>
        <w:tc>
          <w:tcPr>
            <w:tcW w:w="7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1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7660" w:type="dxa"/>
            <w:vAlign w:val="bottom"/>
          </w:tcPr>
          <w:p>
            <w:pPr>
              <w:ind w:left="140"/>
              <w:spacing w:after="0"/>
              <w:rPr>
                <w:sz w:val="20"/>
                <w:szCs w:val="20"/>
                <w:color w:val="auto"/>
              </w:rPr>
            </w:pPr>
            <w:r>
              <w:rPr>
                <w:rFonts w:ascii="Arial" w:cs="Arial" w:eastAsia="Arial" w:hAnsi="Arial"/>
                <w:sz w:val="12"/>
                <w:szCs w:val="12"/>
                <w:color w:val="auto"/>
              </w:rPr>
              <w:t>Claims and claim (benefits) expenses incurred:</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766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10,080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10,557</w:t>
            </w:r>
          </w:p>
        </w:tc>
      </w:tr>
      <w:tr>
        <w:trPr>
          <w:trHeight w:val="153"/>
        </w:trPr>
        <w:tc>
          <w:tcPr>
            <w:tcW w:w="766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(10,699)</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(5,595)</w:t>
            </w:r>
          </w:p>
        </w:tc>
      </w:tr>
      <w:tr>
        <w:trPr>
          <w:trHeight w:val="142"/>
        </w:trPr>
        <w:tc>
          <w:tcPr>
            <w:tcW w:w="7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(benefits) expenses incurred</w:t>
            </w:r>
          </w:p>
        </w:tc>
        <w:tc>
          <w:tcPr>
            <w:tcW w:w="1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(619)</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4,962</w:t>
            </w:r>
          </w:p>
        </w:tc>
      </w:tr>
      <w:tr>
        <w:trPr>
          <w:trHeight w:val="160"/>
        </w:trPr>
        <w:tc>
          <w:tcPr>
            <w:tcW w:w="7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1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766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766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766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320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w:t>
            </w:r>
          </w:p>
        </w:tc>
      </w:tr>
      <w:tr>
        <w:trPr>
          <w:trHeight w:val="142"/>
        </w:trPr>
        <w:tc>
          <w:tcPr>
            <w:tcW w:w="7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paid</w:t>
            </w:r>
          </w:p>
        </w:tc>
        <w:tc>
          <w:tcPr>
            <w:tcW w:w="1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320</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32320" cy="97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7155"/>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p>
      <w:pPr>
        <w:spacing w:after="0" w:line="171" w:lineRule="exact"/>
        <w:rPr>
          <w:sz w:val="20"/>
          <w:szCs w:val="20"/>
          <w:color w:val="auto"/>
        </w:rPr>
      </w:pPr>
    </w:p>
    <w:p>
      <w:pPr>
        <w:ind w:left="8"/>
        <w:spacing w:after="0"/>
        <w:rPr>
          <w:sz w:val="20"/>
          <w:szCs w:val="20"/>
          <w:color w:val="auto"/>
        </w:rPr>
      </w:pPr>
      <w:r>
        <w:rPr>
          <w:rFonts w:ascii="Arial" w:cs="Arial" w:eastAsia="Arial" w:hAnsi="Arial"/>
          <w:sz w:val="10"/>
          <w:szCs w:val="10"/>
          <w:color w:val="auto"/>
        </w:rPr>
        <w:t>Reserve at end of period, net of reinsurance recoverables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Ending balance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6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82,292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77,417</w:t>
            </w:r>
          </w:p>
        </w:tc>
      </w:tr>
      <w:tr>
        <w:trPr>
          <w:trHeight w:val="153"/>
        </w:trPr>
        <w:tc>
          <w:tcPr>
            <w:tcW w:w="6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20,080</w:t>
            </w: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18,686</w:t>
            </w:r>
          </w:p>
        </w:tc>
      </w:tr>
      <w:tr>
        <w:trPr>
          <w:trHeight w:val="142"/>
        </w:trPr>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102,372</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96,103</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-125095</wp:posOffset>
            </wp:positionV>
            <wp:extent cx="713232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4300"/>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6948" w:space="720"/>
            <w:col w:w="3640"/>
          </w:cols>
          <w:pgMar w:left="292" w:top="842" w:right="299" w:bottom="1440" w:gutter="0" w:footer="0" w:header="0"/>
          <w:type w:val="continuous"/>
        </w:sectPr>
      </w:pPr>
    </w:p>
    <w:p>
      <w:pPr>
        <w:ind w:left="128" w:hanging="128"/>
        <w:spacing w:after="0"/>
        <w:tabs>
          <w:tab w:leader="none" w:pos="128" w:val="left"/>
        </w:tabs>
        <w:numPr>
          <w:ilvl w:val="0"/>
          <w:numId w:val="14"/>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Item 1, "</w:t>
      </w:r>
      <w:r>
        <w:rPr>
          <w:rFonts w:ascii="Arial" w:cs="Arial" w:eastAsia="Arial" w:hAnsi="Arial"/>
          <w:sz w:val="10"/>
          <w:szCs w:val="10"/>
          <w:i w:val="1"/>
          <w:iCs w:val="1"/>
          <w:color w:val="auto"/>
        </w:rPr>
        <w:t>Financial Statements - Notes to Condensed Consolidated Financial Statements</w:t>
      </w:r>
      <w:r>
        <w:rPr>
          <w:rFonts w:ascii="Arial" w:cs="Arial" w:eastAsia="Arial" w:hAnsi="Arial"/>
          <w:sz w:val="10"/>
          <w:szCs w:val="10"/>
          <w:color w:val="auto"/>
        </w:rPr>
        <w:t xml:space="preserve"> - Note 5, </w:t>
      </w:r>
      <w:r>
        <w:rPr>
          <w:rFonts w:ascii="Arial" w:cs="Arial" w:eastAsia="Arial" w:hAnsi="Arial"/>
          <w:sz w:val="10"/>
          <w:szCs w:val="10"/>
          <w:i w:val="1"/>
          <w:iCs w:val="1"/>
          <w:color w:val="auto"/>
        </w:rPr>
        <w:t>Reinsurance</w:t>
      </w:r>
      <w:r>
        <w:rPr>
          <w:rFonts w:ascii="Arial" w:cs="Arial" w:eastAsia="Arial" w:hAnsi="Arial"/>
          <w:sz w:val="10"/>
          <w:szCs w:val="10"/>
          <w:color w:val="auto"/>
        </w:rPr>
        <w:t>" for additional information.</w:t>
      </w:r>
    </w:p>
    <w:p>
      <w:pPr>
        <w:ind w:left="208" w:hanging="208"/>
        <w:spacing w:after="0" w:line="422" w:lineRule="auto"/>
        <w:tabs>
          <w:tab w:leader="none" w:pos="80" w:val="left"/>
        </w:tabs>
        <w:numPr>
          <w:ilvl w:val="0"/>
          <w:numId w:val="14"/>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 and included $5.2 million attributed to net case reserves and $4.7 million attributed to net IBNR reserves for the three months ended March 31, 2022 and $5.3 million attributed to net case reserves and $5.3 million attributed to net IBNR reserves for the three months ended March 31, 2021.</w:t>
      </w:r>
    </w:p>
    <w:p>
      <w:pPr>
        <w:ind w:left="208" w:hanging="208"/>
        <w:spacing w:after="0" w:line="351" w:lineRule="auto"/>
        <w:tabs>
          <w:tab w:leader="none" w:pos="80" w:val="left"/>
        </w:tabs>
        <w:numPr>
          <w:ilvl w:val="0"/>
          <w:numId w:val="14"/>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defaults occurring in prior years, which have been continuously in default before the start of the current year. Amounts are presented net of reinsurance and included $5.8 million attributed to net case reserves and $4.7 million attributed to net IBNR reserves for the three months ended March 31, 2022 and $0.6 million attributed to net case reserves and $5.0 million attributed to net IBNR reserves for the three months ended March 31, 2021.</w:t>
      </w:r>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type w:val="continuous"/>
        </w:sectPr>
      </w:pPr>
    </w:p>
    <w:bookmarkStart w:id="40" w:name="page41"/>
    <w:bookmarkEnd w:id="40"/>
    <w:p>
      <w:pPr>
        <w:jc w:val="both"/>
        <w:ind w:left="8" w:right="20" w:firstLine="432"/>
        <w:spacing w:after="0" w:line="263" w:lineRule="auto"/>
        <w:rPr>
          <w:sz w:val="20"/>
          <w:szCs w:val="20"/>
          <w:color w:val="auto"/>
        </w:rPr>
      </w:pPr>
      <w:r>
        <w:rPr>
          <w:rFonts w:ascii="Arial" w:cs="Arial" w:eastAsia="Arial" w:hAnsi="Arial"/>
          <w:sz w:val="12"/>
          <w:szCs w:val="12"/>
          <w:color w:val="auto"/>
        </w:rPr>
        <w:t>The "claims incurred" section of the table above shows claims and claim (benefits)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$89.7 million related to prior year defaults remained as of March 31, 2022.</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count of loans in default:</w:t>
      </w:r>
    </w:p>
    <w:p>
      <w:pPr>
        <w:spacing w:after="0" w:line="135" w:lineRule="exact"/>
        <w:rPr>
          <w:sz w:val="20"/>
          <w:szCs w:val="20"/>
          <w:color w:val="auto"/>
        </w:rPr>
      </w:pPr>
    </w:p>
    <w:p>
      <w:pPr>
        <w:ind w:left="8888"/>
        <w:spacing w:after="0"/>
        <w:rPr>
          <w:sz w:val="20"/>
          <w:szCs w:val="20"/>
          <w:color w:val="auto"/>
        </w:rPr>
      </w:pPr>
      <w:r>
        <w:rPr>
          <w:rFonts w:ascii="Arial" w:cs="Arial" w:eastAsia="Arial" w:hAnsi="Arial"/>
          <w:sz w:val="10"/>
          <w:szCs w:val="10"/>
          <w:b w:val="1"/>
          <w:bCs w:val="1"/>
          <w:color w:val="auto"/>
        </w:rPr>
        <w:t>For the three months ended</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7660" w:type="dxa"/>
            <w:vAlign w:val="bottom"/>
            <w:tcBorders>
              <w:bottom w:val="single" w:sz="8" w:color="CCEEFF"/>
            </w:tcBorders>
          </w:tcPr>
          <w:p>
            <w:pPr>
              <w:spacing w:after="0"/>
              <w:rPr>
                <w:sz w:val="10"/>
                <w:szCs w:val="10"/>
                <w:color w:val="auto"/>
              </w:rPr>
            </w:pPr>
          </w:p>
        </w:tc>
        <w:tc>
          <w:tcPr>
            <w:tcW w:w="12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0"/>
                <w:szCs w:val="10"/>
                <w:b w:val="1"/>
                <w:bCs w:val="1"/>
                <w:color w:val="auto"/>
                <w:w w:val="98"/>
              </w:rPr>
              <w:t>March 31, 2022</w:t>
            </w:r>
          </w:p>
        </w:tc>
        <w:tc>
          <w:tcPr>
            <w:tcW w:w="4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7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March 31, 2021</w:t>
            </w:r>
          </w:p>
        </w:tc>
      </w:tr>
      <w:tr>
        <w:trPr>
          <w:trHeight w:val="142"/>
        </w:trPr>
        <w:tc>
          <w:tcPr>
            <w:tcW w:w="8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Beginning default inventory</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6,227</w:t>
            </w: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12,209</w:t>
            </w: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Plus: new defaults</w:t>
            </w:r>
          </w:p>
        </w:tc>
        <w:tc>
          <w:tcPr>
            <w:tcW w:w="460" w:type="dxa"/>
            <w:vAlign w:val="bottom"/>
          </w:tcPr>
          <w:p>
            <w:pPr>
              <w:jc w:val="right"/>
              <w:spacing w:after="0"/>
              <w:rPr>
                <w:sz w:val="20"/>
                <w:szCs w:val="20"/>
                <w:color w:val="auto"/>
              </w:rPr>
            </w:pPr>
            <w:r>
              <w:rPr>
                <w:rFonts w:ascii="Arial" w:cs="Arial" w:eastAsia="Arial" w:hAnsi="Arial"/>
                <w:sz w:val="12"/>
                <w:szCs w:val="12"/>
                <w:color w:val="auto"/>
              </w:rPr>
              <w:t>1,163</w:t>
            </w:r>
          </w:p>
        </w:tc>
        <w:tc>
          <w:tcPr>
            <w:tcW w:w="8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1,767</w:t>
            </w:r>
          </w:p>
        </w:tc>
      </w:tr>
      <w:tr>
        <w:trPr>
          <w:trHeight w:val="153"/>
        </w:trPr>
        <w:tc>
          <w:tcPr>
            <w:tcW w:w="8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cures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(2,132)</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(2,868)</w:t>
            </w:r>
          </w:p>
        </w:tc>
      </w:tr>
      <w:tr>
        <w:trPr>
          <w:trHeight w:val="153"/>
        </w:trPr>
        <w:tc>
          <w:tcPr>
            <w:tcW w:w="8940" w:type="dxa"/>
            <w:vAlign w:val="bottom"/>
            <w:gridSpan w:val="2"/>
          </w:tcPr>
          <w:p>
            <w:pPr>
              <w:spacing w:after="0"/>
              <w:rPr>
                <w:sz w:val="20"/>
                <w:szCs w:val="20"/>
                <w:color w:val="auto"/>
              </w:rPr>
            </w:pPr>
            <w:r>
              <w:rPr>
                <w:rFonts w:ascii="Arial" w:cs="Arial" w:eastAsia="Arial" w:hAnsi="Arial"/>
                <w:sz w:val="12"/>
                <w:szCs w:val="12"/>
                <w:color w:val="auto"/>
              </w:rPr>
              <w:t>Less: claims paid</w:t>
            </w:r>
          </w:p>
        </w:tc>
        <w:tc>
          <w:tcPr>
            <w:tcW w:w="46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Less: rescission and claims denied</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42"/>
        </w:trPr>
        <w:tc>
          <w:tcPr>
            <w:tcW w:w="8940" w:type="dxa"/>
            <w:vAlign w:val="bottom"/>
            <w:gridSpan w:val="2"/>
          </w:tcPr>
          <w:p>
            <w:pPr>
              <w:spacing w:after="0"/>
              <w:rPr>
                <w:sz w:val="20"/>
                <w:szCs w:val="20"/>
                <w:color w:val="auto"/>
              </w:rPr>
            </w:pPr>
            <w:r>
              <w:rPr>
                <w:rFonts w:ascii="Arial" w:cs="Arial" w:eastAsia="Arial" w:hAnsi="Arial"/>
                <w:sz w:val="12"/>
                <w:szCs w:val="12"/>
                <w:color w:val="auto"/>
              </w:rPr>
              <w:t>Ending default inventory</w:t>
            </w:r>
          </w:p>
        </w:tc>
        <w:tc>
          <w:tcPr>
            <w:tcW w:w="460" w:type="dxa"/>
            <w:vAlign w:val="bottom"/>
          </w:tcPr>
          <w:p>
            <w:pPr>
              <w:jc w:val="right"/>
              <w:spacing w:after="0"/>
              <w:rPr>
                <w:sz w:val="20"/>
                <w:szCs w:val="20"/>
                <w:color w:val="auto"/>
              </w:rPr>
            </w:pPr>
            <w:r>
              <w:rPr>
                <w:rFonts w:ascii="Arial" w:cs="Arial" w:eastAsia="Arial" w:hAnsi="Arial"/>
                <w:sz w:val="12"/>
                <w:szCs w:val="12"/>
                <w:color w:val="auto"/>
              </w:rPr>
              <w:t>5,238</w:t>
            </w:r>
          </w:p>
        </w:tc>
        <w:tc>
          <w:tcPr>
            <w:tcW w:w="8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11,090</w:t>
            </w:r>
          </w:p>
        </w:tc>
      </w:tr>
    </w:tbl>
    <w:p>
      <w:pPr>
        <w:spacing w:after="0" w:line="16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Ending default inventory declined from March 31, 2021 to March 31, 2022 as an increased number of borrowers initially impacted by the COVID-19 pandemic cured their delinquencies, and fewer new defaults emerged as the acute economic stress of the pandemic crisis began to recede. While our default population declined from March 31, 2021 to March 31, 2022, our default inventory remains elevated compared to historical experience due to the continued challenges certain borrowers are facing related to the COVID-19 pandemic and their decision to access the forbearance program for federally backed loans codified under the CARES Act or similar programs made available by private lenders. As of March 31, 2022, 3,463 of our 5,238 defaulted loans were in a COVID-19 related forbearance program.</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details of our claims paid, before giving effect to claims ceded under the QSR Transactions and ILN Transactions, for the periods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6"/>
              </w:rPr>
              <w:t>For the three months ended</w:t>
            </w:r>
          </w:p>
        </w:tc>
        <w:tc>
          <w:tcPr>
            <w:tcW w:w="1260" w:type="dxa"/>
            <w:vAlign w:val="bottom"/>
            <w:tcBorders>
              <w:bottom w:val="single" w:sz="8" w:color="auto"/>
            </w:tcBorders>
          </w:tcPr>
          <w:p>
            <w:pPr>
              <w:spacing w:after="0"/>
              <w:rPr>
                <w:sz w:val="11"/>
                <w:szCs w:val="11"/>
                <w:color w:val="auto"/>
              </w:rPr>
            </w:pPr>
          </w:p>
        </w:tc>
      </w:tr>
      <w:tr>
        <w:trPr>
          <w:trHeight w:val="118"/>
        </w:trPr>
        <w:tc>
          <w:tcPr>
            <w:tcW w:w="7520" w:type="dxa"/>
            <w:vAlign w:val="bottom"/>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w w:val="92"/>
              </w:rPr>
              <w:t>March 31, 2021</w:t>
            </w:r>
          </w:p>
        </w:tc>
      </w:tr>
      <w:tr>
        <w:trPr>
          <w:trHeight w:val="114"/>
        </w:trPr>
        <w:tc>
          <w:tcPr>
            <w:tcW w:w="7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i w:val="1"/>
                <w:iCs w:val="1"/>
                <w:color w:val="auto"/>
              </w:rPr>
              <w:t>($ In Thousands)</w:t>
            </w:r>
          </w:p>
        </w:tc>
        <w:tc>
          <w:tcPr>
            <w:tcW w:w="1260" w:type="dxa"/>
            <w:vAlign w:val="bottom"/>
          </w:tcPr>
          <w:p>
            <w:pPr>
              <w:spacing w:after="0"/>
              <w:rPr>
                <w:sz w:val="9"/>
                <w:szCs w:val="9"/>
                <w:color w:val="auto"/>
              </w:rPr>
            </w:pPr>
          </w:p>
        </w:tc>
      </w:tr>
      <w:tr>
        <w:trPr>
          <w:trHeight w:val="155"/>
        </w:trPr>
        <w:tc>
          <w:tcPr>
            <w:tcW w:w="752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Number of claims paid </w:t>
            </w:r>
            <w:r>
              <w:rPr>
                <w:rFonts w:ascii="Arial" w:cs="Arial" w:eastAsia="Arial" w:hAnsi="Arial"/>
                <w:sz w:val="15"/>
                <w:szCs w:val="15"/>
                <w:color w:val="auto"/>
                <w:vertAlign w:val="superscript"/>
              </w:rPr>
              <w:t>(1)</w:t>
            </w:r>
          </w:p>
        </w:tc>
        <w:tc>
          <w:tcPr>
            <w:tcW w:w="12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19</w:t>
            </w:r>
          </w:p>
        </w:tc>
        <w:tc>
          <w:tcPr>
            <w:tcW w:w="5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16</w:t>
            </w:r>
          </w:p>
        </w:tc>
      </w:tr>
      <w:tr>
        <w:trPr>
          <w:trHeight w:val="153"/>
        </w:trPr>
        <w:tc>
          <w:tcPr>
            <w:tcW w:w="7520" w:type="dxa"/>
            <w:vAlign w:val="bottom"/>
          </w:tcPr>
          <w:p>
            <w:pPr>
              <w:spacing w:after="0"/>
              <w:rPr>
                <w:sz w:val="20"/>
                <w:szCs w:val="20"/>
                <w:color w:val="auto"/>
              </w:rPr>
            </w:pPr>
            <w:r>
              <w:rPr>
                <w:rFonts w:ascii="Arial" w:cs="Arial" w:eastAsia="Arial" w:hAnsi="Arial"/>
                <w:sz w:val="12"/>
                <w:szCs w:val="12"/>
                <w:color w:val="auto"/>
              </w:rPr>
              <w:t>Total amount paid for claims</w:t>
            </w:r>
          </w:p>
        </w:tc>
        <w:tc>
          <w:tcPr>
            <w:tcW w:w="1260" w:type="dxa"/>
            <w:vAlign w:val="bottom"/>
          </w:tcPr>
          <w:p>
            <w:pPr>
              <w:jc w:val="right"/>
              <w:ind w:right="115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44"/>
              <w:spacing w:after="0"/>
              <w:rPr>
                <w:sz w:val="20"/>
                <w:szCs w:val="20"/>
                <w:color w:val="auto"/>
              </w:rPr>
            </w:pPr>
            <w:r>
              <w:rPr>
                <w:rFonts w:ascii="Arial" w:cs="Arial" w:eastAsia="Arial" w:hAnsi="Arial"/>
                <w:sz w:val="12"/>
                <w:szCs w:val="12"/>
                <w:color w:val="auto"/>
              </w:rPr>
              <w:t>402</w:t>
            </w:r>
          </w:p>
        </w:tc>
        <w:tc>
          <w:tcPr>
            <w:tcW w:w="5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606</w:t>
            </w:r>
          </w:p>
        </w:tc>
      </w:tr>
      <w:tr>
        <w:trPr>
          <w:trHeight w:val="153"/>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Average amount paid per claim</w:t>
            </w:r>
          </w:p>
        </w:tc>
        <w:tc>
          <w:tcPr>
            <w:tcW w:w="1260" w:type="dxa"/>
            <w:vAlign w:val="bottom"/>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21</w:t>
            </w: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38</w:t>
            </w:r>
          </w:p>
        </w:tc>
      </w:tr>
      <w:tr>
        <w:trPr>
          <w:trHeight w:val="202"/>
        </w:trPr>
        <w:tc>
          <w:tcPr>
            <w:tcW w:w="7520" w:type="dxa"/>
            <w:vAlign w:val="bottom"/>
          </w:tcPr>
          <w:p>
            <w:pPr>
              <w:spacing w:after="0"/>
              <w:rPr>
                <w:sz w:val="20"/>
                <w:szCs w:val="20"/>
                <w:color w:val="auto"/>
              </w:rPr>
            </w:pPr>
            <w:r>
              <w:rPr>
                <w:rFonts w:ascii="Arial" w:cs="Arial" w:eastAsia="Arial" w:hAnsi="Arial"/>
                <w:sz w:val="12"/>
                <w:szCs w:val="12"/>
                <w:color w:val="auto"/>
              </w:rPr>
              <w:t xml:space="preserve">Severity </w:t>
            </w:r>
            <w:r>
              <w:rPr>
                <w:rFonts w:ascii="Arial" w:cs="Arial" w:eastAsia="Arial" w:hAnsi="Arial"/>
                <w:sz w:val="15"/>
                <w:szCs w:val="15"/>
                <w:color w:val="auto"/>
                <w:vertAlign w:val="superscript"/>
              </w:rPr>
              <w:t>(2)</w:t>
            </w:r>
          </w:p>
        </w:tc>
        <w:tc>
          <w:tcPr>
            <w:tcW w:w="126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2"/>
                <w:szCs w:val="12"/>
                <w:color w:val="auto"/>
              </w:rPr>
              <w:t>39 %</w:t>
            </w: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61 %</w:t>
            </w:r>
          </w:p>
        </w:tc>
      </w:tr>
    </w:tbl>
    <w:p>
      <w:pPr>
        <w:spacing w:after="0" w:line="120" w:lineRule="exact"/>
        <w:rPr>
          <w:sz w:val="20"/>
          <w:szCs w:val="20"/>
          <w:color w:val="auto"/>
        </w:rPr>
      </w:pPr>
    </w:p>
    <w:p>
      <w:pPr>
        <w:ind w:left="168" w:hanging="168"/>
        <w:spacing w:after="0"/>
        <w:tabs>
          <w:tab w:leader="none" w:pos="168" w:val="left"/>
        </w:tabs>
        <w:numPr>
          <w:ilvl w:val="0"/>
          <w:numId w:val="15"/>
        </w:numPr>
        <w:rPr>
          <w:rFonts w:ascii="Arial" w:cs="Arial" w:eastAsia="Arial" w:hAnsi="Arial"/>
          <w:sz w:val="12"/>
          <w:szCs w:val="12"/>
          <w:color w:val="auto"/>
          <w:vertAlign w:val="superscript"/>
        </w:rPr>
      </w:pPr>
      <w:r>
        <w:rPr>
          <w:rFonts w:ascii="Arial" w:cs="Arial" w:eastAsia="Arial" w:hAnsi="Arial"/>
          <w:sz w:val="10"/>
          <w:szCs w:val="10"/>
          <w:color w:val="auto"/>
        </w:rPr>
        <w:t>Count includes six and one claims settled without payment during the three months ended March 31, 2022 and 2021, respectively.</w:t>
      </w:r>
    </w:p>
    <w:p>
      <w:pPr>
        <w:spacing w:after="0" w:line="3" w:lineRule="exact"/>
        <w:rPr>
          <w:rFonts w:ascii="Arial" w:cs="Arial" w:eastAsia="Arial" w:hAnsi="Arial"/>
          <w:sz w:val="12"/>
          <w:szCs w:val="12"/>
          <w:color w:val="auto"/>
          <w:vertAlign w:val="superscript"/>
        </w:rPr>
      </w:pPr>
    </w:p>
    <w:p>
      <w:pPr>
        <w:ind w:left="168" w:hanging="168"/>
        <w:spacing w:after="0" w:line="197" w:lineRule="auto"/>
        <w:tabs>
          <w:tab w:leader="none" w:pos="168" w:val="left"/>
        </w:tabs>
        <w:numPr>
          <w:ilvl w:val="0"/>
          <w:numId w:val="15"/>
        </w:numPr>
        <w:rPr>
          <w:rFonts w:ascii="Arial" w:cs="Arial" w:eastAsia="Arial" w:hAnsi="Arial"/>
          <w:sz w:val="12"/>
          <w:szCs w:val="12"/>
          <w:color w:val="auto"/>
          <w:vertAlign w:val="superscript"/>
        </w:rPr>
      </w:pPr>
      <w:r>
        <w:rPr>
          <w:rFonts w:ascii="Arial" w:cs="Arial" w:eastAsia="Arial" w:hAnsi="Arial"/>
          <w:sz w:val="10"/>
          <w:szCs w:val="10"/>
          <w:color w:val="auto"/>
        </w:rPr>
        <w:t>Severity represents the total amount of claims paid including claim expenses divided by the related RIF on the loan at the time the claim is perfected, and is calculated including claims settled without payment.</w:t>
      </w:r>
    </w:p>
    <w:p>
      <w:pPr>
        <w:spacing w:after="0" w:line="152"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The Company paid 19 and 16 claims during the three months ended March 31, 2022 and 2021, respectively. The number of claims paid was modest relative to the size of our insured portfolio and number of defaulted loans we reported in each period, primarily due to the forbearance program and foreclosure moratorium implemented by the GSEs in response to the COVID-19 pandemic and codified under the CARES Act. Such forbearance and foreclosure programs have extended, and may ultimately interrupt, the timeline over which loans would otherwise progress through the default cycle to a paid claim. Our claims paid experience for the three months ended March 31, 2022 and 2021, further benefited from the resiliency of the housing market and broad national house price appreciation. An increase in the value of the homes collateralizing the mortgages we insure provides defaulted borrowers with alternative paths and incentives to cure their loan prior to the development of a claim.</w:t>
      </w:r>
    </w:p>
    <w:p>
      <w:pPr>
        <w:spacing w:after="0" w:line="14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claims severity for the three months ended March 31, 2022 was 39% compared to 61% for three months ended March 31, 2021. Claims severity for the three months ended March 31, 2022 and 2021 benefited from the same resiliency of the housing market and broad national house price appreciation as our claims paid.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2" w:right="299" w:bottom="1440" w:gutter="0" w:footer="0" w:header="0"/>
        </w:sectPr>
      </w:pPr>
    </w:p>
    <w:bookmarkStart w:id="41" w:name="page42"/>
    <w:bookmarkEnd w:id="41"/>
    <w:p>
      <w:pPr>
        <w:ind w:left="428"/>
        <w:spacing w:after="0"/>
        <w:rPr>
          <w:sz w:val="20"/>
          <w:szCs w:val="20"/>
          <w:color w:val="auto"/>
        </w:rPr>
      </w:pPr>
      <w:r>
        <w:rPr>
          <w:rFonts w:ascii="Arial" w:cs="Arial" w:eastAsia="Arial" w:hAnsi="Arial"/>
          <w:sz w:val="12"/>
          <w:szCs w:val="12"/>
          <w:color w:val="auto"/>
        </w:rPr>
        <w:t>The following table provides detail on our average reserve per default, before giving effect to reserves ceded under the QSR Transactions, as of the dates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860" w:type="dxa"/>
            <w:vAlign w:val="bottom"/>
          </w:tcPr>
          <w:p>
            <w:pPr>
              <w:spacing w:after="0"/>
              <w:rPr>
                <w:sz w:val="20"/>
                <w:szCs w:val="20"/>
                <w:color w:val="auto"/>
              </w:rPr>
            </w:pPr>
            <w:r>
              <w:rPr>
                <w:rFonts w:ascii="Arial" w:cs="Arial" w:eastAsia="Arial" w:hAnsi="Arial"/>
                <w:sz w:val="10"/>
                <w:szCs w:val="10"/>
                <w:b w:val="1"/>
                <w:bCs w:val="1"/>
                <w:color w:val="auto"/>
              </w:rPr>
              <w:t>Average reserve per default:</w:t>
            </w:r>
          </w:p>
        </w:tc>
        <w:tc>
          <w:tcPr>
            <w:tcW w:w="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As of March 31, 2022</w:t>
            </w:r>
          </w:p>
        </w:tc>
        <w:tc>
          <w:tcPr>
            <w:tcW w:w="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As of March 31, 2021</w:t>
            </w:r>
          </w:p>
        </w:tc>
      </w:tr>
      <w:tr>
        <w:trPr>
          <w:trHeight w:val="117"/>
        </w:trPr>
        <w:tc>
          <w:tcPr>
            <w:tcW w:w="6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40" w:type="dxa"/>
            <w:vAlign w:val="bottom"/>
            <w:gridSpan w:val="3"/>
          </w:tcPr>
          <w:p>
            <w:pPr>
              <w:jc w:val="right"/>
              <w:ind w:right="140"/>
              <w:spacing w:after="0"/>
              <w:rPr>
                <w:sz w:val="20"/>
                <w:szCs w:val="20"/>
                <w:color w:val="auto"/>
              </w:rPr>
            </w:pPr>
            <w:r>
              <w:rPr>
                <w:rFonts w:ascii="Arial" w:cs="Arial" w:eastAsia="Arial" w:hAnsi="Arial"/>
                <w:sz w:val="10"/>
                <w:szCs w:val="10"/>
                <w:i w:val="1"/>
                <w:iCs w:val="1"/>
                <w:color w:val="auto"/>
              </w:rPr>
              <w:t>(In Thousands)</w:t>
            </w:r>
          </w:p>
        </w:tc>
        <w:tc>
          <w:tcPr>
            <w:tcW w:w="1720" w:type="dxa"/>
            <w:vAlign w:val="bottom"/>
          </w:tcPr>
          <w:p>
            <w:pPr>
              <w:spacing w:after="0"/>
              <w:rPr>
                <w:sz w:val="10"/>
                <w:szCs w:val="10"/>
                <w:color w:val="auto"/>
              </w:rPr>
            </w:pPr>
          </w:p>
        </w:tc>
      </w:tr>
      <w:tr>
        <w:trPr>
          <w:trHeight w:val="155"/>
        </w:trPr>
        <w:tc>
          <w:tcPr>
            <w:tcW w:w="68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Case </w:t>
            </w:r>
            <w:r>
              <w:rPr>
                <w:rFonts w:ascii="Arial" w:cs="Arial" w:eastAsia="Arial" w:hAnsi="Arial"/>
                <w:sz w:val="15"/>
                <w:szCs w:val="15"/>
                <w:color w:val="auto"/>
                <w:vertAlign w:val="superscript"/>
              </w:rPr>
              <w:t>(1)</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r>
      <w:tr>
        <w:trPr>
          <w:trHeight w:val="153"/>
        </w:trPr>
        <w:tc>
          <w:tcPr>
            <w:tcW w:w="6860" w:type="dxa"/>
            <w:vAlign w:val="bottom"/>
            <w:tcBorders>
              <w:bottom w:val="single" w:sz="8" w:color="CCEEFF"/>
            </w:tcBorders>
          </w:tcPr>
          <w:p>
            <w:pPr>
              <w:spacing w:after="0" w:line="153" w:lineRule="exact"/>
              <w:rPr>
                <w:sz w:val="20"/>
                <w:szCs w:val="20"/>
                <w:color w:val="auto"/>
              </w:rPr>
            </w:pPr>
            <w:r>
              <w:rPr>
                <w:rFonts w:ascii="Arial" w:cs="Arial" w:eastAsia="Arial" w:hAnsi="Arial"/>
                <w:sz w:val="17"/>
                <w:szCs w:val="17"/>
                <w:color w:val="auto"/>
                <w:vertAlign w:val="subscript"/>
              </w:rPr>
              <w:t>IBNR</w:t>
            </w:r>
            <w:r>
              <w:rPr>
                <w:rFonts w:ascii="Arial" w:cs="Arial" w:eastAsia="Arial" w:hAnsi="Arial"/>
                <w:sz w:val="7"/>
                <w:szCs w:val="7"/>
                <w:color w:val="auto"/>
              </w:rPr>
              <w:t xml:space="preserve"> (1)(2)</w:t>
            </w: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r>
      <w:tr>
        <w:trPr>
          <w:trHeight w:val="142"/>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r>
    </w:tbl>
    <w:p>
      <w:pPr>
        <w:spacing w:after="0" w:line="137" w:lineRule="exact"/>
        <w:rPr>
          <w:sz w:val="20"/>
          <w:szCs w:val="20"/>
          <w:color w:val="auto"/>
        </w:rPr>
      </w:pPr>
    </w:p>
    <w:p>
      <w:pPr>
        <w:ind w:left="128" w:hanging="128"/>
        <w:spacing w:after="0"/>
        <w:tabs>
          <w:tab w:leader="none" w:pos="128"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Defined as the gross reserve per insured loan in default.</w:t>
      </w:r>
    </w:p>
    <w:p>
      <w:pPr>
        <w:ind w:left="128" w:hanging="128"/>
        <w:spacing w:after="0" w:line="197" w:lineRule="auto"/>
        <w:tabs>
          <w:tab w:leader="none" w:pos="128"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Amount includes claims adjustment expenses.</w:t>
      </w:r>
    </w:p>
    <w:p>
      <w:pPr>
        <w:spacing w:after="0" w:line="9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Average reserve per default increased from March 31, 2021 to March 31, 2022 primarily due to the “aging” of early COVID-related defaults. While we have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 The growth in our average reserve per default from March 31, 2021 to March 31, 2022, far exceeded the growth in our aggregate gross reserve position in the intervening period as the impact of the increase in our average reserve per default was largely offset by the decline in our total default inventory.</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GSE Oversight</w:t>
      </w:r>
    </w:p>
    <w:p>
      <w:pPr>
        <w:spacing w:after="0" w:line="114" w:lineRule="exact"/>
        <w:rPr>
          <w:sz w:val="20"/>
          <w:szCs w:val="20"/>
          <w:color w:val="auto"/>
        </w:rPr>
      </w:pPr>
    </w:p>
    <w:p>
      <w:pPr>
        <w:jc w:val="both"/>
        <w:ind w:left="8" w:firstLine="459"/>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NMIC is subject to ongoing compliance with the PMIERs established by each of the GSEs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2"/>
          <w:szCs w:val="12"/>
          <w:i w:val="1"/>
          <w:iCs w:val="1"/>
          <w:color w:val="auto"/>
        </w:rPr>
        <w:t>approved insurers</w:t>
      </w:r>
      <w:r>
        <w:rPr>
          <w:rFonts w:ascii="Arial" w:cs="Arial" w:eastAsia="Arial" w:hAnsi="Arial"/>
          <w:sz w:val="12"/>
          <w:szCs w:val="12"/>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2"/>
          <w:szCs w:val="12"/>
          <w:i w:val="1"/>
          <w:iCs w:val="1"/>
          <w:color w:val="auto"/>
        </w:rPr>
        <w:t>i.e.,</w:t>
      </w:r>
      <w:r>
        <w:rPr>
          <w:rFonts w:ascii="Arial" w:cs="Arial" w:eastAsia="Arial" w:hAnsi="Arial"/>
          <w:sz w:val="12"/>
          <w:szCs w:val="12"/>
          <w:color w:val="auto"/>
        </w:rPr>
        <w:t xml:space="preserve"> current vs. delinquent), LTV ratio and other risk features. In general, higher quality loans carry lower asset charges.</w:t>
      </w:r>
    </w:p>
    <w:p>
      <w:pPr>
        <w:spacing w:after="0" w:line="88" w:lineRule="exact"/>
        <w:rPr>
          <w:sz w:val="20"/>
          <w:szCs w:val="20"/>
          <w:color w:val="auto"/>
        </w:rPr>
      </w:pPr>
    </w:p>
    <w:p>
      <w:pPr>
        <w:jc w:val="both"/>
        <w:ind w:left="8" w:firstLine="459"/>
        <w:spacing w:after="0" w:line="256" w:lineRule="auto"/>
        <w:rPr>
          <w:sz w:val="20"/>
          <w:szCs w:val="20"/>
          <w:color w:val="auto"/>
        </w:rPr>
      </w:pPr>
      <w:r>
        <w:rPr>
          <w:rFonts w:ascii="Arial" w:cs="Arial" w:eastAsia="Arial" w:hAnsi="Arial"/>
          <w:sz w:val="12"/>
          <w:szCs w:val="12"/>
          <w:color w:val="auto"/>
        </w:rPr>
        <w:t xml:space="preserve">Under the PMIERs,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must maintain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that equal or exceed </w:t>
      </w:r>
      <w:r>
        <w:rPr>
          <w:rFonts w:ascii="Arial" w:cs="Arial" w:eastAsia="Arial" w:hAnsi="Arial"/>
          <w:sz w:val="12"/>
          <w:szCs w:val="12"/>
          <w:i w:val="1"/>
          <w:iCs w:val="1"/>
          <w:color w:val="auto"/>
        </w:rPr>
        <w:t>minimum required assets</w:t>
      </w:r>
      <w:r>
        <w:rPr>
          <w:rFonts w:ascii="Arial" w:cs="Arial" w:eastAsia="Arial" w:hAnsi="Arial"/>
          <w:sz w:val="12"/>
          <w:szCs w:val="12"/>
          <w:color w:val="auto"/>
        </w:rPr>
        <w:t xml:space="preserve">, which is an amount equal to the greater of (i) $400 million or (ii) a total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is a function of the risk profile of an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RIF, assessed on a loan-by-loan basis and considered against certain risk-based factors derived from tables set out in the PMIERs, which is then adjusted on an aggregate basis for reinsurance transactions approved by the GSEs, such as with respect to our ILN Transactions and QSR Transactions. The </w:t>
      </w:r>
      <w:r>
        <w:rPr>
          <w:rFonts w:ascii="Arial" w:cs="Arial" w:eastAsia="Arial" w:hAnsi="Arial"/>
          <w:sz w:val="12"/>
          <w:szCs w:val="12"/>
          <w:i w:val="1"/>
          <w:iCs w:val="1"/>
          <w:color w:val="auto"/>
        </w:rPr>
        <w:t>aggregate gross risk-based required asset amount</w:t>
      </w:r>
      <w:r>
        <w:rPr>
          <w:rFonts w:ascii="Arial" w:cs="Arial" w:eastAsia="Arial" w:hAnsi="Arial"/>
          <w:sz w:val="12"/>
          <w:szCs w:val="12"/>
          <w:color w:val="auto"/>
        </w:rPr>
        <w:t xml:space="preserve"> for performing, primary insurance is subject to a floor of 5.6% of </w:t>
      </w:r>
      <w:r>
        <w:rPr>
          <w:rFonts w:ascii="Arial" w:cs="Arial" w:eastAsia="Arial" w:hAnsi="Arial"/>
          <w:sz w:val="12"/>
          <w:szCs w:val="12"/>
          <w:i w:val="1"/>
          <w:iCs w:val="1"/>
          <w:color w:val="auto"/>
        </w:rPr>
        <w:t>performing primary adjusted RIF</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for pool insurance considers both factors in the PMIERs tables and the </w:t>
      </w:r>
      <w:r>
        <w:rPr>
          <w:rFonts w:ascii="Arial" w:cs="Arial" w:eastAsia="Arial" w:hAnsi="Arial"/>
          <w:sz w:val="12"/>
          <w:szCs w:val="12"/>
          <w:i w:val="1"/>
          <w:iCs w:val="1"/>
          <w:color w:val="auto"/>
        </w:rPr>
        <w:t>net remaining stop loss</w:t>
      </w:r>
      <w:r>
        <w:rPr>
          <w:rFonts w:ascii="Arial" w:cs="Arial" w:eastAsia="Arial" w:hAnsi="Arial"/>
          <w:sz w:val="12"/>
          <w:szCs w:val="12"/>
          <w:color w:val="auto"/>
        </w:rPr>
        <w:t xml:space="preserve"> for each pool insurance policy.</w:t>
      </w:r>
    </w:p>
    <w:p>
      <w:pPr>
        <w:spacing w:after="0" w:line="9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By April 15th of each year, NMIC must certify it met all PMIERs requirements as of December 31st of the prior year. We certified to the GSEs by April 15, 2022 that NMIC was in full compliance with the PMIERs as of December 31, 2021. NMIC also has an ongoing obligation to immediately notify the GSEs in writing upon discovery of a failure to meet one or more of the PMIERs requirements. We continuously monitor NMIC's compliance with the PMIERs.</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The following table provides a comparison of the PMIERs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and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as reported by NMIC as of the dates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left="66"/>
              <w:spacing w:after="0"/>
              <w:rPr>
                <w:sz w:val="20"/>
                <w:szCs w:val="20"/>
                <w:color w:val="auto"/>
              </w:rPr>
            </w:pPr>
            <w:r>
              <w:rPr>
                <w:rFonts w:ascii="Arial" w:cs="Arial" w:eastAsia="Arial" w:hAnsi="Arial"/>
                <w:sz w:val="10"/>
                <w:szCs w:val="10"/>
                <w:b w:val="1"/>
                <w:bCs w:val="1"/>
                <w:color w:val="auto"/>
                <w:w w:val="87"/>
              </w:rPr>
              <w:t>As of</w:t>
            </w:r>
          </w:p>
        </w:tc>
        <w:tc>
          <w:tcPr>
            <w:tcW w:w="1300" w:type="dxa"/>
            <w:vAlign w:val="bottom"/>
            <w:tcBorders>
              <w:bottom w:val="single" w:sz="8" w:color="auto"/>
            </w:tcBorders>
          </w:tcPr>
          <w:p>
            <w:pPr>
              <w:spacing w:after="0"/>
              <w:rPr>
                <w:sz w:val="11"/>
                <w:szCs w:val="11"/>
                <w:color w:val="auto"/>
              </w:rPr>
            </w:pPr>
          </w:p>
        </w:tc>
      </w:tr>
      <w:tr>
        <w:trPr>
          <w:trHeight w:val="118"/>
        </w:trPr>
        <w:tc>
          <w:tcPr>
            <w:tcW w:w="7660" w:type="dxa"/>
            <w:vAlign w:val="bottom"/>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5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March 31, 2021</w:t>
            </w:r>
          </w:p>
        </w:tc>
      </w:tr>
      <w:tr>
        <w:trPr>
          <w:trHeight w:val="114"/>
        </w:trPr>
        <w:tc>
          <w:tcPr>
            <w:tcW w:w="7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gridSpan w:val="2"/>
          </w:tcPr>
          <w:p>
            <w:pPr>
              <w:jc w:val="center"/>
              <w:ind w:left="66"/>
              <w:spacing w:after="0"/>
              <w:rPr>
                <w:sz w:val="20"/>
                <w:szCs w:val="20"/>
                <w:color w:val="auto"/>
              </w:rPr>
            </w:pPr>
            <w:r>
              <w:rPr>
                <w:rFonts w:ascii="Arial" w:cs="Arial" w:eastAsia="Arial" w:hAnsi="Arial"/>
                <w:sz w:val="10"/>
                <w:szCs w:val="10"/>
                <w:i w:val="1"/>
                <w:iCs w:val="1"/>
                <w:color w:val="auto"/>
                <w:w w:val="86"/>
              </w:rPr>
              <w:t>(In Thousands)</w:t>
            </w:r>
          </w:p>
        </w:tc>
        <w:tc>
          <w:tcPr>
            <w:tcW w:w="1300" w:type="dxa"/>
            <w:vAlign w:val="bottom"/>
          </w:tcPr>
          <w:p>
            <w:pPr>
              <w:spacing w:after="0"/>
              <w:rPr>
                <w:sz w:val="9"/>
                <w:szCs w:val="9"/>
                <w:color w:val="auto"/>
              </w:rPr>
            </w:pPr>
          </w:p>
        </w:tc>
      </w:tr>
      <w:tr>
        <w:trPr>
          <w:trHeight w:val="155"/>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Available assets</w:t>
            </w:r>
          </w:p>
        </w:tc>
        <w:tc>
          <w:tcPr>
            <w:tcW w:w="1180" w:type="dxa"/>
            <w:vAlign w:val="bottom"/>
            <w:shd w:val="clear" w:color="auto" w:fill="CCEEFF"/>
          </w:tcPr>
          <w:p>
            <w:pPr>
              <w:jc w:val="right"/>
              <w:ind w:right="1046"/>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w w:val="86"/>
              </w:rPr>
              <w:t>2,127,030</w:t>
            </w:r>
          </w:p>
        </w:tc>
        <w:tc>
          <w:tcPr>
            <w:tcW w:w="4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1,809,589</w:t>
            </w:r>
          </w:p>
        </w:tc>
      </w:tr>
      <w:tr>
        <w:trPr>
          <w:trHeight w:val="153"/>
        </w:trPr>
        <w:tc>
          <w:tcPr>
            <w:tcW w:w="7660" w:type="dxa"/>
            <w:vAlign w:val="bottom"/>
          </w:tcPr>
          <w:p>
            <w:pPr>
              <w:spacing w:after="0"/>
              <w:rPr>
                <w:sz w:val="20"/>
                <w:szCs w:val="20"/>
                <w:color w:val="auto"/>
              </w:rPr>
            </w:pPr>
            <w:r>
              <w:rPr>
                <w:rFonts w:ascii="Arial" w:cs="Arial" w:eastAsia="Arial" w:hAnsi="Arial"/>
                <w:sz w:val="12"/>
                <w:szCs w:val="12"/>
                <w:color w:val="auto"/>
              </w:rPr>
              <w:t>Risk-based required assets</w:t>
            </w:r>
          </w:p>
        </w:tc>
        <w:tc>
          <w:tcPr>
            <w:tcW w:w="1180" w:type="dxa"/>
            <w:vAlign w:val="bottom"/>
          </w:tcPr>
          <w:p>
            <w:pPr>
              <w:spacing w:after="0"/>
              <w:rPr>
                <w:sz w:val="13"/>
                <w:szCs w:val="13"/>
                <w:color w:val="auto"/>
              </w:rPr>
            </w:pPr>
          </w:p>
        </w:tc>
        <w:tc>
          <w:tcPr>
            <w:tcW w:w="560" w:type="dxa"/>
            <w:vAlign w:val="bottom"/>
          </w:tcPr>
          <w:p>
            <w:pPr>
              <w:jc w:val="right"/>
              <w:ind w:right="26"/>
              <w:spacing w:after="0"/>
              <w:rPr>
                <w:sz w:val="20"/>
                <w:szCs w:val="20"/>
                <w:color w:val="auto"/>
              </w:rPr>
            </w:pPr>
            <w:r>
              <w:rPr>
                <w:rFonts w:ascii="Arial" w:cs="Arial" w:eastAsia="Arial" w:hAnsi="Arial"/>
                <w:sz w:val="12"/>
                <w:szCs w:val="12"/>
                <w:color w:val="auto"/>
                <w:w w:val="86"/>
              </w:rPr>
              <w:t>1,341,217</w:t>
            </w:r>
          </w:p>
        </w:tc>
        <w:tc>
          <w:tcPr>
            <w:tcW w:w="4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1,261,015</w:t>
            </w:r>
          </w:p>
        </w:tc>
      </w:tr>
    </w:tbl>
    <w:p>
      <w:pPr>
        <w:spacing w:after="0" w:line="324"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i w:val="1"/>
          <w:iCs w:val="1"/>
          <w:color w:val="auto"/>
        </w:rPr>
        <w:t xml:space="preserve">Available assets </w:t>
      </w:r>
      <w:r>
        <w:rPr>
          <w:rFonts w:ascii="Arial" w:cs="Arial" w:eastAsia="Arial" w:hAnsi="Arial"/>
          <w:sz w:val="12"/>
          <w:szCs w:val="12"/>
          <w:color w:val="auto"/>
        </w:rPr>
        <w:t>were $2.1 billion at March 31, 2022, compared to $1.8 billion at March 31, 2021. The $317 million increase in</w:t>
      </w:r>
      <w:r>
        <w:rPr>
          <w:rFonts w:ascii="Arial" w:cs="Arial" w:eastAsia="Arial" w:hAnsi="Arial"/>
          <w:sz w:val="12"/>
          <w:szCs w:val="12"/>
          <w:i w:val="1"/>
          <w:iCs w:val="1"/>
          <w:color w:val="auto"/>
        </w:rPr>
        <w:t xml:space="preserve"> available assets </w:t>
      </w:r>
      <w:r>
        <w:rPr>
          <w:rFonts w:ascii="Arial" w:cs="Arial" w:eastAsia="Arial" w:hAnsi="Arial"/>
          <w:sz w:val="12"/>
          <w:szCs w:val="12"/>
          <w:color w:val="auto"/>
        </w:rPr>
        <w:t>between the dates presented was primarily driven by NMIC's positive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from operations during the intervening period.</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2" w:name="page43"/>
    <w:bookmarkEnd w:id="42"/>
    <w:p>
      <w:pPr>
        <w:ind w:left="420" w:right="80"/>
        <w:spacing w:after="0" w:line="438" w:lineRule="auto"/>
        <w:rPr>
          <w:sz w:val="20"/>
          <w:szCs w:val="20"/>
          <w:color w:val="auto"/>
        </w:rPr>
      </w:pPr>
      <w:r>
        <w:rPr>
          <w:rFonts w:ascii="Arial" w:cs="Arial" w:eastAsia="Arial" w:hAnsi="Arial"/>
          <w:sz w:val="12"/>
          <w:szCs w:val="12"/>
          <w:color w:val="auto"/>
        </w:rPr>
        <w:t xml:space="preserve">The increase in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between the dates presented was primarily due to the growth of our gross RIF, partially offset by an increase in the risk ceded under our third-party reinsurance agreements. </w:t>
      </w:r>
      <w:r>
        <w:rPr>
          <w:rFonts w:ascii="Arial" w:cs="Arial" w:eastAsia="Arial" w:hAnsi="Arial"/>
          <w:sz w:val="12"/>
          <w:szCs w:val="12"/>
          <w:b w:val="1"/>
          <w:bCs w:val="1"/>
          <w:i w:val="1"/>
          <w:iCs w:val="1"/>
          <w:color w:val="auto"/>
        </w:rPr>
        <w:t>Competition</w:t>
      </w:r>
    </w:p>
    <w:p>
      <w:pPr>
        <w:jc w:val="both"/>
        <w:ind w:firstLine="432"/>
        <w:spacing w:after="0" w:line="263" w:lineRule="auto"/>
        <w:rPr>
          <w:sz w:val="20"/>
          <w:szCs w:val="20"/>
          <w:color w:val="auto"/>
        </w:rPr>
      </w:pPr>
      <w:r>
        <w:rPr>
          <w:rFonts w:ascii="Arial" w:cs="Arial" w:eastAsia="Arial" w:hAnsi="Arial"/>
          <w:sz w:val="12"/>
          <w:szCs w:val="12"/>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LIBOR Transition</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do not expect the impact of such transition to be material to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3" w:name="page44"/>
    <w:bookmarkEnd w:id="43"/>
    <w:p>
      <w:pPr>
        <w:ind w:left="80"/>
        <w:spacing w:after="0"/>
        <w:rPr>
          <w:sz w:val="20"/>
          <w:szCs w:val="20"/>
          <w:color w:val="auto"/>
        </w:rPr>
      </w:pPr>
      <w:r>
        <w:rPr>
          <w:rFonts w:ascii="Arial" w:cs="Arial" w:eastAsia="Arial" w:hAnsi="Arial"/>
          <w:sz w:val="12"/>
          <w:szCs w:val="12"/>
          <w:b w:val="1"/>
          <w:bCs w:val="1"/>
          <w:color w:val="auto"/>
        </w:rPr>
        <w:t>Consolidated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5080" w:type="dxa"/>
            <w:vAlign w:val="bottom"/>
          </w:tcPr>
          <w:p>
            <w:pPr>
              <w:spacing w:after="0"/>
              <w:rPr>
                <w:sz w:val="20"/>
                <w:szCs w:val="20"/>
                <w:color w:val="auto"/>
              </w:rPr>
            </w:pPr>
            <w:r>
              <w:rPr>
                <w:rFonts w:ascii="Arial" w:cs="Arial" w:eastAsia="Arial" w:hAnsi="Arial"/>
                <w:sz w:val="10"/>
                <w:szCs w:val="10"/>
                <w:b w:val="1"/>
                <w:bCs w:val="1"/>
                <w:color w:val="auto"/>
              </w:rPr>
              <w:t>Consolidated statements of operations</w:t>
            </w: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gridSpan w:val="5"/>
          </w:tcPr>
          <w:p>
            <w:pPr>
              <w:jc w:val="right"/>
              <w:ind w:right="1440"/>
              <w:spacing w:after="0"/>
              <w:rPr>
                <w:sz w:val="20"/>
                <w:szCs w:val="20"/>
                <w:color w:val="auto"/>
              </w:rPr>
            </w:pPr>
            <w:r>
              <w:rPr>
                <w:rFonts w:ascii="Arial" w:cs="Arial" w:eastAsia="Arial" w:hAnsi="Arial"/>
                <w:sz w:val="10"/>
                <w:szCs w:val="10"/>
                <w:b w:val="1"/>
                <w:bCs w:val="1"/>
                <w:color w:val="auto"/>
              </w:rPr>
              <w:t>Three months ended</w:t>
            </w:r>
          </w:p>
        </w:tc>
      </w:tr>
      <w:tr>
        <w:trPr>
          <w:trHeight w:val="116"/>
        </w:trPr>
        <w:tc>
          <w:tcPr>
            <w:tcW w:w="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March 31, 2022</w:t>
            </w: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0"/>
                <w:szCs w:val="10"/>
                <w:b w:val="1"/>
                <w:bCs w:val="1"/>
                <w:color w:val="auto"/>
              </w:rPr>
              <w:t>March 31, 2021</w:t>
            </w:r>
          </w:p>
        </w:tc>
      </w:tr>
      <w:tr>
        <w:trPr>
          <w:trHeight w:val="136"/>
        </w:trPr>
        <w:tc>
          <w:tcPr>
            <w:tcW w:w="80" w:type="dxa"/>
            <w:vAlign w:val="bottom"/>
          </w:tcPr>
          <w:p>
            <w:pPr>
              <w:spacing w:after="0"/>
              <w:rPr>
                <w:sz w:val="11"/>
                <w:szCs w:val="11"/>
                <w:color w:val="auto"/>
              </w:rPr>
            </w:pPr>
          </w:p>
        </w:tc>
        <w:tc>
          <w:tcPr>
            <w:tcW w:w="5080" w:type="dxa"/>
            <w:vAlign w:val="bottom"/>
          </w:tcPr>
          <w:p>
            <w:pPr>
              <w:spacing w:after="0" w:line="136" w:lineRule="exact"/>
              <w:rPr>
                <w:sz w:val="20"/>
                <w:szCs w:val="20"/>
                <w:color w:val="auto"/>
              </w:rPr>
            </w:pPr>
            <w:r>
              <w:rPr>
                <w:rFonts w:ascii="Arial" w:cs="Arial" w:eastAsia="Arial" w:hAnsi="Arial"/>
                <w:sz w:val="12"/>
                <w:szCs w:val="12"/>
                <w:color w:val="auto"/>
              </w:rPr>
              <w:t>Revenues</w:t>
            </w:r>
          </w:p>
        </w:tc>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60" w:type="dxa"/>
            <w:vAlign w:val="bottom"/>
            <w:gridSpan w:val="5"/>
          </w:tcPr>
          <w:p>
            <w:pPr>
              <w:jc w:val="right"/>
              <w:ind w:right="1040"/>
              <w:spacing w:after="0"/>
              <w:rPr>
                <w:sz w:val="20"/>
                <w:szCs w:val="20"/>
                <w:color w:val="auto"/>
              </w:rPr>
            </w:pPr>
            <w:r>
              <w:rPr>
                <w:rFonts w:ascii="Arial" w:cs="Arial" w:eastAsia="Arial" w:hAnsi="Arial"/>
                <w:sz w:val="10"/>
                <w:szCs w:val="10"/>
                <w:i w:val="1"/>
                <w:iCs w:val="1"/>
                <w:color w:val="auto"/>
              </w:rPr>
              <w:t>($ in thousands, except for per share data)</w:t>
            </w: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premiums earned</w:t>
            </w:r>
          </w:p>
        </w:tc>
        <w:tc>
          <w:tcPr>
            <w:tcW w:w="26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116,495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105,879</w:t>
            </w:r>
          </w:p>
        </w:tc>
      </w:tr>
      <w:tr>
        <w:trPr>
          <w:trHeight w:val="153"/>
        </w:trPr>
        <w:tc>
          <w:tcPr>
            <w:tcW w:w="80" w:type="dxa"/>
            <w:vAlign w:val="bottom"/>
          </w:tcPr>
          <w:p>
            <w:pPr>
              <w:spacing w:after="0"/>
              <w:rPr>
                <w:sz w:val="13"/>
                <w:szCs w:val="13"/>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Net investment income</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10,199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8,814</w:t>
            </w: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realized investment gains</w:t>
            </w: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408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80" w:type="dxa"/>
            <w:vAlign w:val="bottom"/>
          </w:tcPr>
          <w:p>
            <w:pPr>
              <w:spacing w:after="0"/>
              <w:rPr>
                <w:sz w:val="13"/>
                <w:szCs w:val="13"/>
                <w:color w:val="auto"/>
              </w:rPr>
            </w:pPr>
          </w:p>
        </w:tc>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revenues</w:t>
            </w:r>
          </w:p>
        </w:tc>
        <w:tc>
          <w:tcPr>
            <w:tcW w:w="24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339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501</w:t>
            </w:r>
          </w:p>
        </w:tc>
      </w:tr>
      <w:tr>
        <w:trPr>
          <w:trHeight w:val="142"/>
        </w:trPr>
        <w:tc>
          <w:tcPr>
            <w:tcW w:w="8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4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127,441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115,194</w:t>
            </w:r>
          </w:p>
        </w:tc>
      </w:tr>
      <w:tr>
        <w:trPr>
          <w:trHeight w:val="133"/>
        </w:trPr>
        <w:tc>
          <w:tcPr>
            <w:tcW w:w="80" w:type="dxa"/>
            <w:vAlign w:val="bottom"/>
          </w:tcPr>
          <w:p>
            <w:pPr>
              <w:spacing w:after="0"/>
              <w:rPr>
                <w:sz w:val="11"/>
                <w:szCs w:val="11"/>
                <w:color w:val="auto"/>
              </w:rPr>
            </w:pPr>
          </w:p>
        </w:tc>
        <w:tc>
          <w:tcPr>
            <w:tcW w:w="5080" w:type="dxa"/>
            <w:vAlign w:val="bottom"/>
          </w:tcPr>
          <w:p>
            <w:pPr>
              <w:spacing w:after="0" w:line="133" w:lineRule="exact"/>
              <w:rPr>
                <w:sz w:val="20"/>
                <w:szCs w:val="20"/>
                <w:color w:val="auto"/>
              </w:rPr>
            </w:pPr>
            <w:r>
              <w:rPr>
                <w:rFonts w:ascii="Arial" w:cs="Arial" w:eastAsia="Arial" w:hAnsi="Arial"/>
                <w:sz w:val="12"/>
                <w:szCs w:val="12"/>
                <w:color w:val="auto"/>
              </w:rPr>
              <w:t>Expenses</w:t>
            </w:r>
          </w:p>
        </w:tc>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Insurance claims and claim (benefits) expenses</w:t>
            </w: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4,962</w:t>
            </w:r>
          </w:p>
        </w:tc>
      </w:tr>
      <w:tr>
        <w:trPr>
          <w:trHeight w:val="153"/>
        </w:trPr>
        <w:tc>
          <w:tcPr>
            <w:tcW w:w="80" w:type="dxa"/>
            <w:vAlign w:val="bottom"/>
          </w:tcPr>
          <w:p>
            <w:pPr>
              <w:spacing w:after="0"/>
              <w:rPr>
                <w:sz w:val="13"/>
                <w:szCs w:val="13"/>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Underwriting and operating expenses</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32,935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34,065</w:t>
            </w: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 expenses</w:t>
            </w: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591</w:t>
            </w:r>
          </w:p>
        </w:tc>
      </w:tr>
      <w:tr>
        <w:trPr>
          <w:trHeight w:val="153"/>
        </w:trPr>
        <w:tc>
          <w:tcPr>
            <w:tcW w:w="80" w:type="dxa"/>
            <w:vAlign w:val="bottom"/>
          </w:tcPr>
          <w:p>
            <w:pPr>
              <w:spacing w:after="0"/>
              <w:rPr>
                <w:sz w:val="13"/>
                <w:szCs w:val="13"/>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8,041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7,915</w:t>
            </w: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24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205</w:t>
            </w:r>
          </w:p>
        </w:tc>
      </w:tr>
      <w:tr>
        <w:trPr>
          <w:trHeight w:val="142"/>
        </w:trPr>
        <w:tc>
          <w:tcPr>
            <w:tcW w:w="80" w:type="dxa"/>
            <w:vAlign w:val="bottom"/>
          </w:tcPr>
          <w:p>
            <w:pPr>
              <w:spacing w:after="0"/>
              <w:rPr>
                <w:sz w:val="12"/>
                <w:szCs w:val="12"/>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expenses</w:t>
            </w:r>
          </w:p>
        </w:tc>
        <w:tc>
          <w:tcPr>
            <w:tcW w:w="24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40,694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47,738</w:t>
            </w:r>
          </w:p>
        </w:tc>
      </w:tr>
      <w:tr>
        <w:trPr>
          <w:trHeight w:val="160"/>
        </w:trPr>
        <w:tc>
          <w:tcPr>
            <w:tcW w:w="80" w:type="dxa"/>
            <w:vAlign w:val="bottom"/>
          </w:tcPr>
          <w:p>
            <w:pPr>
              <w:spacing w:after="0"/>
              <w:rPr>
                <w:sz w:val="13"/>
                <w:szCs w:val="13"/>
                <w:color w:val="auto"/>
              </w:rPr>
            </w:pPr>
          </w:p>
        </w:tc>
        <w:tc>
          <w:tcPr>
            <w:tcW w:w="508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86,747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67,456</w:t>
            </w: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expense</w:t>
            </w:r>
          </w:p>
        </w:tc>
        <w:tc>
          <w:tcPr>
            <w:tcW w:w="24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19,067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14,565</w:t>
            </w:r>
          </w:p>
        </w:tc>
      </w:tr>
      <w:tr>
        <w:trPr>
          <w:trHeight w:val="158"/>
        </w:trPr>
        <w:tc>
          <w:tcPr>
            <w:tcW w:w="8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Net income</w:t>
            </w:r>
          </w:p>
        </w:tc>
        <w:tc>
          <w:tcPr>
            <w:tcW w:w="26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67,680</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52,891</w:t>
            </w:r>
          </w:p>
        </w:tc>
      </w:tr>
      <w:tr>
        <w:trPr>
          <w:trHeight w:val="90"/>
        </w:trPr>
        <w:tc>
          <w:tcPr>
            <w:tcW w:w="80" w:type="dxa"/>
            <w:vAlign w:val="bottom"/>
          </w:tcPr>
          <w:p>
            <w:pPr>
              <w:spacing w:after="0"/>
              <w:rPr>
                <w:sz w:val="7"/>
                <w:szCs w:val="7"/>
                <w:color w:val="auto"/>
              </w:rPr>
            </w:pPr>
          </w:p>
        </w:tc>
        <w:tc>
          <w:tcPr>
            <w:tcW w:w="5080" w:type="dxa"/>
            <w:vAlign w:val="bottom"/>
            <w:tcBorders>
              <w:top w:val="single" w:sz="8" w:color="CCEEFF"/>
            </w:tcBorders>
            <w:shd w:val="clear" w:color="auto" w:fill="CCEEFF"/>
          </w:tcPr>
          <w:p>
            <w:pPr>
              <w:spacing w:after="0"/>
              <w:rPr>
                <w:sz w:val="7"/>
                <w:szCs w:val="7"/>
                <w:color w:val="auto"/>
              </w:rPr>
            </w:pPr>
          </w:p>
        </w:tc>
        <w:tc>
          <w:tcPr>
            <w:tcW w:w="24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3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r>
      <w:tr>
        <w:trPr>
          <w:trHeight w:val="153"/>
        </w:trPr>
        <w:tc>
          <w:tcPr>
            <w:tcW w:w="8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Earnings per share - Basic</w:t>
            </w:r>
          </w:p>
        </w:tc>
        <w:tc>
          <w:tcPr>
            <w:tcW w:w="26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0.79</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0.62</w:t>
            </w: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 - Diluted</w:t>
            </w:r>
          </w:p>
        </w:tc>
        <w:tc>
          <w:tcPr>
            <w:tcW w:w="26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0.77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0.61</w:t>
            </w:r>
          </w:p>
        </w:tc>
      </w:tr>
      <w:tr>
        <w:trPr>
          <w:trHeight w:val="108"/>
        </w:trPr>
        <w:tc>
          <w:tcPr>
            <w:tcW w:w="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Loss ratio</w:t>
            </w:r>
            <w:r>
              <w:rPr>
                <w:rFonts w:ascii="Arial" w:cs="Arial" w:eastAsia="Arial" w:hAnsi="Arial"/>
                <w:sz w:val="15"/>
                <w:szCs w:val="15"/>
                <w:color w:val="auto"/>
                <w:vertAlign w:val="superscript"/>
              </w:rPr>
              <w:t>(1)</w:t>
            </w: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4.7 %</w:t>
            </w:r>
          </w:p>
        </w:tc>
      </w:tr>
      <w:tr>
        <w:trPr>
          <w:trHeight w:val="153"/>
        </w:trPr>
        <w:tc>
          <w:tcPr>
            <w:tcW w:w="80" w:type="dxa"/>
            <w:vAlign w:val="bottom"/>
          </w:tcPr>
          <w:p>
            <w:pPr>
              <w:spacing w:after="0"/>
              <w:rPr>
                <w:sz w:val="13"/>
                <w:szCs w:val="13"/>
                <w:color w:val="auto"/>
              </w:rPr>
            </w:pPr>
          </w:p>
        </w:tc>
        <w:tc>
          <w:tcPr>
            <w:tcW w:w="50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Expense ratio</w:t>
            </w:r>
            <w:r>
              <w:rPr>
                <w:rFonts w:ascii="Arial" w:cs="Arial" w:eastAsia="Arial" w:hAnsi="Arial"/>
                <w:sz w:val="15"/>
                <w:szCs w:val="15"/>
                <w:color w:val="auto"/>
                <w:vertAlign w:val="superscript"/>
              </w:rPr>
              <w:t>(2)</w:t>
            </w:r>
          </w:p>
        </w:tc>
        <w:tc>
          <w:tcPr>
            <w:tcW w:w="24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28.3 %</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32.2 %</w:t>
            </w:r>
          </w:p>
        </w:tc>
      </w:tr>
      <w:tr>
        <w:trPr>
          <w:trHeight w:val="142"/>
        </w:trPr>
        <w:tc>
          <w:tcPr>
            <w:tcW w:w="80" w:type="dxa"/>
            <w:vAlign w:val="bottom"/>
          </w:tcPr>
          <w:p>
            <w:pPr>
              <w:spacing w:after="0"/>
              <w:rPr>
                <w:sz w:val="12"/>
                <w:szCs w:val="12"/>
                <w:color w:val="auto"/>
              </w:rPr>
            </w:pPr>
          </w:p>
        </w:tc>
        <w:tc>
          <w:tcPr>
            <w:tcW w:w="508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Combined ratio </w:t>
            </w:r>
            <w:r>
              <w:rPr>
                <w:rFonts w:ascii="Arial" w:cs="Arial" w:eastAsia="Arial" w:hAnsi="Arial"/>
                <w:sz w:val="15"/>
                <w:szCs w:val="15"/>
                <w:color w:val="auto"/>
                <w:vertAlign w:val="superscript"/>
              </w:rPr>
              <w:t>(3)</w:t>
            </w:r>
          </w:p>
        </w:tc>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36.9 %</w:t>
            </w:r>
          </w:p>
        </w:tc>
      </w:tr>
      <w:tr>
        <w:trPr>
          <w:trHeight w:val="311"/>
        </w:trPr>
        <w:tc>
          <w:tcPr>
            <w:tcW w:w="80" w:type="dxa"/>
            <w:vAlign w:val="bottom"/>
          </w:tcPr>
          <w:p>
            <w:pPr>
              <w:spacing w:after="0"/>
              <w:rPr>
                <w:sz w:val="24"/>
                <w:szCs w:val="24"/>
                <w:color w:val="auto"/>
              </w:rPr>
            </w:pPr>
          </w:p>
        </w:tc>
        <w:tc>
          <w:tcPr>
            <w:tcW w:w="508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w:t>
            </w:r>
          </w:p>
        </w:tc>
        <w:tc>
          <w:tcPr>
            <w:tcW w:w="1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19"/>
        </w:trPr>
        <w:tc>
          <w:tcPr>
            <w:tcW w:w="80" w:type="dxa"/>
            <w:vAlign w:val="bottom"/>
          </w:tcPr>
          <w:p>
            <w:pPr>
              <w:spacing w:after="0"/>
              <w:rPr>
                <w:sz w:val="20"/>
                <w:szCs w:val="20"/>
                <w:color w:val="auto"/>
              </w:rPr>
            </w:pPr>
            <w:r>
              <w:rPr>
                <w:rFonts w:ascii="Arial" w:cs="Arial" w:eastAsia="Arial" w:hAnsi="Arial"/>
                <w:sz w:val="8"/>
                <w:szCs w:val="8"/>
                <w:b w:val="1"/>
                <w:bCs w:val="1"/>
                <w:color w:val="auto"/>
                <w:w w:val="78"/>
              </w:rPr>
              <w:t>n-</w:t>
            </w:r>
          </w:p>
        </w:tc>
        <w:tc>
          <w:tcPr>
            <w:tcW w:w="5080" w:type="dxa"/>
            <w:vAlign w:val="bottom"/>
            <w:shd w:val="clear" w:color="auto" w:fill="CCEEFF"/>
          </w:tcPr>
          <w:p>
            <w:pPr>
              <w:spacing w:after="0" w:line="119" w:lineRule="exact"/>
              <w:rPr>
                <w:sz w:val="20"/>
                <w:szCs w:val="20"/>
                <w:color w:val="auto"/>
              </w:rPr>
            </w:pPr>
            <w:r>
              <w:rPr>
                <w:rFonts w:ascii="Arial" w:cs="Arial" w:eastAsia="Arial" w:hAnsi="Arial"/>
                <w:sz w:val="10"/>
                <w:szCs w:val="10"/>
                <w:b w:val="1"/>
                <w:bCs w:val="1"/>
                <w:color w:val="auto"/>
              </w:rPr>
              <w:t xml:space="preserve">GAAP financial measures </w:t>
            </w:r>
            <w:r>
              <w:rPr>
                <w:rFonts w:ascii="Arial" w:cs="Arial" w:eastAsia="Arial" w:hAnsi="Arial"/>
                <w:sz w:val="12"/>
                <w:szCs w:val="12"/>
                <w:b w:val="1"/>
                <w:bCs w:val="1"/>
                <w:color w:val="auto"/>
                <w:vertAlign w:val="superscript"/>
              </w:rPr>
              <w:t>(4)</w:t>
            </w:r>
          </w:p>
        </w:tc>
        <w:tc>
          <w:tcPr>
            <w:tcW w:w="2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6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March 31, 2022</w:t>
            </w:r>
          </w:p>
        </w:tc>
        <w:tc>
          <w:tcPr>
            <w:tcW w:w="26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0"/>
                <w:szCs w:val="10"/>
                <w:b w:val="1"/>
                <w:bCs w:val="1"/>
                <w:color w:val="auto"/>
                <w:w w:val="95"/>
              </w:rPr>
              <w:t>March 31, 2021</w:t>
            </w:r>
          </w:p>
        </w:tc>
        <w:tc>
          <w:tcPr>
            <w:tcW w:w="220" w:type="dxa"/>
            <w:vAlign w:val="bottom"/>
          </w:tcPr>
          <w:p>
            <w:pPr>
              <w:spacing w:after="0"/>
              <w:rPr>
                <w:sz w:val="10"/>
                <w:szCs w:val="10"/>
                <w:color w:val="auto"/>
              </w:rPr>
            </w:pPr>
          </w:p>
        </w:tc>
      </w:tr>
      <w:tr>
        <w:trPr>
          <w:trHeight w:val="113"/>
        </w:trPr>
        <w:tc>
          <w:tcPr>
            <w:tcW w:w="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40" w:type="dxa"/>
            <w:vAlign w:val="bottom"/>
            <w:gridSpan w:val="4"/>
          </w:tcPr>
          <w:p>
            <w:pPr>
              <w:jc w:val="right"/>
              <w:ind w:right="961"/>
              <w:spacing w:after="0" w:line="113" w:lineRule="exact"/>
              <w:rPr>
                <w:sz w:val="20"/>
                <w:szCs w:val="20"/>
                <w:color w:val="auto"/>
              </w:rPr>
            </w:pPr>
            <w:r>
              <w:rPr>
                <w:rFonts w:ascii="Arial" w:cs="Arial" w:eastAsia="Arial" w:hAnsi="Arial"/>
                <w:sz w:val="10"/>
                <w:szCs w:val="10"/>
                <w:i w:val="1"/>
                <w:iCs w:val="1"/>
                <w:color w:val="auto"/>
              </w:rPr>
              <w:t>($ in thousands, except for per share data)</w:t>
            </w:r>
          </w:p>
        </w:tc>
        <w:tc>
          <w:tcPr>
            <w:tcW w:w="220" w:type="dxa"/>
            <w:vAlign w:val="bottom"/>
          </w:tcPr>
          <w:p>
            <w:pPr>
              <w:spacing w:after="0"/>
              <w:rPr>
                <w:sz w:val="9"/>
                <w:szCs w:val="9"/>
                <w:color w:val="auto"/>
              </w:rPr>
            </w:pPr>
          </w:p>
        </w:tc>
      </w:tr>
      <w:tr>
        <w:trPr>
          <w:trHeight w:val="155"/>
        </w:trPr>
        <w:tc>
          <w:tcPr>
            <w:tcW w:w="80" w:type="dxa"/>
            <w:vAlign w:val="bottom"/>
          </w:tcPr>
          <w:p>
            <w:pPr>
              <w:spacing w:after="0"/>
              <w:rPr>
                <w:sz w:val="13"/>
                <w:szCs w:val="1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justed income before tax</w:t>
            </w:r>
          </w:p>
        </w:tc>
        <w:tc>
          <w:tcPr>
            <w:tcW w:w="2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86,506$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68,039</w:t>
            </w:r>
          </w:p>
        </w:tc>
        <w:tc>
          <w:tcPr>
            <w:tcW w:w="220" w:type="dxa"/>
            <w:vAlign w:val="bottom"/>
          </w:tcPr>
          <w:p>
            <w:pPr>
              <w:spacing w:after="0"/>
              <w:rPr>
                <w:sz w:val="13"/>
                <w:szCs w:val="13"/>
                <w:color w:val="auto"/>
              </w:rPr>
            </w:pPr>
          </w:p>
        </w:tc>
      </w:tr>
      <w:tr>
        <w:trPr>
          <w:trHeight w:val="153"/>
        </w:trPr>
        <w:tc>
          <w:tcPr>
            <w:tcW w:w="5160" w:type="dxa"/>
            <w:vAlign w:val="bottom"/>
            <w:gridSpan w:val="2"/>
          </w:tcPr>
          <w:p>
            <w:pPr>
              <w:ind w:left="20"/>
              <w:spacing w:after="0"/>
              <w:rPr>
                <w:sz w:val="20"/>
                <w:szCs w:val="20"/>
                <w:color w:val="auto"/>
              </w:rPr>
            </w:pPr>
            <w:r>
              <w:rPr>
                <w:rFonts w:ascii="Arial" w:cs="Arial" w:eastAsia="Arial" w:hAnsi="Arial"/>
                <w:sz w:val="12"/>
                <w:szCs w:val="12"/>
                <w:color w:val="auto"/>
              </w:rPr>
              <w:t>justed net income</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83"/>
              <w:spacing w:after="0"/>
              <w:rPr>
                <w:sz w:val="20"/>
                <w:szCs w:val="20"/>
                <w:color w:val="auto"/>
              </w:rPr>
            </w:pPr>
            <w:r>
              <w:rPr>
                <w:rFonts w:ascii="Arial" w:cs="Arial" w:eastAsia="Arial" w:hAnsi="Arial"/>
                <w:sz w:val="12"/>
                <w:szCs w:val="12"/>
                <w:color w:val="auto"/>
              </w:rPr>
              <w:t>67,470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53,395</w:t>
            </w:r>
          </w:p>
        </w:tc>
        <w:tc>
          <w:tcPr>
            <w:tcW w:w="22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justed diluted EPS</w:t>
            </w:r>
          </w:p>
        </w:tc>
        <w:tc>
          <w:tcPr>
            <w:tcW w:w="2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0.77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0.62</w:t>
            </w:r>
          </w:p>
        </w:tc>
        <w:tc>
          <w:tcPr>
            <w:tcW w:w="220" w:type="dxa"/>
            <w:vAlign w:val="bottom"/>
          </w:tcPr>
          <w:p>
            <w:pPr>
              <w:spacing w:after="0"/>
              <w:rPr>
                <w:sz w:val="13"/>
                <w:szCs w:val="13"/>
                <w:color w:val="auto"/>
              </w:rPr>
            </w:pPr>
          </w:p>
        </w:tc>
      </w:tr>
    </w:tbl>
    <w:p>
      <w:pPr>
        <w:spacing w:after="0" w:line="139" w:lineRule="exact"/>
        <w:rPr>
          <w:sz w:val="20"/>
          <w:szCs w:val="20"/>
          <w:color w:val="auto"/>
        </w:rPr>
      </w:pPr>
    </w:p>
    <w:p>
      <w:pPr>
        <w:ind w:left="220" w:hanging="148"/>
        <w:spacing w:after="0"/>
        <w:tabs>
          <w:tab w:leader="none" w:pos="22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Loss ratio is calculated by dividing insurance claims and claim expenses by net premiums earned.</w:t>
      </w:r>
    </w:p>
    <w:p>
      <w:pPr>
        <w:ind w:left="260" w:hanging="188"/>
        <w:spacing w:after="0" w:line="187" w:lineRule="auto"/>
        <w:tabs>
          <w:tab w:leader="none" w:pos="26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Expense ratio is calculated by dividing underwriting and operating expenses by net premiums earned.</w:t>
      </w:r>
    </w:p>
    <w:p>
      <w:pPr>
        <w:ind w:left="280" w:hanging="208"/>
        <w:spacing w:after="0" w:line="187" w:lineRule="auto"/>
        <w:tabs>
          <w:tab w:leader="none" w:pos="2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Combined ratio may not foot due to rounding.</w:t>
      </w:r>
    </w:p>
    <w:p>
      <w:pPr>
        <w:ind w:left="220" w:hanging="148"/>
        <w:spacing w:after="0" w:line="191" w:lineRule="auto"/>
        <w:tabs>
          <w:tab w:leader="none" w:pos="22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See "</w:t>
      </w:r>
      <w:r>
        <w:rPr>
          <w:rFonts w:ascii="Arial" w:cs="Arial" w:eastAsia="Arial" w:hAnsi="Arial"/>
          <w:sz w:val="11"/>
          <w:szCs w:val="11"/>
          <w:i w:val="1"/>
          <w:iCs w:val="1"/>
          <w:color w:val="auto"/>
        </w:rPr>
        <w:t>Explanation and Reconciliation of Our Use of Non-GAAP Financial Measures,</w:t>
      </w:r>
      <w:r>
        <w:rPr>
          <w:rFonts w:ascii="Arial" w:cs="Arial" w:eastAsia="Arial" w:hAnsi="Arial"/>
          <w:sz w:val="11"/>
          <w:szCs w:val="11"/>
          <w:color w:val="auto"/>
        </w:rPr>
        <w:t>" below.</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2"/>
          <w:szCs w:val="12"/>
          <w:b w:val="1"/>
          <w:bCs w:val="1"/>
          <w:i w:val="1"/>
          <w:iCs w:val="1"/>
          <w:color w:val="auto"/>
        </w:rPr>
        <w:t>Revenues</w:t>
      </w:r>
    </w:p>
    <w:p>
      <w:pPr>
        <w:spacing w:after="0" w:line="114" w:lineRule="exact"/>
        <w:rPr>
          <w:sz w:val="20"/>
          <w:szCs w:val="20"/>
          <w:color w:val="auto"/>
        </w:rPr>
      </w:pPr>
    </w:p>
    <w:p>
      <w:pPr>
        <w:ind w:left="80" w:right="20" w:firstLine="432"/>
        <w:spacing w:after="0" w:line="276" w:lineRule="auto"/>
        <w:rPr>
          <w:sz w:val="20"/>
          <w:szCs w:val="20"/>
          <w:color w:val="auto"/>
        </w:rPr>
      </w:pPr>
      <w:r>
        <w:rPr>
          <w:rFonts w:ascii="Arial" w:cs="Arial" w:eastAsia="Arial" w:hAnsi="Arial"/>
          <w:sz w:val="12"/>
          <w:szCs w:val="12"/>
          <w:color w:val="auto"/>
        </w:rPr>
        <w:t>Net premiums earned were $116.5 million for the three months ended March 31, 2022 compared to $105.9 million for the three months ended March 31, 2021. The increase in net premiums earned was primarily driven by the growth of our IIF, partially offset by a decline in the contribution from single premium policy cancellations and an increase in cessions under the ILN Transactions.</w:t>
      </w:r>
    </w:p>
    <w:p>
      <w:pPr>
        <w:spacing w:after="0" w:line="79" w:lineRule="exact"/>
        <w:rPr>
          <w:sz w:val="20"/>
          <w:szCs w:val="20"/>
          <w:color w:val="auto"/>
        </w:rPr>
      </w:pPr>
    </w:p>
    <w:p>
      <w:pPr>
        <w:ind w:left="80" w:firstLine="432"/>
        <w:spacing w:after="0" w:line="276" w:lineRule="auto"/>
        <w:rPr>
          <w:sz w:val="20"/>
          <w:szCs w:val="20"/>
          <w:color w:val="auto"/>
        </w:rPr>
      </w:pPr>
      <w:r>
        <w:rPr>
          <w:rFonts w:ascii="Arial" w:cs="Arial" w:eastAsia="Arial" w:hAnsi="Arial"/>
          <w:sz w:val="12"/>
          <w:szCs w:val="12"/>
          <w:color w:val="auto"/>
        </w:rPr>
        <w:t>Net investment income was $10.2 million for the three months ended March 31, 2022 compared to $8.8 million for the three months ended March 31, 2021. The increase in net investment income in each respective period was primarily driven by growth in the size of our total investment portfolio.</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838" w:right="299" w:bottom="1440" w:gutter="0" w:footer="0" w:header="0"/>
        </w:sectPr>
      </w:pPr>
    </w:p>
    <w:bookmarkStart w:id="44" w:name="page45"/>
    <w:bookmarkEnd w:id="44"/>
    <w:p>
      <w:pPr>
        <w:jc w:val="both"/>
        <w:ind w:firstLine="432"/>
        <w:spacing w:after="0" w:line="263" w:lineRule="auto"/>
        <w:rPr>
          <w:sz w:val="20"/>
          <w:szCs w:val="20"/>
          <w:color w:val="auto"/>
        </w:rPr>
      </w:pPr>
      <w:r>
        <w:rPr>
          <w:rFonts w:ascii="Arial" w:cs="Arial" w:eastAsia="Arial" w:hAnsi="Arial"/>
          <w:sz w:val="12"/>
          <w:szCs w:val="12"/>
          <w:color w:val="auto"/>
        </w:rPr>
        <w:t>Other revenues were $339 thousand for the three months ended March 31, 2022 compared to $501 thousand for the three months ended March 31, 2021. Other revenues represent underwriting fee revenue generated by our subsidiary, NMIS, which provides outsourced loan review services to mortgage loan originators. The decline in other revenues relates to a decrease in NMIS' outsourced loan review volume. Amounts recognized in other revenues generally correspond with amounts incurred as service expenses for outsourced loan review activities in the same periods.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Insurance claims and claim expenses were a benefit of $0.6 million for the three months ended March 31, 2022 compared to insurance claims and claim expenses of $5.0 million for the three months ended March 31, 2021. Insurance claims and claim expenses during the three months ended March 31, 2022 benefited from cure activity and release of a portion of the reserves we established for anticipated claims payments in prior period, and a decrease in the number of new defaults emerging on loans impacted by the COVID-19 pandemic.</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Underwriting and operating expenses were $32.9 million for the three months ended March 31, 2022 compared to $34.1 million for the three months ended March 31, 2021. The decrease in underwriting and operating expenses for the three months ended March 31, 2022 was primarily due to a decrease in the amortization of deferred policy acquisition costs (DAC) offset by an increase in depreciation and amortization incurred in connection with the completion and implementation of certain software and equipment initiatives, as well as an increase in travel and entertainment expenses tied to the easing of COVID-19 related restrictions. Underwriting and operating expenses included capital market reinsurance transaction costs of $0.3 million and $0.4 million for the three months ended March 31, 2022 and 2021, respectively.</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Service expenses were $430 thousand for the three months ended March 31, 2022 compared to $591 thousand for the three months ended March 31, 2021. Service expenses represent third-party costs incurred by NMIS in connection with the services it provides. The year-on-year decline in service expenses was driven by a decrease in NMIS' outsourced loan review volume. Amounts incurred as service expenses generally correspond with amounts recognized in other revenues in the same periods.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Interest expense was $8.0 million for the three months ended March 31, 2022 compared to $7.9 million for the three months ended March 31, 2021. Interest expense primarily reflects the carrying costs on the $400 million Notes offering completed in June 2020. The increase in interest expense period-to-period was due to an increase in commitment fees associated with the 2021 Revolving Credit Facility which had extended its borrowing capacity from $110 million to $250 million in November 2021. See Item 1, "</w:t>
      </w:r>
      <w:r>
        <w:rPr>
          <w:rFonts w:ascii="Arial" w:cs="Arial" w:eastAsia="Arial" w:hAnsi="Arial"/>
          <w:sz w:val="12"/>
          <w:szCs w:val="12"/>
          <w:i w:val="1"/>
          <w:iCs w:val="1"/>
          <w:color w:val="auto"/>
        </w:rPr>
        <w:t>Financial Statements - Notes to Condensed Consolidated Financial Statements - Note 4, Debt.</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Income tax expense was $19.1 million for the three months ended March 31, 2022 compared to $14.6 million for the three months ended March 31, 2021. The year-on-year increase in income tax expense was primarily driven by growth in our pre-tax income. Our effective tax rate on pre-tax income was 22.0% for the three months ended March 31, 2022, compared to 21.6% for the three ended March 31, 2021.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months ended March 31, 2022 and 2021 reflect the discrete tax effects of the vesting of RSUs and exercise of options, and the change in fair value of our warrant liability in each period. See Item 1, </w:t>
      </w:r>
      <w:r>
        <w:rPr>
          <w:rFonts w:ascii="Arial" w:cs="Arial" w:eastAsia="Arial" w:hAnsi="Arial"/>
          <w:sz w:val="11"/>
          <w:szCs w:val="11"/>
          <w:i w:val="1"/>
          <w:iCs w:val="1"/>
          <w:color w:val="auto"/>
        </w:rPr>
        <w:t>"Financial Statements - Notes to Condensed Consolidated Financial Statements - Note 9, Income Taxes.</w:t>
      </w:r>
      <w:r>
        <w:rPr>
          <w:rFonts w:ascii="Arial" w:cs="Arial" w:eastAsia="Arial" w:hAnsi="Arial"/>
          <w:sz w:val="11"/>
          <w:szCs w:val="1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income was $67.7 million for the three months ended March 31, 2022 compared to $52.9 million for the three months ended March 31, 2021. Adjusted net income was $67.5 million for the three months ended March 31, 2022 compared to $53.4 million for the three months ended March 31, 2021. The increases in net income and adjusted net income were primarily driven by growth in our total revenues and decrease in insurance claims and claim expenses, partially offset by an increase in our income tax expense.</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Diluted EPS was $0.77 for the three months ended March 31, 2022 compared to $0.61 for the three months ended March 31, 2021. Adjusted diluted EPS was $0.77 for the three months ended March 31, 2022 compared to $0.62 for the three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5" w:name="page46"/>
    <w:bookmarkEnd w:id="45"/>
    <w:p>
      <w:pPr>
        <w:jc w:val="center"/>
        <w:ind w:right="1360"/>
        <w:spacing w:after="0"/>
        <w:rPr>
          <w:sz w:val="20"/>
          <w:szCs w:val="20"/>
          <w:color w:val="auto"/>
        </w:rPr>
      </w:pPr>
      <w:r>
        <w:rPr>
          <w:rFonts w:ascii="Arial" w:cs="Arial" w:eastAsia="Arial" w:hAnsi="Arial"/>
          <w:sz w:val="10"/>
          <w:szCs w:val="10"/>
          <w:color w:val="auto"/>
        </w:rPr>
        <w:t>months ended March 31, 2021. Diluted and adjusted diluted EPS increased due to growth in net income and adjusted net income, partially offset by an increase in weighted average diluted shares outstanding.</w:t>
      </w:r>
    </w:p>
    <w:p>
      <w:pPr>
        <w:spacing w:after="0" w:line="137" w:lineRule="exact"/>
        <w:rPr>
          <w:sz w:val="20"/>
          <w:szCs w:val="20"/>
          <w:color w:val="auto"/>
        </w:rPr>
      </w:pPr>
    </w:p>
    <w:p>
      <w:pPr>
        <w:jc w:val="center"/>
        <w:ind w:right="1320"/>
        <w:spacing w:after="0"/>
        <w:rPr>
          <w:sz w:val="20"/>
          <w:szCs w:val="20"/>
          <w:color w:val="auto"/>
        </w:rPr>
      </w:pPr>
      <w:r>
        <w:rPr>
          <w:rFonts w:ascii="Arial" w:cs="Arial" w:eastAsia="Arial" w:hAnsi="Arial"/>
          <w:sz w:val="11"/>
          <w:szCs w:val="11"/>
          <w:color w:val="auto"/>
        </w:rPr>
        <w:t>The non-GAAP financial measures adjusted income before tax, adjusted net income and adjusted diluted EPS are presented to enhance the comparability of financial results between periods.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20"/>
                <w:szCs w:val="20"/>
                <w:color w:val="auto"/>
              </w:rPr>
            </w:pPr>
            <w:r>
              <w:rPr>
                <w:rFonts w:ascii="Arial" w:cs="Arial" w:eastAsia="Arial" w:hAnsi="Arial"/>
                <w:sz w:val="11"/>
                <w:szCs w:val="11"/>
                <w:b w:val="1"/>
                <w:bCs w:val="1"/>
                <w:color w:val="auto"/>
              </w:rPr>
              <w:t>Non-GAAP Financial Measure Reconciliations</w:t>
            </w:r>
          </w:p>
        </w:tc>
        <w:tc>
          <w:tcPr>
            <w:tcW w:w="4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three months ended March 31,</w:t>
            </w:r>
          </w:p>
        </w:tc>
        <w:tc>
          <w:tcPr>
            <w:tcW w:w="980" w:type="dxa"/>
            <w:vAlign w:val="bottom"/>
            <w:tcBorders>
              <w:bottom w:val="single" w:sz="8" w:color="auto"/>
            </w:tcBorders>
          </w:tcPr>
          <w:p>
            <w:pPr>
              <w:spacing w:after="0"/>
              <w:rPr>
                <w:sz w:val="12"/>
                <w:szCs w:val="12"/>
                <w:color w:val="auto"/>
              </w:rPr>
            </w:pPr>
          </w:p>
        </w:tc>
      </w:tr>
      <w:tr>
        <w:trPr>
          <w:trHeight w:val="116"/>
        </w:trPr>
        <w:tc>
          <w:tcPr>
            <w:tcW w:w="75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w w:val="80"/>
              </w:rPr>
              <w:t>2021</w:t>
            </w:r>
          </w:p>
        </w:tc>
      </w:tr>
      <w:tr>
        <w:trPr>
          <w:trHeight w:val="134"/>
        </w:trPr>
        <w:tc>
          <w:tcPr>
            <w:tcW w:w="75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 reported</w:t>
            </w:r>
          </w:p>
        </w:tc>
        <w:tc>
          <w:tcPr>
            <w:tcW w:w="440" w:type="dxa"/>
            <w:vAlign w:val="bottom"/>
            <w:shd w:val="clear" w:color="auto" w:fill="CCEEFF"/>
          </w:tcPr>
          <w:p>
            <w:pPr>
              <w:spacing w:after="0"/>
              <w:rPr>
                <w:sz w:val="11"/>
                <w:szCs w:val="11"/>
                <w:color w:val="auto"/>
              </w:rPr>
            </w:pPr>
          </w:p>
        </w:tc>
        <w:tc>
          <w:tcPr>
            <w:tcW w:w="3120" w:type="dxa"/>
            <w:vAlign w:val="bottom"/>
            <w:gridSpan w:val="4"/>
            <w:shd w:val="clear" w:color="auto" w:fill="CCEEFF"/>
          </w:tcPr>
          <w:p>
            <w:pPr>
              <w:jc w:val="right"/>
              <w:ind w:right="901"/>
              <w:spacing w:after="0"/>
              <w:rPr>
                <w:sz w:val="20"/>
                <w:szCs w:val="20"/>
                <w:color w:val="auto"/>
              </w:rPr>
            </w:pPr>
            <w:r>
              <w:rPr>
                <w:rFonts w:ascii="Arial" w:cs="Arial" w:eastAsia="Arial" w:hAnsi="Arial"/>
                <w:sz w:val="10"/>
                <w:szCs w:val="10"/>
                <w:i w:val="1"/>
                <w:iCs w:val="1"/>
                <w:color w:val="auto"/>
              </w:rPr>
              <w:t>($ in thousands, except for per share data)</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86,747</w:t>
            </w:r>
          </w:p>
        </w:tc>
        <w:tc>
          <w:tcPr>
            <w:tcW w:w="80" w:type="dxa"/>
            <w:vAlign w:val="bottom"/>
          </w:tcPr>
          <w:p>
            <w:pPr>
              <w:spacing w:after="0"/>
              <w:rPr>
                <w:sz w:val="13"/>
                <w:szCs w:val="13"/>
                <w:color w:val="auto"/>
              </w:rPr>
            </w:pP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67,456</w:t>
            </w: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4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19,067</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14,565</w:t>
            </w:r>
          </w:p>
        </w:tc>
      </w:tr>
      <w:tr>
        <w:trPr>
          <w:trHeight w:val="142"/>
        </w:trPr>
        <w:tc>
          <w:tcPr>
            <w:tcW w:w="7560" w:type="dxa"/>
            <w:vAlign w:val="bottom"/>
          </w:tcPr>
          <w:p>
            <w:pPr>
              <w:spacing w:after="0"/>
              <w:rPr>
                <w:sz w:val="20"/>
                <w:szCs w:val="20"/>
                <w:color w:val="auto"/>
              </w:rPr>
            </w:pPr>
            <w:r>
              <w:rPr>
                <w:rFonts w:ascii="Arial" w:cs="Arial" w:eastAsia="Arial" w:hAnsi="Arial"/>
                <w:sz w:val="12"/>
                <w:szCs w:val="12"/>
                <w:color w:val="auto"/>
              </w:rPr>
              <w:t>Net income</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67,680</w:t>
            </w:r>
          </w:p>
        </w:tc>
        <w:tc>
          <w:tcPr>
            <w:tcW w:w="80" w:type="dxa"/>
            <w:vAlign w:val="bottom"/>
          </w:tcPr>
          <w:p>
            <w:pPr>
              <w:spacing w:after="0"/>
              <w:rPr>
                <w:sz w:val="12"/>
                <w:szCs w:val="12"/>
                <w:color w:val="auto"/>
              </w:rPr>
            </w:pP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52,891</w:t>
            </w:r>
          </w:p>
        </w:tc>
      </w:tr>
      <w:tr>
        <w:trPr>
          <w:trHeight w:val="180"/>
        </w:trPr>
        <w:tc>
          <w:tcPr>
            <w:tcW w:w="7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Net realized investment gains</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(Gain) loss from change in fair value warrant liability</w:t>
            </w: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205</w:t>
            </w: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Capital market transaction costs</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378</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Other infrequent, unusual or non-operating items</w:t>
            </w:r>
          </w:p>
        </w:tc>
        <w:tc>
          <w:tcPr>
            <w:tcW w:w="4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income before tax</w:t>
            </w:r>
          </w:p>
        </w:tc>
        <w:tc>
          <w:tcPr>
            <w:tcW w:w="44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86,506</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68,039</w:t>
            </w:r>
          </w:p>
        </w:tc>
      </w:tr>
      <w:tr>
        <w:trPr>
          <w:trHeight w:val="171"/>
        </w:trPr>
        <w:tc>
          <w:tcPr>
            <w:tcW w:w="7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Income tax (benefit) expense on adjustments</w:t>
            </w:r>
          </w:p>
        </w:tc>
        <w:tc>
          <w:tcPr>
            <w:tcW w:w="4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w:t>
            </w:r>
          </w:p>
        </w:tc>
      </w:tr>
      <w:tr>
        <w:trPr>
          <w:trHeight w:val="142"/>
        </w:trPr>
        <w:tc>
          <w:tcPr>
            <w:tcW w:w="7560" w:type="dxa"/>
            <w:vAlign w:val="bottom"/>
          </w:tcPr>
          <w:p>
            <w:pPr>
              <w:spacing w:after="0"/>
              <w:rPr>
                <w:sz w:val="20"/>
                <w:szCs w:val="20"/>
                <w:color w:val="auto"/>
              </w:rPr>
            </w:pPr>
            <w:r>
              <w:rPr>
                <w:rFonts w:ascii="Arial" w:cs="Arial" w:eastAsia="Arial" w:hAnsi="Arial"/>
                <w:sz w:val="12"/>
                <w:szCs w:val="12"/>
                <w:b w:val="1"/>
                <w:bCs w:val="1"/>
                <w:color w:val="auto"/>
              </w:rPr>
              <w:t>Adjusted net income</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67,470</w:t>
            </w:r>
          </w:p>
        </w:tc>
        <w:tc>
          <w:tcPr>
            <w:tcW w:w="80" w:type="dxa"/>
            <w:vAlign w:val="bottom"/>
          </w:tcPr>
          <w:p>
            <w:pPr>
              <w:spacing w:after="0"/>
              <w:rPr>
                <w:sz w:val="12"/>
                <w:szCs w:val="12"/>
                <w:color w:val="auto"/>
              </w:rPr>
            </w:pPr>
          </w:p>
        </w:tc>
        <w:tc>
          <w:tcPr>
            <w:tcW w:w="76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53,395</w:t>
            </w:r>
          </w:p>
        </w:tc>
      </w:tr>
      <w:tr>
        <w:trPr>
          <w:trHeight w:val="180"/>
        </w:trPr>
        <w:tc>
          <w:tcPr>
            <w:tcW w:w="7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Weighted average diluted shares outstanding</w:t>
            </w: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87,310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86,487</w:t>
            </w: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diluted EPS</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0.62</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and Reconciliation of Our Use of Non-GAAP Financial Measures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8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Adjusted income before tax </w:t>
      </w:r>
      <w:r>
        <w:rPr>
          <w:rFonts w:ascii="Arial" w:cs="Arial" w:eastAsia="Arial" w:hAnsi="Arial"/>
          <w:sz w:val="12"/>
          <w:szCs w:val="12"/>
          <w:color w:val="auto"/>
        </w:rPr>
        <w:t>is defined as GAAP income before tax, excluding the pre-tax effects of the gain or loss related to the change in fair value of our warrant liability, periodic costs incurred in connection with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markets transactions, net realized gains or losses from our investment portfolio, and other infrequent, unusual or non-operating items in the periods in which such items are incurred.</w:t>
      </w:r>
    </w:p>
    <w:p>
      <w:pPr>
        <w:spacing w:after="0" w:line="7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is defined as GAAP net income, excluding the after-tax effects of the gain or loss related to the change in fair value of our warrant liability, periodic costs incurred in connection with capital markets</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8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 xml:space="preserve">Adjusted diluted EPS </w:t>
      </w:r>
      <w:r>
        <w:rPr>
          <w:rFonts w:ascii="Arial" w:cs="Arial" w:eastAsia="Arial" w:hAnsi="Arial"/>
          <w:sz w:val="12"/>
          <w:szCs w:val="12"/>
          <w:color w:val="auto"/>
        </w:rPr>
        <w:t>is defined as adjusted net income divided by adjusted weighted average diluted shares outstanding. Adjusted weighted average diluted shares outstanding is defined as weighted average diluted shares</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6" w:name="page47"/>
    <w:bookmarkEnd w:id="46"/>
    <w:p>
      <w:pPr>
        <w:jc w:val="both"/>
        <w:ind w:right="20" w:firstLine="432"/>
        <w:spacing w:after="0" w:line="263" w:lineRule="auto"/>
        <w:rPr>
          <w:sz w:val="20"/>
          <w:szCs w:val="20"/>
          <w:color w:val="auto"/>
        </w:rPr>
      </w:pPr>
      <w:r>
        <w:rPr>
          <w:rFonts w:ascii="Arial" w:cs="Arial" w:eastAsia="Arial" w:hAnsi="Arial"/>
          <w:sz w:val="12"/>
          <w:szCs w:val="12"/>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86" w:lineRule="exact"/>
        <w:rPr>
          <w:sz w:val="20"/>
          <w:szCs w:val="20"/>
          <w:color w:val="auto"/>
        </w:rPr>
      </w:pPr>
    </w:p>
    <w:p>
      <w:pPr>
        <w:jc w:val="both"/>
        <w:ind w:left="420" w:hanging="212"/>
        <w:spacing w:after="0" w:line="263"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Change in fair value of warrant liability</w:t>
      </w:r>
      <w:r>
        <w:rPr>
          <w:rFonts w:ascii="Arial" w:cs="Arial" w:eastAsia="Arial" w:hAnsi="Arial"/>
          <w:sz w:val="12"/>
          <w:szCs w:val="12"/>
          <w:color w:val="auto"/>
        </w:rPr>
        <w:t>. Outstanding warrants at the end of each reporting period are revalued, and any change in fair value is reported in the statement of operations in the period in which the change occurred.</w:t>
      </w:r>
      <w:r>
        <w:rPr>
          <w:rFonts w:ascii="Arial" w:cs="Arial" w:eastAsia="Arial" w:hAnsi="Arial"/>
          <w:sz w:val="12"/>
          <w:szCs w:val="12"/>
          <w:i w:val="1"/>
          <w:iCs w:val="1"/>
          <w:color w:val="auto"/>
        </w:rPr>
        <w:t xml:space="preserve"> </w:t>
      </w:r>
      <w:r>
        <w:rPr>
          <w:rFonts w:ascii="Arial" w:cs="Arial" w:eastAsia="Arial" w:hAnsi="Arial"/>
          <w:sz w:val="12"/>
          <w:szCs w:val="12"/>
          <w:color w:val="auto"/>
        </w:rPr>
        <w:t>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8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Capital markets transaction costs</w:t>
      </w:r>
      <w:r>
        <w:rPr>
          <w:rFonts w:ascii="Arial" w:cs="Arial" w:eastAsia="Arial" w:hAnsi="Arial"/>
          <w:sz w:val="12"/>
          <w:szCs w:val="12"/>
          <w:color w:val="auto"/>
        </w:rPr>
        <w:t>. Capital markets transaction costs result from activities that are undertaken to improve our debt profile or enhance our capital position through activities such as debt refinancing and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reinsurance transactions that may vary in their size and timing due to factors such as market opportunities, tax and capital profile, and overall market cycles.</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Net realized investment gains and losses</w:t>
      </w:r>
      <w:r>
        <w:rPr>
          <w:rFonts w:ascii="Arial" w:cs="Arial" w:eastAsia="Arial" w:hAnsi="Arial"/>
          <w:sz w:val="12"/>
          <w:szCs w:val="12"/>
          <w:color w:val="auto"/>
        </w:rPr>
        <w:t>. The recognition of the net realized investment gains or losses can vary significantly across periods as the timing is highly discretionary and is influenced by factors such as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opportunities, tax and capital profile, and overall market cycles that do not reflect our current period operating results.</w:t>
      </w:r>
    </w:p>
    <w:p>
      <w:pPr>
        <w:spacing w:after="0" w:line="78" w:lineRule="exact"/>
        <w:rPr>
          <w:rFonts w:ascii="Arial" w:cs="Arial" w:eastAsia="Arial" w:hAnsi="Arial"/>
          <w:sz w:val="12"/>
          <w:szCs w:val="12"/>
          <w:color w:val="auto"/>
        </w:rPr>
      </w:pPr>
    </w:p>
    <w:p>
      <w:pPr>
        <w:jc w:val="both"/>
        <w:ind w:left="420" w:hanging="212"/>
        <w:spacing w:after="0" w:line="256"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Other infrequent, unusual or non-operating items</w:t>
      </w:r>
      <w:r>
        <w:rPr>
          <w:rFonts w:ascii="Arial" w:cs="Arial" w:eastAsia="Arial" w:hAnsi="Arial"/>
          <w:sz w:val="12"/>
          <w:szCs w:val="12"/>
          <w:color w:val="auto"/>
        </w:rPr>
        <w:t>. Items that are the result of unforeseen or uncommon events, and are not expected to recur with frequency in the future. Identification and exclusion of these items provides</w:t>
      </w:r>
      <w:r>
        <w:rPr>
          <w:rFonts w:ascii="Arial" w:cs="Arial" w:eastAsia="Arial" w:hAnsi="Arial"/>
          <w:sz w:val="12"/>
          <w:szCs w:val="12"/>
          <w:i w:val="1"/>
          <w:iCs w:val="1"/>
          <w:color w:val="auto"/>
        </w:rPr>
        <w:t xml:space="preserve"> </w:t>
      </w:r>
      <w:r>
        <w:rPr>
          <w:rFonts w:ascii="Arial" w:cs="Arial" w:eastAsia="Arial" w:hAnsi="Arial"/>
          <w:sz w:val="12"/>
          <w:szCs w:val="12"/>
          <w:color w:val="auto"/>
        </w:rPr>
        <w:t>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27"/>
        </w:trPr>
        <w:tc>
          <w:tcPr>
            <w:tcW w:w="7640" w:type="dxa"/>
            <w:vAlign w:val="bottom"/>
          </w:tcPr>
          <w:p>
            <w:pPr>
              <w:spacing w:after="0"/>
              <w:rPr>
                <w:sz w:val="20"/>
                <w:szCs w:val="20"/>
                <w:color w:val="auto"/>
              </w:rPr>
            </w:pPr>
            <w:r>
              <w:rPr>
                <w:rFonts w:ascii="Arial" w:cs="Arial" w:eastAsia="Arial" w:hAnsi="Arial"/>
                <w:sz w:val="10"/>
                <w:szCs w:val="10"/>
                <w:b w:val="1"/>
                <w:bCs w:val="1"/>
                <w:color w:val="auto"/>
              </w:rPr>
              <w:t>Consolidated balance sheets</w:t>
            </w: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March 31, 2022</w:t>
            </w: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w w:val="95"/>
              </w:rPr>
              <w:t>December 31, 2021</w:t>
            </w:r>
          </w:p>
        </w:tc>
      </w:tr>
      <w:tr>
        <w:trPr>
          <w:trHeight w:val="117"/>
        </w:trPr>
        <w:tc>
          <w:tcPr>
            <w:tcW w:w="7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r>
      <w:tr>
        <w:trPr>
          <w:trHeight w:val="155"/>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investment portfolio</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1,993,972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2,085,931</w:t>
            </w:r>
          </w:p>
        </w:tc>
      </w:tr>
      <w:tr>
        <w:trPr>
          <w:trHeight w:val="153"/>
        </w:trPr>
        <w:tc>
          <w:tcPr>
            <w:tcW w:w="764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3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130,906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76,646</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60,526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60,358</w:t>
            </w:r>
          </w:p>
        </w:tc>
      </w:tr>
      <w:tr>
        <w:trPr>
          <w:trHeight w:val="153"/>
        </w:trPr>
        <w:tc>
          <w:tcPr>
            <w:tcW w:w="764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3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59,727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59,584</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32,386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32,047</w:t>
            </w:r>
          </w:p>
        </w:tc>
      </w:tr>
      <w:tr>
        <w:trPr>
          <w:trHeight w:val="153"/>
        </w:trPr>
        <w:tc>
          <w:tcPr>
            <w:tcW w:w="7640" w:type="dxa"/>
            <w:vAlign w:val="bottom"/>
          </w:tcPr>
          <w:p>
            <w:pPr>
              <w:ind w:left="140"/>
              <w:spacing w:after="0"/>
              <w:rPr>
                <w:sz w:val="20"/>
                <w:szCs w:val="20"/>
                <w:color w:val="auto"/>
              </w:rPr>
            </w:pPr>
            <w:r>
              <w:rPr>
                <w:rFonts w:ascii="Arial" w:cs="Arial" w:eastAsia="Arial" w:hAnsi="Arial"/>
                <w:sz w:val="12"/>
                <w:szCs w:val="12"/>
                <w:color w:val="auto"/>
              </w:rPr>
              <w:t>Prepaid reinsurance premiums</w:t>
            </w:r>
          </w:p>
        </w:tc>
        <w:tc>
          <w:tcPr>
            <w:tcW w:w="3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2,011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2,393</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recoverable</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20,080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20,320</w:t>
            </w:r>
          </w:p>
        </w:tc>
      </w:tr>
      <w:tr>
        <w:trPr>
          <w:trHeight w:val="15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assets</w:t>
            </w: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124,336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113,302</w:t>
            </w:r>
          </w:p>
        </w:tc>
      </w:tr>
      <w:tr>
        <w:trPr>
          <w:trHeight w:val="162"/>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2,423,944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2,450,581</w:t>
            </w:r>
          </w:p>
        </w:tc>
      </w:tr>
      <w:tr>
        <w:trPr>
          <w:trHeight w:val="149"/>
        </w:trPr>
        <w:tc>
          <w:tcPr>
            <w:tcW w:w="7640" w:type="dxa"/>
            <w:vAlign w:val="bottom"/>
          </w:tcPr>
          <w:p>
            <w:pPr>
              <w:ind w:left="140"/>
              <w:spacing w:after="0"/>
              <w:rPr>
                <w:sz w:val="20"/>
                <w:szCs w:val="20"/>
                <w:color w:val="auto"/>
              </w:rPr>
            </w:pPr>
            <w:r>
              <w:rPr>
                <w:rFonts w:ascii="Arial" w:cs="Arial" w:eastAsia="Arial" w:hAnsi="Arial"/>
                <w:sz w:val="12"/>
                <w:szCs w:val="12"/>
                <w:color w:val="auto"/>
              </w:rPr>
              <w:t>Debt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394,969</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394,623</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Unearned premiums</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138,393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139,237</w:t>
            </w:r>
          </w:p>
        </w:tc>
      </w:tr>
      <w:tr>
        <w:trPr>
          <w:trHeight w:val="153"/>
        </w:trPr>
        <w:tc>
          <w:tcPr>
            <w:tcW w:w="7640" w:type="dxa"/>
            <w:vAlign w:val="bottom"/>
          </w:tcPr>
          <w:p>
            <w:pPr>
              <w:ind w:left="140"/>
              <w:spacing w:after="0"/>
              <w:rPr>
                <w:sz w:val="20"/>
                <w:szCs w:val="20"/>
                <w:color w:val="auto"/>
              </w:rPr>
            </w:pPr>
            <w:r>
              <w:rPr>
                <w:rFonts w:ascii="Arial" w:cs="Arial" w:eastAsia="Arial" w:hAnsi="Arial"/>
                <w:sz w:val="12"/>
                <w:szCs w:val="12"/>
                <w:color w:val="auto"/>
              </w:rPr>
              <w:t>Accounts payable and accrued expenses</w:t>
            </w:r>
          </w:p>
        </w:tc>
        <w:tc>
          <w:tcPr>
            <w:tcW w:w="3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76,923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72,000</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102,372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103,551</w:t>
            </w:r>
          </w:p>
        </w:tc>
      </w:tr>
      <w:tr>
        <w:trPr>
          <w:trHeight w:val="153"/>
        </w:trPr>
        <w:tc>
          <w:tcPr>
            <w:tcW w:w="7640" w:type="dxa"/>
            <w:vAlign w:val="bottom"/>
          </w:tcPr>
          <w:p>
            <w:pPr>
              <w:ind w:left="140"/>
              <w:spacing w:after="0"/>
              <w:rPr>
                <w:sz w:val="20"/>
                <w:szCs w:val="20"/>
                <w:color w:val="auto"/>
              </w:rPr>
            </w:pPr>
            <w:r>
              <w:rPr>
                <w:rFonts w:ascii="Arial" w:cs="Arial" w:eastAsia="Arial" w:hAnsi="Arial"/>
                <w:sz w:val="12"/>
                <w:szCs w:val="12"/>
                <w:color w:val="auto"/>
              </w:rPr>
              <w:t>Reinsurance funds withheld</w:t>
            </w:r>
          </w:p>
        </w:tc>
        <w:tc>
          <w:tcPr>
            <w:tcW w:w="3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5,343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5,601</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 liability</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1,416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2,363</w:t>
            </w:r>
          </w:p>
        </w:tc>
      </w:tr>
      <w:tr>
        <w:trPr>
          <w:trHeight w:val="153"/>
        </w:trPr>
        <w:tc>
          <w:tcPr>
            <w:tcW w:w="7640" w:type="dxa"/>
            <w:vAlign w:val="bottom"/>
          </w:tcPr>
          <w:p>
            <w:pPr>
              <w:ind w:left="140"/>
              <w:spacing w:after="0"/>
              <w:rPr>
                <w:sz w:val="20"/>
                <w:szCs w:val="20"/>
                <w:color w:val="auto"/>
              </w:rPr>
            </w:pPr>
            <w:r>
              <w:rPr>
                <w:rFonts w:ascii="Arial" w:cs="Arial" w:eastAsia="Arial" w:hAnsi="Arial"/>
                <w:sz w:val="12"/>
                <w:szCs w:val="12"/>
                <w:color w:val="auto"/>
              </w:rPr>
              <w:t>Deferred tax liability, net</w:t>
            </w:r>
          </w:p>
        </w:tc>
        <w:tc>
          <w:tcPr>
            <w:tcW w:w="3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156,966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164,175</w:t>
            </w:r>
          </w:p>
        </w:tc>
      </w:tr>
      <w:tr>
        <w:trPr>
          <w:trHeight w:val="153"/>
        </w:trPr>
        <w:tc>
          <w:tcPr>
            <w:tcW w:w="7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liabilities</w:t>
            </w:r>
          </w:p>
        </w:tc>
        <w:tc>
          <w:tcPr>
            <w:tcW w:w="3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12,520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3,245</w:t>
            </w:r>
          </w:p>
        </w:tc>
      </w:tr>
      <w:tr>
        <w:trPr>
          <w:trHeight w:val="142"/>
        </w:trPr>
        <w:tc>
          <w:tcPr>
            <w:tcW w:w="7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liabilities</w:t>
            </w:r>
          </w:p>
        </w:tc>
        <w:tc>
          <w:tcPr>
            <w:tcW w:w="3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888,902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884,795</w:t>
            </w:r>
          </w:p>
        </w:tc>
      </w:tr>
      <w:tr>
        <w:trPr>
          <w:trHeight w:val="142"/>
        </w:trPr>
        <w:tc>
          <w:tcPr>
            <w:tcW w:w="764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3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1,535,042</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1,565,786</w:t>
            </w:r>
          </w:p>
        </w:tc>
      </w:tr>
      <w:tr>
        <w:trPr>
          <w:trHeight w:val="142"/>
        </w:trPr>
        <w:tc>
          <w:tcPr>
            <w:tcW w:w="764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2,423,944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2,450,581</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40" w:firstLine="324"/>
        <w:spacing w:after="0" w:line="263" w:lineRule="auto"/>
        <w:rPr>
          <w:sz w:val="20"/>
          <w:szCs w:val="20"/>
          <w:color w:val="auto"/>
        </w:rPr>
      </w:pPr>
      <w:r>
        <w:rPr>
          <w:rFonts w:ascii="Arial" w:cs="Arial" w:eastAsia="Arial" w:hAnsi="Arial"/>
          <w:sz w:val="12"/>
          <w:szCs w:val="12"/>
          <w:color w:val="auto"/>
        </w:rPr>
        <w:t>Total cash and investments were $2.1 billion as of March 31, 2022, compared to $2.2 billion as of December 31, 2021. Cash and investments at March 31, 2022 included $106.2 million held by NMIH. The decrease in total cash and investments reflects an increase in the unrealized loss positions of our fixed income portfolio tied to the prevailing interest rate and credit spread environment and share repurchases during the three months ended March 31, 2022, partially offset by an increase in cash generated from operations.</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Premiums receivable was $60.5 million as of March 31, 2022, compared to $60.4 million as December 31, 2021. The increase was primarily driven by growth in our monthly premium policies in force, where premiums are generally paid one month in arrears.</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Net deferred policy acquisition costs were $59.7 million as of March 31, 2022, compared to $59.6 million as of December 31, 2021. The increase was primarily driven by the deferral of certain costs associated with the origination of new policies between the respective balance sheet dates, largely offset by the recognition of previously deferred policy acquisition costs.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Prepaid reinsurance premiums were $2.0 million as of March 31, 2022, compared to $2.4 million as of December 31, 2021. Prepaid reinsurance premiums, which represent the unearned premiums on single premium policies ceded under the 2016 QSR Transaction, decreased due to the continued amortization of previously ceded unearned premiums.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Reinsurance recoverable was $20.1 million as of March 31, 2022, compared to $20.3 million as of December 31, 2021. The decrease was driven by a decrease in ceded losses recoverable associated with our QSR Transactions.</w:t>
      </w:r>
    </w:p>
    <w:p>
      <w:pPr>
        <w:spacing w:after="0" w:line="13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Other assets increased to $124.3 million as of March 31, 2022, compared to $113.3 million as of December 31, 2021. The increase was primarily driven by the recognition of incremental ROU assets in connection with the modification of the operating lease for our corporate headquarters in January 2022. Other assets included $89.2 million of tax and loss bonds held by the Company at both March 31, 2022 and December 31, 2021. See Item 1,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 - Notes to Condensed Consolidated Financial Statements - Note 9, Income Taxes.</w:t>
      </w:r>
      <w:r>
        <w:rPr>
          <w:rFonts w:ascii="Arial" w:cs="Arial" w:eastAsia="Arial" w:hAnsi="Arial"/>
          <w:sz w:val="12"/>
          <w:szCs w:val="12"/>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48" w:name="page49"/>
    <w:bookmarkEnd w:id="48"/>
    <w:p>
      <w:pPr>
        <w:jc w:val="both"/>
        <w:ind w:firstLine="432"/>
        <w:spacing w:after="0" w:line="323" w:lineRule="auto"/>
        <w:rPr>
          <w:sz w:val="20"/>
          <w:szCs w:val="20"/>
          <w:color w:val="auto"/>
        </w:rPr>
      </w:pPr>
      <w:r>
        <w:rPr>
          <w:rFonts w:ascii="Arial" w:cs="Arial" w:eastAsia="Arial" w:hAnsi="Arial"/>
          <w:sz w:val="11"/>
          <w:szCs w:val="11"/>
          <w:color w:val="auto"/>
        </w:rPr>
        <w:t>Unearned premiums were $138.4 million as of March 31, 2022, compared to $139.2 million as of December 31, 2021.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three months ended March 31, 2022.</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Accounts payable and accrued expenses were $76.9 million as of March 31, 2022, compared to $72.0 million as of December 31, 2021. The increase was primarily driven by accrued and unpaid interest on the Notes which is payable semi-annually in June and December and unsettled trades payable, partially offset by payments of payroll and bonuses, premium taxes and other contractual payables.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Reserve for insurance claims and claim expenses was $102.4 million as of March 31, 2022, compared to $103.6 million as of December 31, 2021. The decrease was primarily driven by a release of a portion of the reserves we established for anticipated claims payments in prior periods, cure activity, and a decline in the total size of our default population. The decrease was partially offset by the increase in the average reserve per default. While we have generally established lower reserves per default for loans that we consider to be impaired in connection with the COVID-19 pandemic, we have increased the initial reserves held for such loans as they have aged in default status. See "</w:t>
      </w:r>
      <w:r>
        <w:rPr>
          <w:rFonts w:ascii="Arial" w:cs="Arial" w:eastAsia="Arial" w:hAnsi="Arial"/>
          <w:sz w:val="12"/>
          <w:szCs w:val="12"/>
          <w:i w:val="1"/>
          <w:iCs w:val="1"/>
          <w:color w:val="auto"/>
        </w:rPr>
        <w:t>-Insurance Claims and Claim Expenses</w:t>
      </w:r>
      <w:r>
        <w:rPr>
          <w:rFonts w:ascii="Arial" w:cs="Arial" w:eastAsia="Arial" w:hAnsi="Arial"/>
          <w:sz w:val="12"/>
          <w:szCs w:val="12"/>
          <w:color w:val="auto"/>
        </w:rPr>
        <w:t>," above for further details.</w:t>
      </w:r>
    </w:p>
    <w:p>
      <w:pPr>
        <w:spacing w:after="0" w:line="8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Reinsurance funds withheld, which represents our ceded reinsurance premiums written, less our profit and ceding commission receivables related to the 2016 QSR Transaction was $5.3 million as of March 31, 2022, compared to $5.6 million as of December 31, 2021.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2"/>
          <w:szCs w:val="12"/>
          <w:i w:val="1"/>
          <w:iCs w:val="1"/>
          <w:color w:val="auto"/>
        </w:rPr>
        <w:t>Financial Statements - Notes to Condensed Consolidated Financial Statements - Note 5, Reinsurance</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Warrant liability was $1.4 million at March 31, 2022, compared to $2.4 million at December 31, 2021. The decrease was driven by the exercise of outstanding warrants, and changes in the price of our common stock and other Black-Scholes model inputs between the respective measurement dates. For further information regarding the valuation of our warrant liability and its impact on our results of operations and financial position, see Item 1,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 - Notes to Condensed Consolidated Financial Statements - Note 3, Fair Value of Financial Instruments.</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deferred tax liability was $157.0 million at March 31, 2022, compared to $164.2 million at December 31, 2021. The decrease was primarily due to the increase in unrealized losses recorded in other comprehensive income, partially offset by an increase in the claimed deductibility of our statutory contingency reserve. For further information regarding income taxes and their impact on our results of operations and financial position, see Item 1,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 - Notes to Condensed Consolidated Financial Statements - Note 9, Income Taxes</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Other liabilities increased to $12.5 million as of March 31, 2022, compared to $3.2 million as of December 31, 2021. The increase was primarily driven by the recognition of an incremental lease liability in connection with the modification of the operating lease for our corporate headquarters in January 2022.</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consolidated cash flows from operating, investing and financing activities: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40" w:type="dxa"/>
            <w:vAlign w:val="bottom"/>
          </w:tcPr>
          <w:p>
            <w:pPr>
              <w:spacing w:after="0"/>
              <w:rPr>
                <w:sz w:val="20"/>
                <w:szCs w:val="20"/>
                <w:color w:val="auto"/>
              </w:rPr>
            </w:pPr>
            <w:r>
              <w:rPr>
                <w:rFonts w:ascii="Arial" w:cs="Arial" w:eastAsia="Arial" w:hAnsi="Arial"/>
                <w:sz w:val="10"/>
                <w:szCs w:val="10"/>
                <w:b w:val="1"/>
                <w:bCs w:val="1"/>
                <w:color w:val="auto"/>
              </w:rPr>
              <w:t>Consolidated cash flows</w:t>
            </w:r>
          </w:p>
        </w:tc>
        <w:tc>
          <w:tcPr>
            <w:tcW w:w="9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For the three months ended March 31,</w:t>
            </w:r>
          </w:p>
        </w:tc>
        <w:tc>
          <w:tcPr>
            <w:tcW w:w="980" w:type="dxa"/>
            <w:vAlign w:val="bottom"/>
            <w:tcBorders>
              <w:bottom w:val="single" w:sz="8" w:color="auto"/>
            </w:tcBorders>
          </w:tcPr>
          <w:p>
            <w:pPr>
              <w:spacing w:after="0"/>
              <w:rPr>
                <w:sz w:val="11"/>
                <w:szCs w:val="11"/>
                <w:color w:val="auto"/>
              </w:rPr>
            </w:pPr>
          </w:p>
        </w:tc>
      </w:tr>
      <w:tr>
        <w:trPr>
          <w:trHeight w:val="116"/>
        </w:trPr>
        <w:tc>
          <w:tcPr>
            <w:tcW w:w="7540" w:type="dxa"/>
            <w:vAlign w:val="bottom"/>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2"/>
              <w:spacing w:after="0"/>
              <w:rPr>
                <w:sz w:val="20"/>
                <w:szCs w:val="20"/>
                <w:color w:val="auto"/>
              </w:rPr>
            </w:pPr>
            <w:r>
              <w:rPr>
                <w:rFonts w:ascii="Arial" w:cs="Arial" w:eastAsia="Arial" w:hAnsi="Arial"/>
                <w:sz w:val="10"/>
                <w:szCs w:val="10"/>
                <w:b w:val="1"/>
                <w:bCs w:val="1"/>
                <w:color w:val="auto"/>
                <w:w w:val="80"/>
              </w:rPr>
              <w:t>2021</w:t>
            </w:r>
          </w:p>
        </w:tc>
      </w:tr>
      <w:tr>
        <w:trPr>
          <w:trHeight w:val="136"/>
        </w:trPr>
        <w:tc>
          <w:tcPr>
            <w:tcW w:w="7540" w:type="dxa"/>
            <w:vAlign w:val="bottom"/>
          </w:tcPr>
          <w:p>
            <w:pPr>
              <w:spacing w:after="0" w:line="136" w:lineRule="exact"/>
              <w:rPr>
                <w:sz w:val="20"/>
                <w:szCs w:val="20"/>
                <w:color w:val="auto"/>
              </w:rPr>
            </w:pPr>
            <w:r>
              <w:rPr>
                <w:rFonts w:ascii="Arial" w:cs="Arial" w:eastAsia="Arial" w:hAnsi="Arial"/>
                <w:sz w:val="12"/>
                <w:szCs w:val="12"/>
                <w:color w:val="auto"/>
              </w:rPr>
              <w:t>Net cash provided by (used in):</w:t>
            </w:r>
          </w:p>
        </w:tc>
        <w:tc>
          <w:tcPr>
            <w:tcW w:w="980" w:type="dxa"/>
            <w:vAlign w:val="bottom"/>
          </w:tcPr>
          <w:p>
            <w:pPr>
              <w:spacing w:after="0"/>
              <w:rPr>
                <w:sz w:val="11"/>
                <w:szCs w:val="11"/>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0"/>
                <w:szCs w:val="10"/>
                <w:i w:val="1"/>
                <w:iCs w:val="1"/>
                <w:color w:val="auto"/>
              </w:rPr>
              <w:t>(In Thousands)</w:t>
            </w:r>
          </w:p>
        </w:tc>
        <w:tc>
          <w:tcPr>
            <w:tcW w:w="980" w:type="dxa"/>
            <w:vAlign w:val="bottom"/>
          </w:tcPr>
          <w:p>
            <w:pPr>
              <w:spacing w:after="0"/>
              <w:rPr>
                <w:sz w:val="11"/>
                <w:szCs w:val="11"/>
                <w:color w:val="auto"/>
              </w:rPr>
            </w:pPr>
          </w:p>
        </w:tc>
      </w:tr>
      <w:tr>
        <w:trPr>
          <w:trHeight w:val="153"/>
        </w:trPr>
        <w:tc>
          <w:tcPr>
            <w:tcW w:w="7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activities</w:t>
            </w: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80,310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85,464</w:t>
            </w:r>
          </w:p>
        </w:tc>
      </w:tr>
      <w:tr>
        <w:trPr>
          <w:trHeight w:val="153"/>
        </w:trPr>
        <w:tc>
          <w:tcPr>
            <w:tcW w:w="7540" w:type="dxa"/>
            <w:vAlign w:val="bottom"/>
          </w:tcPr>
          <w:p>
            <w:pPr>
              <w:ind w:left="80"/>
              <w:spacing w:after="0"/>
              <w:rPr>
                <w:sz w:val="20"/>
                <w:szCs w:val="20"/>
                <w:color w:val="auto"/>
              </w:rPr>
            </w:pPr>
            <w:r>
              <w:rPr>
                <w:rFonts w:ascii="Arial" w:cs="Arial" w:eastAsia="Arial" w:hAnsi="Arial"/>
                <w:sz w:val="12"/>
                <w:szCs w:val="12"/>
                <w:color w:val="auto"/>
              </w:rPr>
              <w:t>Investing activities</w:t>
            </w:r>
          </w:p>
        </w:tc>
        <w:tc>
          <w:tcPr>
            <w:tcW w:w="9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(21,370)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(96,447)</w:t>
            </w:r>
          </w:p>
        </w:tc>
      </w:tr>
      <w:tr>
        <w:trPr>
          <w:trHeight w:val="153"/>
        </w:trPr>
        <w:tc>
          <w:tcPr>
            <w:tcW w:w="7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Financing activities</w:t>
            </w:r>
          </w:p>
        </w:tc>
        <w:tc>
          <w:tcPr>
            <w:tcW w:w="9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(4,680)</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(437)</w:t>
            </w:r>
          </w:p>
        </w:tc>
      </w:tr>
      <w:tr>
        <w:trPr>
          <w:trHeight w:val="142"/>
        </w:trPr>
        <w:tc>
          <w:tcPr>
            <w:tcW w:w="754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9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54,260</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(11,420)</w:t>
            </w:r>
          </w:p>
        </w:tc>
      </w:tr>
      <w:tr>
        <w:trPr>
          <w:trHeight w:val="20"/>
        </w:trPr>
        <w:tc>
          <w:tcPr>
            <w:tcW w:w="7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Net cash provided by operating activities was $80.3 million for the three months ended March 31, 2022, compared to $85.5 million for the three months ended March 31, 2021. The decrease in cash provided by operating activities year-on-year was primarily driven by the payment of certain employee compensation costs, partially offset by growth in premiums written and a decline in claims paid during the three months ended March 31, 2022.</w:t>
      </w:r>
    </w:p>
    <w:p>
      <w:pPr>
        <w:spacing w:after="0" w:line="5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Cash used in investing activities for the three months ended March 31, 2022 and 2021 reflects the purchase of fixed and short-term maturities with cash provided by operating activities, and the reinvestment of coupon payments, maturities and sale proceeds within our investment portfolio.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9" w:name="page50"/>
    <w:bookmarkEnd w:id="49"/>
    <w:p>
      <w:pPr>
        <w:jc w:val="both"/>
        <w:ind w:left="8" w:firstLine="432"/>
        <w:spacing w:after="0" w:line="276" w:lineRule="auto"/>
        <w:rPr>
          <w:sz w:val="20"/>
          <w:szCs w:val="20"/>
          <w:color w:val="auto"/>
        </w:rPr>
      </w:pPr>
      <w:r>
        <w:rPr>
          <w:rFonts w:ascii="Arial" w:cs="Arial" w:eastAsia="Arial" w:hAnsi="Arial"/>
          <w:sz w:val="12"/>
          <w:szCs w:val="12"/>
          <w:color w:val="auto"/>
        </w:rPr>
        <w:t>Cash used in financing activities was $4.7 million for the three months ended March 31, 2022, compared to $0.4 million for the three months ended March 31, 2021. Cash used in financing activities during the three months ended March 31, 2022 primarily relates to the repurchase of common stock.</w:t>
      </w:r>
    </w:p>
    <w:p>
      <w:pPr>
        <w:spacing w:after="0" w:line="3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7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As of March 31, 2022, NMIH had $106.2 million of cash and investments. NMIH's principal sources of net cash are dividends from its subsidiaries and investment income. NMIC has the capacity, under Wisconsin law, to pay $34.9 million of aggregate ordinary course dividends to NMIH during the twelve-month period ending December 31, 2022. NMIH also has access to $250 million of undrawn revolving credit capacity under the 2021 Revolving Credit Facility. See Item 1, "</w:t>
      </w:r>
      <w:r>
        <w:rPr>
          <w:rFonts w:ascii="Arial" w:cs="Arial" w:eastAsia="Arial" w:hAnsi="Arial"/>
          <w:sz w:val="12"/>
          <w:szCs w:val="12"/>
          <w:i w:val="1"/>
          <w:iCs w:val="1"/>
          <w:color w:val="auto"/>
        </w:rPr>
        <w:t>Financial Statements - Notes to Condensed Consolidated Financial Statements - Note 4, Debt.</w:t>
      </w:r>
    </w:p>
    <w:p>
      <w:pPr>
        <w:spacing w:after="0" w:line="86"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February 10, 2022, our Board of Directors approved a $125 million share repurchase program through December 31, 2023, that enables the company to repurchase its common stock. The authorization provides NMIH the flexibility to repurchase stock from time to time in the open market or in privately negotiated transactions, based on market and business conditions, stock price and other factors. During the three months ended March 31, 2022, NMIH repurchased 235,344 shares of common stock pursuant to a trading plan under Rule 10b-18 of the Exchange Act, at a total cost of $5.0 million, including associated costs.</w:t>
      </w:r>
    </w:p>
    <w:p>
      <w:pPr>
        <w:spacing w:after="0" w:line="69"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86" w:lineRule="exact"/>
        <w:rPr>
          <w:sz w:val="20"/>
          <w:szCs w:val="20"/>
          <w:color w:val="auto"/>
        </w:rPr>
      </w:pPr>
    </w:p>
    <w:p>
      <w:pPr>
        <w:jc w:val="both"/>
        <w:ind w:left="8" w:firstLine="432"/>
        <w:spacing w:after="0" w:line="306" w:lineRule="auto"/>
        <w:rPr>
          <w:sz w:val="20"/>
          <w:szCs w:val="20"/>
          <w:color w:val="auto"/>
        </w:rPr>
      </w:pPr>
      <w:r>
        <w:rPr>
          <w:rFonts w:ascii="Arial" w:cs="Arial" w:eastAsia="Arial" w:hAnsi="Arial"/>
          <w:sz w:val="10"/>
          <w:szCs w:val="10"/>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w:t>
      </w:r>
    </w:p>
    <w:p>
      <w:pPr>
        <w:spacing w:after="0" w:line="1" w:lineRule="exact"/>
        <w:rPr>
          <w:sz w:val="20"/>
          <w:szCs w:val="20"/>
          <w:color w:val="auto"/>
        </w:rPr>
      </w:pPr>
    </w:p>
    <w:p>
      <w:pPr>
        <w:ind w:left="8" w:right="20" w:hanging="8"/>
        <w:spacing w:after="0" w:line="260" w:lineRule="auto"/>
        <w:tabs>
          <w:tab w:leader="none" w:pos="193"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our applicable corporate credit rating at the time. Borrowings under the 2021 Revolving Credit Facility may be used for general corporate purposes, including to support the growth of our new business production and operations.</w:t>
      </w:r>
    </w:p>
    <w:p>
      <w:pPr>
        <w:spacing w:after="0" w:line="8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Under the 2021 Revolving Credit Facility, NMIH is required to pay a quarterly commitment fee on the average daily undrawn amount of 0.175% to 0.525%, based on the applicable corporate credit rating at the time. As of March 31, 2022, the applicable commitment fee was 0.35%.</w:t>
      </w:r>
    </w:p>
    <w:p>
      <w:pPr>
        <w:spacing w:after="0" w:line="79"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are subject to certain covenants under the 2021 Revolving Credit Facility, including: a maximum debt-to-total capitalization ratio of 35%, a requirement to maintain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March 31, 2022.</w:t>
      </w:r>
    </w:p>
    <w:p>
      <w:pPr>
        <w:spacing w:after="0" w:line="86"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2"/>
          <w:szCs w:val="12"/>
          <w:i w:val="1"/>
          <w:iCs w:val="1"/>
          <w:color w:val="auto"/>
        </w:rPr>
        <w:t>i.e.</w:t>
      </w:r>
      <w:r>
        <w:rPr>
          <w:rFonts w:ascii="Arial" w:cs="Arial" w:eastAsia="Arial" w:hAnsi="Arial"/>
          <w:sz w:val="12"/>
          <w:szCs w:val="12"/>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April 1, 2022, NMIC paid a $34.9 million ordinary course dividend to NMIH.</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50" w:name="page51"/>
    <w:bookmarkEnd w:id="50"/>
    <w:p>
      <w:pPr>
        <w:jc w:val="both"/>
        <w:ind w:right="20" w:firstLine="432"/>
        <w:spacing w:after="0" w:line="306" w:lineRule="auto"/>
        <w:rPr>
          <w:sz w:val="20"/>
          <w:szCs w:val="20"/>
          <w:color w:val="auto"/>
        </w:rPr>
      </w:pPr>
      <w:r>
        <w:rPr>
          <w:rFonts w:ascii="Arial" w:cs="Arial" w:eastAsia="Arial" w:hAnsi="Arial"/>
          <w:sz w:val="11"/>
          <w:szCs w:val="11"/>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1"/>
          <w:szCs w:val="11"/>
          <w:i w:val="1"/>
          <w:iCs w:val="1"/>
          <w:color w:val="auto"/>
        </w:rPr>
        <w:t>minimum required asset</w:t>
      </w:r>
      <w:r>
        <w:rPr>
          <w:rFonts w:ascii="Arial" w:cs="Arial" w:eastAsia="Arial" w:hAnsi="Arial"/>
          <w:sz w:val="11"/>
          <w:szCs w:val="11"/>
          <w:color w:val="auto"/>
        </w:rPr>
        <w:t xml:space="preserve"> thresholds under the PMIERs and minimum state capital requirements (respectively, as defined therein).</w:t>
      </w:r>
    </w:p>
    <w:p>
      <w:pPr>
        <w:spacing w:after="0" w:line="5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March 31, 2022, NMIC reported $2,127 million available assets against $1,341 million risk-based required assets, for a $786 million "excess" funding position.</w:t>
      </w:r>
    </w:p>
    <w:p>
      <w:pPr>
        <w:spacing w:after="0" w:line="86"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6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2022, NMIC's performing primary RIF, net of reinsurance, was approximately $24.5 billion. NMIC ceded 100% of its pool RIF pursuant to the 2016 QSR Transaction. Based on NMIC's total statutory capital of $2.0 billion (including contingency reserves) as of March 31, 2022, NMIC's RTC ratio was 12.4:1. Re One has no risk in force remaining and no longer reports a RTC ratio.</w:t>
      </w:r>
    </w:p>
    <w:p>
      <w:pPr>
        <w:spacing w:after="0" w:line="7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2022, NMIC had $2.0 billion of cash and investments, including $92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2022, NMIC generated $302 million of cash flow from operations and received an additional $137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1"/>
          <w:szCs w:val="11"/>
          <w:i w:val="1"/>
          <w:iCs w:val="1"/>
          <w:color w:val="auto"/>
        </w:rPr>
        <w:t>i.e.</w:t>
      </w:r>
      <w:r>
        <w:rPr>
          <w:rFonts w:ascii="Arial" w:cs="Arial" w:eastAsia="Arial" w:hAnsi="Arial"/>
          <w:sz w:val="11"/>
          <w:szCs w:val="11"/>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and Financial Strength Ratings</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NMIC's financial strength is rated "Baa2" by Moody's and "BBB" by S&amp;P. In June 2020, Moody's affirmed its financial strength rating of NMIC and its "Ba2" rating of NMIH's 2021 Revolving Credit Facility, and assigned a "Ba2" rating to the Notes.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1" w:name="page52"/>
    <w:bookmarkEnd w:id="51"/>
    <w:p>
      <w:pPr>
        <w:jc w:val="both"/>
        <w:ind w:left="8"/>
        <w:spacing w:after="0" w:line="276" w:lineRule="auto"/>
        <w:rPr>
          <w:sz w:val="20"/>
          <w:szCs w:val="20"/>
          <w:color w:val="auto"/>
        </w:rPr>
      </w:pPr>
      <w:r>
        <w:rPr>
          <w:rFonts w:ascii="Arial" w:cs="Arial" w:eastAsia="Arial" w:hAnsi="Arial"/>
          <w:sz w:val="12"/>
          <w:szCs w:val="12"/>
          <w:color w:val="auto"/>
        </w:rPr>
        <w:t>Moody's ratings outlook is stable. In June 2020, S&amp;P assigned a "BB" rating to NMIH's senior secured Notes. In April 2021, S&amp;P upgraded its outlook from negative to positive for the financial strength rating of NMIC's and NMIH's long-term counter-party credit profile.</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Consolidated Investment Portfolio</w:t>
      </w:r>
    </w:p>
    <w:p>
      <w:pPr>
        <w:spacing w:after="0" w:line="118"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Our investment portfolio is comprised entirely of fixed maturity instruments. As of March 31, 2022, the fair value of our investment portfolio was $2.0 billion and we held an additional $130.9 million of cash and equivalents.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Pre-tax book yield on the investment portfolio for the three months ended March 31, 2022 was 1.9%. Book yield is calculated as period-to-date net investment income divided by the average amortized cost of the investment portfolio.</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yield on our investment portfolio is likely to change over time based on movements in interest rates, credit spreads, the duration or mix of our holdings and other factors.</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tables present a breakdown of our investment portfolio and cash and cash equivalents by investment type and credit rating:</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80" w:type="dxa"/>
            <w:vAlign w:val="bottom"/>
          </w:tcPr>
          <w:p>
            <w:pPr>
              <w:spacing w:after="0"/>
              <w:rPr>
                <w:sz w:val="20"/>
                <w:szCs w:val="20"/>
                <w:color w:val="auto"/>
              </w:rPr>
            </w:pPr>
            <w:r>
              <w:rPr>
                <w:rFonts w:ascii="Arial" w:cs="Arial" w:eastAsia="Arial" w:hAnsi="Arial"/>
                <w:sz w:val="10"/>
                <w:szCs w:val="10"/>
                <w:b w:val="1"/>
                <w:bCs w:val="1"/>
                <w:color w:val="auto"/>
              </w:rPr>
              <w:t>Percentage of portfolio's fair value</w:t>
            </w:r>
          </w:p>
        </w:tc>
        <w:tc>
          <w:tcPr>
            <w:tcW w:w="1900" w:type="dxa"/>
            <w:vAlign w:val="bottom"/>
            <w:gridSpan w:val="2"/>
          </w:tcPr>
          <w:p>
            <w:pPr>
              <w:ind w:left="580"/>
              <w:spacing w:after="0"/>
              <w:rPr>
                <w:sz w:val="20"/>
                <w:szCs w:val="20"/>
                <w:color w:val="auto"/>
              </w:rPr>
            </w:pPr>
            <w:r>
              <w:rPr>
                <w:rFonts w:ascii="Arial" w:cs="Arial" w:eastAsia="Arial" w:hAnsi="Arial"/>
                <w:sz w:val="10"/>
                <w:szCs w:val="10"/>
                <w:b w:val="1"/>
                <w:bCs w:val="1"/>
                <w:color w:val="auto"/>
              </w:rPr>
              <w:t>March 31, 2022</w:t>
            </w:r>
          </w:p>
        </w:tc>
        <w:tc>
          <w:tcPr>
            <w:tcW w:w="182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46"/>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64 %</w:t>
            </w:r>
          </w:p>
        </w:tc>
        <w:tc>
          <w:tcPr>
            <w:tcW w:w="0" w:type="dxa"/>
            <w:vAlign w:val="bottom"/>
          </w:tcPr>
          <w:p>
            <w:pPr>
              <w:spacing w:after="0"/>
              <w:rPr>
                <w:sz w:val="1"/>
                <w:szCs w:val="1"/>
                <w:color w:val="auto"/>
              </w:rPr>
            </w:pP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800" w:type="dxa"/>
            <w:vAlign w:val="bottom"/>
          </w:tcPr>
          <w:p>
            <w:pPr>
              <w:jc w:val="right"/>
              <w:ind w:right="82"/>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800" w:type="dxa"/>
            <w:vAlign w:val="bottom"/>
          </w:tcPr>
          <w:p>
            <w:pPr>
              <w:jc w:val="right"/>
              <w:ind w:right="8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8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20"/>
                <w:szCs w:val="20"/>
                <w:color w:val="auto"/>
              </w:rPr>
            </w:pPr>
            <w:r>
              <w:rPr>
                <w:rFonts w:ascii="Arial" w:cs="Arial" w:eastAsia="Arial" w:hAnsi="Arial"/>
                <w:sz w:val="12"/>
                <w:szCs w:val="12"/>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0"/>
                <w:szCs w:val="10"/>
                <w:b w:val="1"/>
                <w:bCs w:val="1"/>
                <w:color w:val="auto"/>
              </w:rPr>
              <w:t xml:space="preserve">Investment portfolio ratings at fair value </w:t>
            </w:r>
            <w:r>
              <w:rPr>
                <w:rFonts w:ascii="Arial" w:cs="Arial" w:eastAsia="Arial" w:hAnsi="Arial"/>
                <w:sz w:val="12"/>
                <w:szCs w:val="12"/>
                <w:b w:val="1"/>
                <w:bCs w:val="1"/>
                <w:color w:val="auto"/>
                <w:vertAlign w:val="superscript"/>
              </w:rPr>
              <w:t>(1)</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vMerge w:val="continue"/>
          </w:tcPr>
          <w:p>
            <w:pPr>
              <w:spacing w:after="0"/>
              <w:rPr>
                <w:sz w:val="24"/>
                <w:szCs w:val="24"/>
                <w:color w:val="auto"/>
              </w:rPr>
            </w:pPr>
          </w:p>
        </w:tc>
        <w:tc>
          <w:tcPr>
            <w:tcW w:w="1900" w:type="dxa"/>
            <w:vAlign w:val="bottom"/>
            <w:gridSpan w:val="2"/>
          </w:tcPr>
          <w:p>
            <w:pPr>
              <w:ind w:left="580"/>
              <w:spacing w:after="0"/>
              <w:rPr>
                <w:sz w:val="20"/>
                <w:szCs w:val="20"/>
                <w:color w:val="auto"/>
              </w:rPr>
            </w:pPr>
            <w:r>
              <w:rPr>
                <w:rFonts w:ascii="Arial" w:cs="Arial" w:eastAsia="Arial" w:hAnsi="Arial"/>
                <w:sz w:val="10"/>
                <w:szCs w:val="10"/>
                <w:b w:val="1"/>
                <w:bCs w:val="1"/>
                <w:color w:val="auto"/>
              </w:rPr>
              <w:t>March 31, 2022</w:t>
            </w:r>
          </w:p>
        </w:tc>
        <w:tc>
          <w:tcPr>
            <w:tcW w:w="182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42"/>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AAA</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0" w:type="dxa"/>
            <w:vAlign w:val="bottom"/>
          </w:tcPr>
          <w:p>
            <w:pPr>
              <w:spacing w:after="0"/>
              <w:rPr>
                <w:sz w:val="1"/>
                <w:szCs w:val="1"/>
                <w:color w:val="auto"/>
              </w:rPr>
            </w:pPr>
          </w:p>
        </w:tc>
      </w:tr>
      <w:tr>
        <w:trPr>
          <w:trHeight w:val="153"/>
        </w:trPr>
        <w:tc>
          <w:tcPr>
            <w:tcW w:w="7580" w:type="dxa"/>
            <w:vAlign w:val="bottom"/>
          </w:tcPr>
          <w:p>
            <w:pPr>
              <w:spacing w:after="0" w:line="153" w:lineRule="exact"/>
              <w:rPr>
                <w:sz w:val="20"/>
                <w:szCs w:val="20"/>
                <w:color w:val="auto"/>
              </w:rPr>
            </w:pPr>
            <w:r>
              <w:rPr>
                <w:rFonts w:ascii="Arial" w:cs="Arial" w:eastAsia="Arial" w:hAnsi="Arial"/>
                <w:sz w:val="17"/>
                <w:szCs w:val="17"/>
                <w:color w:val="auto"/>
                <w:vertAlign w:val="subscript"/>
              </w:rPr>
              <w:t>AA</w:t>
            </w:r>
            <w:r>
              <w:rPr>
                <w:rFonts w:ascii="Arial" w:cs="Arial" w:eastAsia="Arial" w:hAnsi="Arial"/>
                <w:sz w:val="7"/>
                <w:szCs w:val="7"/>
                <w:color w:val="auto"/>
              </w:rPr>
              <w:t>(2)</w:t>
            </w:r>
          </w:p>
        </w:tc>
        <w:tc>
          <w:tcPr>
            <w:tcW w:w="1800" w:type="dxa"/>
            <w:vAlign w:val="bottom"/>
          </w:tcPr>
          <w:p>
            <w:pPr>
              <w:jc w:val="right"/>
              <w:ind w:right="82"/>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758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vertAlign w:val="subscript"/>
              </w:rPr>
              <w:t>A</w:t>
            </w:r>
            <w:r>
              <w:rPr>
                <w:rFonts w:ascii="Arial" w:cs="Arial" w:eastAsia="Arial" w:hAnsi="Arial"/>
                <w:sz w:val="7"/>
                <w:szCs w:val="7"/>
                <w:color w:val="auto"/>
              </w:rPr>
              <w:t>(2)</w:t>
            </w:r>
          </w:p>
        </w:tc>
        <w:tc>
          <w:tcPr>
            <w:tcW w:w="1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3"/>
        </w:trPr>
        <w:tc>
          <w:tcPr>
            <w:tcW w:w="75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BBB</w:t>
            </w:r>
            <w:r>
              <w:rPr>
                <w:rFonts w:ascii="Arial" w:cs="Arial" w:eastAsia="Arial" w:hAnsi="Arial"/>
                <w:sz w:val="15"/>
                <w:szCs w:val="15"/>
                <w:color w:val="auto"/>
                <w:vertAlign w:val="superscript"/>
              </w:rPr>
              <w:t>(2)</w:t>
            </w:r>
          </w:p>
        </w:tc>
        <w:tc>
          <w:tcPr>
            <w:tcW w:w="18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68" w:hanging="168"/>
        <w:spacing w:after="0"/>
        <w:tabs>
          <w:tab w:leader="none" w:pos="168"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Excluding certain operating cash accounts.</w:t>
      </w:r>
    </w:p>
    <w:p>
      <w:pPr>
        <w:ind w:left="168" w:hanging="168"/>
        <w:spacing w:after="0" w:line="197" w:lineRule="auto"/>
        <w:tabs>
          <w:tab w:leader="none" w:pos="168"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Includes +/– ratings.</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All of our investments are rated by one or more nationally recognized statistical rating organizations. If three or more ratings are available, we assign the middle rating for classification purposes, otherwise we assign the lowest</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rating.</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Investment Securities - Allowance for credit losses</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did not recognize an allowance for credit loss for any security in the investment portfolio as of March 31, 2022 or December 31, 2021, and we did not record any provision for credit loss for investment securities during the three months ended March 31, 2022 or 2021.</w:t>
      </w:r>
    </w:p>
    <w:p>
      <w:pPr>
        <w:spacing w:after="0" w:line="7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As of March 31, 2022, the investment portfolio had gross unrealized losses of $122.9 million, of which $29.0 million had been in an unrealized loss position for a period of twelve-months or longer. As of December 31, 2021, the investment portfolio had gross unrealized losses of $23.2 million, of which $6.5 million had been in an unrealized loss position for a period of twelve months or longer. The increase in the aggregate size of the unrealized loss position as of March 31, 2022, was primarily driven by interest rate movements following the purchase date of certain securities. We evaluated the securities in an unrealized loss position as of March 31, 2022, assessing their credit ratings as well as any adverse conditions specifically related to the security. Based upon our estimate of the amount and timing of cash flows to be collected over the remaining life of each instrument, we believe the unrealized losses as of March 31, 2022 are not indicative of the ultimate collectability of the current amortized cost of the securities.</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2021 10-K.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7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manage market risk via a defined investment policy implemented by our treasury function with oversight from our Board's Risk Committee. Important drivers of our market risk exposure monitored and managed by us include but are not limited to:</w:t>
      </w:r>
    </w:p>
    <w:p>
      <w:pPr>
        <w:spacing w:after="0" w:line="79" w:lineRule="exact"/>
        <w:rPr>
          <w:sz w:val="20"/>
          <w:szCs w:val="20"/>
          <w:color w:val="auto"/>
        </w:rPr>
      </w:pPr>
    </w:p>
    <w:p>
      <w:pPr>
        <w:jc w:val="both"/>
        <w:ind w:left="640" w:hanging="216"/>
        <w:spacing w:after="0" w:line="259" w:lineRule="auto"/>
        <w:tabs>
          <w:tab w:leader="none" w:pos="637"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Changes to the level of interest rates</w:t>
      </w:r>
      <w:r>
        <w:rPr>
          <w:rFonts w:ascii="Arial" w:cs="Arial" w:eastAsia="Arial" w:hAnsi="Arial"/>
          <w:sz w:val="12"/>
          <w:szCs w:val="12"/>
          <w:color w:val="auto"/>
        </w:rPr>
        <w:t>. Increasing interest rates may reduce the value of certain fixed-rate bonds held in the investment portfolio. Higher rates may cause variable rate assets to generate additional income.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88" w:lineRule="exact"/>
        <w:rPr>
          <w:rFonts w:ascii="Arial" w:cs="Arial" w:eastAsia="Arial" w:hAnsi="Arial"/>
          <w:sz w:val="12"/>
          <w:szCs w:val="12"/>
          <w:color w:val="auto"/>
        </w:rPr>
      </w:pPr>
    </w:p>
    <w:p>
      <w:pPr>
        <w:ind w:left="640" w:hanging="216"/>
        <w:spacing w:after="0"/>
        <w:tabs>
          <w:tab w:leader="none" w:pos="640" w:val="left"/>
        </w:tabs>
        <w:numPr>
          <w:ilvl w:val="0"/>
          <w:numId w:val="21"/>
        </w:numPr>
        <w:rPr>
          <w:rFonts w:ascii="Arial" w:cs="Arial" w:eastAsia="Arial" w:hAnsi="Arial"/>
          <w:sz w:val="11"/>
          <w:szCs w:val="11"/>
          <w:i w:val="1"/>
          <w:iCs w:val="1"/>
          <w:color w:val="auto"/>
        </w:rPr>
      </w:pPr>
      <w:r>
        <w:rPr>
          <w:rFonts w:ascii="Arial" w:cs="Arial" w:eastAsia="Arial" w:hAnsi="Arial"/>
          <w:sz w:val="11"/>
          <w:szCs w:val="11"/>
          <w:i w:val="1"/>
          <w:iCs w:val="1"/>
          <w:color w:val="auto"/>
        </w:rPr>
        <w:t>Changes to the term structure of interest rates</w:t>
      </w:r>
      <w:r>
        <w:rPr>
          <w:rFonts w:ascii="Arial" w:cs="Arial" w:eastAsia="Arial" w:hAnsi="Arial"/>
          <w:sz w:val="11"/>
          <w:szCs w:val="11"/>
          <w:color w:val="auto"/>
        </w:rPr>
        <w:t>. Rising or falling rates typically change by different amounts along the yield curve. These changes may have unforeseen impacts on the value of certain assets.</w:t>
      </w:r>
    </w:p>
    <w:p>
      <w:pPr>
        <w:spacing w:after="0" w:line="125" w:lineRule="exact"/>
        <w:rPr>
          <w:rFonts w:ascii="Arial" w:cs="Arial" w:eastAsia="Arial" w:hAnsi="Arial"/>
          <w:sz w:val="11"/>
          <w:szCs w:val="11"/>
          <w:i w:val="1"/>
          <w:iCs w:val="1"/>
          <w:color w:val="auto"/>
        </w:rPr>
      </w:pPr>
    </w:p>
    <w:p>
      <w:pPr>
        <w:ind w:left="640" w:hanging="216"/>
        <w:spacing w:after="0" w:line="276" w:lineRule="auto"/>
        <w:tabs>
          <w:tab w:leader="none" w:pos="637"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Market volatility/changes in the real or perceived credit quality of investments</w:t>
      </w:r>
      <w:r>
        <w:rPr>
          <w:rFonts w:ascii="Arial" w:cs="Arial" w:eastAsia="Arial" w:hAnsi="Arial"/>
          <w:sz w:val="12"/>
          <w:szCs w:val="12"/>
          <w:color w:val="auto"/>
        </w:rPr>
        <w:t>. Deterioration in the quality of investments, identified through changes to our own or third party (</w:t>
      </w:r>
      <w:r>
        <w:rPr>
          <w:rFonts w:ascii="Arial" w:cs="Arial" w:eastAsia="Arial" w:hAnsi="Arial"/>
          <w:sz w:val="12"/>
          <w:szCs w:val="12"/>
          <w:i w:val="1"/>
          <w:iCs w:val="1"/>
          <w:color w:val="auto"/>
        </w:rPr>
        <w:t>e.g.</w:t>
      </w:r>
      <w:r>
        <w:rPr>
          <w:rFonts w:ascii="Arial" w:cs="Arial" w:eastAsia="Arial" w:hAnsi="Arial"/>
          <w:sz w:val="12"/>
          <w:szCs w:val="12"/>
          <w:color w:val="auto"/>
        </w:rPr>
        <w:t>, rating agency) assessments, will reduce</w:t>
      </w:r>
      <w:r>
        <w:rPr>
          <w:rFonts w:ascii="Arial" w:cs="Arial" w:eastAsia="Arial" w:hAnsi="Arial"/>
          <w:sz w:val="12"/>
          <w:szCs w:val="12"/>
          <w:i w:val="1"/>
          <w:iCs w:val="1"/>
          <w:color w:val="auto"/>
        </w:rPr>
        <w:t xml:space="preserve"> </w:t>
      </w:r>
      <w:r>
        <w:rPr>
          <w:rFonts w:ascii="Arial" w:cs="Arial" w:eastAsia="Arial" w:hAnsi="Arial"/>
          <w:sz w:val="12"/>
          <w:szCs w:val="12"/>
          <w:color w:val="auto"/>
        </w:rPr>
        <w:t>the value and potentially the liquidity of investments.</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Concentration Risk</w:t>
      </w:r>
      <w:r>
        <w:rPr>
          <w:rFonts w:ascii="Arial" w:cs="Arial" w:eastAsia="Arial" w:hAnsi="Arial"/>
          <w:sz w:val="12"/>
          <w:szCs w:val="12"/>
          <w:color w:val="auto"/>
        </w:rPr>
        <w:t>. If the investment portfolio is highly concentrated in one asset, or in multiple assets whose values are highly correlated, the value of the total portfolio may be greatly affected by the change in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just one asset or a group of highly correlated assets.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Prepayment Risk</w:t>
      </w:r>
      <w:r>
        <w:rPr>
          <w:rFonts w:ascii="Arial" w:cs="Arial" w:eastAsia="Arial" w:hAnsi="Arial"/>
          <w:sz w:val="12"/>
          <w:szCs w:val="12"/>
          <w:color w:val="auto"/>
        </w:rPr>
        <w:t>. Bonds may have call provisions that permit debtors to repay prior to maturity when it is to their advantage. This typically occurs when rates fall below the interest rate of the debt.</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carrying value of our investment portfolio as of March 31, 2022 and December 31, 2021 was $2.0 billion and $2.1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2022, the duration of our fixed income portfolio, including cash and cash equivalents, was 4.72 years, which means that an instantaneous parallel shift (movement up or down) in the yield curve of 100 basis points would result in a change of 4.72% in fair value of our fixed income portfolio. Excluding cash, our fixed income portfolio duration was 4.81 years, which means that an instantaneous parallel shift (movement up or down) in the yield curve of 100 basis points would result in a change of 4.81% in fair value of our fixed income portfolio.</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also subject to market risk related to the Notes and the ILN Transactions. As discussed in Item 1, "</w:t>
      </w:r>
      <w:r>
        <w:rPr>
          <w:rFonts w:ascii="Arial" w:cs="Arial" w:eastAsia="Arial" w:hAnsi="Arial"/>
          <w:sz w:val="12"/>
          <w:szCs w:val="12"/>
          <w:i w:val="1"/>
          <w:iCs w:val="1"/>
          <w:color w:val="auto"/>
        </w:rPr>
        <w:t>Financial Statements - Notes to Condensed Consolidated Financial Statements - Note 4, Debt</w:t>
      </w:r>
      <w:r>
        <w:rPr>
          <w:rFonts w:ascii="Arial" w:cs="Arial" w:eastAsia="Arial" w:hAnsi="Arial"/>
          <w:sz w:val="12"/>
          <w:szCs w:val="12"/>
          <w:color w:val="auto"/>
        </w:rPr>
        <w:t>" the Notes bear interest at a variable rate and, as a result, increases in market interest rates would generally result in increased interest expense on our outstanding principal.</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risk premium amounts under the ILN Transactions are calculated by multiplying the outstanding reinsurance coverage amount at the beginning of any payment period by a coupon rate, which is the sum of one-month LIBOR and a risk margin, and then subtracting actual investment income earned on the trust balance during that payment period. An increase in one-month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management, including our Chief Executive Officer and Chief Financial Officer, conducted an evaluation of the effectiveness of our disclosure controls and procedures (as defined in Rule 13a-15(e) of the Exchange Act) as of March 31, 2022,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Based upon that evaluation, our Chief Executive Officer and Chief Financial Officer concluded that, as of March 31, 2022,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2"/>
          <w:szCs w:val="12"/>
          <w:b w:val="1"/>
          <w:bCs w:val="1"/>
          <w:color w:val="auto"/>
        </w:rPr>
        <w:t>PART 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Risk factors that affect our business and financial results are discussed in Part I, Item 1A of our 2021 10-K. As of the date of this report, we are not aware of any material changes in our risk factors from the risk factors disclosed in our 2021 10-K. You should carefully consider the risks and uncertainties described herein and in our 2021 10-K, which have the potential to affect our business, financial condition, results of operations, cash flows or prospects in a material and adverse manner. The risks described herein and in our 2021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20" w:type="dxa"/>
            <w:vAlign w:val="bottom"/>
            <w:gridSpan w:val="13"/>
          </w:tcPr>
          <w:p>
            <w:pPr>
              <w:ind w:left="10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36"/>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1000" w:type="dxa"/>
            <w:vAlign w:val="bottom"/>
          </w:tcPr>
          <w:p>
            <w:pPr>
              <w:jc w:val="center"/>
              <w:spacing w:after="0"/>
              <w:rPr>
                <w:sz w:val="20"/>
                <w:szCs w:val="20"/>
                <w:color w:val="auto"/>
              </w:rPr>
            </w:pPr>
            <w:r>
              <w:rPr>
                <w:rFonts w:ascii="Arial" w:cs="Arial" w:eastAsia="Arial" w:hAnsi="Arial"/>
                <w:sz w:val="12"/>
                <w:szCs w:val="12"/>
                <w:color w:val="auto"/>
                <w:w w:val="95"/>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24"/>
          </w:tcPr>
          <w:p>
            <w:pPr>
              <w:spacing w:after="0"/>
              <w:rPr>
                <w:rFonts w:ascii="Arial" w:cs="Arial" w:eastAsia="Arial" w:hAnsi="Arial"/>
                <w:sz w:val="12"/>
                <w:szCs w:val="12"/>
                <w:color w:val="0000FF"/>
                <w:w w:val="97"/>
              </w:rPr>
            </w:pPr>
            <w:hyperlink r:id="rId87">
              <w:r>
                <w:rPr>
                  <w:rFonts w:ascii="Arial" w:cs="Arial" w:eastAsia="Arial" w:hAnsi="Arial"/>
                  <w:sz w:val="12"/>
                  <w:szCs w:val="12"/>
                  <w:color w:val="0000FF"/>
                  <w:w w:val="97"/>
                </w:rPr>
                <w:t>Stock Purchase Agreement, dated November 30, 2011</w:t>
              </w:r>
            </w:hyperlink>
            <w:r>
              <w:rPr>
                <w:rFonts w:ascii="Arial" w:cs="Arial" w:eastAsia="Arial" w:hAnsi="Arial"/>
                <w:sz w:val="12"/>
                <w:szCs w:val="12"/>
                <w:color w:val="000000"/>
                <w:w w:val="97"/>
              </w:rPr>
              <w:t>,</w:t>
            </w:r>
            <w:r>
              <w:rPr>
                <w:rFonts w:ascii="Arial" w:cs="Arial" w:eastAsia="Arial" w:hAnsi="Arial"/>
                <w:sz w:val="12"/>
                <w:szCs w:val="12"/>
                <w:color w:val="0000FF"/>
                <w:w w:val="97"/>
              </w:rPr>
              <w:t xml:space="preserve"> </w:t>
            </w:r>
            <w:r>
              <w:rPr>
                <w:rFonts w:ascii="Arial" w:cs="Arial" w:eastAsia="Arial" w:hAnsi="Arial"/>
                <w:sz w:val="12"/>
                <w:szCs w:val="12"/>
                <w:color w:val="000000"/>
                <w:w w:val="97"/>
              </w:rPr>
              <w:t>between NMI Holdings, Inc. and MAC Financial Ltd. (incorporated herein by reference to Exhibit 2.1 to our Form S-1 Registration Statement</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6"/>
          </w:tcPr>
          <w:p>
            <w:pPr>
              <w:spacing w:after="0" w:line="124" w:lineRule="exact"/>
              <w:rPr>
                <w:sz w:val="20"/>
                <w:szCs w:val="20"/>
                <w:color w:val="auto"/>
              </w:rPr>
            </w:pPr>
            <w:r>
              <w:rPr>
                <w:rFonts w:ascii="Arial" w:cs="Arial" w:eastAsia="Arial" w:hAnsi="Arial"/>
                <w:sz w:val="12"/>
                <w:szCs w:val="12"/>
                <w:color w:val="auto"/>
                <w:w w:val="88"/>
              </w:rPr>
              <w:t>(Registration No. 333-191635), filed on October 9, 2013)</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2.2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9"/>
              </w:rPr>
            </w:pPr>
            <w:hyperlink r:id="rId88">
              <w:r>
                <w:rPr>
                  <w:rFonts w:ascii="Arial" w:cs="Arial" w:eastAsia="Arial" w:hAnsi="Arial"/>
                  <w:sz w:val="12"/>
                  <w:szCs w:val="12"/>
                  <w:color w:val="0000FF"/>
                  <w:w w:val="99"/>
                </w:rPr>
                <w:t>Amendment to Stock Purchase Agreement, dated April 6, 2012</w:t>
              </w:r>
            </w:hyperlink>
            <w:r>
              <w:rPr>
                <w:rFonts w:ascii="Arial" w:cs="Arial" w:eastAsia="Arial" w:hAnsi="Arial"/>
                <w:sz w:val="12"/>
                <w:szCs w:val="12"/>
                <w:color w:val="000000"/>
                <w:w w:val="99"/>
              </w:rPr>
              <w:t>,</w:t>
            </w:r>
            <w:r>
              <w:rPr>
                <w:rFonts w:ascii="Arial" w:cs="Arial" w:eastAsia="Arial" w:hAnsi="Arial"/>
                <w:sz w:val="12"/>
                <w:szCs w:val="12"/>
                <w:color w:val="0000FF"/>
                <w:w w:val="99"/>
              </w:rPr>
              <w:t xml:space="preserve"> </w:t>
            </w:r>
            <w:r>
              <w:rPr>
                <w:rFonts w:ascii="Arial" w:cs="Arial" w:eastAsia="Arial" w:hAnsi="Arial"/>
                <w:sz w:val="12"/>
                <w:szCs w:val="12"/>
                <w:color w:val="000000"/>
                <w:w w:val="99"/>
              </w:rPr>
              <w:t>between NMI Holdings, Inc. and MAC Financial Ltd. (incorporated herein by reference to Exhibit 2.2 to our Form S-1 Registration</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3.1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3"/>
              </w:rPr>
            </w:pPr>
            <w:hyperlink r:id="rId89">
              <w:r>
                <w:rPr>
                  <w:rFonts w:ascii="Arial" w:cs="Arial" w:eastAsia="Arial" w:hAnsi="Arial"/>
                  <w:sz w:val="12"/>
                  <w:szCs w:val="12"/>
                  <w:color w:val="0000FF"/>
                  <w:w w:val="93"/>
                </w:rPr>
                <w:t xml:space="preserve">Second Amended and Restated Certificate of Incorporation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3.1 to our Form S-1 Registration Statement (Registration No. 333-191635), filed on October 9, 2013)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3.2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rPr>
            </w:pPr>
            <w:hyperlink r:id="rId90">
              <w:r>
                <w:rPr>
                  <w:rFonts w:ascii="Arial" w:cs="Arial" w:eastAsia="Arial" w:hAnsi="Arial"/>
                  <w:sz w:val="12"/>
                  <w:szCs w:val="12"/>
                  <w:color w:val="0000FF"/>
                </w:rPr>
                <w:t xml:space="preserve">Third Amended and Restated By-Laws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3.1 to our Form 8-K, filed on December 9, 2014)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4.1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rPr>
            </w:pPr>
            <w:hyperlink r:id="rId91">
              <w:r>
                <w:rPr>
                  <w:rFonts w:ascii="Arial" w:cs="Arial" w:eastAsia="Arial" w:hAnsi="Arial"/>
                  <w:sz w:val="12"/>
                  <w:szCs w:val="12"/>
                  <w:color w:val="0000FF"/>
                </w:rPr>
                <w:t xml:space="preserve">Specimen Class A common stock certificate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4.1 to our Form S-1 Registration Statement (Registration No. 333-191635), filed on October 9, 2013)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4.2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w w:val="95"/>
              </w:rPr>
            </w:pPr>
            <w:hyperlink r:id="rId92">
              <w:r>
                <w:rPr>
                  <w:rFonts w:ascii="Arial" w:cs="Arial" w:eastAsia="Arial" w:hAnsi="Arial"/>
                  <w:sz w:val="12"/>
                  <w:szCs w:val="12"/>
                  <w:color w:val="0000FF"/>
                  <w:w w:val="95"/>
                </w:rPr>
                <w:t xml:space="preserve">Registration Rights Agreement between NMI Holdings, Inc. and FBR Capital Markets &amp; Co., dated April 24, 2012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4.2 to our Form S-1 Registration Statement</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18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5"/>
              </w:rPr>
            </w:pPr>
            <w:hyperlink r:id="rId93">
              <w:r>
                <w:rPr>
                  <w:rFonts w:ascii="Arial" w:cs="Arial" w:eastAsia="Arial" w:hAnsi="Arial"/>
                  <w:sz w:val="12"/>
                  <w:szCs w:val="12"/>
                  <w:color w:val="0000FF"/>
                  <w:w w:val="95"/>
                </w:rPr>
                <w:t xml:space="preserve">Registration Rights Agreement by and between MAC Financial Ltd. and NMI Holdings, Inc., dated April 24, 2012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4.3 to our Form S-1 Registration Statement</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13"/>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1840" w:type="dxa"/>
            <w:vAlign w:val="bottom"/>
            <w:gridSpan w:val="2"/>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5"/>
              </w:rPr>
            </w:pPr>
            <w:hyperlink r:id="rId94">
              <w:r>
                <w:rPr>
                  <w:rFonts w:ascii="Arial" w:cs="Arial" w:eastAsia="Arial" w:hAnsi="Arial"/>
                  <w:sz w:val="12"/>
                  <w:szCs w:val="12"/>
                  <w:color w:val="0000FF"/>
                  <w:w w:val="95"/>
                </w:rPr>
                <w:t xml:space="preserve">Registration Rights Agreement between FBR &amp; Co., FBR Capital Markets LT, Inc., FBR Capital Markets &amp; Co., FBR Capital Markets PT, Inc. and NMI Holdings, Inc., dated April 24, 2012 </w:t>
              </w:r>
            </w:hyperlink>
            <w:r>
              <w:rPr>
                <w:rFonts w:ascii="Arial" w:cs="Arial" w:eastAsia="Arial" w:hAnsi="Arial"/>
                <w:sz w:val="12"/>
                <w:szCs w:val="12"/>
                <w:color w:val="000000"/>
                <w:w w:val="95"/>
              </w:rPr>
              <w:t>(incorporated</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20" w:type="dxa"/>
            <w:vAlign w:val="bottom"/>
            <w:tcBorders>
              <w:top w:val="single" w:sz="8" w:color="0000FF"/>
            </w:tcBorders>
            <w:gridSpan w:val="16"/>
          </w:tcPr>
          <w:p>
            <w:pPr>
              <w:spacing w:after="0" w:line="124" w:lineRule="exact"/>
              <w:rPr>
                <w:sz w:val="20"/>
                <w:szCs w:val="20"/>
                <w:color w:val="auto"/>
              </w:rPr>
            </w:pPr>
            <w:r>
              <w:rPr>
                <w:rFonts w:ascii="Arial" w:cs="Arial" w:eastAsia="Arial" w:hAnsi="Arial"/>
                <w:sz w:val="12"/>
                <w:szCs w:val="12"/>
                <w:color w:val="auto"/>
              </w:rPr>
              <w:t>herein by reference to Exhibit 4.4 to our Form S-1 Registration Statement (Registration No. 333-191635), filed on October 9, 2013)</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4"/>
              </w:rPr>
            </w:pPr>
            <w:hyperlink r:id="rId95">
              <w:r>
                <w:rPr>
                  <w:rFonts w:ascii="Arial" w:cs="Arial" w:eastAsia="Arial" w:hAnsi="Arial"/>
                  <w:sz w:val="12"/>
                  <w:szCs w:val="12"/>
                  <w:color w:val="0000FF"/>
                  <w:w w:val="94"/>
                </w:rPr>
                <w:t>Indenture, dated as of June 19, 2020, among NMI Holdings, Inc., NMI Services, Inc. as the Initial Guarantor, and the Bank of New York Mellon Trust Company, N.A. as Trustee and Notes Collateral Agent</w:t>
              </w:r>
            </w:hyperlink>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19"/>
          </w:tcPr>
          <w:p>
            <w:pPr>
              <w:spacing w:after="0" w:line="124" w:lineRule="exact"/>
              <w:rPr>
                <w:sz w:val="20"/>
                <w:szCs w:val="20"/>
                <w:color w:val="auto"/>
              </w:rPr>
            </w:pPr>
            <w:r>
              <w:rPr>
                <w:rFonts w:ascii="Arial" w:cs="Arial" w:eastAsia="Arial" w:hAnsi="Arial"/>
                <w:sz w:val="12"/>
                <w:szCs w:val="12"/>
                <w:color w:val="auto"/>
              </w:rPr>
              <w:t>(incorporated herein by reference to Exhibit 4.1 to our Form 8-K, filed on June 19, 2020)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10.1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rPr>
            </w:pPr>
            <w:hyperlink r:id="rId96">
              <w:r>
                <w:rPr>
                  <w:rFonts w:ascii="Arial" w:cs="Arial" w:eastAsia="Arial" w:hAnsi="Arial"/>
                  <w:sz w:val="12"/>
                  <w:szCs w:val="12"/>
                  <w:color w:val="0000FF"/>
                </w:rPr>
                <w:t xml:space="preserve">Offer Letter by and between NMI Holdings, Inc. and William Leatherberry, dated July 11, 2014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10.10 to our Form 10-Q, filed on April 28, 2016)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10.2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rPr>
            </w:pPr>
            <w:hyperlink r:id="rId97">
              <w:r>
                <w:rPr>
                  <w:rFonts w:ascii="Arial" w:cs="Arial" w:eastAsia="Arial" w:hAnsi="Arial"/>
                  <w:sz w:val="12"/>
                  <w:szCs w:val="12"/>
                  <w:color w:val="0000FF"/>
                </w:rPr>
                <w:t xml:space="preserve">Offer Letter by and between NMI Holdings, Inc. and Adam Pollitzer, dated September 9, 2021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September 9, 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10.3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rPr>
            </w:pPr>
            <w:hyperlink r:id="rId98">
              <w:r>
                <w:rPr>
                  <w:rFonts w:ascii="Arial" w:cs="Arial" w:eastAsia="Arial" w:hAnsi="Arial"/>
                  <w:sz w:val="12"/>
                  <w:szCs w:val="12"/>
                  <w:color w:val="0000FF"/>
                </w:rPr>
                <w:t xml:space="preserve">Offer letter by and between NMI Holdings, Inc. and Ravi Mallela, dated December 20, 2021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December 21, 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10.4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w w:val="96"/>
              </w:rPr>
            </w:pPr>
            <w:hyperlink r:id="rId99">
              <w:r>
                <w:rPr>
                  <w:rFonts w:ascii="Arial" w:cs="Arial" w:eastAsia="Arial" w:hAnsi="Arial"/>
                  <w:sz w:val="12"/>
                  <w:szCs w:val="12"/>
                  <w:color w:val="0000FF"/>
                  <w:w w:val="96"/>
                </w:rPr>
                <w:t xml:space="preserve">Form of Indemnification Agreement between NMI Holdings, Inc. and its directors and certain executive officers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 10.1 to our Form 8-K, filed on November 25,</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2014)</w:t>
            </w: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10.5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4"/>
              </w:rPr>
            </w:pPr>
            <w:hyperlink r:id="rId100">
              <w:r>
                <w:rPr>
                  <w:rFonts w:ascii="Arial" w:cs="Arial" w:eastAsia="Arial" w:hAnsi="Arial"/>
                  <w:sz w:val="12"/>
                  <w:szCs w:val="12"/>
                  <w:color w:val="0000FF"/>
                  <w:w w:val="94"/>
                </w:rPr>
                <w:t xml:space="preserve">Commitment Letter dated July 12, 2013 for Bulk Fannie Mae-Paid Loss-on-Sale Mortgage Insurance on the Portfolio of approximately </w:t>
              </w:r>
              <w:r>
                <w:rPr>
                  <w:rFonts w:ascii="Arial" w:cs="Arial" w:eastAsia="Arial" w:hAnsi="Arial"/>
                  <w:sz w:val="12"/>
                  <w:szCs w:val="12"/>
                  <w:u w:val="single" w:color="auto"/>
                  <w:color w:val="0000FF"/>
                  <w:w w:val="94"/>
                </w:rPr>
                <w:t>$</w:t>
              </w:r>
              <w:r>
                <w:rPr>
                  <w:rFonts w:ascii="Arial" w:cs="Arial" w:eastAsia="Arial" w:hAnsi="Arial"/>
                  <w:sz w:val="12"/>
                  <w:szCs w:val="12"/>
                  <w:color w:val="0000FF"/>
                  <w:w w:val="94"/>
                </w:rPr>
                <w:t>5.46 billion Purchased by Fannie Mae and Identified by Fannie Mae</w:t>
              </w:r>
            </w:hyperlink>
          </w:p>
        </w:tc>
        <w:tc>
          <w:tcPr>
            <w:tcW w:w="0" w:type="dxa"/>
            <w:vAlign w:val="bottom"/>
          </w:tcPr>
          <w:p>
            <w:pPr>
              <w:spacing w:after="0"/>
              <w:rPr>
                <w:sz w:val="1"/>
                <w:szCs w:val="1"/>
                <w:color w:val="auto"/>
              </w:rPr>
            </w:pPr>
          </w:p>
        </w:tc>
      </w:tr>
      <w:tr>
        <w:trPr>
          <w:trHeight w:val="97"/>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900" w:type="dxa"/>
            <w:vAlign w:val="bottom"/>
            <w:tcBorders>
              <w:top w:val="single" w:sz="8" w:color="0000FF"/>
            </w:tcBorders>
            <w:gridSpan w:val="17"/>
          </w:tcPr>
          <w:p>
            <w:pPr>
              <w:spacing w:after="0" w:line="97" w:lineRule="exact"/>
              <w:rPr>
                <w:rFonts w:ascii="Arial" w:cs="Arial" w:eastAsia="Arial" w:hAnsi="Arial"/>
                <w:sz w:val="11"/>
                <w:szCs w:val="11"/>
                <w:color w:val="0000FF"/>
                <w:w w:val="99"/>
              </w:rPr>
            </w:pPr>
            <w:hyperlink r:id="rId100">
              <w:r>
                <w:rPr>
                  <w:rFonts w:ascii="Arial" w:cs="Arial" w:eastAsia="Arial" w:hAnsi="Arial"/>
                  <w:sz w:val="11"/>
                  <w:szCs w:val="11"/>
                  <w:color w:val="0000FF"/>
                  <w:w w:val="99"/>
                </w:rPr>
                <w:t xml:space="preserve">as Deal No. 2013 MIRT 01 and by the Company as Policy No. P-0001-01 </w:t>
              </w:r>
              <w:r>
                <w:rPr>
                  <w:rFonts w:ascii="Arial" w:cs="Arial" w:eastAsia="Arial" w:hAnsi="Arial"/>
                  <w:sz w:val="11"/>
                  <w:szCs w:val="11"/>
                  <w:color w:val="000000"/>
                  <w:w w:val="99"/>
                </w:rPr>
                <w:t>(incorporated herein by reference to Exhibit 10.14 to our Form S-1 Registration Statement (Registration No. 333-191635), filed on</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tcBorders>
              <w:top w:val="single" w:sz="8" w:color="0000FF"/>
            </w:tcBorders>
            <w:gridSpan w:val="9"/>
          </w:tcPr>
          <w:p>
            <w:pPr>
              <w:spacing w:after="0" w:line="124" w:lineRule="exact"/>
              <w:rPr>
                <w:sz w:val="20"/>
                <w:szCs w:val="20"/>
                <w:color w:val="auto"/>
              </w:rPr>
            </w:pPr>
            <w:r>
              <w:rPr>
                <w:rFonts w:ascii="Arial" w:cs="Arial" w:eastAsia="Arial" w:hAnsi="Arial"/>
                <w:sz w:val="12"/>
                <w:szCs w:val="12"/>
                <w:color w:val="auto"/>
              </w:rPr>
              <w:t>October 9, 2013)</w:t>
            </w:r>
          </w:p>
        </w:tc>
        <w:tc>
          <w:tcPr>
            <w:tcW w:w="3860" w:type="dxa"/>
            <w:vAlign w:val="bottom"/>
            <w:gridSpan w:val="6"/>
          </w:tcPr>
          <w:p>
            <w:pPr>
              <w:spacing w:after="0"/>
              <w:rPr>
                <w:sz w:val="10"/>
                <w:szCs w:val="10"/>
                <w:color w:val="auto"/>
              </w:rPr>
            </w:pPr>
          </w:p>
        </w:tc>
        <w:tc>
          <w:tcPr>
            <w:tcW w:w="25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85"/>
              </w:rPr>
              <w:t>10.6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4"/>
              </w:rPr>
            </w:pPr>
            <w:hyperlink r:id="rId101">
              <w:r>
                <w:rPr>
                  <w:rFonts w:ascii="Arial" w:cs="Arial" w:eastAsia="Arial" w:hAnsi="Arial"/>
                  <w:sz w:val="12"/>
                  <w:szCs w:val="12"/>
                  <w:color w:val="0000FF"/>
                  <w:w w:val="94"/>
                </w:rPr>
                <w:t xml:space="preserve">Credit Agreement, dated May 24, 2018, between NMI Holdings, Inc., the lender party thereto, and JPMorgan Chase Bank, N.A., as administrative agent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4.1 to</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2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our Form 8-K, filed on May 25, 2018)</w:t>
            </w:r>
          </w:p>
        </w:tc>
        <w:tc>
          <w:tcPr>
            <w:tcW w:w="25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85"/>
              </w:rPr>
              <w:t>10.7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26" w:lineRule="exact"/>
              <w:rPr>
                <w:rFonts w:ascii="Arial" w:cs="Arial" w:eastAsia="Arial" w:hAnsi="Arial"/>
                <w:sz w:val="12"/>
                <w:szCs w:val="12"/>
                <w:color w:val="0000FF"/>
                <w:w w:val="93"/>
              </w:rPr>
            </w:pPr>
            <w:hyperlink r:id="rId102">
              <w:r>
                <w:rPr>
                  <w:rFonts w:ascii="Arial" w:cs="Arial" w:eastAsia="Arial" w:hAnsi="Arial"/>
                  <w:sz w:val="12"/>
                  <w:szCs w:val="12"/>
                  <w:color w:val="0000FF"/>
                  <w:w w:val="93"/>
                </w:rPr>
                <w:t>Extension Amendment, dated as of March 20, 2020, to the Company's Credit Agreement, dated as of May 24, 2018, by and among the Company, the lender parties thereto and JPMorgan Chase Bank, N.A.</w:t>
              </w:r>
            </w:hyperlink>
          </w:p>
        </w:tc>
        <w:tc>
          <w:tcPr>
            <w:tcW w:w="0" w:type="dxa"/>
            <w:vAlign w:val="bottom"/>
          </w:tcPr>
          <w:p>
            <w:pPr>
              <w:spacing w:after="0"/>
              <w:rPr>
                <w:sz w:val="1"/>
                <w:szCs w:val="1"/>
                <w:color w:val="auto"/>
              </w:rPr>
            </w:pPr>
          </w:p>
        </w:tc>
      </w:tr>
      <w:tr>
        <w:trPr>
          <w:trHeight w:val="97"/>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980" w:type="dxa"/>
            <w:vAlign w:val="bottom"/>
            <w:tcBorders>
              <w:top w:val="single" w:sz="8" w:color="0000FF"/>
            </w:tcBorders>
            <w:gridSpan w:val="21"/>
          </w:tcPr>
          <w:p>
            <w:pPr>
              <w:spacing w:after="0" w:line="97" w:lineRule="exact"/>
              <w:rPr>
                <w:rFonts w:ascii="Arial" w:cs="Arial" w:eastAsia="Arial" w:hAnsi="Arial"/>
                <w:sz w:val="11"/>
                <w:szCs w:val="11"/>
                <w:color w:val="0000FF"/>
              </w:rPr>
            </w:pPr>
            <w:hyperlink r:id="rId102">
              <w:r>
                <w:rPr>
                  <w:rFonts w:ascii="Arial" w:cs="Arial" w:eastAsia="Arial" w:hAnsi="Arial"/>
                  <w:sz w:val="11"/>
                  <w:szCs w:val="11"/>
                  <w:color w:val="0000FF"/>
                </w:rPr>
                <w:t xml:space="preserve">as administrative agent </w:t>
              </w:r>
              <w:r>
                <w:rPr>
                  <w:rFonts w:ascii="Arial" w:cs="Arial" w:eastAsia="Arial" w:hAnsi="Arial"/>
                  <w:sz w:val="11"/>
                  <w:szCs w:val="11"/>
                  <w:color w:val="000000"/>
                </w:rPr>
                <w:t>(incorporated herein by reference to Exhibit 10.1 to our Form 8-K filed on March 20, 2020)</w:t>
              </w:r>
            </w:hyperlink>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5"/>
              </w:rPr>
              <w:t>10.8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w w:val="95"/>
              </w:rPr>
            </w:pPr>
            <w:hyperlink r:id="rId103">
              <w:r>
                <w:rPr>
                  <w:rFonts w:ascii="Arial" w:cs="Arial" w:eastAsia="Arial" w:hAnsi="Arial"/>
                  <w:sz w:val="12"/>
                  <w:szCs w:val="12"/>
                  <w:color w:val="0000FF"/>
                  <w:w w:val="95"/>
                </w:rPr>
                <w:t>Joinder Agreement, dated as of March 20, 2020, to the Company's Credit Agreement, dated as of May 24, 2018, by and among the Company, JPMorgan Chase Bank, N.A. as administrative agent, and</w:t>
              </w:r>
            </w:hyperlink>
          </w:p>
        </w:tc>
        <w:tc>
          <w:tcPr>
            <w:tcW w:w="0" w:type="dxa"/>
            <w:vAlign w:val="bottom"/>
          </w:tcPr>
          <w:p>
            <w:pPr>
              <w:spacing w:after="0"/>
              <w:rPr>
                <w:sz w:val="1"/>
                <w:szCs w:val="1"/>
                <w:color w:val="auto"/>
              </w:rPr>
            </w:pPr>
          </w:p>
        </w:tc>
      </w:tr>
      <w:tr>
        <w:trPr>
          <w:trHeight w:val="97"/>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0" w:type="dxa"/>
            <w:vAlign w:val="bottom"/>
            <w:tcBorders>
              <w:top w:val="single" w:sz="8" w:color="0000FF"/>
            </w:tcBorders>
            <w:gridSpan w:val="22"/>
          </w:tcPr>
          <w:p>
            <w:pPr>
              <w:spacing w:after="0" w:line="97" w:lineRule="exact"/>
              <w:rPr>
                <w:rFonts w:ascii="Arial" w:cs="Arial" w:eastAsia="Arial" w:hAnsi="Arial"/>
                <w:sz w:val="11"/>
                <w:szCs w:val="11"/>
                <w:color w:val="0000FF"/>
              </w:rPr>
            </w:pPr>
            <w:hyperlink r:id="rId103">
              <w:r>
                <w:rPr>
                  <w:rFonts w:ascii="Arial" w:cs="Arial" w:eastAsia="Arial" w:hAnsi="Arial"/>
                  <w:sz w:val="11"/>
                  <w:szCs w:val="11"/>
                  <w:color w:val="0000FF"/>
                </w:rPr>
                <w:t xml:space="preserve">Citibank, N.A. </w:t>
              </w:r>
              <w:r>
                <w:rPr>
                  <w:rFonts w:ascii="Arial" w:cs="Arial" w:eastAsia="Arial" w:hAnsi="Arial"/>
                  <w:sz w:val="11"/>
                  <w:szCs w:val="11"/>
                  <w:color w:val="000000"/>
                </w:rPr>
                <w:t>(incorporated herein by reference to Exhibit 10.2 to our Form 8-K, filed on March 20, 2020)</w:t>
              </w:r>
            </w:hyperlink>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92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5"/>
              </w:rPr>
              <w:t>10.9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4"/>
          </w:tcPr>
          <w:p>
            <w:pPr>
              <w:spacing w:after="0" w:line="133" w:lineRule="exact"/>
              <w:rPr>
                <w:rFonts w:ascii="Arial" w:cs="Arial" w:eastAsia="Arial" w:hAnsi="Arial"/>
                <w:sz w:val="12"/>
                <w:szCs w:val="12"/>
                <w:color w:val="0000FF"/>
                <w:w w:val="95"/>
              </w:rPr>
            </w:pPr>
            <w:hyperlink r:id="rId104">
              <w:r>
                <w:rPr>
                  <w:rFonts w:ascii="Arial" w:cs="Arial" w:eastAsia="Arial" w:hAnsi="Arial"/>
                  <w:sz w:val="12"/>
                  <w:szCs w:val="12"/>
                  <w:color w:val="0000FF"/>
                  <w:w w:val="95"/>
                </w:rPr>
                <w:t>Amendment No. 1, dated as of May 6, 2020, to the Company's Credit Agreement, dated as of May 24, 2018, by and among the Company, the lender parties thereto and JPMorgan Chase Bank, N.A. as</w:t>
              </w:r>
            </w:hyperlink>
          </w:p>
        </w:tc>
        <w:tc>
          <w:tcPr>
            <w:tcW w:w="0" w:type="dxa"/>
            <w:vAlign w:val="bottom"/>
          </w:tcPr>
          <w:p>
            <w:pPr>
              <w:spacing w:after="0"/>
              <w:rPr>
                <w:sz w:val="1"/>
                <w:szCs w:val="1"/>
                <w:color w:val="auto"/>
              </w:rPr>
            </w:pPr>
          </w:p>
        </w:tc>
      </w:tr>
      <w:tr>
        <w:trPr>
          <w:trHeight w:val="97"/>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920" w:type="dxa"/>
            <w:vAlign w:val="bottom"/>
            <w:tcBorders>
              <w:top w:val="single" w:sz="8" w:color="0000FF"/>
            </w:tcBorders>
            <w:gridSpan w:val="18"/>
          </w:tcPr>
          <w:p>
            <w:pPr>
              <w:spacing w:after="0" w:line="97" w:lineRule="exact"/>
              <w:rPr>
                <w:rFonts w:ascii="Arial" w:cs="Arial" w:eastAsia="Arial" w:hAnsi="Arial"/>
                <w:sz w:val="11"/>
                <w:szCs w:val="11"/>
                <w:color w:val="0000FF"/>
              </w:rPr>
            </w:pPr>
            <w:hyperlink r:id="rId104">
              <w:r>
                <w:rPr>
                  <w:rFonts w:ascii="Arial" w:cs="Arial" w:eastAsia="Arial" w:hAnsi="Arial"/>
                  <w:sz w:val="11"/>
                  <w:szCs w:val="11"/>
                  <w:color w:val="0000FF"/>
                </w:rPr>
                <w:t xml:space="preserve">administrative agent </w:t>
              </w:r>
              <w:r>
                <w:rPr>
                  <w:rFonts w:ascii="Arial" w:cs="Arial" w:eastAsia="Arial" w:hAnsi="Arial"/>
                  <w:sz w:val="11"/>
                  <w:szCs w:val="11"/>
                  <w:color w:val="000000"/>
                </w:rPr>
                <w:t>(incorporated herein by reference to Exhibit 10.1 to our Form 8-K filed on May 6, 2020)</w:t>
              </w:r>
            </w:hyperlink>
          </w:p>
        </w:tc>
        <w:tc>
          <w:tcPr>
            <w:tcW w:w="40" w:type="dxa"/>
            <w:vAlign w:val="bottom"/>
            <w:gridSpan w:val="2"/>
          </w:tcPr>
          <w:p>
            <w:pPr>
              <w:spacing w:after="0"/>
              <w:rPr>
                <w:sz w:val="8"/>
                <w:szCs w:val="8"/>
                <w:color w:val="auto"/>
              </w:rPr>
            </w:pPr>
          </w:p>
        </w:tc>
        <w:tc>
          <w:tcPr>
            <w:tcW w:w="2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3"/>
              </w:rPr>
              <w:t>10.10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960" w:type="dxa"/>
            <w:vAlign w:val="bottom"/>
            <w:gridSpan w:val="1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bottom w:val="single" w:sz="8" w:color="0000FF"/>
            </w:tcBorders>
            <w:gridSpan w:val="20"/>
          </w:tcPr>
          <w:p>
            <w:pPr>
              <w:spacing w:after="0"/>
              <w:rPr>
                <w:rFonts w:ascii="Arial" w:cs="Arial" w:eastAsia="Arial" w:hAnsi="Arial"/>
                <w:sz w:val="12"/>
                <w:szCs w:val="12"/>
                <w:color w:val="0000FF"/>
                <w:w w:val="92"/>
              </w:rPr>
            </w:pPr>
            <w:hyperlink r:id="rId105">
              <w:r>
                <w:rPr>
                  <w:rFonts w:ascii="Arial" w:cs="Arial" w:eastAsia="Arial" w:hAnsi="Arial"/>
                  <w:sz w:val="12"/>
                  <w:szCs w:val="12"/>
                  <w:color w:val="0000FF"/>
                  <w:w w:val="92"/>
                </w:rPr>
                <w:t>Joinder Agreement, dated as of October 29, 2020, to the Company’s Credit Agreement, dated as of May 24, 2018, by and among the Company, JPMorgan Chase Bank, N.A. as administrative agent, and</w:t>
              </w:r>
            </w:hyperlink>
          </w:p>
        </w:tc>
        <w:tc>
          <w:tcPr>
            <w:tcW w:w="2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4"/>
          </w:tcPr>
          <w:p>
            <w:pPr>
              <w:spacing w:after="0" w:line="115" w:lineRule="exact"/>
              <w:rPr>
                <w:rFonts w:ascii="Arial" w:cs="Arial" w:eastAsia="Arial" w:hAnsi="Arial"/>
                <w:sz w:val="12"/>
                <w:szCs w:val="12"/>
                <w:color w:val="0000FF"/>
              </w:rPr>
            </w:pPr>
            <w:hyperlink r:id="rId105">
              <w:r>
                <w:rPr>
                  <w:rFonts w:ascii="Arial" w:cs="Arial" w:eastAsia="Arial" w:hAnsi="Arial"/>
                  <w:sz w:val="12"/>
                  <w:szCs w:val="12"/>
                  <w:color w:val="0000FF"/>
                </w:rPr>
                <w:t xml:space="preserve">Citibank, N.A. </w:t>
              </w:r>
              <w:r>
                <w:rPr>
                  <w:rFonts w:ascii="Arial" w:cs="Arial" w:eastAsia="Arial" w:hAnsi="Arial"/>
                  <w:sz w:val="12"/>
                  <w:szCs w:val="12"/>
                  <w:color w:val="000000"/>
                </w:rPr>
                <w:t>(incorporated herein by reference to Exhibit 10.20 to our Form 10-Q filed on November 5, 2020).</w:t>
              </w:r>
            </w:hyperlink>
          </w:p>
        </w:tc>
        <w:tc>
          <w:tcPr>
            <w:tcW w:w="0" w:type="dxa"/>
            <w:vAlign w:val="bottom"/>
          </w:tcPr>
          <w:p>
            <w:pPr>
              <w:spacing w:after="0"/>
              <w:rPr>
                <w:sz w:val="1"/>
                <w:szCs w:val="1"/>
                <w:color w:val="auto"/>
              </w:rPr>
            </w:pPr>
          </w:p>
        </w:tc>
      </w:tr>
      <w:tr>
        <w:trPr>
          <w:trHeight w:val="781"/>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740" w:type="dxa"/>
            <w:vAlign w:val="bottom"/>
            <w:gridSpan w:val="11"/>
          </w:tcPr>
          <w:p>
            <w:pPr>
              <w:jc w:val="right"/>
              <w:ind w:right="820"/>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38"/>
        </w:trPr>
        <w:tc>
          <w:tcPr>
            <w:tcW w:w="800" w:type="dxa"/>
            <w:vAlign w:val="bottom"/>
          </w:tcPr>
          <w:p>
            <w:pPr>
              <w:jc w:val="center"/>
              <w:ind w:right="380"/>
              <w:spacing w:after="0"/>
              <w:rPr>
                <w:sz w:val="20"/>
                <w:szCs w:val="20"/>
                <w:color w:val="auto"/>
              </w:rPr>
            </w:pPr>
            <w:r>
              <w:rPr>
                <w:rFonts w:ascii="Arial" w:cs="Arial" w:eastAsia="Arial" w:hAnsi="Arial"/>
                <w:sz w:val="12"/>
                <w:szCs w:val="12"/>
                <w:color w:val="auto"/>
                <w:w w:val="93"/>
              </w:rPr>
              <w:t>10.11</w:t>
            </w:r>
          </w:p>
        </w:tc>
        <w:tc>
          <w:tcPr>
            <w:tcW w:w="9900" w:type="dxa"/>
            <w:vAlign w:val="bottom"/>
            <w:gridSpan w:val="20"/>
          </w:tcPr>
          <w:p>
            <w:pPr>
              <w:spacing w:after="0"/>
              <w:rPr>
                <w:rFonts w:ascii="Arial" w:cs="Arial" w:eastAsia="Arial" w:hAnsi="Arial"/>
                <w:sz w:val="12"/>
                <w:szCs w:val="12"/>
                <w:color w:val="0000FF"/>
                <w:w w:val="91"/>
              </w:rPr>
            </w:pPr>
            <w:hyperlink r:id="rId108">
              <w:r>
                <w:rPr>
                  <w:rFonts w:ascii="Arial" w:cs="Arial" w:eastAsia="Arial" w:hAnsi="Arial"/>
                  <w:sz w:val="12"/>
                  <w:szCs w:val="12"/>
                  <w:color w:val="0000FF"/>
                  <w:w w:val="91"/>
                </w:rPr>
                <w:t xml:space="preserve">Amended and Restated Credit Agreement, dated as of November 29, 2021, by and among the Company, the lender parties thereto and JPMorgan Chase Bank, N.A., as administrative agent </w:t>
              </w:r>
            </w:hyperlink>
            <w:r>
              <w:rPr>
                <w:rFonts w:ascii="Arial" w:cs="Arial" w:eastAsia="Arial" w:hAnsi="Arial"/>
                <w:sz w:val="12"/>
                <w:szCs w:val="12"/>
                <w:color w:val="000000"/>
                <w:w w:val="91"/>
              </w:rPr>
              <w:t>(incorporated</w:t>
            </w:r>
          </w:p>
        </w:tc>
      </w:tr>
      <w:tr>
        <w:trPr>
          <w:trHeight w:val="124"/>
        </w:trPr>
        <w:tc>
          <w:tcPr>
            <w:tcW w:w="800" w:type="dxa"/>
            <w:vAlign w:val="bottom"/>
          </w:tcPr>
          <w:p>
            <w:pPr>
              <w:spacing w:after="0"/>
              <w:rPr>
                <w:sz w:val="10"/>
                <w:szCs w:val="10"/>
                <w:color w:val="auto"/>
              </w:rPr>
            </w:pPr>
          </w:p>
        </w:tc>
        <w:tc>
          <w:tcPr>
            <w:tcW w:w="8120" w:type="dxa"/>
            <w:vAlign w:val="bottom"/>
            <w:tcBorders>
              <w:top w:val="single" w:sz="8" w:color="0000FF"/>
            </w:tcBorders>
            <w:gridSpan w:val="18"/>
          </w:tcPr>
          <w:p>
            <w:pPr>
              <w:spacing w:after="0" w:line="124" w:lineRule="exact"/>
              <w:rPr>
                <w:sz w:val="20"/>
                <w:szCs w:val="20"/>
                <w:color w:val="auto"/>
              </w:rPr>
            </w:pPr>
            <w:r>
              <w:rPr>
                <w:rFonts w:ascii="Arial" w:cs="Arial" w:eastAsia="Arial" w:hAnsi="Arial"/>
                <w:sz w:val="12"/>
                <w:szCs w:val="12"/>
                <w:color w:val="auto"/>
              </w:rPr>
              <w:t>herein by reference to Exhibit 10.1 to our Form 8-K filed on November 30, 2021)</w:t>
            </w:r>
          </w:p>
        </w:tc>
        <w:tc>
          <w:tcPr>
            <w:tcW w:w="1100" w:type="dxa"/>
            <w:vAlign w:val="bottom"/>
            <w:tcBorders>
              <w:top w:val="single" w:sz="8" w:color="0000FF"/>
            </w:tcBorders>
          </w:tcPr>
          <w:p>
            <w:pPr>
              <w:spacing w:after="0"/>
              <w:rPr>
                <w:sz w:val="10"/>
                <w:szCs w:val="10"/>
                <w:color w:val="auto"/>
              </w:rPr>
            </w:pPr>
          </w:p>
        </w:tc>
        <w:tc>
          <w:tcPr>
            <w:tcW w:w="68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10.12 ~</w:t>
            </w:r>
          </w:p>
        </w:tc>
        <w:tc>
          <w:tcPr>
            <w:tcW w:w="9900" w:type="dxa"/>
            <w:vAlign w:val="bottom"/>
            <w:gridSpan w:val="20"/>
          </w:tcPr>
          <w:p>
            <w:pPr>
              <w:spacing w:after="0" w:line="126" w:lineRule="exact"/>
              <w:rPr>
                <w:rFonts w:ascii="Arial" w:cs="Arial" w:eastAsia="Arial" w:hAnsi="Arial"/>
                <w:sz w:val="12"/>
                <w:szCs w:val="12"/>
                <w:color w:val="0000FF"/>
              </w:rPr>
            </w:pPr>
            <w:hyperlink r:id="rId109">
              <w:r>
                <w:rPr>
                  <w:rFonts w:ascii="Arial" w:cs="Arial" w:eastAsia="Arial" w:hAnsi="Arial"/>
                  <w:sz w:val="12"/>
                  <w:szCs w:val="12"/>
                  <w:color w:val="0000FF"/>
                </w:rPr>
                <w:t xml:space="preserve">NMI Holdings, Inc. Amended and Restated 2014 Omnibus Incentive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Appendix A to our 2017 Annual Proxy Statement, filed on March 30, 2017)</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10.13 ~</w:t>
            </w:r>
          </w:p>
        </w:tc>
        <w:tc>
          <w:tcPr>
            <w:tcW w:w="9900" w:type="dxa"/>
            <w:vAlign w:val="bottom"/>
            <w:gridSpan w:val="20"/>
          </w:tcPr>
          <w:p>
            <w:pPr>
              <w:spacing w:after="0" w:line="133" w:lineRule="exact"/>
              <w:rPr>
                <w:rFonts w:ascii="Arial" w:cs="Arial" w:eastAsia="Arial" w:hAnsi="Arial"/>
                <w:sz w:val="12"/>
                <w:szCs w:val="12"/>
                <w:color w:val="0000FF"/>
                <w:w w:val="92"/>
              </w:rPr>
            </w:pPr>
            <w:hyperlink r:id="rId110">
              <w:r>
                <w:rPr>
                  <w:rFonts w:ascii="Arial" w:cs="Arial" w:eastAsia="Arial" w:hAnsi="Arial"/>
                  <w:sz w:val="12"/>
                  <w:szCs w:val="12"/>
                  <w:color w:val="0000FF"/>
                  <w:w w:val="92"/>
                </w:rPr>
                <w:t xml:space="preserve">Form of NMI Holdings, Inc. Amended and Restated 2014 Omnibus Incentive Plan Restricted Stock Unit Award Agreement for Chief Executive Officer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10.19 to</w:t>
            </w:r>
          </w:p>
        </w:tc>
      </w:tr>
      <w:tr>
        <w:trPr>
          <w:trHeight w:val="124"/>
        </w:trPr>
        <w:tc>
          <w:tcPr>
            <w:tcW w:w="800" w:type="dxa"/>
            <w:vAlign w:val="bottom"/>
          </w:tcPr>
          <w:p>
            <w:pPr>
              <w:spacing w:after="0"/>
              <w:rPr>
                <w:sz w:val="10"/>
                <w:szCs w:val="10"/>
                <w:color w:val="auto"/>
              </w:rPr>
            </w:pPr>
          </w:p>
        </w:tc>
        <w:tc>
          <w:tcPr>
            <w:tcW w:w="7320" w:type="dxa"/>
            <w:vAlign w:val="bottom"/>
            <w:tcBorders>
              <w:top w:val="single" w:sz="8" w:color="0000FF"/>
            </w:tcBorders>
            <w:gridSpan w:val="16"/>
          </w:tcPr>
          <w:p>
            <w:pPr>
              <w:spacing w:after="0" w:line="124" w:lineRule="exact"/>
              <w:rPr>
                <w:sz w:val="20"/>
                <w:szCs w:val="20"/>
                <w:color w:val="auto"/>
              </w:rPr>
            </w:pPr>
            <w:r>
              <w:rPr>
                <w:rFonts w:ascii="Arial" w:cs="Arial" w:eastAsia="Arial" w:hAnsi="Arial"/>
                <w:sz w:val="12"/>
                <w:szCs w:val="12"/>
                <w:color w:val="auto"/>
              </w:rPr>
              <w:t>our Form 10-Q filed on August 1, 2017)</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10.14 ~</w:t>
            </w:r>
          </w:p>
        </w:tc>
        <w:tc>
          <w:tcPr>
            <w:tcW w:w="9900" w:type="dxa"/>
            <w:vAlign w:val="bottom"/>
            <w:gridSpan w:val="20"/>
          </w:tcPr>
          <w:p>
            <w:pPr>
              <w:spacing w:after="0" w:line="126" w:lineRule="exact"/>
              <w:rPr>
                <w:rFonts w:ascii="Arial" w:cs="Arial" w:eastAsia="Arial" w:hAnsi="Arial"/>
                <w:sz w:val="12"/>
                <w:szCs w:val="12"/>
                <w:color w:val="0000FF"/>
                <w:w w:val="92"/>
              </w:rPr>
            </w:pPr>
            <w:hyperlink r:id="rId111">
              <w:r>
                <w:rPr>
                  <w:rFonts w:ascii="Arial" w:cs="Arial" w:eastAsia="Arial" w:hAnsi="Arial"/>
                  <w:sz w:val="12"/>
                  <w:szCs w:val="12"/>
                  <w:color w:val="0000FF"/>
                  <w:w w:val="92"/>
                </w:rPr>
                <w:t xml:space="preserve">Form of NMI Holdings, Inc. Amended and Restated 2014 Omnibus Incentive Plan Restricted Stock Unit Award Agreement for Executive Officers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10.20 to our</w:t>
            </w:r>
          </w:p>
        </w:tc>
      </w:tr>
      <w:tr>
        <w:trPr>
          <w:trHeight w:val="124"/>
        </w:trPr>
        <w:tc>
          <w:tcPr>
            <w:tcW w:w="800" w:type="dxa"/>
            <w:vAlign w:val="bottom"/>
          </w:tcPr>
          <w:p>
            <w:pPr>
              <w:spacing w:after="0"/>
              <w:rPr>
                <w:sz w:val="10"/>
                <w:szCs w:val="10"/>
                <w:color w:val="auto"/>
              </w:rPr>
            </w:pPr>
          </w:p>
        </w:tc>
        <w:tc>
          <w:tcPr>
            <w:tcW w:w="7120" w:type="dxa"/>
            <w:vAlign w:val="bottom"/>
            <w:tcBorders>
              <w:top w:val="single" w:sz="8" w:color="0000FF"/>
            </w:tcBorders>
            <w:gridSpan w:val="13"/>
          </w:tcPr>
          <w:p>
            <w:pPr>
              <w:spacing w:after="0" w:line="124" w:lineRule="exact"/>
              <w:rPr>
                <w:sz w:val="20"/>
                <w:szCs w:val="20"/>
                <w:color w:val="auto"/>
              </w:rPr>
            </w:pPr>
            <w:r>
              <w:rPr>
                <w:rFonts w:ascii="Arial" w:cs="Arial" w:eastAsia="Arial" w:hAnsi="Arial"/>
                <w:sz w:val="12"/>
                <w:szCs w:val="12"/>
                <w:color w:val="auto"/>
              </w:rPr>
              <w:t>Form 10-Q filed on August 1, 2017)</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10.15 ~</w:t>
            </w:r>
          </w:p>
        </w:tc>
        <w:tc>
          <w:tcPr>
            <w:tcW w:w="9900" w:type="dxa"/>
            <w:vAlign w:val="bottom"/>
            <w:gridSpan w:val="20"/>
          </w:tcPr>
          <w:p>
            <w:pPr>
              <w:spacing w:after="0" w:line="126" w:lineRule="exact"/>
              <w:rPr>
                <w:rFonts w:ascii="Arial" w:cs="Arial" w:eastAsia="Arial" w:hAnsi="Arial"/>
                <w:sz w:val="12"/>
                <w:szCs w:val="12"/>
                <w:color w:val="0000FF"/>
                <w:w w:val="91"/>
              </w:rPr>
            </w:pPr>
            <w:hyperlink r:id="rId112">
              <w:r>
                <w:rPr>
                  <w:rFonts w:ascii="Arial" w:cs="Arial" w:eastAsia="Arial" w:hAnsi="Arial"/>
                  <w:sz w:val="12"/>
                  <w:szCs w:val="12"/>
                  <w:color w:val="0000FF"/>
                  <w:w w:val="91"/>
                </w:rPr>
                <w:t xml:space="preserve">Form of NMI Holdings, Inc. Amended and Restated 2014 Omnibus Incentive Plan Restricted Stock Unit Award Agreement for Employees </w:t>
              </w:r>
            </w:hyperlink>
            <w:r>
              <w:rPr>
                <w:rFonts w:ascii="Arial" w:cs="Arial" w:eastAsia="Arial" w:hAnsi="Arial"/>
                <w:sz w:val="12"/>
                <w:szCs w:val="12"/>
                <w:color w:val="000000"/>
                <w:w w:val="91"/>
              </w:rPr>
              <w:t>(incorporated</w:t>
            </w:r>
            <w:r>
              <w:rPr>
                <w:rFonts w:ascii="Arial" w:cs="Arial" w:eastAsia="Arial" w:hAnsi="Arial"/>
                <w:sz w:val="12"/>
                <w:szCs w:val="12"/>
                <w:color w:val="0000FF"/>
                <w:w w:val="91"/>
              </w:rPr>
              <w:t xml:space="preserve"> </w:t>
            </w:r>
            <w:r>
              <w:rPr>
                <w:rFonts w:ascii="Arial" w:cs="Arial" w:eastAsia="Arial" w:hAnsi="Arial"/>
                <w:sz w:val="12"/>
                <w:szCs w:val="12"/>
                <w:color w:val="000000"/>
                <w:w w:val="91"/>
              </w:rPr>
              <w:t>herein by reference to Exhibit 10.21 to our Form 10-</w:t>
            </w:r>
          </w:p>
        </w:tc>
      </w:tr>
      <w:tr>
        <w:trPr>
          <w:trHeight w:val="124"/>
        </w:trPr>
        <w:tc>
          <w:tcPr>
            <w:tcW w:w="800" w:type="dxa"/>
            <w:vAlign w:val="bottom"/>
          </w:tcPr>
          <w:p>
            <w:pPr>
              <w:spacing w:after="0"/>
              <w:rPr>
                <w:sz w:val="10"/>
                <w:szCs w:val="10"/>
                <w:color w:val="auto"/>
              </w:rPr>
            </w:pPr>
          </w:p>
        </w:tc>
        <w:tc>
          <w:tcPr>
            <w:tcW w:w="672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Q filed on August 1, 2017)</w:t>
            </w:r>
          </w:p>
        </w:tc>
        <w:tc>
          <w:tcPr>
            <w:tcW w:w="3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10.16 ~</w:t>
            </w:r>
          </w:p>
        </w:tc>
        <w:tc>
          <w:tcPr>
            <w:tcW w:w="9900" w:type="dxa"/>
            <w:vAlign w:val="bottom"/>
            <w:gridSpan w:val="20"/>
          </w:tcPr>
          <w:p>
            <w:pPr>
              <w:spacing w:after="0" w:line="126" w:lineRule="exact"/>
              <w:rPr>
                <w:rFonts w:ascii="Arial" w:cs="Arial" w:eastAsia="Arial" w:hAnsi="Arial"/>
                <w:sz w:val="12"/>
                <w:szCs w:val="12"/>
                <w:color w:val="0000FF"/>
                <w:w w:val="92"/>
              </w:rPr>
            </w:pPr>
            <w:hyperlink r:id="rId113">
              <w:r>
                <w:rPr>
                  <w:rFonts w:ascii="Arial" w:cs="Arial" w:eastAsia="Arial" w:hAnsi="Arial"/>
                  <w:sz w:val="12"/>
                  <w:szCs w:val="12"/>
                  <w:color w:val="0000FF"/>
                  <w:w w:val="92"/>
                </w:rPr>
                <w:t xml:space="preserve">Form of NMI Holdings, Inc. Amended and Restated 2014 Omnibus Incentive Plan Restricted Stock Unit Award Agreement for Independent Directors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10.22 to</w:t>
            </w:r>
          </w:p>
        </w:tc>
      </w:tr>
      <w:tr>
        <w:trPr>
          <w:trHeight w:val="124"/>
        </w:trPr>
        <w:tc>
          <w:tcPr>
            <w:tcW w:w="800" w:type="dxa"/>
            <w:vAlign w:val="bottom"/>
          </w:tcPr>
          <w:p>
            <w:pPr>
              <w:spacing w:after="0"/>
              <w:rPr>
                <w:sz w:val="10"/>
                <w:szCs w:val="10"/>
                <w:color w:val="auto"/>
              </w:rPr>
            </w:pPr>
          </w:p>
        </w:tc>
        <w:tc>
          <w:tcPr>
            <w:tcW w:w="730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our Form 10-Q filed on August 1, 2017)</w:t>
            </w:r>
          </w:p>
        </w:tc>
        <w:tc>
          <w:tcPr>
            <w:tcW w:w="4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10.17 ~</w:t>
            </w:r>
          </w:p>
        </w:tc>
        <w:tc>
          <w:tcPr>
            <w:tcW w:w="9900" w:type="dxa"/>
            <w:vAlign w:val="bottom"/>
            <w:gridSpan w:val="20"/>
          </w:tcPr>
          <w:p>
            <w:pPr>
              <w:spacing w:after="0" w:line="126" w:lineRule="exact"/>
              <w:rPr>
                <w:rFonts w:ascii="Arial" w:cs="Arial" w:eastAsia="Arial" w:hAnsi="Arial"/>
                <w:sz w:val="12"/>
                <w:szCs w:val="12"/>
                <w:color w:val="0000FF"/>
                <w:w w:val="94"/>
              </w:rPr>
            </w:pPr>
            <w:hyperlink r:id="rId114">
              <w:r>
                <w:rPr>
                  <w:rFonts w:ascii="Arial" w:cs="Arial" w:eastAsia="Arial" w:hAnsi="Arial"/>
                  <w:sz w:val="12"/>
                  <w:szCs w:val="12"/>
                  <w:color w:val="0000FF"/>
                  <w:w w:val="94"/>
                </w:rPr>
                <w:t xml:space="preserve">Form of NMI Holdings, Inc. Amended and Restated 2014 Omnibus Incentive Plan Nonqualified Stock Option Award Agreement for Chief Executive Officer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w:t>
            </w:r>
          </w:p>
        </w:tc>
      </w:tr>
      <w:tr>
        <w:trPr>
          <w:trHeight w:val="124"/>
        </w:trPr>
        <w:tc>
          <w:tcPr>
            <w:tcW w:w="800" w:type="dxa"/>
            <w:vAlign w:val="bottom"/>
          </w:tcPr>
          <w:p>
            <w:pPr>
              <w:spacing w:after="0"/>
              <w:rPr>
                <w:sz w:val="10"/>
                <w:szCs w:val="10"/>
                <w:color w:val="auto"/>
              </w:rPr>
            </w:pPr>
          </w:p>
        </w:tc>
        <w:tc>
          <w:tcPr>
            <w:tcW w:w="7740" w:type="dxa"/>
            <w:vAlign w:val="bottom"/>
            <w:tcBorders>
              <w:top w:val="single" w:sz="8" w:color="0000FF"/>
            </w:tcBorders>
            <w:gridSpan w:val="17"/>
          </w:tcPr>
          <w:p>
            <w:pPr>
              <w:spacing w:after="0" w:line="124" w:lineRule="exact"/>
              <w:rPr>
                <w:sz w:val="20"/>
                <w:szCs w:val="20"/>
                <w:color w:val="auto"/>
              </w:rPr>
            </w:pPr>
            <w:r>
              <w:rPr>
                <w:rFonts w:ascii="Arial" w:cs="Arial" w:eastAsia="Arial" w:hAnsi="Arial"/>
                <w:sz w:val="12"/>
                <w:szCs w:val="12"/>
                <w:color w:val="auto"/>
              </w:rPr>
              <w:t>10.23 to our Form 10-Q filed on August 1, 2017)</w:t>
            </w:r>
          </w:p>
        </w:tc>
        <w:tc>
          <w:tcPr>
            <w:tcW w:w="380" w:type="dxa"/>
            <w:vAlign w:val="bottom"/>
          </w:tcPr>
          <w:p>
            <w:pPr>
              <w:spacing w:after="0"/>
              <w:rPr>
                <w:sz w:val="10"/>
                <w:szCs w:val="10"/>
                <w:color w:val="auto"/>
              </w:rPr>
            </w:pPr>
          </w:p>
        </w:tc>
        <w:tc>
          <w:tcPr>
            <w:tcW w:w="178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10.18 ~</w:t>
            </w:r>
          </w:p>
        </w:tc>
        <w:tc>
          <w:tcPr>
            <w:tcW w:w="9900" w:type="dxa"/>
            <w:vAlign w:val="bottom"/>
            <w:gridSpan w:val="20"/>
          </w:tcPr>
          <w:p>
            <w:pPr>
              <w:spacing w:after="0" w:line="126" w:lineRule="exact"/>
              <w:rPr>
                <w:rFonts w:ascii="Arial" w:cs="Arial" w:eastAsia="Arial" w:hAnsi="Arial"/>
                <w:sz w:val="12"/>
                <w:szCs w:val="12"/>
                <w:color w:val="0000FF"/>
                <w:w w:val="92"/>
              </w:rPr>
            </w:pPr>
            <w:hyperlink r:id="rId115">
              <w:r>
                <w:rPr>
                  <w:rFonts w:ascii="Arial" w:cs="Arial" w:eastAsia="Arial" w:hAnsi="Arial"/>
                  <w:sz w:val="12"/>
                  <w:szCs w:val="12"/>
                  <w:color w:val="0000FF"/>
                  <w:w w:val="92"/>
                </w:rPr>
                <w:t xml:space="preserve">Form of NMI Holdings, Inc. Amended and Restated 2014 Omnibus Incentive Plan Nonqualified Stock Option Award Agreement for Executive Officers and Employees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w:t>
            </w:r>
          </w:p>
        </w:tc>
      </w:tr>
      <w:tr>
        <w:trPr>
          <w:trHeight w:val="124"/>
        </w:trPr>
        <w:tc>
          <w:tcPr>
            <w:tcW w:w="800" w:type="dxa"/>
            <w:vAlign w:val="bottom"/>
          </w:tcPr>
          <w:p>
            <w:pPr>
              <w:spacing w:after="0"/>
              <w:rPr>
                <w:sz w:val="10"/>
                <w:szCs w:val="10"/>
                <w:color w:val="auto"/>
              </w:rPr>
            </w:pPr>
          </w:p>
        </w:tc>
        <w:tc>
          <w:tcPr>
            <w:tcW w:w="8120" w:type="dxa"/>
            <w:vAlign w:val="bottom"/>
            <w:tcBorders>
              <w:top w:val="single" w:sz="8" w:color="0000FF"/>
            </w:tcBorders>
            <w:gridSpan w:val="18"/>
          </w:tcPr>
          <w:p>
            <w:pPr>
              <w:spacing w:after="0" w:line="124" w:lineRule="exact"/>
              <w:rPr>
                <w:sz w:val="20"/>
                <w:szCs w:val="20"/>
                <w:color w:val="auto"/>
              </w:rPr>
            </w:pPr>
            <w:r>
              <w:rPr>
                <w:rFonts w:ascii="Arial" w:cs="Arial" w:eastAsia="Arial" w:hAnsi="Arial"/>
                <w:sz w:val="12"/>
                <w:szCs w:val="12"/>
                <w:color w:val="auto"/>
              </w:rPr>
              <w:t>Exhibit 10.24 to our Form 10-Q filed on August 1, 2017)</w:t>
            </w:r>
          </w:p>
        </w:tc>
        <w:tc>
          <w:tcPr>
            <w:tcW w:w="178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10.19 ~</w:t>
            </w:r>
          </w:p>
        </w:tc>
        <w:tc>
          <w:tcPr>
            <w:tcW w:w="9900" w:type="dxa"/>
            <w:vAlign w:val="bottom"/>
            <w:gridSpan w:val="20"/>
          </w:tcPr>
          <w:p>
            <w:pPr>
              <w:spacing w:after="0" w:line="126" w:lineRule="exact"/>
              <w:rPr>
                <w:rFonts w:ascii="Arial" w:cs="Arial" w:eastAsia="Arial" w:hAnsi="Arial"/>
                <w:sz w:val="12"/>
                <w:szCs w:val="12"/>
                <w:color w:val="0000FF"/>
                <w:w w:val="92"/>
              </w:rPr>
            </w:pPr>
            <w:hyperlink r:id="rId116">
              <w:r>
                <w:rPr>
                  <w:rFonts w:ascii="Arial" w:cs="Arial" w:eastAsia="Arial" w:hAnsi="Arial"/>
                  <w:sz w:val="12"/>
                  <w:szCs w:val="12"/>
                  <w:color w:val="0000FF"/>
                  <w:w w:val="92"/>
                </w:rPr>
                <w:t xml:space="preserve">Form of NMI Holdings, Inc. 2014 Omnibus Incentive Plan Performance Based Restricted Stock Unit Award Agreement for Chief Executive Officer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10.26 to our</w:t>
            </w:r>
          </w:p>
        </w:tc>
      </w:tr>
      <w:tr>
        <w:trPr>
          <w:trHeight w:val="124"/>
        </w:trPr>
        <w:tc>
          <w:tcPr>
            <w:tcW w:w="800" w:type="dxa"/>
            <w:vAlign w:val="bottom"/>
          </w:tcPr>
          <w:p>
            <w:pPr>
              <w:spacing w:after="0"/>
              <w:rPr>
                <w:sz w:val="10"/>
                <w:szCs w:val="10"/>
                <w:color w:val="auto"/>
              </w:rPr>
            </w:pPr>
          </w:p>
        </w:tc>
        <w:tc>
          <w:tcPr>
            <w:tcW w:w="714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Form 10-K, filed on February 17, 2017)</w:t>
            </w:r>
          </w:p>
        </w:tc>
        <w:tc>
          <w:tcPr>
            <w:tcW w:w="2760" w:type="dxa"/>
            <w:vAlign w:val="bottom"/>
            <w:gridSpan w:val="6"/>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10.20 ~</w:t>
            </w:r>
          </w:p>
        </w:tc>
        <w:tc>
          <w:tcPr>
            <w:tcW w:w="9900" w:type="dxa"/>
            <w:vAlign w:val="bottom"/>
            <w:gridSpan w:val="20"/>
          </w:tcPr>
          <w:p>
            <w:pPr>
              <w:spacing w:after="0" w:line="126" w:lineRule="exact"/>
              <w:rPr>
                <w:rFonts w:ascii="Arial" w:cs="Arial" w:eastAsia="Arial" w:hAnsi="Arial"/>
                <w:sz w:val="12"/>
                <w:szCs w:val="12"/>
                <w:color w:val="0000FF"/>
              </w:rPr>
            </w:pPr>
            <w:hyperlink r:id="rId117">
              <w:r>
                <w:rPr>
                  <w:rFonts w:ascii="Arial" w:cs="Arial" w:eastAsia="Arial" w:hAnsi="Arial"/>
                  <w:sz w:val="12"/>
                  <w:szCs w:val="12"/>
                  <w:color w:val="0000FF"/>
                </w:rPr>
                <w:t xml:space="preserve">NMI Holdings, Inc. Severance Benefit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17, 2016)</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10.21 ~</w:t>
            </w:r>
          </w:p>
        </w:tc>
        <w:tc>
          <w:tcPr>
            <w:tcW w:w="9900" w:type="dxa"/>
            <w:vAlign w:val="bottom"/>
            <w:gridSpan w:val="20"/>
          </w:tcPr>
          <w:p>
            <w:pPr>
              <w:spacing w:after="0" w:line="133" w:lineRule="exact"/>
              <w:rPr>
                <w:rFonts w:ascii="Arial" w:cs="Arial" w:eastAsia="Arial" w:hAnsi="Arial"/>
                <w:sz w:val="12"/>
                <w:szCs w:val="12"/>
                <w:color w:val="0000FF"/>
              </w:rPr>
            </w:pPr>
            <w:hyperlink r:id="rId118">
              <w:r>
                <w:rPr>
                  <w:rFonts w:ascii="Arial" w:cs="Arial" w:eastAsia="Arial" w:hAnsi="Arial"/>
                  <w:sz w:val="12"/>
                  <w:szCs w:val="12"/>
                  <w:color w:val="0000FF"/>
                </w:rPr>
                <w:t xml:space="preserve">NMI Holdings, Inc. Amended and Restated Change in Control Severance Benefit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10.30 to our Form 10-Q, filed on October 30, 2018)</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10.22 ~</w:t>
            </w:r>
          </w:p>
        </w:tc>
        <w:tc>
          <w:tcPr>
            <w:tcW w:w="9900" w:type="dxa"/>
            <w:vAlign w:val="bottom"/>
            <w:gridSpan w:val="20"/>
          </w:tcPr>
          <w:p>
            <w:pPr>
              <w:spacing w:after="0" w:line="133" w:lineRule="exact"/>
              <w:rPr>
                <w:rFonts w:ascii="Arial" w:cs="Arial" w:eastAsia="Arial" w:hAnsi="Arial"/>
                <w:sz w:val="12"/>
                <w:szCs w:val="12"/>
                <w:color w:val="0000FF"/>
              </w:rPr>
            </w:pPr>
            <w:hyperlink r:id="rId119">
              <w:r>
                <w:rPr>
                  <w:rFonts w:ascii="Arial" w:cs="Arial" w:eastAsia="Arial" w:hAnsi="Arial"/>
                  <w:sz w:val="12"/>
                  <w:szCs w:val="12"/>
                  <w:color w:val="0000FF"/>
                </w:rPr>
                <w:t xml:space="preserve">NMI Holdings, Inc. Clawback Policy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10.2 to our Form 8-K, filed on February 23, 2017)</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10.23 ~</w:t>
            </w:r>
          </w:p>
        </w:tc>
        <w:tc>
          <w:tcPr>
            <w:tcW w:w="9900" w:type="dxa"/>
            <w:vAlign w:val="bottom"/>
            <w:gridSpan w:val="20"/>
          </w:tcPr>
          <w:p>
            <w:pPr>
              <w:spacing w:after="0" w:line="133" w:lineRule="exact"/>
              <w:rPr>
                <w:rFonts w:ascii="Arial" w:cs="Arial" w:eastAsia="Arial" w:hAnsi="Arial"/>
                <w:sz w:val="12"/>
                <w:szCs w:val="12"/>
                <w:color w:val="0000FF"/>
                <w:w w:val="93"/>
              </w:rPr>
            </w:pPr>
            <w:hyperlink r:id="rId120">
              <w:r>
                <w:rPr>
                  <w:rFonts w:ascii="Arial" w:cs="Arial" w:eastAsia="Arial" w:hAnsi="Arial"/>
                  <w:sz w:val="12"/>
                  <w:szCs w:val="12"/>
                  <w:color w:val="0000FF"/>
                  <w:w w:val="93"/>
                </w:rPr>
                <w:t xml:space="preserve">Employment Letter by and between NMI Holdings, Inc. and Bradley M. Shuster, effective as of January 1, 2019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10.1 to our Form 8-K, filed on December 28,</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2018)</w:t>
            </w: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10.24 ~</w:t>
            </w:r>
          </w:p>
        </w:tc>
        <w:tc>
          <w:tcPr>
            <w:tcW w:w="9900" w:type="dxa"/>
            <w:vAlign w:val="bottom"/>
            <w:gridSpan w:val="20"/>
          </w:tcPr>
          <w:p>
            <w:pPr>
              <w:spacing w:after="0" w:line="126" w:lineRule="exact"/>
              <w:rPr>
                <w:rFonts w:ascii="Arial" w:cs="Arial" w:eastAsia="Arial" w:hAnsi="Arial"/>
                <w:sz w:val="12"/>
                <w:szCs w:val="12"/>
                <w:color w:val="0000FF"/>
                <w:w w:val="92"/>
              </w:rPr>
            </w:pPr>
            <w:hyperlink r:id="rId121">
              <w:r>
                <w:rPr>
                  <w:rFonts w:ascii="Arial" w:cs="Arial" w:eastAsia="Arial" w:hAnsi="Arial"/>
                  <w:sz w:val="12"/>
                  <w:szCs w:val="12"/>
                  <w:color w:val="0000FF"/>
                  <w:w w:val="92"/>
                </w:rPr>
                <w:t xml:space="preserve">Form of NMI Holdings, Inc. Amended and Restated 2014 Omnibus Incentive Plan Restricted Stock Unit Award Agreement for Independent Directors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10.33 to</w:t>
            </w:r>
          </w:p>
        </w:tc>
      </w:tr>
      <w:tr>
        <w:trPr>
          <w:trHeight w:val="124"/>
        </w:trPr>
        <w:tc>
          <w:tcPr>
            <w:tcW w:w="800" w:type="dxa"/>
            <w:vAlign w:val="bottom"/>
          </w:tcPr>
          <w:p>
            <w:pPr>
              <w:spacing w:after="0"/>
              <w:rPr>
                <w:sz w:val="10"/>
                <w:szCs w:val="10"/>
                <w:color w:val="auto"/>
              </w:rPr>
            </w:pPr>
          </w:p>
        </w:tc>
        <w:tc>
          <w:tcPr>
            <w:tcW w:w="730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our Form 10-Q, filed on May 2, 2019)</w:t>
            </w:r>
          </w:p>
        </w:tc>
        <w:tc>
          <w:tcPr>
            <w:tcW w:w="2600" w:type="dxa"/>
            <w:vAlign w:val="bottom"/>
            <w:gridSpan w:val="5"/>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10.25 ~</w:t>
            </w:r>
          </w:p>
        </w:tc>
        <w:tc>
          <w:tcPr>
            <w:tcW w:w="9900" w:type="dxa"/>
            <w:vAlign w:val="bottom"/>
            <w:gridSpan w:val="20"/>
          </w:tcPr>
          <w:p>
            <w:pPr>
              <w:spacing w:after="0" w:line="126" w:lineRule="exact"/>
              <w:rPr>
                <w:rFonts w:ascii="Arial" w:cs="Arial" w:eastAsia="Arial" w:hAnsi="Arial"/>
                <w:sz w:val="12"/>
                <w:szCs w:val="12"/>
                <w:color w:val="0000FF"/>
                <w:w w:val="91"/>
              </w:rPr>
            </w:pPr>
            <w:hyperlink r:id="rId122">
              <w:r>
                <w:rPr>
                  <w:rFonts w:ascii="Arial" w:cs="Arial" w:eastAsia="Arial" w:hAnsi="Arial"/>
                  <w:sz w:val="12"/>
                  <w:szCs w:val="12"/>
                  <w:color w:val="0000FF"/>
                  <w:w w:val="91"/>
                </w:rPr>
                <w:t xml:space="preserve">Form of NMI Holdings, Inc. Amended and Restated 2014 Omnibus Incentive Plan Restricted Stock Unit Award Agreement for Employees </w:t>
              </w:r>
            </w:hyperlink>
            <w:r>
              <w:rPr>
                <w:rFonts w:ascii="Arial" w:cs="Arial" w:eastAsia="Arial" w:hAnsi="Arial"/>
                <w:sz w:val="12"/>
                <w:szCs w:val="12"/>
                <w:color w:val="000000"/>
                <w:w w:val="91"/>
              </w:rPr>
              <w:t>(incorporated</w:t>
            </w:r>
            <w:r>
              <w:rPr>
                <w:rFonts w:ascii="Arial" w:cs="Arial" w:eastAsia="Arial" w:hAnsi="Arial"/>
                <w:sz w:val="12"/>
                <w:szCs w:val="12"/>
                <w:color w:val="0000FF"/>
                <w:w w:val="91"/>
              </w:rPr>
              <w:t xml:space="preserve"> </w:t>
            </w:r>
            <w:r>
              <w:rPr>
                <w:rFonts w:ascii="Arial" w:cs="Arial" w:eastAsia="Arial" w:hAnsi="Arial"/>
                <w:sz w:val="12"/>
                <w:szCs w:val="12"/>
                <w:color w:val="000000"/>
                <w:w w:val="91"/>
              </w:rPr>
              <w:t>herein by reference to Exhibit 10.34 to our Form 10-</w:t>
            </w:r>
          </w:p>
        </w:tc>
      </w:tr>
      <w:tr>
        <w:trPr>
          <w:trHeight w:val="124"/>
        </w:trPr>
        <w:tc>
          <w:tcPr>
            <w:tcW w:w="800" w:type="dxa"/>
            <w:vAlign w:val="bottom"/>
          </w:tcPr>
          <w:p>
            <w:pPr>
              <w:spacing w:after="0"/>
              <w:rPr>
                <w:sz w:val="10"/>
                <w:szCs w:val="10"/>
                <w:color w:val="auto"/>
              </w:rPr>
            </w:pPr>
          </w:p>
        </w:tc>
        <w:tc>
          <w:tcPr>
            <w:tcW w:w="672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Q, filed on May 2, 2019)</w:t>
            </w:r>
          </w:p>
        </w:tc>
        <w:tc>
          <w:tcPr>
            <w:tcW w:w="380" w:type="dxa"/>
            <w:vAlign w:val="bottom"/>
          </w:tcPr>
          <w:p>
            <w:pPr>
              <w:spacing w:after="0"/>
              <w:rPr>
                <w:sz w:val="10"/>
                <w:szCs w:val="10"/>
                <w:color w:val="auto"/>
              </w:rPr>
            </w:pPr>
          </w:p>
        </w:tc>
        <w:tc>
          <w:tcPr>
            <w:tcW w:w="2800" w:type="dxa"/>
            <w:vAlign w:val="bottom"/>
            <w:gridSpan w:val="8"/>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10.26 ~</w:t>
            </w:r>
          </w:p>
        </w:tc>
        <w:tc>
          <w:tcPr>
            <w:tcW w:w="9900" w:type="dxa"/>
            <w:vAlign w:val="bottom"/>
            <w:gridSpan w:val="20"/>
          </w:tcPr>
          <w:p>
            <w:pPr>
              <w:spacing w:after="0" w:line="126" w:lineRule="exact"/>
              <w:rPr>
                <w:rFonts w:ascii="Arial" w:cs="Arial" w:eastAsia="Arial" w:hAnsi="Arial"/>
                <w:sz w:val="12"/>
                <w:szCs w:val="12"/>
                <w:color w:val="0000FF"/>
                <w:w w:val="92"/>
              </w:rPr>
            </w:pPr>
            <w:hyperlink r:id="rId123">
              <w:r>
                <w:rPr>
                  <w:rFonts w:ascii="Arial" w:cs="Arial" w:eastAsia="Arial" w:hAnsi="Arial"/>
                  <w:sz w:val="12"/>
                  <w:szCs w:val="12"/>
                  <w:color w:val="0000FF"/>
                  <w:w w:val="92"/>
                </w:rPr>
                <w:t xml:space="preserve">Form of NMI Holdings, Inc. Amended and Restated 2014 Omnibus Incentive Plan Nonqualified Stock Option Agreement for Employees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10.35 to our Form 10-</w:t>
            </w:r>
          </w:p>
        </w:tc>
      </w:tr>
      <w:tr>
        <w:trPr>
          <w:trHeight w:val="124"/>
        </w:trPr>
        <w:tc>
          <w:tcPr>
            <w:tcW w:w="800" w:type="dxa"/>
            <w:vAlign w:val="bottom"/>
          </w:tcPr>
          <w:p>
            <w:pPr>
              <w:spacing w:after="0"/>
              <w:rPr>
                <w:sz w:val="10"/>
                <w:szCs w:val="10"/>
                <w:color w:val="auto"/>
              </w:rPr>
            </w:pPr>
          </w:p>
        </w:tc>
        <w:tc>
          <w:tcPr>
            <w:tcW w:w="6620" w:type="dxa"/>
            <w:vAlign w:val="bottom"/>
            <w:tcBorders>
              <w:top w:val="single" w:sz="8" w:color="0000FF"/>
            </w:tcBorders>
            <w:gridSpan w:val="10"/>
          </w:tcPr>
          <w:p>
            <w:pPr>
              <w:spacing w:after="0" w:line="124" w:lineRule="exact"/>
              <w:rPr>
                <w:sz w:val="20"/>
                <w:szCs w:val="20"/>
                <w:color w:val="auto"/>
              </w:rPr>
            </w:pPr>
            <w:r>
              <w:rPr>
                <w:rFonts w:ascii="Arial" w:cs="Arial" w:eastAsia="Arial" w:hAnsi="Arial"/>
                <w:sz w:val="12"/>
                <w:szCs w:val="12"/>
                <w:color w:val="auto"/>
              </w:rPr>
              <w:t>Q, filed on May 2, 2019)</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0" w:type="dxa"/>
            <w:vAlign w:val="bottom"/>
            <w:gridSpan w:val="8"/>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10.27 ~</w:t>
            </w:r>
          </w:p>
        </w:tc>
        <w:tc>
          <w:tcPr>
            <w:tcW w:w="9900" w:type="dxa"/>
            <w:vAlign w:val="bottom"/>
            <w:gridSpan w:val="20"/>
          </w:tcPr>
          <w:p>
            <w:pPr>
              <w:spacing w:after="0" w:line="126" w:lineRule="exact"/>
              <w:rPr>
                <w:rFonts w:ascii="Arial" w:cs="Arial" w:eastAsia="Arial" w:hAnsi="Arial"/>
                <w:sz w:val="12"/>
                <w:szCs w:val="12"/>
                <w:color w:val="0000FF"/>
                <w:w w:val="92"/>
              </w:rPr>
            </w:pPr>
            <w:hyperlink r:id="rId124">
              <w:r>
                <w:rPr>
                  <w:rFonts w:ascii="Arial" w:cs="Arial" w:eastAsia="Arial" w:hAnsi="Arial"/>
                  <w:sz w:val="12"/>
                  <w:szCs w:val="12"/>
                  <w:color w:val="0000FF"/>
                  <w:w w:val="92"/>
                </w:rPr>
                <w:t xml:space="preserve">Form of NMI Holdings, Inc. Amended and Restated 2014 Omnibus Incentive Plan Restricted Stock Unit Award Agreement (Performance Based)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10.38 to our</w:t>
            </w:r>
          </w:p>
        </w:tc>
      </w:tr>
      <w:tr>
        <w:trPr>
          <w:trHeight w:val="124"/>
        </w:trPr>
        <w:tc>
          <w:tcPr>
            <w:tcW w:w="800" w:type="dxa"/>
            <w:vAlign w:val="bottom"/>
          </w:tcPr>
          <w:p>
            <w:pPr>
              <w:spacing w:after="0"/>
              <w:rPr>
                <w:sz w:val="10"/>
                <w:szCs w:val="10"/>
                <w:color w:val="auto"/>
              </w:rPr>
            </w:pPr>
          </w:p>
        </w:tc>
        <w:tc>
          <w:tcPr>
            <w:tcW w:w="710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Form 10-Q, filed on May 7, 2020)</w:t>
            </w:r>
          </w:p>
        </w:tc>
        <w:tc>
          <w:tcPr>
            <w:tcW w:w="2800" w:type="dxa"/>
            <w:vAlign w:val="bottom"/>
            <w:gridSpan w:val="8"/>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5"/>
              </w:rPr>
              <w:t>21.1</w:t>
            </w:r>
          </w:p>
        </w:tc>
        <w:tc>
          <w:tcPr>
            <w:tcW w:w="9900" w:type="dxa"/>
            <w:vAlign w:val="bottom"/>
            <w:gridSpan w:val="20"/>
          </w:tcPr>
          <w:p>
            <w:pPr>
              <w:spacing w:after="0" w:line="126" w:lineRule="exact"/>
              <w:rPr>
                <w:rFonts w:ascii="Arial" w:cs="Arial" w:eastAsia="Arial" w:hAnsi="Arial"/>
                <w:sz w:val="12"/>
                <w:szCs w:val="12"/>
                <w:color w:val="0000FF"/>
              </w:rPr>
            </w:pPr>
            <w:hyperlink r:id="rId125">
              <w:r>
                <w:rPr>
                  <w:rFonts w:ascii="Arial" w:cs="Arial" w:eastAsia="Arial" w:hAnsi="Arial"/>
                  <w:sz w:val="12"/>
                  <w:szCs w:val="12"/>
                  <w:color w:val="0000FF"/>
                </w:rPr>
                <w:t xml:space="preserve">Subsidiaries of NMI Holdings, Inc.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21.1 to our Form 10-Q, filed on October 30, 2015)</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22.1</w:t>
            </w:r>
          </w:p>
        </w:tc>
        <w:tc>
          <w:tcPr>
            <w:tcW w:w="9900" w:type="dxa"/>
            <w:vAlign w:val="bottom"/>
            <w:gridSpan w:val="20"/>
          </w:tcPr>
          <w:p>
            <w:pPr>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 xml:space="preserve">Guaranteed Securities by Subsidiary Guarantor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22.1 to our Form 10-K, filed on February 16, 2022)</w:t>
            </w:r>
          </w:p>
        </w:tc>
      </w:tr>
      <w:tr>
        <w:trPr>
          <w:trHeight w:val="20"/>
        </w:trPr>
        <w:tc>
          <w:tcPr>
            <w:tcW w:w="800" w:type="dxa"/>
            <w:vAlign w:val="bottom"/>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31.1</w:t>
            </w:r>
          </w:p>
        </w:tc>
        <w:tc>
          <w:tcPr>
            <w:tcW w:w="4900" w:type="dxa"/>
            <w:vAlign w:val="bottom"/>
            <w:tcBorders>
              <w:bottom w:val="single" w:sz="8" w:color="0000FF"/>
            </w:tcBorders>
            <w:gridSpan w:val="8"/>
          </w:tcPr>
          <w:p>
            <w:pPr>
              <w:spacing w:after="0" w:line="133" w:lineRule="exact"/>
              <w:rPr>
                <w:rFonts w:ascii="Arial" w:cs="Arial" w:eastAsia="Arial" w:hAnsi="Arial"/>
                <w:sz w:val="12"/>
                <w:szCs w:val="12"/>
                <w:color w:val="0000FF"/>
                <w:w w:val="91"/>
              </w:rPr>
            </w:pPr>
            <w:hyperlink w:anchor="page62">
              <w:r>
                <w:rPr>
                  <w:rFonts w:ascii="Arial" w:cs="Arial" w:eastAsia="Arial" w:hAnsi="Arial"/>
                  <w:sz w:val="12"/>
                  <w:szCs w:val="12"/>
                  <w:color w:val="0000FF"/>
                  <w:w w:val="91"/>
                </w:rPr>
                <w:t>Principal Executive Officer's Certification Pursuant to Section 302 of the Sarbanes-Oxley Act of 2002</w:t>
              </w:r>
            </w:hyperlink>
          </w:p>
        </w:tc>
        <w:tc>
          <w:tcPr>
            <w:tcW w:w="5000" w:type="dxa"/>
            <w:vAlign w:val="bottom"/>
            <w:gridSpan w:val="12"/>
          </w:tcPr>
          <w:p>
            <w:pPr>
              <w:spacing w:after="0"/>
              <w:rPr>
                <w:sz w:val="11"/>
                <w:szCs w:val="1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31.2</w:t>
            </w:r>
          </w:p>
        </w:tc>
        <w:tc>
          <w:tcPr>
            <w:tcW w:w="4860" w:type="dxa"/>
            <w:vAlign w:val="bottom"/>
            <w:tcBorders>
              <w:bottom w:val="single" w:sz="8" w:color="0000FF"/>
            </w:tcBorders>
            <w:gridSpan w:val="7"/>
          </w:tcPr>
          <w:p>
            <w:pPr>
              <w:spacing w:after="0" w:line="133" w:lineRule="exact"/>
              <w:rPr>
                <w:rFonts w:ascii="Arial" w:cs="Arial" w:eastAsia="Arial" w:hAnsi="Arial"/>
                <w:sz w:val="12"/>
                <w:szCs w:val="12"/>
                <w:color w:val="0000FF"/>
                <w:w w:val="91"/>
              </w:rPr>
            </w:pPr>
            <w:hyperlink w:anchor="page63">
              <w:r>
                <w:rPr>
                  <w:rFonts w:ascii="Arial" w:cs="Arial" w:eastAsia="Arial" w:hAnsi="Arial"/>
                  <w:sz w:val="12"/>
                  <w:szCs w:val="12"/>
                  <w:color w:val="0000FF"/>
                  <w:w w:val="91"/>
                </w:rPr>
                <w:t>Principal Financial Officer's Certification Pursuant to Section 302 of the Sarbanes-Oxley Act of 2002</w:t>
              </w:r>
            </w:hyperlink>
          </w:p>
        </w:tc>
        <w:tc>
          <w:tcPr>
            <w:tcW w:w="5040" w:type="dxa"/>
            <w:vAlign w:val="bottom"/>
            <w:gridSpan w:val="13"/>
          </w:tcPr>
          <w:p>
            <w:pPr>
              <w:spacing w:after="0"/>
              <w:rPr>
                <w:sz w:val="11"/>
                <w:szCs w:val="11"/>
                <w:color w:val="auto"/>
              </w:rPr>
            </w:pPr>
          </w:p>
        </w:tc>
      </w:tr>
      <w:tr>
        <w:trPr>
          <w:trHeight w:val="133"/>
        </w:trPr>
        <w:tc>
          <w:tcPr>
            <w:tcW w:w="800" w:type="dxa"/>
            <w:vAlign w:val="bottom"/>
          </w:tcPr>
          <w:p>
            <w:pPr>
              <w:jc w:val="center"/>
              <w:ind w:right="360"/>
              <w:spacing w:after="0" w:line="133" w:lineRule="exact"/>
              <w:rPr>
                <w:sz w:val="20"/>
                <w:szCs w:val="20"/>
                <w:color w:val="auto"/>
              </w:rPr>
            </w:pPr>
            <w:r>
              <w:rPr>
                <w:rFonts w:ascii="Arial" w:cs="Arial" w:eastAsia="Arial" w:hAnsi="Arial"/>
                <w:sz w:val="12"/>
                <w:szCs w:val="12"/>
                <w:color w:val="auto"/>
                <w:w w:val="89"/>
              </w:rPr>
              <w:t>32.1 #</w:t>
            </w:r>
          </w:p>
        </w:tc>
        <w:tc>
          <w:tcPr>
            <w:tcW w:w="9900" w:type="dxa"/>
            <w:vAlign w:val="bottom"/>
            <w:gridSpan w:val="20"/>
          </w:tcPr>
          <w:p>
            <w:pPr>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Certifications of CEO and CFO Pursuant to 18 U.S.C. Section 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8" w:lineRule="exact"/>
        <w:rPr>
          <w:sz w:val="20"/>
          <w:szCs w:val="20"/>
          <w:color w:val="auto"/>
        </w:rPr>
      </w:pPr>
    </w:p>
    <w:p>
      <w:pPr>
        <w:ind w:left="800" w:hanging="710"/>
        <w:spacing w:after="0"/>
        <w:tabs>
          <w:tab w:leader="none" w:pos="8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following financial information from NMI Holdings, Inc.'s Quarterly Report on Form 10-Q for the quarter ended March 31, 2022 formatted in XBRL (eXtensible Business Reporting Language):</w:t>
      </w:r>
    </w:p>
    <w:p>
      <w:pPr>
        <w:spacing w:after="0" w:line="26"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2"/>
          <w:szCs w:val="12"/>
          <w:color w:val="auto"/>
        </w:rPr>
        <w:t>(i) Condensed Consolidated Balance Sheets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00"/>
          </w:cols>
          <w:pgMar w:left="620" w:top="857" w:right="579" w:bottom="1440" w:gutter="0" w:footer="0" w:header="0"/>
        </w:sectPr>
      </w:pPr>
    </w:p>
    <w:bookmarkStart w:id="58" w:name="page59"/>
    <w:bookmarkEnd w:id="58"/>
    <w:p>
      <w:pPr>
        <w:ind w:left="1281" w:hanging="169"/>
        <w:spacing w:after="0"/>
        <w:tabs>
          <w:tab w:leader="none" w:pos="1281"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Condensed Consolidated Statements of Operations and Comprehensive Income (Loss) for the three months ended March 31, 2022 and 2021;</w:t>
      </w:r>
    </w:p>
    <w:p>
      <w:pPr>
        <w:spacing w:after="0" w:line="15" w:lineRule="exact"/>
        <w:rPr>
          <w:rFonts w:ascii="Arial" w:cs="Arial" w:eastAsia="Arial" w:hAnsi="Arial"/>
          <w:sz w:val="12"/>
          <w:szCs w:val="12"/>
          <w:color w:val="auto"/>
        </w:rPr>
      </w:pPr>
    </w:p>
    <w:p>
      <w:pPr>
        <w:ind w:left="1321" w:hanging="209"/>
        <w:spacing w:after="0"/>
        <w:tabs>
          <w:tab w:leader="none" w:pos="1321"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Condensed Consolidated Statements of Changes in Shareholders' Equity for the three months ended March 31, 2022 and 2021;</w:t>
      </w:r>
    </w:p>
    <w:p>
      <w:pPr>
        <w:spacing w:after="0" w:line="15" w:lineRule="exact"/>
        <w:rPr>
          <w:rFonts w:ascii="Arial" w:cs="Arial" w:eastAsia="Arial" w:hAnsi="Arial"/>
          <w:sz w:val="12"/>
          <w:szCs w:val="12"/>
          <w:color w:val="auto"/>
        </w:rPr>
      </w:pPr>
    </w:p>
    <w:p>
      <w:pPr>
        <w:ind w:left="1321" w:hanging="209"/>
        <w:spacing w:after="0"/>
        <w:tabs>
          <w:tab w:leader="none" w:pos="1321"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Condensed Consolidated Statements of Cash Flows for the three months ended March 31, 2022 and 2021; and</w:t>
      </w:r>
    </w:p>
    <w:p>
      <w:pPr>
        <w:spacing w:after="0" w:line="15" w:lineRule="exact"/>
        <w:rPr>
          <w:rFonts w:ascii="Arial" w:cs="Arial" w:eastAsia="Arial" w:hAnsi="Arial"/>
          <w:sz w:val="12"/>
          <w:szCs w:val="12"/>
          <w:color w:val="auto"/>
        </w:rPr>
      </w:pPr>
    </w:p>
    <w:p>
      <w:pPr>
        <w:ind w:left="1281" w:hanging="169"/>
        <w:spacing w:after="0"/>
        <w:tabs>
          <w:tab w:leader="none" w:pos="1281" w:val="left"/>
        </w:tabs>
        <w:numPr>
          <w:ilvl w:val="0"/>
          <w:numId w:val="23"/>
        </w:numPr>
        <w:rPr>
          <w:rFonts w:ascii="Arial" w:cs="Arial" w:eastAsia="Arial" w:hAnsi="Arial"/>
          <w:sz w:val="11"/>
          <w:szCs w:val="11"/>
          <w:color w:val="auto"/>
        </w:rPr>
      </w:pPr>
      <w:r>
        <w:rPr>
          <w:rFonts w:ascii="Arial" w:cs="Arial" w:eastAsia="Arial" w:hAnsi="Arial"/>
          <w:sz w:val="11"/>
          <w:szCs w:val="11"/>
          <w:color w:val="auto"/>
        </w:rPr>
        <w:t>Notes to Condensed Consolidated Financial Statements. The instance document does not appear in the Interactive Data File because XBRL tags are embedded within the Inline XBRL document.</w:t>
      </w:r>
    </w:p>
    <w:p>
      <w:pPr>
        <w:spacing w:after="0" w:line="219" w:lineRule="exact"/>
        <w:rPr>
          <w:sz w:val="20"/>
          <w:szCs w:val="20"/>
          <w:color w:val="auto"/>
        </w:rPr>
      </w:pPr>
    </w:p>
    <w:p>
      <w:pPr>
        <w:ind w:left="261" w:hanging="261"/>
        <w:spacing w:after="0"/>
        <w:tabs>
          <w:tab w:leader="none" w:pos="261"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Indicates a management contract or compensatory plan or contract.</w:t>
      </w:r>
    </w:p>
    <w:p>
      <w:pPr>
        <w:spacing w:after="0" w:line="18" w:lineRule="exact"/>
        <w:rPr>
          <w:sz w:val="20"/>
          <w:szCs w:val="20"/>
          <w:color w:val="auto"/>
        </w:rPr>
      </w:pPr>
    </w:p>
    <w:p>
      <w:pPr>
        <w:ind w:left="261" w:hanging="261"/>
        <w:spacing w:after="0"/>
        <w:tabs>
          <w:tab w:leader="none" w:pos="261" w:val="left"/>
        </w:tabs>
        <w:numPr>
          <w:ilvl w:val="0"/>
          <w:numId w:val="25"/>
        </w:numPr>
        <w:rPr>
          <w:rFonts w:ascii="Arial" w:cs="Arial" w:eastAsia="Arial" w:hAnsi="Arial"/>
          <w:sz w:val="11"/>
          <w:szCs w:val="11"/>
          <w:color w:val="auto"/>
        </w:rPr>
      </w:pPr>
      <w:r>
        <w:rPr>
          <w:rFonts w:ascii="Arial" w:cs="Arial" w:eastAsia="Arial" w:hAnsi="Arial"/>
          <w:sz w:val="11"/>
          <w:szCs w:val="11"/>
          <w:color w:val="auto"/>
        </w:rPr>
        <w:t>Confidential treatment granted as to certain portions, which portions have been filed separately with the SEC.</w:t>
      </w:r>
    </w:p>
    <w:p>
      <w:pPr>
        <w:spacing w:after="0" w:line="18" w:lineRule="exact"/>
        <w:rPr>
          <w:sz w:val="20"/>
          <w:szCs w:val="20"/>
          <w:color w:val="auto"/>
        </w:rPr>
      </w:pPr>
    </w:p>
    <w:p>
      <w:pPr>
        <w:ind w:left="361" w:hanging="361"/>
        <w:spacing w:after="0" w:line="269" w:lineRule="auto"/>
        <w:tabs>
          <w:tab w:leader="none" w:pos="253" w:val="left"/>
        </w:tabs>
        <w:numPr>
          <w:ilvl w:val="0"/>
          <w:numId w:val="26"/>
        </w:numPr>
        <w:rPr>
          <w:rFonts w:ascii="Arial" w:cs="Arial" w:eastAsia="Arial" w:hAnsi="Arial"/>
          <w:sz w:val="10"/>
          <w:szCs w:val="10"/>
          <w:color w:val="auto"/>
        </w:rPr>
      </w:pPr>
      <w:r>
        <w:rPr>
          <w:rFonts w:ascii="Arial" w:cs="Arial" w:eastAsia="Arial" w:hAnsi="Arial"/>
          <w:sz w:val="10"/>
          <w:szCs w:val="10"/>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1"/>
          </w:cols>
          <w:pgMar w:left="299" w:top="869" w:right="719" w:bottom="1440" w:gutter="0" w:footer="0" w:header="0"/>
        </w:sectPr>
      </w:pPr>
    </w:p>
    <w:bookmarkStart w:id="59" w:name="page60"/>
    <w:bookmarkEnd w:id="59"/>
    <w:p>
      <w:pPr>
        <w:ind w:left="4840"/>
        <w:spacing w:after="0"/>
        <w:rPr>
          <w:sz w:val="20"/>
          <w:szCs w:val="20"/>
          <w:color w:val="auto"/>
        </w:rPr>
      </w:pPr>
      <w:r>
        <w:rPr>
          <w:rFonts w:ascii="Arial" w:cs="Arial" w:eastAsia="Arial" w:hAnsi="Arial"/>
          <w:sz w:val="12"/>
          <w:szCs w:val="12"/>
          <w:b w:val="1"/>
          <w:bCs w:val="1"/>
          <w:color w:val="auto"/>
        </w:rPr>
        <w:t>SIGNATURES</w:t>
      </w:r>
    </w:p>
    <w:p>
      <w:pPr>
        <w:spacing w:after="0" w:line="181"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NMI HOLDINGS, INC.</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Date: May 4, 2022</w:t>
      </w:r>
    </w:p>
    <w:p>
      <w:pPr>
        <w:spacing w:after="0" w:line="186"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-6985</wp:posOffset>
            </wp:positionV>
            <wp:extent cx="82931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829310" cy="5715"/>
                    </a:xfrm>
                    <a:prstGeom prst="rect">
                      <a:avLst/>
                    </a:prstGeom>
                    <a:noFill/>
                  </pic:spPr>
                </pic:pic>
              </a:graphicData>
            </a:graphic>
          </wp:anchor>
        </w:drawing>
      </w:r>
    </w:p>
    <w:p>
      <w:pPr>
        <w:spacing w:after="0" w:line="13"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Name: Ravi Mallela</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9739"/>
          </w:cols>
          <w:pgMar w:left="720" w:top="874"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Guaranteed Securities by Subsidiary Guarantor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list of securities issued by the Company and guaranteed by NMI Services, Inc., a wholly-owned subsidiary of the Company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66610" cy="331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66610" cy="331470"/>
                    </a:xfrm>
                    <a:prstGeom prst="rect">
                      <a:avLst/>
                    </a:prstGeom>
                    <a:noFill/>
                  </pic:spPr>
                </pic:pic>
              </a:graphicData>
            </a:graphic>
          </wp:anchor>
        </w:drawing>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Description of Securities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7.375% senior secured notes due June 19, 2025.</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300"/>
          </w:cols>
          <w:pgMar w:left="300" w:top="280"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31.1</w:t>
      </w:r>
    </w:p>
    <w:p>
      <w:pPr>
        <w:spacing w:after="0" w:line="3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OFFICER’S CERTIFICATION PURSUANT TO</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31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Adam S. Pollitzer, certify that:</w:t>
      </w:r>
    </w:p>
    <w:p>
      <w:pPr>
        <w:spacing w:after="0" w:line="78" w:lineRule="exact"/>
        <w:rPr>
          <w:sz w:val="20"/>
          <w:szCs w:val="20"/>
          <w:color w:val="auto"/>
        </w:rPr>
      </w:pPr>
    </w:p>
    <w:p>
      <w:pPr>
        <w:ind w:left="208" w:hanging="208"/>
        <w:spacing w:after="0"/>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NMI Holdings, Inc.;</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8" w:right="20" w:hanging="216"/>
        <w:spacing w:after="0" w:line="276" w:lineRule="auto"/>
        <w:tabs>
          <w:tab w:leader="none" w:pos="642"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648" w:hanging="216"/>
        <w:spacing w:after="0" w:line="276" w:lineRule="auto"/>
        <w:tabs>
          <w:tab w:leader="none" w:pos="6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648" w:hanging="216"/>
        <w:spacing w:after="0" w:line="276" w:lineRule="auto"/>
        <w:tabs>
          <w:tab w:leader="none" w:pos="642" w:val="left"/>
        </w:tabs>
        <w:numPr>
          <w:ilvl w:val="1"/>
          <w:numId w:val="2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648" w:hanging="216"/>
        <w:spacing w:after="0" w:line="276" w:lineRule="auto"/>
        <w:tabs>
          <w:tab w:leader="none" w:pos="64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648" w:hanging="216"/>
        <w:spacing w:after="0" w:line="276" w:lineRule="auto"/>
        <w:tabs>
          <w:tab w:leader="none" w:pos="642" w:val="left"/>
        </w:tabs>
        <w:numPr>
          <w:ilvl w:val="1"/>
          <w:numId w:val="2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tbl>
      <w:tblPr>
        <w:tblLayout w:type="fixed"/>
        <w:tblInd w:w="1088" w:type="dxa"/>
        <w:tblCellMar>
          <w:top w:w="0" w:type="dxa"/>
          <w:left w:w="0" w:type="dxa"/>
          <w:bottom w:w="0" w:type="dxa"/>
          <w:right w:w="0" w:type="dxa"/>
        </w:tblCellMar>
      </w:tblPr>
      <w:tr>
        <w:trPr>
          <w:trHeight w:val="138"/>
        </w:trPr>
        <w:tc>
          <w:tcPr>
            <w:tcW w:w="4180" w:type="dxa"/>
            <w:vAlign w:val="bottom"/>
            <w:gridSpan w:val="2"/>
          </w:tcPr>
          <w:p>
            <w:pPr>
              <w:spacing w:after="0"/>
              <w:rPr>
                <w:sz w:val="20"/>
                <w:szCs w:val="20"/>
                <w:color w:val="auto"/>
              </w:rPr>
            </w:pPr>
            <w:r>
              <w:rPr>
                <w:rFonts w:ascii="Arial" w:cs="Arial" w:eastAsia="Arial" w:hAnsi="Arial"/>
                <w:sz w:val="12"/>
                <w:szCs w:val="12"/>
                <w:color w:val="auto"/>
              </w:rPr>
              <w:t>May 4, 2022</w:t>
            </w:r>
          </w:p>
        </w:tc>
        <w:tc>
          <w:tcPr>
            <w:tcW w:w="1860" w:type="dxa"/>
            <w:vAlign w:val="bottom"/>
          </w:tcPr>
          <w:p>
            <w:pPr>
              <w:spacing w:after="0"/>
              <w:rPr>
                <w:sz w:val="20"/>
                <w:szCs w:val="20"/>
                <w:color w:val="auto"/>
              </w:rPr>
            </w:pPr>
            <w:r>
              <w:rPr>
                <w:rFonts w:ascii="Arial" w:cs="Arial" w:eastAsia="Arial" w:hAnsi="Arial"/>
                <w:sz w:val="12"/>
                <w:szCs w:val="12"/>
                <w:color w:val="auto"/>
              </w:rPr>
              <w:t>/s/ Adam S. Pollitzer</w:t>
            </w:r>
          </w:p>
        </w:tc>
      </w:tr>
      <w:tr>
        <w:trPr>
          <w:trHeight w:val="160"/>
        </w:trPr>
        <w:tc>
          <w:tcPr>
            <w:tcW w:w="620" w:type="dxa"/>
            <w:vAlign w:val="bottom"/>
            <w:tcBorders>
              <w:top w:val="single" w:sz="8" w:color="auto"/>
            </w:tcBorders>
          </w:tcPr>
          <w:p>
            <w:pPr>
              <w:spacing w:after="0"/>
              <w:rPr>
                <w:sz w:val="13"/>
                <w:szCs w:val="13"/>
                <w:color w:val="auto"/>
              </w:rPr>
            </w:pPr>
          </w:p>
        </w:tc>
        <w:tc>
          <w:tcPr>
            <w:tcW w:w="3560" w:type="dxa"/>
            <w:vAlign w:val="bottom"/>
          </w:tcPr>
          <w:p>
            <w:pPr>
              <w:spacing w:after="0"/>
              <w:rPr>
                <w:sz w:val="13"/>
                <w:szCs w:val="13"/>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Adam S. Pollitzer</w:t>
            </w:r>
          </w:p>
        </w:tc>
      </w:tr>
      <w:tr>
        <w:trPr>
          <w:trHeight w:val="153"/>
        </w:trPr>
        <w:tc>
          <w:tcPr>
            <w:tcW w:w="6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6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308"/>
          </w:cols>
          <w:pgMar w:left="292" w:top="163"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FINANCIAL OFFICER’S CERTIFICATION PURSUANT TO</w:t>
      </w:r>
    </w:p>
    <w:p>
      <w:pPr>
        <w:spacing w:after="0" w:line="6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Ravi Mallela, certify that:</w:t>
      </w:r>
    </w:p>
    <w:p>
      <w:pPr>
        <w:spacing w:after="0" w:line="105"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NMI Holdings, Inc.;</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11"/>
          <w:szCs w:val="11"/>
          <w:color w:val="auto"/>
        </w:rPr>
      </w:pPr>
    </w:p>
    <w:p>
      <w:pPr>
        <w:ind w:left="548" w:right="20" w:hanging="224"/>
        <w:spacing w:after="0" w:line="276" w:lineRule="auto"/>
        <w:tabs>
          <w:tab w:leader="none" w:pos="542" w:val="left"/>
        </w:tabs>
        <w:numPr>
          <w:ilvl w:val="1"/>
          <w:numId w:val="2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548" w:hanging="224"/>
        <w:spacing w:after="0" w:line="276" w:lineRule="auto"/>
        <w:tabs>
          <w:tab w:leader="none" w:pos="540" w:val="left"/>
        </w:tabs>
        <w:numPr>
          <w:ilvl w:val="1"/>
          <w:numId w:val="2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548" w:hanging="224"/>
        <w:spacing w:after="0" w:line="276" w:lineRule="auto"/>
        <w:tabs>
          <w:tab w:leader="none" w:pos="542" w:val="left"/>
        </w:tabs>
        <w:numPr>
          <w:ilvl w:val="1"/>
          <w:numId w:val="2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548" w:right="20" w:hanging="224"/>
        <w:spacing w:after="0" w:line="276" w:lineRule="auto"/>
        <w:tabs>
          <w:tab w:leader="none" w:pos="540" w:val="left"/>
        </w:tabs>
        <w:numPr>
          <w:ilvl w:val="1"/>
          <w:numId w:val="2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548" w:hanging="224"/>
        <w:spacing w:after="0" w:line="276" w:lineRule="auto"/>
        <w:tabs>
          <w:tab w:leader="none" w:pos="542" w:val="left"/>
        </w:tabs>
        <w:numPr>
          <w:ilvl w:val="1"/>
          <w:numId w:val="2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528" w:hanging="204"/>
        <w:spacing w:after="0"/>
        <w:tabs>
          <w:tab w:leader="none" w:pos="528" w:val="left"/>
        </w:tabs>
        <w:numPr>
          <w:ilvl w:val="1"/>
          <w:numId w:val="2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tbl>
      <w:tblPr>
        <w:tblLayout w:type="fixed"/>
        <w:tblInd w:w="228" w:type="dxa"/>
        <w:tblCellMar>
          <w:top w:w="0" w:type="dxa"/>
          <w:left w:w="0" w:type="dxa"/>
          <w:bottom w:w="0" w:type="dxa"/>
          <w:right w:w="0" w:type="dxa"/>
        </w:tblCellMar>
      </w:tblPr>
      <w:tr>
        <w:trPr>
          <w:trHeight w:val="138"/>
        </w:trPr>
        <w:tc>
          <w:tcPr>
            <w:tcW w:w="4320" w:type="dxa"/>
            <w:vAlign w:val="bottom"/>
            <w:gridSpan w:val="2"/>
          </w:tcPr>
          <w:p>
            <w:pPr>
              <w:spacing w:after="0"/>
              <w:rPr>
                <w:sz w:val="20"/>
                <w:szCs w:val="20"/>
                <w:color w:val="auto"/>
              </w:rPr>
            </w:pPr>
            <w:r>
              <w:rPr>
                <w:rFonts w:ascii="Arial" w:cs="Arial" w:eastAsia="Arial" w:hAnsi="Arial"/>
                <w:sz w:val="12"/>
                <w:szCs w:val="12"/>
                <w:color w:val="auto"/>
              </w:rPr>
              <w:t>May 4, 2022</w:t>
            </w:r>
          </w:p>
        </w:tc>
        <w:tc>
          <w:tcPr>
            <w:tcW w:w="1800" w:type="dxa"/>
            <w:vAlign w:val="bottom"/>
          </w:tcPr>
          <w:p>
            <w:pPr>
              <w:spacing w:after="0"/>
              <w:rPr>
                <w:sz w:val="20"/>
                <w:szCs w:val="20"/>
                <w:color w:val="auto"/>
              </w:rPr>
            </w:pPr>
            <w:r>
              <w:rPr>
                <w:rFonts w:ascii="Arial" w:cs="Arial" w:eastAsia="Arial" w:hAnsi="Arial"/>
                <w:sz w:val="12"/>
                <w:szCs w:val="12"/>
                <w:color w:val="auto"/>
              </w:rPr>
              <w:t>/s/ Ravi Mallela</w:t>
            </w:r>
          </w:p>
        </w:tc>
      </w:tr>
      <w:tr>
        <w:trPr>
          <w:trHeight w:val="160"/>
        </w:trPr>
        <w:tc>
          <w:tcPr>
            <w:tcW w:w="600" w:type="dxa"/>
            <w:vAlign w:val="bottom"/>
            <w:tcBorders>
              <w:top w:val="single" w:sz="8" w:color="auto"/>
            </w:tcBorders>
          </w:tcPr>
          <w:p>
            <w:pPr>
              <w:spacing w:after="0"/>
              <w:rPr>
                <w:sz w:val="13"/>
                <w:szCs w:val="13"/>
                <w:color w:val="auto"/>
              </w:rPr>
            </w:pPr>
          </w:p>
        </w:tc>
        <w:tc>
          <w:tcPr>
            <w:tcW w:w="3720" w:type="dxa"/>
            <w:vAlign w:val="bottom"/>
          </w:tcPr>
          <w:p>
            <w:pPr>
              <w:spacing w:after="0"/>
              <w:rPr>
                <w:sz w:val="13"/>
                <w:szCs w:val="13"/>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Ravi Mallela</w:t>
            </w:r>
          </w:p>
        </w:tc>
      </w:tr>
      <w:tr>
        <w:trPr>
          <w:trHeight w:val="153"/>
        </w:trPr>
        <w:tc>
          <w:tcPr>
            <w:tcW w:w="6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6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8"/>
          </w:cols>
          <w:pgMar w:left="292" w:top="163"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2"/>
          <w:szCs w:val="12"/>
          <w:b w:val="1"/>
          <w:bCs w:val="1"/>
          <w:color w:val="auto"/>
        </w:rPr>
        <w:t>EXHIBIT 32.1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71"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In connection with the Quarterly Report of NMI Holdings, Inc. (the "Company") on Form 10-Q for the quarter ended March 31,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May 4, 2022</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2"/>
          <w:szCs w:val="12"/>
          <w:u w:val="single" w:color="auto"/>
          <w:color w:val="auto"/>
        </w:rPr>
        <w:t>/s/ Adam S. Pollitzer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Adam S. Pollitzer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Chief Executive Officer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Executive Officer)</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2"/>
          <w:szCs w:val="12"/>
          <w:u w:val="single" w:color="auto"/>
          <w:color w:val="auto"/>
        </w:rPr>
        <w:t>May 4, 2022</w:t>
      </w: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2"/>
          <w:szCs w:val="12"/>
          <w:u w:val="single" w:color="auto"/>
          <w:color w:val="auto"/>
        </w:rPr>
        <w:t>/s/ Ravi Mallela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Ravi Mallela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(Principal Financial Officer)</w:t>
      </w:r>
    </w:p>
    <w:p>
      <w:pPr>
        <w:spacing w:after="0" w:line="168"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300"/>
      </w:cols>
      <w:pgMar w:left="300" w:top="16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5"/>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Roman"/>
      <w:start w:val="2"/>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01"/>
    </w:lvl>
  </w:abstractNum>
  <w:abstractNum w:abstractNumId="22">
    <w:nsid w:val="4353D0CD"/>
    <w:multiLevelType w:val="hybridMultilevel"/>
    <w:lvl w:ilvl="0">
      <w:lvlJc w:val="left"/>
      <w:lvlText w:val="(%1)"/>
      <w:numFmt w:val="lowerRoman"/>
      <w:start w:val="2"/>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87" Type="http://schemas.openxmlformats.org/officeDocument/2006/relationships/hyperlink" Target="http://www.sec.gov/Archives/edgar/data/1547903/000154790313000020/a21macstockpurchaseagreeme.htm" TargetMode="External"/><Relationship Id="rId88" Type="http://schemas.openxmlformats.org/officeDocument/2006/relationships/hyperlink" Target="http://www.sec.gov/Archives/edgar/data/1547903/000154790313000020/a22amendmenttomacpurhcasea.htm" TargetMode="External"/><Relationship Id="rId89" Type="http://schemas.openxmlformats.org/officeDocument/2006/relationships/hyperlink" Target="http://www.sec.gov/Archives/edgar/data/1547903/000154790313000020/a31secondamendedandrestate.htm" TargetMode="External"/><Relationship Id="rId90" Type="http://schemas.openxmlformats.org/officeDocument/2006/relationships/hyperlink" Target="http://www.sec.gov/Archives/edgar/data/1547903/000154790314000152/exhibit31december92014.htm" TargetMode="External"/><Relationship Id="rId91" Type="http://schemas.openxmlformats.org/officeDocument/2006/relationships/hyperlink" Target="http://www.sec.gov/Archives/edgar/data/1547903/000154790313000020/a41specimenclassacommonsto.htm" TargetMode="External"/><Relationship Id="rId92" Type="http://schemas.openxmlformats.org/officeDocument/2006/relationships/hyperlink" Target="http://www.sec.gov/Archives/edgar/data/1547903/000154790313000020/a42registrationrightsagree.htm" TargetMode="External"/><Relationship Id="rId93" Type="http://schemas.openxmlformats.org/officeDocument/2006/relationships/hyperlink" Target="http://www.sec.gov/Archives/edgar/data/1547903/000154790313000020/a43registrationrightsagree.htm" TargetMode="External"/><Relationship Id="rId94" Type="http://schemas.openxmlformats.org/officeDocument/2006/relationships/hyperlink" Target="http://www.sec.gov/Archives/edgar/data/1547903/000154790313000020/a44registrationrightsagree.htm" TargetMode="External"/><Relationship Id="rId95" Type="http://schemas.openxmlformats.org/officeDocument/2006/relationships/hyperlink" Target="https://www.sec.gov/Archives/edgar/data/1547903/000119312520174237/d949308dex41.htm" TargetMode="External"/><Relationship Id="rId96" Type="http://schemas.openxmlformats.org/officeDocument/2006/relationships/hyperlink" Target="http://www.sec.gov/Archives/edgar/data/1547903/000154790316000230/exhibit1010leatherberrybil.htm" TargetMode="External"/><Relationship Id="rId97" Type="http://schemas.openxmlformats.org/officeDocument/2006/relationships/hyperlink" Target="https://www.sec.gov/Archives/edgar/data/0001547903/000154790321000153/exhibit101-nmihxapollitz.htm" TargetMode="External"/><Relationship Id="rId98" Type="http://schemas.openxmlformats.org/officeDocument/2006/relationships/hyperlink" Target="https://www.sec.gov/Archives/edgar/data/0001547903/000154790321000188/rmallelaofferletter.htm" TargetMode="External"/><Relationship Id="rId99" Type="http://schemas.openxmlformats.org/officeDocument/2006/relationships/hyperlink" Target="http://www.sec.gov/Archives/edgar/data/1547903/000154790314000146/exhibit101november252014.htm" TargetMode="External"/><Relationship Id="rId100" Type="http://schemas.openxmlformats.org/officeDocument/2006/relationships/hyperlink" Target="http://www.sec.gov/Archives/edgar/data/1547903/000154790313000020/a1014commitmentletterforbu.htm" TargetMode="External"/><Relationship Id="rId101" Type="http://schemas.openxmlformats.org/officeDocument/2006/relationships/hyperlink" Target="http://www.sec.gov/Archives/edgar/data/1547903/000154790318000088/exhibit41-creditagreement.htm" TargetMode="External"/><Relationship Id="rId102" Type="http://schemas.openxmlformats.org/officeDocument/2006/relationships/hyperlink" Target="https://www.sec.gov/Archives/edgar/data/1547903/000154790320000032/exhibit101-extensionam.htm" TargetMode="External"/><Relationship Id="rId103" Type="http://schemas.openxmlformats.org/officeDocument/2006/relationships/hyperlink" Target="https://www.sec.gov/Archives/edgar/data/1547903/000154790320000032/exhibit102joinderagree.htm" TargetMode="External"/><Relationship Id="rId104" Type="http://schemas.openxmlformats.org/officeDocument/2006/relationships/hyperlink" Target="https://www.sec.gov/Archives/edgar/data/1547903/000154790320000043/exhibit101-amendmentto.htm" TargetMode="External"/><Relationship Id="rId105" Type="http://schemas.openxmlformats.org/officeDocument/2006/relationships/hyperlink" Target="https://www.sec.gov/Archives/edgar/data/0001547903/000154790320000089/ex1020q32020joinderagr.htm" TargetMode="External"/><Relationship Id="rId108" Type="http://schemas.openxmlformats.org/officeDocument/2006/relationships/hyperlink" Target="https://www.sec.gov/Archives/edgar/data/0001547903/000154790321000180/nmiholdingsinc-creditagree.htm" TargetMode="External"/><Relationship Id="rId109" Type="http://schemas.openxmlformats.org/officeDocument/2006/relationships/hyperlink" Target="http://www.sec.gov/Archives/edgar/data/1547903/000154790317000043/nmihproxy2017.htm" TargetMode="External"/><Relationship Id="rId110" Type="http://schemas.openxmlformats.org/officeDocument/2006/relationships/hyperlink" Target="http://www.sec.gov/Archives/edgar/data/1547903/000154790317000100/ex1019rsuceo.htm" TargetMode="External"/><Relationship Id="rId111" Type="http://schemas.openxmlformats.org/officeDocument/2006/relationships/hyperlink" Target="http://www.sec.gov/Archives/edgar/data/1547903/000154790317000100/ex1020rsueo.htm" TargetMode="External"/><Relationship Id="rId112" Type="http://schemas.openxmlformats.org/officeDocument/2006/relationships/hyperlink" Target="http://www.sec.gov/Archives/edgar/data/1547903/000154790317000100/ex1021rsuee.htm" TargetMode="External"/><Relationship Id="rId113" Type="http://schemas.openxmlformats.org/officeDocument/2006/relationships/hyperlink" Target="http://www.sec.gov/Archives/edgar/data/1547903/000154790317000100/ex1022rsuindependentdirect.htm" TargetMode="External"/><Relationship Id="rId114" Type="http://schemas.openxmlformats.org/officeDocument/2006/relationships/hyperlink" Target="http://www.sec.gov/Archives/edgar/data/1547903/000154790317000100/ex1023nqsceo.htm" TargetMode="External"/><Relationship Id="rId115" Type="http://schemas.openxmlformats.org/officeDocument/2006/relationships/hyperlink" Target="http://www.sec.gov/Archives/edgar/data/1547903/000154790317000100/ex1024nqseoee.htm" TargetMode="External"/><Relationship Id="rId116" Type="http://schemas.openxmlformats.org/officeDocument/2006/relationships/hyperlink" Target="http://www.sec.gov/Archives/edgar/data/1547903/000154790317000032/exhibit1026-2014omnibusinc.htm" TargetMode="External"/><Relationship Id="rId117" Type="http://schemas.openxmlformats.org/officeDocument/2006/relationships/hyperlink" Target="http://www.sec.gov/Archives/edgar/data/1547903/000154790316000185/ex101severancebenefitplan.htm" TargetMode="External"/><Relationship Id="rId118" Type="http://schemas.openxmlformats.org/officeDocument/2006/relationships/hyperlink" Target="https://www.sec.gov/Archives/edgar/data/1547903/000154790318000133/exhibit1030arcicsbp.htm" TargetMode="External"/><Relationship Id="rId119" Type="http://schemas.openxmlformats.org/officeDocument/2006/relationships/hyperlink" Target="http://www.sec.gov/Archives/edgar/data/1547903/000154790317000035/exhibit102.htm" TargetMode="External"/><Relationship Id="rId120" Type="http://schemas.openxmlformats.org/officeDocument/2006/relationships/hyperlink" Target="http://www.sec.gov/Archives/edgar/data/1547903/000154790318000137/exhibit101shuster.htm" TargetMode="External"/><Relationship Id="rId121" Type="http://schemas.openxmlformats.org/officeDocument/2006/relationships/hyperlink" Target="http://www.sec.gov/Archives/edgar/data/1547903/000154790319000064/exhibit1033.htm" TargetMode="External"/><Relationship Id="rId122" Type="http://schemas.openxmlformats.org/officeDocument/2006/relationships/hyperlink" Target="http://www.sec.gov/Archives/edgar/data/1547903/000154790319000064/exhibit1034.htm" TargetMode="External"/><Relationship Id="rId123" Type="http://schemas.openxmlformats.org/officeDocument/2006/relationships/hyperlink" Target="http://www.sec.gov/Archives/edgar/data/1547903/000154790319000064/exhibit1035.htm" TargetMode="External"/><Relationship Id="rId124" Type="http://schemas.openxmlformats.org/officeDocument/2006/relationships/hyperlink" Target="https://www.sec.gov/Archives/edgar/data/1547903/000154790320000045/ex1038202010q.htm" TargetMode="External"/><Relationship Id="rId125"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2022-05-05T05:26:55Z</dcterms:created>
  <dcterms:modified xsi:type="dcterms:W3CDTF">2022-05-05T05:26:55Z</dcterms:modified>
</cp:coreProperties>
</file>