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p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9834" w:type="dxa"/>
        <w:jc w:val="center"/>
        <w:tblInd w:w="0" w:type="dxa"/>
        <w:tblLayout w:type="fixed"/>
        <w:tblCellMar>
          <w:top w:w="28" w:type="dxa"/>
          <w:left w:w="28" w:type="dxa"/>
          <w:bottom w:w="28" w:type="dxa"/>
          <w:right w:w="28" w:type="dxa"/>
        </w:tblCellMar>
      </w:tblPr>
      <w:tblGrid>
        <w:gridCol w:w="124"/>
        <w:gridCol w:w="109"/>
        <w:gridCol w:w="109"/>
        <w:gridCol w:w="1473"/>
        <w:gridCol w:w="1473"/>
        <w:gridCol w:w="1473"/>
        <w:gridCol w:w="1473"/>
        <w:gridCol w:w="1473"/>
        <w:gridCol w:w="212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r>
      <w:tr>
        <w:tc>
          <w:tcPr>
            <w:tcW w:w="98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 One)</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w:t>
            </w:r>
          </w:p>
        </w:tc>
        <w:tc>
          <w:tcPr>
            <w:tcW w:w="5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2026</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pPr>
      <w:r>
        <w:rPr>
          <w:rFonts w:ascii="Times New Roman;serif" w:hAnsi="Times New Roman;serif"/>
          <w:b w:val="false"/>
          <w:color w:val="000000"/>
          <w:sz w:val="18"/>
        </w:rPr>
        <w:t xml:space="preserve">Commission file number </w:t>
      </w:r>
      <w:r>
        <w:rPr>
          <w:rFonts w:ascii="Times New Roman;serif" w:hAnsi="Times New Roman;serif"/>
          <w:b/>
          <w:color w:val="000000"/>
          <w:sz w:val="18"/>
        </w:rPr>
        <w:t xml:space="preserve">001-36174 </w:t>
      </w:r>
    </w:p>
    <w:tbl>
      <w:tblPr>
        <w:tblW w:w="3720" w:type="dxa"/>
        <w:jc w:val="center"/>
        <w:tblInd w:w="0" w:type="dxa"/>
        <w:tblLayout w:type="fixed"/>
        <w:tblCellMar>
          <w:top w:w="28" w:type="dxa"/>
          <w:left w:w="28" w:type="dxa"/>
          <w:bottom w:w="28" w:type="dxa"/>
          <w:right w:w="28" w:type="dxa"/>
        </w:tblCellMar>
      </w:tblPr>
      <w:tblGrid>
        <w:gridCol w:w="1192"/>
        <w:gridCol w:w="1046"/>
        <w:gridCol w:w="1482"/>
      </w:tblGrid>
      <w:t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r>
      <w:tr>
        <w:tc>
          <w:tcPr>
            <w:tcW w:w="3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NMI Holdings, Inc.</w:t>
            </w:r>
          </w:p>
        </w:tc>
      </w:tr>
      <w:tr>
        <w:tc>
          <w:tcPr>
            <w:tcW w:w="37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c>
      </w:tr>
    </w:tbl>
    <w:tbl>
      <w:tblPr>
        <w:tblW w:w="8540" w:type="dxa"/>
        <w:jc w:val="center"/>
        <w:tblInd w:w="0" w:type="dxa"/>
        <w:tblLayout w:type="fixed"/>
        <w:tblCellMar>
          <w:top w:w="28" w:type="dxa"/>
          <w:left w:w="28" w:type="dxa"/>
          <w:bottom w:w="28" w:type="dxa"/>
          <w:right w:w="28" w:type="dxa"/>
        </w:tblCellMar>
      </w:tblPr>
      <w:tblGrid>
        <w:gridCol w:w="614"/>
        <w:gridCol w:w="540"/>
        <w:gridCol w:w="540"/>
        <w:gridCol w:w="301"/>
        <w:gridCol w:w="301"/>
        <w:gridCol w:w="301"/>
        <w:gridCol w:w="355"/>
        <w:gridCol w:w="355"/>
        <w:gridCol w:w="356"/>
        <w:gridCol w:w="301"/>
        <w:gridCol w:w="301"/>
        <w:gridCol w:w="301"/>
        <w:gridCol w:w="301"/>
        <w:gridCol w:w="301"/>
        <w:gridCol w:w="301"/>
        <w:gridCol w:w="109"/>
        <w:gridCol w:w="109"/>
        <w:gridCol w:w="109"/>
        <w:gridCol w:w="801"/>
        <w:gridCol w:w="801"/>
        <w:gridCol w:w="1142"/>
      </w:tblGrid>
      <w:t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45-4914248</w:t>
            </w:r>
          </w:p>
        </w:tc>
      </w:tr>
      <w:t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2100 Powell Street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Emeryville</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94608</w:t>
            </w:r>
          </w:p>
        </w:tc>
      </w:tr>
      <w:tr>
        <w:tc>
          <w:tcPr>
            <w:tcW w:w="54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(855) 530-6642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center"/>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272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272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NMIH</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180"/>
        <w:jc w:val="both"/>
      </w:pPr>
      <w:r>
        <w:rPr>
          <w:rFonts w:ascii="Times New Roman;serif" w:hAnsi="Times New Roman;serif"/>
          <w:b/>
          <w:color w:val="000000"/>
          <w:sz w:val="20"/>
        </w:rPr>
        <w:t xml:space="preserve">Yes </w:t>
      </w:r>
      <w:r>
        <w:rPr>
          <w:color w:val="000000"/>
        </w:rPr>
        <w:t xml:space="preserve">☒ </w:t>
      </w:r>
      <w:r>
        <w:rPr>
          <w:rFonts w:ascii="Times New Roman;serif" w:hAnsi="Times New Roman;serif"/>
          <w:b/>
          <w:color w:val="000000"/>
          <w:sz w:val="20"/>
        </w:rPr>
        <w:t xml:space="preserve">No </w:t>
      </w:r>
      <w:r>
        <w:rPr>
          <w:color w:val="000000"/>
        </w:rPr>
        <w:t>☐</w:t>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180"/>
        <w:jc w:val="both"/>
      </w:pPr>
      <w:r>
        <w:rPr>
          <w:rFonts w:ascii="Times New Roman;serif" w:hAnsi="Times New Roman;serif"/>
          <w:b/>
          <w:color w:val="000000"/>
          <w:sz w:val="20"/>
        </w:rPr>
        <w:t xml:space="preserve">Yes </w:t>
      </w:r>
      <w:r>
        <w:rPr>
          <w:color w:val="000000"/>
        </w:rPr>
        <w:t xml:space="preserve">☒ </w:t>
      </w:r>
      <w:r>
        <w:rPr>
          <w:rFonts w:ascii="Times New Roman;serif" w:hAnsi="Times New Roman;serif"/>
          <w:b/>
          <w:color w:val="000000"/>
          <w:sz w:val="20"/>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80"/>
        <w:jc w:val="both"/>
      </w:pPr>
      <w:r>
        <w:rPr>
          <w:rFonts w:ascii="Times New Roman;serif" w:hAnsi="Times New Roman;serif"/>
          <w:b/>
          <w:color w:val="000000"/>
          <w:sz w:val="20"/>
        </w:rPr>
        <w:t xml:space="preserve">Yes </w:t>
      </w:r>
      <w:r>
        <w:rPr>
          <w:color w:val="000000"/>
        </w:rPr>
        <w:t xml:space="preserve">☐ </w:t>
      </w:r>
      <w:r>
        <w:rPr>
          <w:rFonts w:ascii="Times New Roman;serif" w:hAnsi="Times New Roman;serif"/>
          <w:b/>
          <w:color w:val="000000"/>
          <w:sz w:val="20"/>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number of shares of common stock, $0.01 par value per share, of the registrant outstanding on October 30, 2026 was 74,558,352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jc w:val="left"/>
      </w:p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923"/>
        <w:gridCol w:w="809"/>
        <w:gridCol w:w="809"/>
        <w:gridCol w:w="2417"/>
        <w:gridCol w:w="2414"/>
        <w:gridCol w:w="2459"/>
        <w:gridCol w:w="109"/>
        <w:gridCol w:w="109"/>
        <w:gridCol w:w="156"/>
      </w:tblGrid>
      <w:tr>
        <w:tc>
          <w:tcPr>
            <w:tcW w:w="92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3">
              <w:r>
                <w:rPr>
                  <w:rStyle w:val="InternetLink"/>
                  <w:rFonts w:ascii="Times New Roman;serif" w:hAnsi="Times New Roman;serif"/>
                  <w:b/>
                  <w:color w:val="0000FF"/>
                  <w:sz w:val="20"/>
                  <w:u w:val="single"/>
                </w:rPr>
                <w:t>Cautionary Note Regarding Forward-Looking Statements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3">
              <w:r>
                <w:rPr>
                  <w:rStyle w:val="InternetLink"/>
                  <w:rFonts w:ascii="Times New Roman;serif" w:hAnsi="Times New Roman;serif"/>
                  <w:b w:val="false"/>
                  <w:color w:val="0000FF"/>
                  <w:sz w:val="20"/>
                  <w:u w:val="single"/>
                </w:rPr>
                <w:t>4</w:t>
              </w:r>
            </w:hyperlink>
          </w:p>
        </w:tc>
      </w:tr>
      <w:tr>
        <w:tc>
          <w:tcPr>
            <w:tcW w:w="983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6">
              <w:r>
                <w:rPr>
                  <w:rStyle w:val="InternetLink"/>
                  <w:rFonts w:ascii="Times New Roman;serif" w:hAnsi="Times New Roman;serif"/>
                  <w:b/>
                  <w:color w:val="0000FF"/>
                  <w:sz w:val="20"/>
                  <w:u w:val="single"/>
                </w:rPr>
                <w:t xml:space="preserve">PART I </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6">
              <w:r>
                <w:rPr>
                  <w:rStyle w:val="InternetLink"/>
                  <w:rFonts w:ascii="Times New Roman;serif" w:hAnsi="Times New Roman;serif"/>
                  <w:b w:val="false"/>
                  <w:color w:val="0000FF"/>
                  <w:sz w:val="20"/>
                  <w:u w:val="single"/>
                </w:rPr>
                <w:t>6</w:t>
              </w:r>
            </w:hyperlink>
          </w:p>
        </w:tc>
      </w:tr>
      <w:t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9">
              <w:r>
                <w:rPr>
                  <w:rStyle w:val="InternetLink"/>
                  <w:rFonts w:ascii="Times New Roman;serif" w:hAnsi="Times New Roman;serif"/>
                  <w:b w:val="false"/>
                  <w:color w:val="0000FF"/>
                  <w:sz w:val="20"/>
                  <w:u w:val="single"/>
                </w:rPr>
                <w:t>Financial Statements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9">
              <w:r>
                <w:rPr>
                  <w:rStyle w:val="InternetLink"/>
                  <w:rFonts w:ascii="Times New Roman;serif" w:hAnsi="Times New Roman;serif"/>
                  <w:b w:val="false"/>
                  <w:color w:val="0000FF"/>
                  <w:sz w:val="20"/>
                  <w:u w:val="single"/>
                </w:rPr>
                <w:t>6</w:t>
              </w:r>
            </w:hyperlink>
          </w:p>
        </w:tc>
      </w:tr>
      <w:t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85">
              <w:r>
                <w:rPr>
                  <w:rStyle w:val="InternetLink"/>
                  <w:rFonts w:ascii="Times New Roman;serif" w:hAnsi="Times New Roman;serif"/>
                  <w:b w:val="false"/>
                  <w:color w:val="0000FF"/>
                  <w:sz w:val="20"/>
                  <w:u w:val="single"/>
                </w:rPr>
                <w:t>28</w:t>
              </w:r>
            </w:hyperlink>
          </w:p>
        </w:tc>
      </w:tr>
      <w:t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45">
              <w:r>
                <w:rPr>
                  <w:rStyle w:val="InternetLink"/>
                  <w:rFonts w:ascii="Times New Roman;serif" w:hAnsi="Times New Roman;serif"/>
                  <w:b w:val="false"/>
                  <w:color w:val="0000FF"/>
                  <w:sz w:val="20"/>
                  <w:u w:val="single"/>
                </w:rPr>
                <w:t>Quantitative and Qualitative Disclosures About Market Risk</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45">
              <w:r>
                <w:rPr>
                  <w:rStyle w:val="InternetLink"/>
                  <w:rFonts w:ascii="Times New Roman;serif" w:hAnsi="Times New Roman;serif"/>
                  <w:b w:val="false"/>
                  <w:color w:val="0000FF"/>
                  <w:sz w:val="20"/>
                  <w:u w:val="single"/>
                </w:rPr>
                <w:t>54</w:t>
              </w:r>
            </w:hyperlink>
          </w:p>
        </w:tc>
      </w:tr>
      <w:t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48">
              <w:r>
                <w:rPr>
                  <w:rStyle w:val="InternetLink"/>
                  <w:rFonts w:ascii="Times New Roman;serif" w:hAnsi="Times New Roman;serif"/>
                  <w:b w:val="false"/>
                  <w:color w:val="0000FF"/>
                  <w:sz w:val="20"/>
                  <w:u w:val="single"/>
                </w:rPr>
                <w:t>Controls and Procedures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48">
              <w:r>
                <w:rPr>
                  <w:rStyle w:val="InternetLink"/>
                  <w:rFonts w:ascii="Times New Roman;serif" w:hAnsi="Times New Roman;serif"/>
                  <w:b w:val="false"/>
                  <w:color w:val="0000FF"/>
                  <w:sz w:val="20"/>
                  <w:u w:val="single"/>
                </w:rPr>
                <w:t>55</w:t>
              </w:r>
            </w:hyperlink>
          </w:p>
        </w:tc>
      </w:tr>
      <w:t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51">
              <w:r>
                <w:rPr>
                  <w:rStyle w:val="InternetLink"/>
                  <w:rFonts w:ascii="Times New Roman;serif" w:hAnsi="Times New Roman;serif"/>
                  <w:b/>
                  <w:color w:val="0000FF"/>
                  <w:sz w:val="20"/>
                  <w:u w:val="single"/>
                </w:rPr>
                <w:t>PART II</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51">
              <w:r>
                <w:rPr>
                  <w:rStyle w:val="InternetLink"/>
                  <w:rFonts w:ascii="Times New Roman;serif" w:hAnsi="Times New Roman;serif"/>
                  <w:b w:val="false"/>
                  <w:color w:val="0000FF"/>
                  <w:sz w:val="20"/>
                  <w:u w:val="single"/>
                </w:rPr>
                <w:t>56</w:t>
              </w:r>
            </w:hyperlink>
          </w:p>
        </w:tc>
      </w:tr>
      <w:t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54">
              <w:r>
                <w:rPr>
                  <w:rStyle w:val="InternetLink"/>
                  <w:rFonts w:ascii="Times New Roman;serif" w:hAnsi="Times New Roman;serif"/>
                  <w:b w:val="false"/>
                  <w:color w:val="0000FF"/>
                  <w:sz w:val="20"/>
                  <w:u w:val="single"/>
                </w:rPr>
                <w:t>Legal Proceedings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54">
              <w:r>
                <w:rPr>
                  <w:rStyle w:val="InternetLink"/>
                  <w:rFonts w:ascii="Times New Roman;serif" w:hAnsi="Times New Roman;serif"/>
                  <w:b w:val="false"/>
                  <w:color w:val="0000FF"/>
                  <w:sz w:val="20"/>
                  <w:u w:val="single"/>
                </w:rPr>
                <w:t>56</w:t>
              </w:r>
            </w:hyperlink>
          </w:p>
        </w:tc>
      </w:tr>
      <w:t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57">
              <w:r>
                <w:rPr>
                  <w:rStyle w:val="InternetLink"/>
                  <w:rFonts w:ascii="Times New Roman;serif" w:hAnsi="Times New Roman;serif"/>
                  <w:b w:val="false"/>
                  <w:color w:val="0000FF"/>
                  <w:sz w:val="20"/>
                  <w:u w:val="single"/>
                </w:rPr>
                <w:t>Risk Factors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57">
              <w:r>
                <w:rPr>
                  <w:rStyle w:val="InternetLink"/>
                  <w:rFonts w:ascii="Times New Roman;serif" w:hAnsi="Times New Roman;serif"/>
                  <w:b w:val="false"/>
                  <w:color w:val="0000FF"/>
                  <w:sz w:val="20"/>
                  <w:u w:val="single"/>
                </w:rPr>
                <w:t>56</w:t>
              </w:r>
            </w:hyperlink>
          </w:p>
        </w:tc>
      </w:tr>
      <w:t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60">
              <w:r>
                <w:rPr>
                  <w:rStyle w:val="InternetLink"/>
                  <w:rFonts w:ascii="Times New Roman;serif" w:hAnsi="Times New Roman;serif"/>
                  <w:b w:val="false"/>
                  <w:color w:val="0000FF"/>
                  <w:sz w:val="20"/>
                  <w:u w:val="single"/>
                </w:rPr>
                <w:t>Unregistered Sales of Equity Securities and Use of Proceeds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60">
              <w:r>
                <w:rPr>
                  <w:rStyle w:val="InternetLink"/>
                  <w:rFonts w:ascii="Times New Roman;serif" w:hAnsi="Times New Roman;serif"/>
                  <w:b w:val="false"/>
                  <w:color w:val="0000FF"/>
                  <w:sz w:val="20"/>
                  <w:u w:val="single"/>
                </w:rPr>
                <w:t>58</w:t>
              </w:r>
            </w:hyperlink>
          </w:p>
        </w:tc>
      </w:tr>
      <w:t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63">
              <w:r>
                <w:rPr>
                  <w:rStyle w:val="InternetLink"/>
                  <w:rFonts w:ascii="Times New Roman;serif" w:hAnsi="Times New Roman;serif"/>
                  <w:b w:val="false"/>
                  <w:color w:val="0000FF"/>
                  <w:sz w:val="20"/>
                  <w:u w:val="single"/>
                </w:rPr>
                <w:t>Other Information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63">
              <w:r>
                <w:rPr>
                  <w:rStyle w:val="InternetLink"/>
                  <w:rFonts w:ascii="Times New Roman;serif" w:hAnsi="Times New Roman;serif"/>
                  <w:b w:val="false"/>
                  <w:color w:val="0000FF"/>
                  <w:sz w:val="20"/>
                  <w:u w:val="single"/>
                </w:rPr>
                <w:t>58</w:t>
              </w:r>
            </w:hyperlink>
          </w:p>
        </w:tc>
      </w:tr>
      <w:t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75">
              <w:r>
                <w:rPr>
                  <w:rStyle w:val="InternetLink"/>
                  <w:rFonts w:ascii="Times New Roman;serif" w:hAnsi="Times New Roman;serif"/>
                  <w:b w:val="false"/>
                  <w:color w:val="0000FF"/>
                  <w:sz w:val="20"/>
                  <w:u w:val="single"/>
                </w:rPr>
                <w:t>Exhibits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75">
              <w:r>
                <w:rPr>
                  <w:rStyle w:val="InternetLink"/>
                  <w:rFonts w:ascii="Times New Roman;serif" w:hAnsi="Times New Roman;serif"/>
                  <w:b w:val="false"/>
                  <w:color w:val="0000FF"/>
                  <w:sz w:val="20"/>
                  <w:u w:val="single"/>
                </w:rPr>
                <w:t>59</w:t>
              </w:r>
            </w:hyperlink>
          </w:p>
        </w:tc>
      </w:tr>
      <w:tr>
        <w:tc>
          <w:tcPr>
            <w:tcW w:w="983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pPr>
            <w:hyperlink w:anchor="id92632a0d36447e5a7847b7d9a026ca5_178">
              <w:r>
                <w:rPr>
                  <w:rStyle w:val="InternetLink"/>
                  <w:rFonts w:ascii="Times New Roman;serif" w:hAnsi="Times New Roman;serif"/>
                  <w:b/>
                  <w:color w:val="0000FF"/>
                  <w:sz w:val="20"/>
                  <w:u w:val="single"/>
                </w:rPr>
                <w:t>Signatures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178">
              <w:r>
                <w:rPr>
                  <w:rStyle w:val="InternetLink"/>
                  <w:rFonts w:ascii="Times New Roman;serif" w:hAnsi="Times New Roman;serif"/>
                  <w:b w:val="false"/>
                  <w:color w:val="0000FF"/>
                  <w:sz w:val="20"/>
                  <w:u w:val="single"/>
                </w:rPr>
                <w:t>62</w:t>
              </w:r>
            </w:hyperlink>
          </w:p>
        </w:tc>
      </w:tr>
    </w:tbl>
    <w:p>
      <w:pPr>
        <w:pStyle w:val="TextBody"/>
        <w:bidi w:val="0"/>
        <w:spacing w:before="0" w:after="2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left"/>
      </w:p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Glossary of Abbreviations and Acronyms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list defines various abbreviations and acronyms used throughout this report and in our Annual Report on Form 10-K for the year ended December 31, 2025.</w:t>
      </w:r>
    </w:p>
    <w:tbl>
      <w:tblPr>
        <w:tblW w:w="10205" w:type="dxa"/>
        <w:jc w:val="left"/>
        <w:tblInd w:w="0" w:type="dxa"/>
        <w:tblLayout w:type="fixed"/>
        <w:tblCellMar>
          <w:top w:w="28" w:type="dxa"/>
          <w:left w:w="28" w:type="dxa"/>
          <w:bottom w:w="28" w:type="dxa"/>
          <w:right w:w="28" w:type="dxa"/>
        </w:tblCellMar>
      </w:tblPr>
      <w:tblGrid>
        <w:gridCol w:w="905"/>
        <w:gridCol w:w="801"/>
        <w:gridCol w:w="823"/>
        <w:gridCol w:w="2408"/>
        <w:gridCol w:w="2179"/>
        <w:gridCol w:w="3089"/>
      </w:tblGrid>
      <w:tr>
        <w:tc>
          <w:tcPr>
            <w:tcW w:w="90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ASU </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Accounting Standards Update</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BPMI</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Borrower-paid mortgage insurance</w:t>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CEO</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executive officer</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CODM</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operating decision maker</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Delinquent loan (DQ) commutation</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 transaction in which we make payments to terminate mortgage insurance coverage on specified delinquent loans</w:t>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DTI</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Debt-to-income</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EPS</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Fannie Mae </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Federal National Mortgage Association</w:t>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FASB</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Financial Accounting Standards Board</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FHFA</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Federal Housing Finance Agency</w:t>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FICO</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Fair Isaac Corporation</w:t>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Freddie Mac</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Federal Home Loan Mortgage Corporation</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GAAP</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Generally accepted accounting principles in the U.S.</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GSEs</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Government-Sponsored Enterprises (Fannie Mae and Freddie Mac)</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IBNR</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Incurred but not reported</w:t>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IIF </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Insurance-in-force</w:t>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ILN</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Insurance-linked notes</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IRC</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Internal revenue code</w:t>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Information technology</w:t>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LTV</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Loan-to-value</w:t>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LPMI</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Lender-paid mortgage insurance</w:t>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MI</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Mortgage insurance</w:t>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NAIC</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National Association of Insurance Commissioners</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NIW</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New insurance written</w:t>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NMIC</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National Mortgage Insurance Corporation, a subsidiary of NMI Holdings, Inc.</w:t>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NMIH</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NMI Holdings, Inc.</w:t>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NMIS</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National Mortgage Insurance Services, Inc., a subsidiary of NMI Holdings, Inc.</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PMIERs</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Private mortgage insurer eligibility requirements</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QSR</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Quota share reinsurance</w:t>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Rate card</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 fixed schedule of mortgage insurance premium rates applied uniformly across defined loan categories</w:t>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9"/>
              </w:rPr>
              <w:t>Rate GPS</w:t>
            </w:r>
            <w:r>
              <w:rPr>
                <w:rFonts w:ascii="Times New Roman;serif" w:hAnsi="Times New Roman;serif"/>
                <w:b w:val="false"/>
                <w:color w:val="000000"/>
                <w:sz w:val="12"/>
              </w:rPr>
              <w:t>®</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Our proprietary risk-based pricing platform</w:t>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 One</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National Mortgage Reinsurance Inc. One</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RIF</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Risk-in-force</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RSU</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Restricted stock units</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RTC</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Risk-to-capital</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SAP </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Statutory accounting principles</w:t>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SEC</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United States Securities and Exchange Commission</w:t>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SOFR</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Secured Overnight Financing Rate</w:t>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vAlign w:val="center"/>
          </w:tcPr>
          <w:p>
            <w:pPr>
              <w:pStyle w:val="TableContents"/>
              <w:bidi w:val="0"/>
              <w:spacing w:before="0" w:after="283"/>
              <w:jc w:val="left"/>
              <w:rPr>
                <w:sz w:val="4"/>
                <w:szCs w:val="4"/>
              </w:rPr>
            </w:pPr>
            <w:r>
              <w:rPr>
                <w:sz w:val="4"/>
                <w:szCs w:val="4"/>
              </w:rPr>
            </w:r>
          </w:p>
        </w:tc>
        <w:tc>
          <w:tcPr>
            <w:tcW w:w="7676" w:type="dxa"/>
            <w:gridSpan w:val="3"/>
            <w:tcBorders/>
            <w:vAlign w:val="center"/>
          </w:tcPr>
          <w:p>
            <w:pPr>
              <w:pStyle w:val="TableContents"/>
              <w:bidi w:val="0"/>
              <w:spacing w:before="0" w:after="283"/>
              <w:jc w:val="left"/>
              <w:rPr>
                <w:sz w:val="4"/>
                <w:szCs w:val="4"/>
              </w:rPr>
            </w:pPr>
            <w:r>
              <w:rPr>
                <w:sz w:val="4"/>
                <w:szCs w:val="4"/>
              </w:rPr>
            </w:r>
          </w:p>
        </w:tc>
      </w:tr>
      <w:t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Wisconsin OCI</w:t>
            </w:r>
          </w:p>
        </w:tc>
        <w:tc>
          <w:tcPr>
            <w:tcW w:w="7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The Wisconsin Office of the Commissioner of Insurance</w:t>
            </w:r>
          </w:p>
        </w:tc>
      </w:tr>
      <w:t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XOL</w:t>
            </w:r>
          </w:p>
        </w:tc>
        <w:tc>
          <w:tcPr>
            <w:tcW w:w="7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Excess-of-loss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left"/>
      </w:p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international trade policies in areas such as tariffs or other trade restrictions, and their impacts on our business, operations and personnel;</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first-time homebuyers or on very high-LTV mortgages; or changes in the direction of housing policy objectives of the Federal Housing Finance Agency (FHFA), such as the FHFA's priority to increase the accessibility to and affordability of homeownership for low- and moderate-income borrowers and underrepresented communities;</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our ability to remain an eligible mortgage insurer under the private mortgage insurer eligibility requirements (PMIERs) and other requirements imposed by the GSEs, which they may change at any time;</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retention of our existing certificates of authority in each state and the District of Columbia (D.C.) and our ability to remain a mortgage insurer in good standing in each state and D.C.;</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our future profitability, liquidity and capital resources;</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U.S. federal tax reform and other potential changes in tax law and their impact on us and our operations;</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legislative or regulatory changes to the GSEs' role in the secondary mortgage market or other changes that could affect the residential mortgage industry generally or mortgage insurance industry in particular;</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potential legal and regulatory claims, investigations, actions, audits or inquiries that could result in adverse judgments, settlements, fines or other relief that could require significant expenditures or have other negative effects on our business;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left"/>
      </w:pPr>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lenders, the GSEs, or other market participants seeking alternatives to private mortgage insurance;</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our ability to implement our business strategy, including our ability to write mortgage insurance on high-quality low down payment residential mortgage loans, successfully and timely implement complex infrastructure, systems, procedures, and internal controls to support our business and regulatory and reporting requirements of the insurance industry;</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 xml:space="preserve">our ability to attract and retain a diverse customer base, including the largest mortgage originators; </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failure of risk management or pricing or investment strategies;</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decrease in the length of time our insurance policies are in force;</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emergence of unexpected claim and coverage issues, including claims exceeding our reserves or amounts we had expected to experience;</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potential adverse impacts arising from natural disasters including, with respect to affected areas, a decline in new business, adverse effects on home prices, and an increase in notices of default on insured mortgages;</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climate risk and efforts to manage or regulate climate risk by government agencies could affect our business and operations;</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 xml:space="preserve">potential adverse impacts arising from the occurrence of any man-made disasters or public health emergencies, including pandemics; </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the inability of our counter-parties, including third-party reinsurers, to meet their obligations to us;</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 xml:space="preserve">failure to maintain, improve and continue to develop necessary information technology (IT) systems or the failure of technology providers to perform; </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our ability to recruit, train and retain key personnel.</w:t>
      </w:r>
    </w:p>
    <w:p>
      <w:pPr>
        <w:pStyle w:val="TextBody"/>
        <w:bidi w:val="0"/>
        <w:spacing w:lineRule="auto" w:line="288" w:before="0" w:after="180"/>
        <w:ind w:left="0" w:right="0" w:firstLine="720"/>
        <w:jc w:val="both"/>
      </w:pPr>
      <w:r>
        <w:rPr>
          <w:rFonts w:ascii="Times New Roman;serif" w:hAnsi="Times New Roman;serif"/>
          <w:b w:val="false"/>
          <w:color w:val="000000"/>
          <w:sz w:val="20"/>
        </w:rPr>
        <w:t>For further information regarding these risks and uncertainties as well as certain additional risks that we face, you should refer to Part I, Item 2,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of this Report and in Part I, Item 1A, of our Annual Report on Form 10-K for the year ended December 31, 2025 (2025 10-K), as subsequently updated in other reports we file from time to time with the U.S. Securities and Exchange Commission (SEC).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requires otherwise, the terms “we,” “our,” “us,” “Company” and “NMI” in this document refer to NMI Holdings, Inc., a Delaware corporation, and its wholly-owned subsidiaries on a consolidated basis.</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left"/>
      </w:p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INDEX TO FINANCIAL STATEMENTS</w:t>
      </w:r>
    </w:p>
    <w:tbl>
      <w:tblPr>
        <w:tblW w:w="7946" w:type="dxa"/>
        <w:jc w:val="center"/>
        <w:tblInd w:w="0" w:type="dxa"/>
        <w:tblLayout w:type="fixed"/>
        <w:tblCellMar>
          <w:top w:w="28" w:type="dxa"/>
          <w:left w:w="28" w:type="dxa"/>
          <w:bottom w:w="28" w:type="dxa"/>
          <w:right w:w="28" w:type="dxa"/>
        </w:tblCellMar>
      </w:tblPr>
      <w:tblGrid>
        <w:gridCol w:w="2741"/>
        <w:gridCol w:w="2411"/>
        <w:gridCol w:w="2422"/>
        <w:gridCol w:w="109"/>
        <w:gridCol w:w="109"/>
        <w:gridCol w:w="154"/>
      </w:tblGrid>
      <w:tr>
        <w:tc>
          <w:tcPr>
            <w:tcW w:w="2741"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Balance Sheets (Unaudited)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22">
              <w:r>
                <w:rPr>
                  <w:rStyle w:val="InternetLink"/>
                  <w:rFonts w:ascii="Times New Roman;serif" w:hAnsi="Times New Roman;serif"/>
                  <w:b w:val="false"/>
                  <w:color w:val="0000FF"/>
                  <w:sz w:val="20"/>
                  <w:u w:val="single"/>
                </w:rPr>
                <w:t>7</w:t>
              </w:r>
            </w:hyperlink>
          </w:p>
        </w:tc>
      </w:tr>
      <w:t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and Comprehensive Income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25">
              <w:r>
                <w:rPr>
                  <w:rStyle w:val="InternetLink"/>
                  <w:rFonts w:ascii="Times New Roman;serif" w:hAnsi="Times New Roman;serif"/>
                  <w:b w:val="false"/>
                  <w:color w:val="0000FF"/>
                  <w:sz w:val="20"/>
                  <w:u w:val="single"/>
                </w:rPr>
                <w:t>8</w:t>
              </w:r>
            </w:hyperlink>
          </w:p>
        </w:tc>
      </w:tr>
      <w:t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Shareholders' Equity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28">
              <w:r>
                <w:rPr>
                  <w:rStyle w:val="InternetLink"/>
                  <w:rFonts w:ascii="Times New Roman;serif" w:hAnsi="Times New Roman;serif"/>
                  <w:b w:val="false"/>
                  <w:color w:val="0000FF"/>
                  <w:sz w:val="20"/>
                  <w:u w:val="single"/>
                </w:rPr>
                <w:t>9</w:t>
              </w:r>
            </w:hyperlink>
          </w:p>
        </w:tc>
      </w:tr>
      <w:tr>
        <w:tc>
          <w:tcPr>
            <w:tcW w:w="7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31">
              <w:r>
                <w:rPr>
                  <w:rStyle w:val="InternetLink"/>
                  <w:rFonts w:ascii="Times New Roman;serif" w:hAnsi="Times New Roman;serif"/>
                  <w:b w:val="false"/>
                  <w:color w:val="0000FF"/>
                  <w:sz w:val="20"/>
                  <w:u w:val="single"/>
                </w:rPr>
                <w:t>11</w:t>
              </w:r>
            </w:hyperlink>
          </w:p>
        </w:tc>
      </w:tr>
      <w:tr>
        <w:tc>
          <w:tcPr>
            <w:tcW w:w="7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hyperlink w:anchor="id92632a0d36447e5a7847b7d9a026ca5_34">
              <w:r>
                <w:rPr>
                  <w:rStyle w:val="InternetLink"/>
                  <w:rFonts w:ascii="Times New Roman;serif" w:hAnsi="Times New Roman;serif"/>
                  <w:b w:val="false"/>
                  <w:color w:val="0000FF"/>
                  <w:sz w:val="20"/>
                  <w:u w:val="single"/>
                </w:rPr>
                <w:t>12</w:t>
              </w:r>
            </w:hyperlink>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692"/>
        <w:gridCol w:w="2190"/>
        <w:gridCol w:w="2216"/>
        <w:gridCol w:w="223"/>
        <w:gridCol w:w="1034"/>
        <w:gridCol w:w="115"/>
        <w:gridCol w:w="109"/>
        <w:gridCol w:w="109"/>
        <w:gridCol w:w="109"/>
        <w:gridCol w:w="220"/>
        <w:gridCol w:w="1022"/>
        <w:gridCol w:w="166"/>
      </w:tblGrid>
      <w:tr>
        <w:tc>
          <w:tcPr>
            <w:tcW w:w="2692"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7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7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share data)</w:t>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of $3,427,996 and $3,190,174)</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3,243,464 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Reinsurance recoverable </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4,002,238 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1,299,570 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1,249,112 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89,060,731 shares issued and 74,805,855 shares outstanding as of September 30, 2026 and 88,371,465 shares issued and 76,285,242 shares outstanding as of December 31, 2025 (250,000,000 shares authorized)</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14,254,876 and 12,086,223 common shares as of September 30, 2026 and December 31, 2025, respectively</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(438,560)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2,270,775 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2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2,702,668 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4,002,238 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pPr>
      <w:r/>
    </w:p>
    <w:p>
      <w:pPr>
        <w:pStyle w:val="TextBody"/>
        <w:bidi w:val="0"/>
        <w:spacing w:before="0" w:after="0"/>
        <w:ind w:left="0" w:right="0" w:hanging="360"/>
        <w:jc w:val="left"/>
      </w:pPr>
      <w:r/>
    </w:p>
    <w:p>
      <w:pPr>
        <w:pStyle w:val="TextBody"/>
        <w:bidi w:val="0"/>
        <w:spacing w:before="0" w:after="0"/>
        <w:ind w:left="0" w:right="0" w:hanging="360"/>
        <w:jc w:val="both"/>
      </w:pPr>
      <w:r/>
    </w:p>
    <w:p>
      <w:pPr>
        <w:pStyle w:val="TextBody"/>
        <w:bidi w:val="0"/>
        <w:spacing w:before="0" w:after="0"/>
        <w:ind w:left="0" w:right="0" w:hanging="360"/>
        <w:jc w:val="left"/>
      </w:pPr>
      <w:r/>
    </w:p>
    <w:p>
      <w:pPr>
        <w:pStyle w:val="TextBody"/>
        <w:bidi w:val="0"/>
        <w:spacing w:before="0" w:after="180"/>
        <w:jc w:val="right"/>
      </w:pPr>
      <w:r/>
    </w:p>
    <w:p>
      <w:pPr>
        <w:pStyle w:val="TextBody"/>
        <w:bidi w:val="0"/>
        <w:spacing w:before="0" w:after="180"/>
        <w:jc w:val="right"/>
      </w:pPr>
      <w:r/>
    </w:p>
    <w:p>
      <w:pPr>
        <w:pStyle w:val="TextBody"/>
        <w:bidi w:val="0"/>
        <w:spacing w:before="0" w:after="180"/>
        <w:jc w:val="right"/>
      </w:pPr>
      <w:r/>
    </w:p>
    <w:p>
      <w:pPr>
        <w:pStyle w:val="TextBody"/>
        <w:bidi w:val="0"/>
        <w:spacing w:before="0" w:after="180"/>
        <w:jc w:val="right"/>
      </w:pPr>
      <w:r/>
    </w:p>
    <w:p>
      <w:pPr>
        <w:pStyle w:val="TextBody"/>
        <w:bidi w:val="0"/>
        <w:spacing w:lineRule="auto" w:line="288" w:before="0" w:after="18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pPr>
      <w:r>
        <w:rPr>
          <w:rFonts w:ascii="Times New Roman;serif" w:hAnsi="Times New Roman;serif"/>
          <w:b w:val="false"/>
          <w:color w:val="000000"/>
          <w:sz w:val="20"/>
        </w:rPr>
        <w:t>C</w:t>
      </w:r>
      <w:r>
        <w:rPr>
          <w:rFonts w:ascii="Times New Roman;serif" w:hAnsi="Times New Roman;serif"/>
          <w:b w:val="false"/>
          <w:color w:val="000000"/>
          <w:sz w:val="18"/>
        </w:rPr>
        <w:t>ONDENSED CONSOLIDATED STATEMENTS OF OPERATIONS AND COMPREHENSIVE INCOME (UNAUDITED)</w:t>
      </w:r>
    </w:p>
    <w:tbl>
      <w:tblPr>
        <w:tblW w:w="10205" w:type="dxa"/>
        <w:jc w:val="center"/>
        <w:tblInd w:w="0" w:type="dxa"/>
        <w:tblLayout w:type="fixed"/>
        <w:tblCellMar>
          <w:top w:w="28" w:type="dxa"/>
          <w:left w:w="28" w:type="dxa"/>
          <w:bottom w:w="28" w:type="dxa"/>
          <w:right w:w="28" w:type="dxa"/>
        </w:tblCellMar>
      </w:tblPr>
      <w:tblGrid>
        <w:gridCol w:w="1889"/>
        <w:gridCol w:w="1273"/>
        <w:gridCol w:w="1282"/>
        <w:gridCol w:w="217"/>
        <w:gridCol w:w="851"/>
        <w:gridCol w:w="112"/>
        <w:gridCol w:w="112"/>
        <w:gridCol w:w="112"/>
        <w:gridCol w:w="112"/>
        <w:gridCol w:w="217"/>
        <w:gridCol w:w="851"/>
        <w:gridCol w:w="112"/>
        <w:gridCol w:w="109"/>
        <w:gridCol w:w="109"/>
        <w:gridCol w:w="109"/>
        <w:gridCol w:w="216"/>
        <w:gridCol w:w="847"/>
        <w:gridCol w:w="111"/>
        <w:gridCol w:w="111"/>
        <w:gridCol w:w="111"/>
        <w:gridCol w:w="111"/>
        <w:gridCol w:w="216"/>
        <w:gridCol w:w="847"/>
        <w:gridCol w:w="168"/>
      </w:tblGrid>
      <w:tr>
        <w:tc>
          <w:tcPr>
            <w:tcW w:w="188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187,550 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558,916 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525,704 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67,245 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147,049 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298,590 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294,709 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(losses) gains in accumulated other comprehensive loss, net of tax (benefit) expense of $(20,156) and $5,145 for the three months ended September 30, 2026 and 2025, and $(27,801) and $18,901 for the nine months ended September 30, 2026 and 2025, respectively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realized losses (gains) included in net income, net of tax (benefit) expense of $(73) and $67 for the three months ended September 30, 2026 and 2025, and $(211) and $(12) for the nine months ended September 30, 2026 and 2025, respectively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(75,549)</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(103,790)</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71,150 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115,102 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194,800 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365,859 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color w:val="000000"/>
        </w:rPr>
      </w:pPr>
      <w:r>
        <w:rPr>
          <w:color w:val="000000"/>
        </w:rPr>
        <w:t>        </w:t>
      </w:r>
    </w:p>
    <w:p>
      <w:pPr>
        <w:pStyle w:val="TextBody"/>
        <w:bidi w:val="0"/>
        <w:spacing w:before="60" w:after="60"/>
        <w:ind w:left="0" w:right="0" w:hanging="360"/>
        <w:jc w:val="both"/>
      </w:pPr>
      <w:r/>
    </w:p>
    <w:p>
      <w:pPr>
        <w:pStyle w:val="TextBody"/>
        <w:bidi w:val="0"/>
        <w:spacing w:before="0" w:after="0"/>
        <w:jc w:val="right"/>
      </w:pPr>
      <w:r/>
    </w:p>
    <w:p>
      <w:pPr>
        <w:pStyle w:val="TextBody"/>
        <w:bidi w:val="0"/>
        <w:spacing w:before="0" w:after="0"/>
        <w:jc w:val="right"/>
      </w:pPr>
      <w:r/>
    </w:p>
    <w:p>
      <w:pPr>
        <w:pStyle w:val="TextBody"/>
        <w:bidi w:val="0"/>
        <w:spacing w:before="0" w:after="0"/>
        <w:jc w:val="right"/>
      </w:pPr>
      <w:r/>
    </w:p>
    <w:p>
      <w:pPr>
        <w:pStyle w:val="TextBody"/>
        <w:bidi w:val="0"/>
        <w:spacing w:before="0" w:after="0"/>
        <w:jc w:val="right"/>
      </w:pPr>
      <w:r/>
    </w:p>
    <w:p>
      <w:pPr>
        <w:pStyle w:val="TextBody"/>
        <w:bidi w:val="0"/>
        <w:spacing w:before="0" w:after="0"/>
        <w:jc w:val="right"/>
      </w:pPr>
      <w:r/>
    </w:p>
    <w:p>
      <w:pPr>
        <w:pStyle w:val="TextBody"/>
        <w:bidi w:val="0"/>
        <w:spacing w:lineRule="auto" w:line="288" w:before="0" w:after="0"/>
        <w:jc w:val="righ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SHAREHOLDERS' EQUITY (UNAUDITED)</w:t>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894"/>
        <w:gridCol w:w="504"/>
        <w:gridCol w:w="505"/>
        <w:gridCol w:w="360"/>
        <w:gridCol w:w="361"/>
        <w:gridCol w:w="196"/>
        <w:gridCol w:w="212"/>
        <w:gridCol w:w="470"/>
        <w:gridCol w:w="110"/>
        <w:gridCol w:w="211"/>
        <w:gridCol w:w="976"/>
        <w:gridCol w:w="109"/>
        <w:gridCol w:w="222"/>
        <w:gridCol w:w="896"/>
        <w:gridCol w:w="114"/>
        <w:gridCol w:w="243"/>
        <w:gridCol w:w="1037"/>
        <w:gridCol w:w="125"/>
        <w:gridCol w:w="213"/>
        <w:gridCol w:w="987"/>
        <w:gridCol w:w="110"/>
        <w:gridCol w:w="211"/>
        <w:gridCol w:w="976"/>
        <w:gridCol w:w="163"/>
      </w:tblGrid>
      <w:tr>
        <w:tc>
          <w:tcPr>
            <w:tcW w:w="89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12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140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31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13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12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140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131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13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r>
      <w:t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2025</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benefit of $5,869</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March 31, 2026</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(379,495)</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(68,160)</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2,071,515 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2,632,432 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benefit of $1,638</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June 30, 2026</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(411,207)</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(74,324)</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2,177,303 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2,705,196 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benefit of $20,083</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September 30, 2026</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74,806 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(438,560)</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(149,873)</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2,270,775 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2,702,668 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During the three months ended June 30, 2026, we issued 44,295 common shares with a par value of $0.01 in connection with the exercise of options and vesting of restricted stock units granted under our stock plans, which is not identifiable in this schedule due to rounding.</w:t>
      </w:r>
    </w:p>
    <w:p>
      <w:pPr>
        <w:pStyle w:val="TextBody"/>
        <w:bidi w:val="0"/>
        <w:spacing w:before="0" w:after="180"/>
        <w:jc w:val="center"/>
      </w:pPr>
      <w:r/>
    </w:p>
    <w:p>
      <w:pPr>
        <w:pStyle w:val="TextBody"/>
        <w:bidi w:val="0"/>
        <w:spacing w:before="0" w:after="18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CHANGES IN SHAREHOLDERS' EQUITY (UNAUDITED)</w:t>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894"/>
        <w:gridCol w:w="504"/>
        <w:gridCol w:w="505"/>
        <w:gridCol w:w="360"/>
        <w:gridCol w:w="361"/>
        <w:gridCol w:w="196"/>
        <w:gridCol w:w="212"/>
        <w:gridCol w:w="470"/>
        <w:gridCol w:w="110"/>
        <w:gridCol w:w="211"/>
        <w:gridCol w:w="976"/>
        <w:gridCol w:w="109"/>
        <w:gridCol w:w="222"/>
        <w:gridCol w:w="896"/>
        <w:gridCol w:w="114"/>
        <w:gridCol w:w="243"/>
        <w:gridCol w:w="1037"/>
        <w:gridCol w:w="125"/>
        <w:gridCol w:w="213"/>
        <w:gridCol w:w="987"/>
        <w:gridCol w:w="110"/>
        <w:gridCol w:w="211"/>
        <w:gridCol w:w="976"/>
        <w:gridCol w:w="163"/>
      </w:tblGrid>
      <w:tr>
        <w:tc>
          <w:tcPr>
            <w:tcW w:w="89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Paid-in Capital</w:t>
            </w:r>
          </w:p>
        </w:tc>
        <w:tc>
          <w:tcPr>
            <w:tcW w:w="123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140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131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13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123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140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131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13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r>
      <w:t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2,217,432 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$8,181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March 31,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(272,647)</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(94,028)</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1,685,818 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2,321,571 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$5,654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June 30,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(296,047)</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(72,757)</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1,781,969 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2,420,107 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issued under stock plans, net of shares withheld for employee taxes</w:t>
            </w:r>
          </w:p>
        </w:tc>
        <w:tc>
          <w:tcPr>
            <w:tcW w:w="7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unrealized investment gains/losses, net of tax expense of $5,078</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September 30, 2025</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77,095 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1,010,550 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(320,877)</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(53,654)</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1,877,968 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2,514,871 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During the three months ended September 30, 2025, we issued 5,956 common shares with a par value of $0.01 in connection with the exercise of options and vesting of restricted stock units granted under our stock plans, which is not identifiable in this schedule due to rounding.</w:t>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lineRule="auto" w:line="288" w:before="0" w:after="180"/>
        <w:jc w:val="right"/>
        <w:rPr>
          <w:rFonts w:ascii="Times New Roman;serif" w:hAnsi="Times New Roman;serif"/>
          <w:b w:val="false"/>
          <w:i/>
          <w:color w:val="000000"/>
          <w:sz w:val="19"/>
        </w:rPr>
      </w:pPr>
      <w:r>
        <w:rPr>
          <w:rFonts w:ascii="Times New Roman;serif" w:hAnsi="Times New Roman;serif"/>
          <w:b w:val="false"/>
          <w:i/>
          <w:color w:val="000000"/>
          <w:sz w:val="19"/>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CASH FLOWS (UNAUDITED)</w:t>
      </w:r>
    </w:p>
    <w:tbl>
      <w:tblPr>
        <w:tblW w:w="10205" w:type="dxa"/>
        <w:jc w:val="right"/>
        <w:tblInd w:w="0" w:type="dxa"/>
        <w:tblLayout w:type="fixed"/>
        <w:tblCellMar>
          <w:top w:w="28" w:type="dxa"/>
          <w:left w:w="28" w:type="dxa"/>
          <w:bottom w:w="28" w:type="dxa"/>
          <w:right w:w="28" w:type="dxa"/>
        </w:tblCellMar>
      </w:tblPr>
      <w:tblGrid>
        <w:gridCol w:w="2580"/>
        <w:gridCol w:w="2251"/>
        <w:gridCol w:w="2257"/>
        <w:gridCol w:w="246"/>
        <w:gridCol w:w="967"/>
        <w:gridCol w:w="126"/>
        <w:gridCol w:w="126"/>
        <w:gridCol w:w="126"/>
        <w:gridCol w:w="126"/>
        <w:gridCol w:w="246"/>
        <w:gridCol w:w="967"/>
        <w:gridCol w:w="187"/>
      </w:tblGrid>
      <w:tr>
        <w:tc>
          <w:tcPr>
            <w:tcW w:w="2580"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7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7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7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operating activities</w:t>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Net income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298,590 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294,709 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provided by operating activities:</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realized investment losses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accretion of discount on investment securities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(3,036)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Amortization of debt discount and debt issuance costs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51,539 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58,159 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compensation expense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operating assets and liabilities:</w:t>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Premiums receivable, net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(13,823)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investment income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(5,120)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(3,404)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policy acquisition costs, net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recoverable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(3,055)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(4,799)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Unearned premiums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(6,881)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(15,421)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Reserve for insurance claims and claim expenses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37,813 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Reinsurance balances, net</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expenses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(5,998)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(15,335)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369,666 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357,556 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investing activities</w:t>
            </w:r>
          </w:p>
        </w:tc>
        <w:tc>
          <w:tcPr>
            <w:tcW w:w="1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short-term investments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(103,468)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(149,956)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fixed-maturity investments, available-for-sale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(677,521)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(397,577)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maturities of short-term investments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106,625 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116,700 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maturities and redemptions of fixed-maturity investments, available-for-sale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213,715 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217,342 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sales of fixed-maturity investments, available-for-sale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225,011 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19,814 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Additions to software and equipment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(5,133)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investing activities</w:t>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(241,148)</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(198,810)</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flows from financing activities</w:t>
            </w:r>
          </w:p>
        </w:tc>
        <w:tc>
          <w:tcPr>
            <w:tcW w:w="1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 related to employee equity plans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Taxes paid related to net share settlement of equity awards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(18,946)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(10,980)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c>
          <w:tcPr>
            <w:tcW w:w="7088"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c>
          <w:tcPr>
            <w:tcW w:w="7088"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Repurchases of common stock</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(87,075)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(74,510)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financing activities</w:t>
            </w:r>
          </w:p>
        </w:tc>
        <w:tc>
          <w:tcPr>
            <w:tcW w:w="12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(100,129)</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(82,615)</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in cash, cash equivalents and restricted cash</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76,131 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54,308 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end of period</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72,326 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130,439 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Supplemental disclosures of cash flow information</w:t>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paid</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25,500 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31,450 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paid</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34,463 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right"/>
        <w:rPr>
          <w:rFonts w:ascii="Times New Roman;serif" w:hAnsi="Times New Roman;serif"/>
          <w:b w:val="false"/>
          <w:i/>
          <w:color w:val="000000"/>
          <w:sz w:val="19"/>
        </w:rPr>
      </w:pPr>
      <w:r>
        <w:rPr>
          <w:rFonts w:ascii="Times New Roman;serif" w:hAnsi="Times New Roman;serif"/>
          <w:b w:val="false"/>
          <w:i/>
          <w:color w:val="000000"/>
          <w:sz w:val="19"/>
        </w:rPr>
        <w:t>See accompanying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 Organization, Basis of Presentation and Summary of Accounting Principles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which include the results of NMIH and its wholly-owned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2025, included in our 2025 10-K. All intercompany transactions have been eliminated. The preparation of financial statements in accordance with GAAP requires management to make estimates and assumptions that affect reported amounts of assets and liabilities, and the disclosure of contingent assets and liabilities as of the balance sheet date, as well as reported amounts of income and expenses for the reporting period. Actual results could differ from those estimates. In the opinion of management, these unaudited condensed consolidated financial statements include all adjustments (including normal recurring adjustments) that are necessary to present a fair statement of financial position, results of operations and cash flows for the periods presented. The results of operations for the interim period may not be indicative of the results that may be expected for the full year ending December 31, 2026.</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Significant Accounting Principles</w:t>
      </w:r>
    </w:p>
    <w:p>
      <w:pPr>
        <w:pStyle w:val="TextBody"/>
        <w:bidi w:val="0"/>
        <w:spacing w:lineRule="auto" w:line="288" w:before="0" w:after="180"/>
        <w:ind w:left="0" w:right="0" w:firstLine="720"/>
        <w:jc w:val="both"/>
      </w:pPr>
      <w:r>
        <w:rPr>
          <w:rFonts w:ascii="Times New Roman;serif" w:hAnsi="Times New Roman;serif"/>
          <w:b w:val="false"/>
          <w:color w:val="000000"/>
          <w:sz w:val="20"/>
        </w:rPr>
        <w:t>There have been no changes to our significant accounting principles as described in Item 8, “</w:t>
      </w:r>
      <w:r>
        <w:rPr>
          <w:rFonts w:ascii="Times New Roman;serif" w:hAnsi="Times New Roman;serif"/>
          <w:b w:val="false"/>
          <w:i/>
          <w:color w:val="000000"/>
          <w:sz w:val="20"/>
        </w:rPr>
        <w:t>Financial Statements and Supplementary Data - Notes to Consolidated Financial Statements - Note 2 - Summary of Accounting Principles”</w:t>
      </w:r>
      <w:r>
        <w:rPr>
          <w:color w:val="000000"/>
        </w:rPr>
        <w:t xml:space="preserve"> </w:t>
      </w:r>
      <w:r>
        <w:rPr>
          <w:rFonts w:ascii="Times New Roman;serif" w:hAnsi="Times New Roman;serif"/>
          <w:b w:val="false"/>
          <w:color w:val="000000"/>
          <w:sz w:val="20"/>
        </w:rPr>
        <w:t xml:space="preserve">of our 2025 10-K.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 Not Yet Adopted</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 (Topic 220). The update expands disclosure requirements related to certain income statement expenses, including a requirement to provide a tabular disaggregation of certain operating expenses by category. The standard will take effect for all public business entities for annual reporting periods beginning after December 15, 2026, and interim reporting periods beginning after December 15, 2027. Upon adoption, we expect to include expanded tabular disclosures in our consolidated financial statements, as applicable.</w:t>
      </w:r>
    </w:p>
    <w:p>
      <w:pPr>
        <w:pStyle w:val="TextBody"/>
        <w:bidi w:val="0"/>
        <w:spacing w:lineRule="auto" w:line="288" w:before="0" w:after="19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Targeted Accounting for Internal-Use Software (Topic 350). The update clarifies the criteria surrounding the capitalization of certain costs and expands related disclosure requirements. The standard will take effect for all public business entities for annual reporting periods beginning after December 15, 2027, and interim reporting periods within those annual reporting periods. Early adoption is permitted. We are currently evaluating the impact the adoption of this ASU will have, if any,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 Investments</w:t>
      </w:r>
    </w:p>
    <w:p>
      <w:pPr>
        <w:pStyle w:val="TextBody"/>
        <w:bidi w:val="0"/>
        <w:spacing w:lineRule="auto" w:line="288" w:before="0" w:after="180"/>
        <w:ind w:left="0" w:right="0" w:firstLine="540"/>
        <w:jc w:val="both"/>
      </w:pPr>
      <w:r>
        <w:rPr>
          <w:rFonts w:ascii="Times New Roman;serif" w:hAnsi="Times New Roman;serif"/>
          <w:b w:val="false"/>
          <w:color w:val="000000"/>
          <w:sz w:val="20"/>
        </w:rPr>
        <w:t>We hold all investments on an available-for-sale basis at fair value on our condensed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condensed consolidated statements of operations and comprehensive income as a “</w:t>
      </w:r>
      <w:r>
        <w:rPr>
          <w:rFonts w:ascii="Times New Roman;serif" w:hAnsi="Times New Roman;serif"/>
          <w:b w:val="false"/>
          <w:i/>
          <w:color w:val="000000"/>
          <w:sz w:val="20"/>
        </w:rPr>
        <w:t>Net realized investment loss</w:t>
      </w:r>
      <w:r>
        <w:rPr>
          <w:rFonts w:ascii="Times New Roman;serif" w:hAnsi="Times New Roman;serif"/>
          <w:b w:val="false"/>
          <w:color w:val="000000"/>
          <w:sz w:val="20"/>
        </w:rPr>
        <w:t>.”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Fair Values and Gross Unrealized Gains and Losses on Investments</w:t>
      </w:r>
    </w:p>
    <w:tbl>
      <w:tblPr>
        <w:tblW w:w="10205" w:type="dxa"/>
        <w:jc w:val="left"/>
        <w:tblInd w:w="0" w:type="dxa"/>
        <w:tblLayout w:type="fixed"/>
        <w:tblCellMar>
          <w:top w:w="28" w:type="dxa"/>
          <w:left w:w="28" w:type="dxa"/>
          <w:bottom w:w="28" w:type="dxa"/>
          <w:right w:w="28" w:type="dxa"/>
        </w:tblCellMar>
      </w:tblPr>
      <w:tblGrid>
        <w:gridCol w:w="1773"/>
        <w:gridCol w:w="1409"/>
        <w:gridCol w:w="1413"/>
        <w:gridCol w:w="211"/>
        <w:gridCol w:w="976"/>
        <w:gridCol w:w="109"/>
        <w:gridCol w:w="109"/>
        <w:gridCol w:w="109"/>
        <w:gridCol w:w="109"/>
        <w:gridCol w:w="211"/>
        <w:gridCol w:w="466"/>
        <w:gridCol w:w="109"/>
        <w:gridCol w:w="109"/>
        <w:gridCol w:w="109"/>
        <w:gridCol w:w="109"/>
        <w:gridCol w:w="211"/>
        <w:gridCol w:w="885"/>
        <w:gridCol w:w="109"/>
        <w:gridCol w:w="109"/>
        <w:gridCol w:w="109"/>
        <w:gridCol w:w="109"/>
        <w:gridCol w:w="211"/>
        <w:gridCol w:w="976"/>
        <w:gridCol w:w="155"/>
      </w:tblGrid>
      <w:tr>
        <w:tc>
          <w:tcPr>
            <w:tcW w:w="177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r>
      <w:tr>
        <w:tc>
          <w:tcPr>
            <w:tcW w:w="4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September 30, 2026</w:t>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2,206,293 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U.S. agency mortgage-backed securities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3,342,977 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3,158,513 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3,427,996 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(184,943)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3,243,464 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39"/>
        <w:gridCol w:w="1351"/>
        <w:gridCol w:w="1357"/>
        <w:gridCol w:w="211"/>
        <w:gridCol w:w="976"/>
        <w:gridCol w:w="109"/>
        <w:gridCol w:w="109"/>
        <w:gridCol w:w="109"/>
        <w:gridCol w:w="109"/>
        <w:gridCol w:w="211"/>
        <w:gridCol w:w="721"/>
        <w:gridCol w:w="109"/>
        <w:gridCol w:w="109"/>
        <w:gridCol w:w="109"/>
        <w:gridCol w:w="109"/>
        <w:gridCol w:w="211"/>
        <w:gridCol w:w="778"/>
        <w:gridCol w:w="109"/>
        <w:gridCol w:w="109"/>
        <w:gridCol w:w="109"/>
        <w:gridCol w:w="109"/>
        <w:gridCol w:w="211"/>
        <w:gridCol w:w="976"/>
        <w:gridCol w:w="155"/>
      </w:tblGrid>
      <w:tr>
        <w:tc>
          <w:tcPr>
            <w:tcW w:w="173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c>
          <w:tcPr>
            <w:tcW w:w="4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pPr>
            <w:r/>
          </w:p>
        </w:tc>
      </w:tr>
      <w:tr>
        <w:tc>
          <w:tcPr>
            <w:tcW w:w="4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57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U.S. agency mortgage-backed securities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bonds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3,103,569 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3,050,404 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100% of our U.S. agency mortgage-backed securities at September 30, 2026 and December 31, 2025 were guaranteed by Ginnie Mae, which has the full faith and credit of the U.S. federal government.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breakdown of the fair value of our corporate debt securities by issuer industry group as of September 30, 2026 and December 31, 2025: </w:t>
      </w:r>
    </w:p>
    <w:tbl>
      <w:tblPr>
        <w:tblW w:w="4933" w:type="dxa"/>
        <w:jc w:val="left"/>
        <w:tblInd w:w="0" w:type="dxa"/>
        <w:tblLayout w:type="fixed"/>
        <w:tblCellMar>
          <w:top w:w="28" w:type="dxa"/>
          <w:left w:w="28" w:type="dxa"/>
          <w:bottom w:w="28" w:type="dxa"/>
          <w:right w:w="28" w:type="dxa"/>
        </w:tblCellMar>
      </w:tblPr>
      <w:tblGrid>
        <w:gridCol w:w="547"/>
        <w:gridCol w:w="481"/>
        <w:gridCol w:w="488"/>
        <w:gridCol w:w="344"/>
        <w:gridCol w:w="344"/>
        <w:gridCol w:w="857"/>
        <w:gridCol w:w="109"/>
        <w:gridCol w:w="109"/>
        <w:gridCol w:w="109"/>
        <w:gridCol w:w="314"/>
        <w:gridCol w:w="314"/>
        <w:gridCol w:w="917"/>
      </w:tblGrid>
      <w:t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w:t>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Materials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8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approximately $5.3 million and $5.4 million, respectively, of our cash and investments were held in the form of U.S. Treasury securities on deposit with various state insurance departments to satisfy regulatory requirements.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Scheduled Maturities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available-for-sale securities as of September 30, 2026 and December 31, 2025, by contractual maturity, are shown below. Expected maturities will differ from contractual maturities because issuers may have the right to call or prepay obligations with or without call or prepayment penalties. Because most U.S. agency mortgage-backed securities and other asset-backed securities provide for periodic payments throughout their lives, they are listed below in separate categories.</w:t>
      </w:r>
    </w:p>
    <w:tbl>
      <w:tblPr>
        <w:tblW w:w="6308" w:type="dxa"/>
        <w:jc w:val="left"/>
        <w:tblInd w:w="0" w:type="dxa"/>
        <w:tblLayout w:type="fixed"/>
        <w:tblCellMar>
          <w:top w:w="28" w:type="dxa"/>
          <w:left w:w="28" w:type="dxa"/>
          <w:bottom w:w="28" w:type="dxa"/>
          <w:right w:w="28" w:type="dxa"/>
        </w:tblCellMar>
      </w:tblPr>
      <w:tblGrid>
        <w:gridCol w:w="1212"/>
        <w:gridCol w:w="1064"/>
        <w:gridCol w:w="1068"/>
        <w:gridCol w:w="211"/>
        <w:gridCol w:w="976"/>
        <w:gridCol w:w="109"/>
        <w:gridCol w:w="109"/>
        <w:gridCol w:w="109"/>
        <w:gridCol w:w="109"/>
        <w:gridCol w:w="211"/>
        <w:gridCol w:w="976"/>
        <w:gridCol w:w="154"/>
      </w:tblGrid>
      <w:t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September 30, 2026</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3,427,996 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3,243,464 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09" w:type="dxa"/>
        <w:jc w:val="left"/>
        <w:tblInd w:w="0" w:type="dxa"/>
        <w:tblLayout w:type="fixed"/>
        <w:tblCellMar>
          <w:top w:w="28" w:type="dxa"/>
          <w:left w:w="28" w:type="dxa"/>
          <w:bottom w:w="28" w:type="dxa"/>
          <w:right w:w="28" w:type="dxa"/>
        </w:tblCellMar>
      </w:tblPr>
      <w:tblGrid>
        <w:gridCol w:w="1209"/>
        <w:gridCol w:w="1065"/>
        <w:gridCol w:w="1071"/>
        <w:gridCol w:w="211"/>
        <w:gridCol w:w="976"/>
        <w:gridCol w:w="109"/>
        <w:gridCol w:w="109"/>
        <w:gridCol w:w="109"/>
        <w:gridCol w:w="109"/>
        <w:gridCol w:w="211"/>
        <w:gridCol w:w="976"/>
        <w:gridCol w:w="154"/>
      </w:tblGrid>
      <w:tr>
        <w:tc>
          <w:tcPr>
            <w:tcW w:w="120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3,190,174 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Aging of Unrealized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investment portfolio had gross unrealized losses of $184.9 million, of which $101.7 million were associated with securities that had been in an unrealized loss position for a period of twelve months or longer. As of December 31, 2025, the investment portfolio had gross unrealized losses of $86.3 million, of which $84.3 million were associated with securities that had been in an unrealized loss position for a period of twelve months or longer. For those securities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an unrealized loss position, the length of time the securities were in such a position is as follows:</w:t>
      </w:r>
    </w:p>
    <w:tbl>
      <w:tblPr>
        <w:tblW w:w="11884" w:type="dxa"/>
        <w:jc w:val="left"/>
        <w:tblInd w:w="0" w:type="dxa"/>
        <w:tblLayout w:type="fixed"/>
        <w:tblCellMar>
          <w:top w:w="28" w:type="dxa"/>
          <w:left w:w="28" w:type="dxa"/>
          <w:bottom w:w="28" w:type="dxa"/>
          <w:right w:w="28" w:type="dxa"/>
        </w:tblCellMar>
      </w:tblPr>
      <w:tblGrid>
        <w:gridCol w:w="966"/>
        <w:gridCol w:w="282"/>
        <w:gridCol w:w="283"/>
        <w:gridCol w:w="265"/>
        <w:gridCol w:w="265"/>
        <w:gridCol w:w="266"/>
        <w:gridCol w:w="211"/>
        <w:gridCol w:w="976"/>
        <w:gridCol w:w="109"/>
        <w:gridCol w:w="211"/>
        <w:gridCol w:w="736"/>
        <w:gridCol w:w="109"/>
        <w:gridCol w:w="109"/>
        <w:gridCol w:w="109"/>
        <w:gridCol w:w="109"/>
        <w:gridCol w:w="265"/>
        <w:gridCol w:w="265"/>
        <w:gridCol w:w="266"/>
        <w:gridCol w:w="211"/>
        <w:gridCol w:w="976"/>
        <w:gridCol w:w="109"/>
        <w:gridCol w:w="211"/>
        <w:gridCol w:w="841"/>
        <w:gridCol w:w="109"/>
        <w:gridCol w:w="109"/>
        <w:gridCol w:w="109"/>
        <w:gridCol w:w="109"/>
        <w:gridCol w:w="265"/>
        <w:gridCol w:w="265"/>
        <w:gridCol w:w="266"/>
        <w:gridCol w:w="211"/>
        <w:gridCol w:w="976"/>
        <w:gridCol w:w="109"/>
        <w:gridCol w:w="211"/>
        <w:gridCol w:w="841"/>
        <w:gridCol w:w="154"/>
      </w:tblGrid>
      <w:tr>
        <w:tc>
          <w:tcPr>
            <w:tcW w:w="9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September 30, 2026</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7"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1,963,298 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3,061,706 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(184,943)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19" w:type="dxa"/>
        <w:jc w:val="left"/>
        <w:tblInd w:w="0" w:type="dxa"/>
        <w:tblLayout w:type="fixed"/>
        <w:tblCellMar>
          <w:top w:w="28" w:type="dxa"/>
          <w:left w:w="28" w:type="dxa"/>
          <w:bottom w:w="28" w:type="dxa"/>
          <w:right w:w="28" w:type="dxa"/>
        </w:tblCellMar>
      </w:tblPr>
      <w:tblGrid>
        <w:gridCol w:w="994"/>
        <w:gridCol w:w="268"/>
        <w:gridCol w:w="269"/>
        <w:gridCol w:w="265"/>
        <w:gridCol w:w="265"/>
        <w:gridCol w:w="266"/>
        <w:gridCol w:w="211"/>
        <w:gridCol w:w="826"/>
        <w:gridCol w:w="109"/>
        <w:gridCol w:w="211"/>
        <w:gridCol w:w="631"/>
        <w:gridCol w:w="109"/>
        <w:gridCol w:w="109"/>
        <w:gridCol w:w="109"/>
        <w:gridCol w:w="109"/>
        <w:gridCol w:w="265"/>
        <w:gridCol w:w="265"/>
        <w:gridCol w:w="266"/>
        <w:gridCol w:w="211"/>
        <w:gridCol w:w="976"/>
        <w:gridCol w:w="109"/>
        <w:gridCol w:w="211"/>
        <w:gridCol w:w="736"/>
        <w:gridCol w:w="109"/>
        <w:gridCol w:w="109"/>
        <w:gridCol w:w="109"/>
        <w:gridCol w:w="109"/>
        <w:gridCol w:w="265"/>
        <w:gridCol w:w="265"/>
        <w:gridCol w:w="266"/>
        <w:gridCol w:w="211"/>
        <w:gridCol w:w="976"/>
        <w:gridCol w:w="109"/>
        <w:gridCol w:w="211"/>
        <w:gridCol w:w="736"/>
        <w:gridCol w:w="154"/>
      </w:tblGrid>
      <w:tr>
        <w:tc>
          <w:tcPr>
            <w:tcW w:w="99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Securities</w:t>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1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r>
      <w:t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2"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w:t>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1,684,758 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we did not recognize an allowance for credit loss for any security in the investment portfolio and we did not record any provision for credit loss for investment securities during the three or nine months ended September 30, 2026 or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securities in an unrealized loss position as of September 30, 2026, assessing their credit ratings as well as any adverse conditions specifically related to the security. Based upon our assessment of the amount and timing of cash flows to be collected over the remaining life of each instrument, we believe the unrealized losses as of September 30, 2026 are not indicative of the ultimate collectability of the current amortized cost of the securities. Rather, the unrealized losses on securities held as of September 30, 2026 were primarily driven by fluctuations in interest rates, and to a lesser extent, movements in credit spreads following the purchase of those securities.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Net Investment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net investment income:</w:t>
      </w:r>
    </w:p>
    <w:tbl>
      <w:tblPr>
        <w:tblW w:w="8640" w:type="dxa"/>
        <w:jc w:val="left"/>
        <w:tblInd w:w="0" w:type="dxa"/>
        <w:tblLayout w:type="fixed"/>
        <w:tblCellMar>
          <w:top w:w="28" w:type="dxa"/>
          <w:left w:w="28" w:type="dxa"/>
          <w:bottom w:w="28" w:type="dxa"/>
          <w:right w:w="28" w:type="dxa"/>
        </w:tblCellMar>
      </w:tblPr>
      <w:tblGrid>
        <w:gridCol w:w="723"/>
        <w:gridCol w:w="635"/>
        <w:gridCol w:w="637"/>
        <w:gridCol w:w="278"/>
        <w:gridCol w:w="952"/>
        <w:gridCol w:w="143"/>
        <w:gridCol w:w="143"/>
        <w:gridCol w:w="143"/>
        <w:gridCol w:w="143"/>
        <w:gridCol w:w="278"/>
        <w:gridCol w:w="952"/>
        <w:gridCol w:w="143"/>
        <w:gridCol w:w="109"/>
        <w:gridCol w:w="109"/>
        <w:gridCol w:w="109"/>
        <w:gridCol w:w="270"/>
        <w:gridCol w:w="925"/>
        <w:gridCol w:w="139"/>
        <w:gridCol w:w="139"/>
        <w:gridCol w:w="139"/>
        <w:gridCol w:w="139"/>
        <w:gridCol w:w="270"/>
        <w:gridCol w:w="925"/>
        <w:gridCol w:w="197"/>
      </w:tblGrid>
      <w:t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Investment income</w:t>
            </w:r>
            <w:r>
              <w:rPr>
                <w:color w:val="000000"/>
              </w:rPr>
              <w:t xml:space="preserve"> </w:t>
            </w:r>
            <w:r>
              <w:rPr>
                <w:rFonts w:ascii="Times New Roman;serif" w:hAnsi="Times New Roman;serif"/>
                <w:b w:val="false"/>
                <w:color w:val="000000"/>
                <w:sz w:val="13"/>
              </w:rPr>
              <w:t>(1)</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32,197 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26,773 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91,132 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75,408 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180"/>
        <w:ind w:left="0" w:right="0" w:hanging="360"/>
        <w:jc w:val="both"/>
      </w:pPr>
      <w:r>
        <w:rPr>
          <w:rFonts w:ascii="Times New Roman;serif" w:hAnsi="Times New Roman;serif"/>
          <w:b w:val="false"/>
          <w:color w:val="000000"/>
          <w:sz w:val="16"/>
        </w:rPr>
        <w:t>(1)    Includes interest income recognized on cash and cash equivalents of $0.6 million and $2.3 million during the three and nine months ended September 30, 2026, respectively, and $0.9 million and $2.9 million during the three and nine months ended</w:t>
      </w:r>
      <w:r>
        <w:rPr>
          <w:color w:val="000000"/>
        </w:rPr>
        <w:t xml:space="preserve"> </w:t>
      </w:r>
      <w:r>
        <w:rPr>
          <w:rFonts w:ascii="Times New Roman;serif" w:hAnsi="Times New Roman;serif"/>
          <w:b w:val="false"/>
          <w:color w:val="000000"/>
          <w:sz w:val="16"/>
        </w:rPr>
        <w:t>September 30, 2025, respectively.</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net realized investment gains (losses):</w:t>
      </w:r>
    </w:p>
    <w:tbl>
      <w:tblPr>
        <w:tblW w:w="9816" w:type="dxa"/>
        <w:jc w:val="left"/>
        <w:tblInd w:w="0" w:type="dxa"/>
        <w:tblLayout w:type="fixed"/>
        <w:tblCellMar>
          <w:top w:w="28" w:type="dxa"/>
          <w:left w:w="28" w:type="dxa"/>
          <w:bottom w:w="28" w:type="dxa"/>
          <w:right w:w="28" w:type="dxa"/>
        </w:tblCellMar>
      </w:tblPr>
      <w:tblGrid>
        <w:gridCol w:w="1148"/>
        <w:gridCol w:w="1006"/>
        <w:gridCol w:w="1011"/>
        <w:gridCol w:w="340"/>
        <w:gridCol w:w="871"/>
        <w:gridCol w:w="175"/>
        <w:gridCol w:w="175"/>
        <w:gridCol w:w="175"/>
        <w:gridCol w:w="175"/>
        <w:gridCol w:w="340"/>
        <w:gridCol w:w="750"/>
        <w:gridCol w:w="175"/>
        <w:gridCol w:w="109"/>
        <w:gridCol w:w="109"/>
        <w:gridCol w:w="109"/>
        <w:gridCol w:w="317"/>
        <w:gridCol w:w="926"/>
        <w:gridCol w:w="164"/>
        <w:gridCol w:w="164"/>
        <w:gridCol w:w="164"/>
        <w:gridCol w:w="164"/>
        <w:gridCol w:w="317"/>
        <w:gridCol w:w="701"/>
        <w:gridCol w:w="231"/>
      </w:tblGrid>
      <w:tr>
        <w:tc>
          <w:tcPr>
            <w:tcW w:w="114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investment gains</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investment losses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3. Fair Value of Financial Instruments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valuation techniques used by us to determine the fair value of our financial instruments: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Assets Classified as Level 1 and Level 2</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financial instruments that are measured at fair value on a recurring basis by hierarchy level:</w:t>
      </w:r>
    </w:p>
    <w:tbl>
      <w:tblPr>
        <w:tblW w:w="10205" w:type="dxa"/>
        <w:jc w:val="left"/>
        <w:tblInd w:w="0" w:type="dxa"/>
        <w:tblLayout w:type="fixed"/>
        <w:tblCellMar>
          <w:top w:w="28" w:type="dxa"/>
          <w:left w:w="28" w:type="dxa"/>
          <w:bottom w:w="28" w:type="dxa"/>
          <w:right w:w="28" w:type="dxa"/>
        </w:tblCellMar>
      </w:tblPr>
      <w:tblGrid>
        <w:gridCol w:w="1613"/>
        <w:gridCol w:w="1218"/>
        <w:gridCol w:w="1228"/>
        <w:gridCol w:w="248"/>
        <w:gridCol w:w="975"/>
        <w:gridCol w:w="128"/>
        <w:gridCol w:w="109"/>
        <w:gridCol w:w="109"/>
        <w:gridCol w:w="109"/>
        <w:gridCol w:w="223"/>
        <w:gridCol w:w="1035"/>
        <w:gridCol w:w="115"/>
        <w:gridCol w:w="109"/>
        <w:gridCol w:w="109"/>
        <w:gridCol w:w="109"/>
        <w:gridCol w:w="318"/>
        <w:gridCol w:w="612"/>
        <w:gridCol w:w="166"/>
        <w:gridCol w:w="109"/>
        <w:gridCol w:w="109"/>
        <w:gridCol w:w="109"/>
        <w:gridCol w:w="211"/>
        <w:gridCol w:w="976"/>
        <w:gridCol w:w="158"/>
      </w:tblGrid>
      <w:tr>
        <w:tc>
          <w:tcPr>
            <w:tcW w:w="16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c>
          <w:tcPr>
            <w:tcW w:w="4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September 30, 2026</w:t>
            </w:r>
          </w:p>
        </w:tc>
        <w:tc>
          <w:tcPr>
            <w:tcW w:w="61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2,206,293 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2,206,293 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352,289 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2,963,501 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3,315,790 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31"/>
        <w:gridCol w:w="1212"/>
        <w:gridCol w:w="1216"/>
        <w:gridCol w:w="248"/>
        <w:gridCol w:w="975"/>
        <w:gridCol w:w="128"/>
        <w:gridCol w:w="109"/>
        <w:gridCol w:w="109"/>
        <w:gridCol w:w="109"/>
        <w:gridCol w:w="223"/>
        <w:gridCol w:w="1035"/>
        <w:gridCol w:w="115"/>
        <w:gridCol w:w="109"/>
        <w:gridCol w:w="109"/>
        <w:gridCol w:w="109"/>
        <w:gridCol w:w="318"/>
        <w:gridCol w:w="612"/>
        <w:gridCol w:w="166"/>
        <w:gridCol w:w="109"/>
        <w:gridCol w:w="109"/>
        <w:gridCol w:w="109"/>
        <w:gridCol w:w="211"/>
        <w:gridCol w:w="976"/>
        <w:gridCol w:w="158"/>
      </w:tblGrid>
      <w:tr>
        <w:tc>
          <w:tcPr>
            <w:tcW w:w="1631"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c>
          <w:tcPr>
            <w:tcW w:w="4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61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437,584 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2,743,376 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3,180,960 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2 and Level 3 of the fair value hierarchy during the nine months ended September 30, 2026 or the year ended December 31, 2025.</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Financial Instruments Not Measured at Fair Value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21, 2024, we issued $425 million aggregate principal amount of senior unsecured notes that mature on August 15, 2029 (the 2024 Notes). At September 30, 2026, the 2024 Notes were carried at an amortized cost of $418.5 million, net of unamortized debt issuance costs and an original issue discount totaling $6.5 million, and had a fair value of $425.8 million as assessed under our Level 2 hierarchy. At December 31, 2025, the 2024 Notes were carried at an amortized cost of $417.0 million, net of unamortized debt issuance costs and an original issue discount totaling $8.0 million, and had a fair value of $441.3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lineRule="auto" w:line="288" w:before="0" w:after="180"/>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Senior Unsecured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September 30, 2026, we had $425 million aggregate principal amount of senior unsecured notes outstanding. The 2024 Notes were issued pursuant to an indenture, dated May 21, 2024, and bear interest at a rate of 6.00%, payable semi-annually on February 15 and August 15.</w:t>
      </w:r>
    </w:p>
    <w:p>
      <w:pPr>
        <w:pStyle w:val="TextBody"/>
        <w:bidi w:val="0"/>
        <w:spacing w:lineRule="auto" w:line="288" w:before="0" w:after="180"/>
        <w:ind w:left="0" w:right="0" w:firstLine="720"/>
        <w:jc w:val="both"/>
      </w:pPr>
      <w:r>
        <w:rPr>
          <w:rFonts w:ascii="Times New Roman;serif" w:hAnsi="Times New Roman;serif"/>
          <w:b w:val="false"/>
          <w:color w:val="000000"/>
          <w:sz w:val="20"/>
        </w:rPr>
        <w:t>The 2024 Notes mature on August 15, 2029. We may elect to redeem the 2024 Notes in whole or in part at any time prior to July 15, 2029 at a price equal to the greater of (1) the aggregate principal balance outstanding plus the present value of all future interest payments due through July 15, 2029, and (2) the aggregate principal balance due plus any accrued and unpaid interest. We may elect to redeem the 2024 Notes in whole or in part at any time on or after July 15, 2029 at a price equal to 100% of the aggregate principal amount of the 2024 Notes to be redeemed plus accrued and unpaid interest thereon</w:t>
      </w:r>
      <w:r>
        <w:rPr>
          <w:rFonts w:ascii="Times New Roman;serif" w:hAnsi="Times New Roman;serif"/>
          <w:b w:val="false"/>
          <w:color w:val="000000"/>
          <w:sz w:val="24"/>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2024 Notes offering, we recorded capitalized debt issuance costs and an original issue discount of $10.9 million. Such amount will be amortized over the contractual life of the 2024 Notes using the effective interest method and included in interest expense. The effective interest rate on the 2024 Notes is 6.583%. At September 30, 2026 and December 31, 2025, $6.5 million and $8.0 million, respectively, of unamortized debt issuance costs and original issue discount remained.</w:t>
      </w:r>
    </w:p>
    <w:p>
      <w:pPr>
        <w:pStyle w:val="TextBody"/>
        <w:bidi w:val="0"/>
        <w:spacing w:lineRule="auto" w:line="288" w:before="0" w:after="180"/>
        <w:ind w:left="0" w:right="0" w:firstLine="720"/>
        <w:jc w:val="both"/>
      </w:pPr>
      <w:r>
        <w:rPr>
          <w:rFonts w:ascii="Times New Roman;serif" w:hAnsi="Times New Roman;serif"/>
          <w:b w:val="false"/>
          <w:color w:val="000000"/>
          <w:sz w:val="20"/>
        </w:rPr>
        <w:t xml:space="preserve">At September 30, 2026 and December 31, 2025, $3.3 million and $9.6 million, respectively, of accrued and unpaid interest on the 2024 Notes was included in </w:t>
      </w:r>
      <w:r>
        <w:rPr>
          <w:color w:val="000000"/>
        </w:rPr>
        <w:t>“</w:t>
      </w:r>
      <w:r>
        <w:rPr>
          <w:rFonts w:ascii="Times New Roman;serif" w:hAnsi="Times New Roman;serif"/>
          <w:b w:val="false"/>
          <w:i/>
          <w:color w:val="000000"/>
          <w:sz w:val="20"/>
        </w:rPr>
        <w:t>Accounts Payable and Accrued Expenses”</w:t>
      </w:r>
      <w:r>
        <w:rPr>
          <w:color w:val="000000"/>
        </w:rPr>
        <w:t xml:space="preserve"> </w:t>
      </w:r>
      <w:r>
        <w:rPr>
          <w:rFonts w:ascii="Times New Roman;serif" w:hAnsi="Times New Roman;serif"/>
          <w:b w:val="false"/>
          <w:color w:val="000000"/>
          <w:sz w:val="20"/>
        </w:rPr>
        <w:t>on our condensed consolidated balance sheets.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29, 2024, we entered into a new $250 million five-year unsecured revolving credit facility (the 2024 Revolving Credit Facility) to replace our then outstanding $250 million four-year secured revolving credit facility (the 2021 Revolving Credit Facility). The 2024 Revolving Credit Facility matures on May 21, 2029. Borrowings under the 2024 Revolving Credit Facility may be used for general corporate purposes, including to support growth, new business production and operations, and accrue interest at a variable rate equal to, at our discretion, (i) a Base Rate (as defined in the 2024 Revolving Credit Facility) subject to a floor of 1.00% per annum plus a margin of 0.375% to 1.875% per annum, or (ii) the Adjusted Term Secured Overnight Financing Rate (SOFR, as defined in the 2024 Revolving Credit Facility) plus a margin of 1.375% to 2.875% per annum, with the margin in each of (i) or (ii) based on our applicable corporate credit rating at the time. As of September 30, 2026 and December 31, 2025, no amounts were drawn under the 2024 Revolving Credit Facility.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we are required to pay a quarterly commitment fee on the average daily undrawn amount of 0.175% to 0.525%, based on the applicable corporate credit rating at the time. As of September 30, 2026, the applicable commitment fee was 0.175%. For the three and nine months ended September 30, 2026, we recorded $0.1 million and $0.3 million, respectively, of commitment fees in interest expense.</w:t>
      </w:r>
    </w:p>
    <w:p>
      <w:pPr>
        <w:pStyle w:val="TextBody"/>
        <w:bidi w:val="0"/>
        <w:spacing w:lineRule="auto" w:line="288" w:before="0" w:after="180"/>
        <w:ind w:left="0" w:right="0" w:firstLine="720"/>
        <w:jc w:val="both"/>
      </w:pPr>
      <w:r>
        <w:rPr>
          <w:rFonts w:ascii="Times New Roman;serif" w:hAnsi="Times New Roman;serif"/>
          <w:b w:val="false"/>
          <w:color w:val="000000"/>
          <w:sz w:val="20"/>
        </w:rPr>
        <w:t xml:space="preserve">We incurred debt issuance costs of $2.1 million in connection with the 2024 Revolving Credit Facility and had $0.6 million of unamortized debt issuance costs associated with the 2021 Revolving Credit Facility remaining at the time of its replacement. Combined unamortized debt issuance costs are amortized through interest expense on a straight-line basis over the contractual life of the 2024 Revolving Credit Facility. At September 30, 2026 and December 31, 2025, remaining unamortized deferred debt issuance costs of $1.4 million and $1.8 million, respectively, were recorded in </w:t>
      </w:r>
      <w:r>
        <w:rPr>
          <w:color w:val="000000"/>
        </w:rPr>
        <w:t>“</w:t>
      </w:r>
      <w:r>
        <w:rPr>
          <w:rFonts w:ascii="Times New Roman;serif" w:hAnsi="Times New Roman;serif"/>
          <w:b w:val="false"/>
          <w:i/>
          <w:color w:val="000000"/>
          <w:sz w:val="20"/>
        </w:rPr>
        <w:t xml:space="preserve">Other Assets” </w:t>
      </w:r>
      <w:r>
        <w:rPr>
          <w:rFonts w:ascii="Times New Roman;serif" w:hAnsi="Times New Roman;serif"/>
          <w:b w:val="false"/>
          <w:color w:val="000000"/>
          <w:sz w:val="20"/>
        </w:rPr>
        <w:t>on our condensed consolidated balance sheets.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2024 Revolving Credit Facility we are subject to certain covenants, including a maximum debt-to-total capitalization ratio of 35%, a minimum consolidated net worth requirement (as defined therein), and a requirement to maintain compliance with the financial standards prescribed by the private mortgage insurer eligibility requirements (PMIERs). We were in compliance with all covenants at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5. 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 of our reinsurance agreements on premiums written and earned is as follows:</w:t>
      </w:r>
    </w:p>
    <w:tbl>
      <w:tblPr>
        <w:tblW w:w="8509" w:type="dxa"/>
        <w:jc w:val="left"/>
        <w:tblInd w:w="0" w:type="dxa"/>
        <w:tblLayout w:type="fixed"/>
        <w:tblCellMar>
          <w:top w:w="28" w:type="dxa"/>
          <w:left w:w="28" w:type="dxa"/>
          <w:bottom w:w="28" w:type="dxa"/>
          <w:right w:w="28" w:type="dxa"/>
        </w:tblCellMar>
      </w:tblPr>
      <w:tblGrid>
        <w:gridCol w:w="674"/>
        <w:gridCol w:w="591"/>
        <w:gridCol w:w="595"/>
        <w:gridCol w:w="256"/>
        <w:gridCol w:w="1003"/>
        <w:gridCol w:w="132"/>
        <w:gridCol w:w="132"/>
        <w:gridCol w:w="132"/>
        <w:gridCol w:w="132"/>
        <w:gridCol w:w="256"/>
        <w:gridCol w:w="1003"/>
        <w:gridCol w:w="132"/>
        <w:gridCol w:w="109"/>
        <w:gridCol w:w="109"/>
        <w:gridCol w:w="109"/>
        <w:gridCol w:w="249"/>
        <w:gridCol w:w="976"/>
        <w:gridCol w:w="128"/>
        <w:gridCol w:w="128"/>
        <w:gridCol w:w="128"/>
        <w:gridCol w:w="128"/>
        <w:gridCol w:w="249"/>
        <w:gridCol w:w="976"/>
        <w:gridCol w:w="182"/>
      </w:tblGrid>
      <w:t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533,745 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Ceded </w:t>
            </w:r>
            <w:r>
              <w:rPr>
                <w:rFonts w:ascii="Times New Roman;serif" w:hAnsi="Times New Roman;serif"/>
                <w:b w:val="false"/>
                <w:color w:val="000000"/>
                <w:sz w:val="13"/>
              </w:rPr>
              <w:t>(1)</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(101,897)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146,960 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460,902 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434,399 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Ceded </w:t>
            </w:r>
            <w:r>
              <w:rPr>
                <w:rFonts w:ascii="Times New Roman;serif" w:hAnsi="Times New Roman;serif"/>
                <w:b w:val="false"/>
                <w:color w:val="000000"/>
                <w:sz w:val="13"/>
              </w:rPr>
              <w:t>(1)</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(101,897)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155,453 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151,323 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467,783 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449,755 </w:t>
            </w:r>
          </w:p>
        </w:tc>
        <w:tc>
          <w:tcPr>
            <w:tcW w:w="1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Net of profit commission.</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Quota Share Reinsurance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party to nine quota share reinsurance treaties – the 2018 QSR Transaction, effective January 1, 2018, the 2020 QSR Transaction, effective April 1, 2020, the 2021 QSR Transaction, effective January 1, 2021, the 2022 QSR Transaction, effective October 1, 2021, the 2022 Seasoned QSR Transaction, effective July 1, 2022, the 2023 QSR Transaction, effective January 1, 2023, the 2024 QSR Transaction, effective January 1, 2024, the 2025 QSR Transaction, effective January 1, 2025, and the 2026 QSR Transaction, effective January 1, 2026 – which we refer to collectively as the QSR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each of the QSR Transactions, NMIC cedes a proportional share of its risk on eligible policies to panels of third-party reinsurance providers in exchange for reimbursement of ceded claims and claim expenses on covered policies, a ceding commission and a profit commission (up to a contractually defined maximum) that varies directly and inversely with ceded claims.</w:t>
      </w:r>
    </w:p>
    <w:p>
      <w:pPr>
        <w:pStyle w:val="TextBody"/>
        <w:bidi w:val="0"/>
        <w:spacing w:lineRule="auto" w:line="288" w:before="0" w:after="180"/>
        <w:ind w:left="0" w:right="0" w:firstLine="720"/>
        <w:jc w:val="both"/>
      </w:pPr>
      <w:r>
        <w:rPr>
          <w:rFonts w:ascii="Times New Roman;serif" w:hAnsi="Times New Roman;serif"/>
          <w:b w:val="false"/>
          <w:color w:val="000000"/>
          <w:sz w:val="20"/>
        </w:rPr>
        <w:t>NMIC holds optional termination rights which provide it with the discretion to terminate each QSR Transaction on or after a specified date. NMIC may also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serif" w:hAnsi="Times New Roman;serif"/>
          <w:b w:val="false"/>
          <w:i/>
          <w:color w:val="000000"/>
          <w:sz w:val="20"/>
        </w:rPr>
        <w:t>i.e.</w:t>
      </w:r>
      <w:r>
        <w:rPr>
          <w:rFonts w:ascii="Times New Roman;serif" w:hAnsi="Times New Roman;serif"/>
          <w:b w:val="false"/>
          <w:color w:val="000000"/>
          <w:sz w:val="20"/>
        </w:rPr>
        <w:t>, reinsurers continue providing coverage on all risk ceded prior to the termination date, with no new cessions going forward) or cut-off basis (</w:t>
      </w:r>
      <w:r>
        <w:rPr>
          <w:rFonts w:ascii="Times New Roman;serif" w:hAnsi="Times New Roman;serif"/>
          <w:b w:val="false"/>
          <w:i/>
          <w:color w:val="000000"/>
          <w:sz w:val="20"/>
        </w:rPr>
        <w:t>i.e.</w:t>
      </w:r>
      <w:r>
        <w:rPr>
          <w:rFonts w:ascii="Times New Roman;serif" w:hAnsi="Times New Roman;serif"/>
          <w:b w:val="false"/>
          <w:color w:val="000000"/>
          <w:sz w:val="20"/>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third-party reinsurance providers that is party to the QSR Transactions has an insurer financial strength rating of A- or better by S&amp;P, A.M. Best or both.</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inception date, covered production period, ceding commission and profit commission for each outstanding QSR Transaction. Current amounts are presented as of September 30, 2026.</w:t>
      </w:r>
    </w:p>
    <w:tbl>
      <w:tblPr>
        <w:tblW w:w="10205" w:type="dxa"/>
        <w:jc w:val="left"/>
        <w:tblInd w:w="0" w:type="dxa"/>
        <w:tblLayout w:type="fixed"/>
        <w:tblCellMar>
          <w:top w:w="28" w:type="dxa"/>
          <w:left w:w="28" w:type="dxa"/>
          <w:bottom w:w="28" w:type="dxa"/>
          <w:right w:w="28" w:type="dxa"/>
        </w:tblCellMar>
      </w:tblPr>
      <w:tblGrid>
        <w:gridCol w:w="579"/>
        <w:gridCol w:w="508"/>
        <w:gridCol w:w="496"/>
        <w:gridCol w:w="362"/>
        <w:gridCol w:w="362"/>
        <w:gridCol w:w="363"/>
        <w:gridCol w:w="648"/>
        <w:gridCol w:w="648"/>
        <w:gridCol w:w="651"/>
        <w:gridCol w:w="109"/>
        <w:gridCol w:w="109"/>
        <w:gridCol w:w="109"/>
        <w:gridCol w:w="109"/>
        <w:gridCol w:w="109"/>
        <w:gridCol w:w="109"/>
        <w:gridCol w:w="109"/>
        <w:gridCol w:w="450"/>
        <w:gridCol w:w="450"/>
        <w:gridCol w:w="452"/>
        <w:gridCol w:w="109"/>
        <w:gridCol w:w="109"/>
        <w:gridCol w:w="109"/>
        <w:gridCol w:w="470"/>
        <w:gridCol w:w="470"/>
        <w:gridCol w:w="472"/>
        <w:gridCol w:w="109"/>
        <w:gridCol w:w="109"/>
        <w:gridCol w:w="109"/>
        <w:gridCol w:w="409"/>
        <w:gridCol w:w="409"/>
        <w:gridCol w:w="589"/>
      </w:tblGrid>
      <w:tr>
        <w:tc>
          <w:tcPr>
            <w:tcW w:w="57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Inception Date</w:t>
            </w:r>
          </w:p>
        </w:tc>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Profit Commission</w:t>
            </w:r>
          </w:p>
        </w:tc>
      </w:tr>
      <w:t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2018 QSR</w:t>
            </w:r>
          </w:p>
        </w:tc>
        <w:tc>
          <w:tcPr>
            <w:tcW w:w="10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1/1/2018</w:t>
            </w:r>
          </w:p>
        </w:tc>
        <w:tc>
          <w:tcPr>
            <w:tcW w:w="19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1/1/2018 – 12/31/2018 </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1/1/2019 – 12/31/2019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16% </w:t>
            </w:r>
          </w:p>
          <w:p>
            <w:pPr>
              <w:pStyle w:val="TableContents"/>
              <w:bidi w:val="0"/>
              <w:spacing w:lineRule="auto" w:line="240" w:before="0" w:after="0"/>
              <w:jc w:val="center"/>
            </w:pPr>
            <w:r>
              <w:rPr>
                <w:rFonts w:ascii="Times New Roman;serif" w:hAnsi="Times New Roman;serif"/>
                <w:b w:val="false"/>
                <w:color w:val="000000"/>
                <w:sz w:val="19"/>
              </w:rPr>
              <w:t xml:space="preserve">13%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45%</w:t>
            </w:r>
          </w:p>
        </w:tc>
      </w:tr>
      <w:t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2020 QSR</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4/1/2020</w:t>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4/1/2020 – 12/31/2020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45%</w:t>
            </w:r>
          </w:p>
        </w:tc>
      </w:tr>
      <w:t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2021 QSR</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1/1/2021</w:t>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1/1/2021 – 10/30/2021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54%</w:t>
            </w:r>
          </w:p>
        </w:tc>
      </w:tr>
      <w:t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2022 QSR</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10/1/2021</w:t>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10/30/2021 – 12/31/2022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68%</w:t>
            </w:r>
          </w:p>
        </w:tc>
      </w:tr>
      <w:t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2022 Seasoned QSR</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7/1/2022</w:t>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1/1/2013 – 12/31/2016 </w:t>
            </w:r>
          </w:p>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 xml:space="preserve">7/1/2019 –3/31/2020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val="false"/>
                <w:color w:val="000000"/>
                <w:sz w:val="19"/>
              </w:rPr>
              <w:t xml:space="preserve">48%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38%</w:t>
            </w:r>
          </w:p>
        </w:tc>
      </w:tr>
      <w:t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2023 QSR</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1/1/2023</w:t>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1/1/2023 – 12/31/2023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63%</w:t>
            </w:r>
          </w:p>
        </w:tc>
      </w:tr>
      <w:t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2024 QSR</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1/1/2024</w:t>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1/1/2024 – 12/31/2024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56%</w:t>
            </w:r>
          </w:p>
        </w:tc>
      </w:tr>
      <w:t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2025 QSR</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1/1/2025</w:t>
            </w:r>
          </w:p>
        </w:tc>
        <w:tc>
          <w:tcPr>
            <w:tcW w:w="1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1/1/2025 – 12/31/2025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62%</w:t>
            </w:r>
          </w:p>
        </w:tc>
      </w:tr>
      <w:t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2026 QSR</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1/1/2026</w:t>
            </w:r>
          </w:p>
        </w:tc>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1/1/2026 – 12/31/2026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9"/>
              </w:rPr>
            </w:pPr>
            <w:r>
              <w:rPr>
                <w:rFonts w:ascii="Times New Roman;serif" w:hAnsi="Times New Roman;serif"/>
                <w:b w:val="false"/>
                <w:color w:val="000000"/>
                <w:sz w:val="19"/>
              </w:rPr>
              <w:t>up to 61%</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Under the terms of the 2018 QSR Transaction, NMIC cedes premiums earned related to 16% of the risk on eligible policies written in 2018 and 13% of the risk on eligible policies written in 2019.</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Under the terms of the 2022 Seasoned QSR Transaction, NMIC cedes premiums earned related to 48% of the risk on eligible policies after the consideration of coverage provided under any other QSR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has also entered into four additional quota share reinsurance treaties that will provide sequential coverage for mortgage insurance policies to be written in 2027, 2028, 2029 and 2030 (the 2027 QSR Transaction, 2028 QSR Transaction, 2029 QSR Transaction and 2030 QSR Transaction). Under the terms of the 2027 QSR Transaction, NMIC will cede premiums earned related to 35% of the risk on eligible policies written between January 1, 2027 and December 31, 2027. Under the terms of the 2028 QSR Transaction, NMIC will cede premiums earned related to 35% of the risk on eligible policies written between January 1, 2028 and December 31, 2028. Under the terms of the 2029 QSR Transaction, NMIC will cede premiums earned related to 35% of the risk on eligible policies written between January 1, 2029 and December 31, 2029. Under the terms of the 2030 QSR Transaction, NMIC will cede premiums earned related to 17% of the risk on eligible policies written between January 1, 2030 and December 31, 2030.</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amounts related to the QSR Transactions:</w:t>
      </w:r>
    </w:p>
    <w:tbl>
      <w:tblPr>
        <w:tblW w:w="10205" w:type="dxa"/>
        <w:jc w:val="left"/>
        <w:tblInd w:w="0" w:type="dxa"/>
        <w:tblLayout w:type="fixed"/>
        <w:tblCellMar>
          <w:top w:w="28" w:type="dxa"/>
          <w:left w:w="28" w:type="dxa"/>
          <w:bottom w:w="28" w:type="dxa"/>
          <w:right w:w="28" w:type="dxa"/>
        </w:tblCellMar>
      </w:tblPr>
      <w:tblGrid>
        <w:gridCol w:w="921"/>
        <w:gridCol w:w="810"/>
        <w:gridCol w:w="812"/>
        <w:gridCol w:w="247"/>
        <w:gridCol w:w="1269"/>
        <w:gridCol w:w="127"/>
        <w:gridCol w:w="127"/>
        <w:gridCol w:w="127"/>
        <w:gridCol w:w="127"/>
        <w:gridCol w:w="247"/>
        <w:gridCol w:w="1269"/>
        <w:gridCol w:w="127"/>
        <w:gridCol w:w="109"/>
        <w:gridCol w:w="109"/>
        <w:gridCol w:w="109"/>
        <w:gridCol w:w="243"/>
        <w:gridCol w:w="1248"/>
        <w:gridCol w:w="125"/>
        <w:gridCol w:w="125"/>
        <w:gridCol w:w="125"/>
        <w:gridCol w:w="125"/>
        <w:gridCol w:w="243"/>
        <w:gridCol w:w="1248"/>
        <w:gridCol w:w="186"/>
      </w:tblGrid>
      <w:tr>
        <w:tc>
          <w:tcPr>
            <w:tcW w:w="9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nine months ended September 30,</w:t>
            </w:r>
          </w:p>
        </w:tc>
      </w:tr>
      <w:t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risk-in-force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12,938,907 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12,699,082 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12,938,907 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12,699,082 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(121,085)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Ceded claims and claim expenses</w:t>
            </w:r>
            <w:r>
              <w:rPr>
                <w:color w:val="000000"/>
              </w:rPr>
              <w:t xml:space="preserve"> </w:t>
            </w:r>
            <w:r>
              <w:rPr>
                <w:rFonts w:ascii="Times New Roman;serif" w:hAnsi="Times New Roman;serif"/>
                <w:b w:val="false"/>
                <w:color w:val="000000"/>
                <w:sz w:val="13"/>
              </w:rPr>
              <w:t>(1)</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Ceding commission earned</w:t>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commission</w:t>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Includes a $0.3 million termination fee for the nine months ended September 30, 2025 incurred in connection with the amendment of certain QSR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had aggregate reinsurance recoverables related to the QSR Transactions of $44.4 million and $38.6 million as of September 30, 2026 and December 31, 2025, respectively. NMIC's reinsurance recoverable balance is supported by collateral trust accounts established and maintained by each reinsurer in accordance with the terms of the QSR Transactions and the PMIERs funding requirements for risk ceded to non-affiliated reinsurers.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remain directly liable for all claim payments if we are unable to collect the recoverables due from our reinsurers and establish an allowance for expected credit loss against our reinsurance recoverable if we do not expect to recover amounts due from one or more of our reinsurance counterparties. Our reinsurance recoverable is reported net of such allowance, if any. We actively monitor the counterparty credit profiles of our reinsurers and each is required to partially collateralize its obligations under the terms of the QSR Transactions. The allowance for credit loss established against our reinsurance recoverable was deemed immaterial as of September 30, 2026 and December 31,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Excess-of-loss Reinsurance</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Traditional Reinsurance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party to nine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the 2024 XOL Transaction, effective January 1, 2024, the 2025 XOL Transaction, effective January 1, 2025, the 2026-1 XOL Transaction, effective January 1, 2026, and the 2026-2 XOL Transaction, effective April 1, 2026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XOL Transactions, NMIC makes risk premium payments to its third-party reinsurance providers for the outstanding reinsurance coverage amount and ceded aggregate premiums earned of $11.3 million and $33.5 million during the three and nine months ended September 30, 2026, respectively, and $10.7 million and $31.2 million during the three and nine months ended September 30, 2025, respectively. NMIC applies claims paid on covered policies against its first layer aggregate retained loss exposure under each agreement. NMIC did not cede any incurred losses on covered policies under the XOL Transactions during the three and nine months ended September 30, 2026 and 2025, as the aggregate first layer risk retention for each agreement was not exhausted during such periods.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holds optional termination rights which provide it with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third-party reinsurance providers that is party to the XOL Transactions has an insurer financial strength rating of A- or better by S&amp;P Global Ratings (S&amp;P), A.M. Best Company Inc. (A.M. Best) or both.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inception date, covered production period, initial and current reinsurance coverage amount, and initial and current first layer retained aggregate loss under each outstanding XOL Transaction. Current amounts are presented as of September 30,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tbl>
      <w:tblPr>
        <w:tblW w:w="10205" w:type="dxa"/>
        <w:jc w:val="left"/>
        <w:tblInd w:w="0" w:type="dxa"/>
        <w:tblLayout w:type="fixed"/>
        <w:tblCellMar>
          <w:top w:w="28" w:type="dxa"/>
          <w:left w:w="28" w:type="dxa"/>
          <w:bottom w:w="28" w:type="dxa"/>
          <w:right w:w="28" w:type="dxa"/>
        </w:tblCellMar>
      </w:tblPr>
      <w:tblGrid>
        <w:gridCol w:w="371"/>
        <w:gridCol w:w="326"/>
        <w:gridCol w:w="327"/>
        <w:gridCol w:w="305"/>
        <w:gridCol w:w="305"/>
        <w:gridCol w:w="306"/>
        <w:gridCol w:w="384"/>
        <w:gridCol w:w="384"/>
        <w:gridCol w:w="385"/>
        <w:gridCol w:w="109"/>
        <w:gridCol w:w="109"/>
        <w:gridCol w:w="109"/>
        <w:gridCol w:w="256"/>
        <w:gridCol w:w="1004"/>
        <w:gridCol w:w="132"/>
        <w:gridCol w:w="109"/>
        <w:gridCol w:w="109"/>
        <w:gridCol w:w="109"/>
        <w:gridCol w:w="260"/>
        <w:gridCol w:w="1018"/>
        <w:gridCol w:w="134"/>
        <w:gridCol w:w="109"/>
        <w:gridCol w:w="109"/>
        <w:gridCol w:w="109"/>
        <w:gridCol w:w="265"/>
        <w:gridCol w:w="1039"/>
        <w:gridCol w:w="137"/>
        <w:gridCol w:w="109"/>
        <w:gridCol w:w="109"/>
        <w:gridCol w:w="109"/>
        <w:gridCol w:w="275"/>
        <w:gridCol w:w="1076"/>
        <w:gridCol w:w="208"/>
      </w:tblGrid>
      <w:t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Inception Date</w:t>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Initial Reinsurance Coverage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Initial First Layer Retained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Current First Layer Retained Loss </w:t>
            </w:r>
            <w:r>
              <w:rPr>
                <w:rFonts w:ascii="Times New Roman;serif" w:hAnsi="Times New Roman;serif"/>
                <w:b/>
                <w:color w:val="000000"/>
                <w:sz w:val="10"/>
              </w:rPr>
              <w:t xml:space="preserve">(1) </w:t>
            </w:r>
          </w:p>
        </w:tc>
      </w:tr>
      <w:tr>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2022-1 XOL </w:t>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2022</w:t>
            </w:r>
          </w:p>
        </w:tc>
        <w:tc>
          <w:tcPr>
            <w:tcW w:w="11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10/1/2021 – 3/31/2022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114,723 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125,210 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2022-2 XOL</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2022</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4/1/2022 – 6/30/2022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2022-3 XOL</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 2022</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7/1/2022 – 9/30/2022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2023-1 XOL</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2023</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10/1/2022 – 6/30/2023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136,661 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2023-2 XOL</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2023</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XOL</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2024</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312,172 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XOL</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2025</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320,983 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2026-1 XOL</w:t>
            </w:r>
            <w:r>
              <w:rPr>
                <w:rFonts w:ascii="Times New Roman;serif" w:hAnsi="Times New Roman;serif"/>
                <w:b w:val="false"/>
                <w:color w:val="000000"/>
                <w:sz w:val="13"/>
              </w:rPr>
              <w:t>(2)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2026</w:t>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1/1/2026 – 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275,322 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2026-2 XOL</w:t>
            </w:r>
            <w:r>
              <w:rPr>
                <w:rFonts w:ascii="Times New Roman;serif" w:hAnsi="Times New Roman;serif"/>
                <w:b w:val="false"/>
                <w:color w:val="000000"/>
                <w:sz w:val="13"/>
              </w:rPr>
              <w:t>(3)</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 2026</w:t>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10/1/2020 - 3/31/2021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The initial reinsurance coverage, current reinsurance coverage, initial first layer retained loss and current first layer retained loss for the 2026-1 XOL Transaction will increase as incremental covered production is ceded under the transaction through December 31, 2026.</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The 2026-2 XOL Transaction provides excess-of-loss coverage for mortgage insurance policies previously covered under the reinsurance agreement with Oaktown Re VI Ltd.</w:t>
      </w:r>
    </w:p>
    <w:p>
      <w:pPr>
        <w:pStyle w:val="TextBody"/>
        <w:bidi w:val="0"/>
        <w:spacing w:lineRule="auto" w:line="276"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has also entered into three additional excess-of-loss reinsurance treaties that will incept and provide coverage in future periods. The 2026-3 XOL Transaction incepted on October 1, 2026 and provides $160 million of aggregate excess-of-loss coverage for mortgage insurance policies covered under the existing 2021-2 ILN Transaction. The 2027 XOL Transaction will provide $125 million of aggregate excess-of-loss coverage for mortgage insurance policies to be written in 2027. The 2028 XOL Transaction will provide $100 million of aggregate excess-of-loss coverage for mortgage insurance policies to be written in 2028.</w:t>
      </w:r>
    </w:p>
    <w:p>
      <w:pPr>
        <w:pStyle w:val="TextBody"/>
        <w:bidi w:val="0"/>
        <w:spacing w:lineRule="auto" w:line="276"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Insurance-Linked Notes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party to a reinsurance agreement with Oaktown Re VII Ltd. (a special purpose reinsurance entity referred to as Oaktown Re) effective October 26, 2021 that provides aggregate excess-of-loss reinsurance coverage on a defined portfolio of mortgage insurance policies originated between April 1, 2021 and September 30, 2021. Under the agreement, NMIC retains $146.2 million of first layer aggregate loss exposure on covered policies and Oaktown Re then provides second layer loss protection up to the outstanding reinsurance coverage amount. NMIC then retains losses in excess of the reinsurance coverage amount. The reinsurance coverage amount provided by Oaktown Re decreases from $363.6 million at inception over a 12.5 year period as the underlying insured mortgages are amortized or repaid, and/or the mortgage insurance coverage is canceled, and was $133.8 million as of September 30, 2026. The outstanding reinsurance coverage amount stops amortizing if certain credit enhancement or delinquency thresholds, as defined in the agreement, are triggered.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makes risk premium payments to Oaktown Re for the applicable outstanding reinsurance coverage amount and pays an additional amount for anticipated operating expenses (capped at $250 thousand per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the excess-of-loss reinsurance agreement, Oaktown Re is required to fully collateralize its outstanding reinsurance coverage amount to NMIC with funds deposited into a segregated reinsurance trust. Such trust funds are required to be invested in short-term U.S. Treasury money market funds at all times. Oaktown Re financed its collateral requirement through the issuance of mortgage insurance-linked notes to unaffiliated investors. Such insurance-linked notes mature 12.5 years from the inception date of their associated reinsurance agreement. As the reinsurance coverage decreases, a corresponding amount of collateral held in trust by Oaktown Re is distributed to noteholders as amortization of the outstanding insurance-linked note principal balance. We refer to NMIC’s reinsurance agreement with and the insurance-linked note issued by Oaktown Re as the 2021-2 ILN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applies claims paid on covered policies against its first layer aggregate retained loss exposure under the Oaktown Re excess-of-loss agreement. NMIC did not cede any incurred losses on covered policies to Oaktown Re during the three and nine months ended September 30, 2026 and 2025, as the aggregate first layer risk retention was not exhausted during such periods. The first layer aggregate retained loss layer was $141.7 million as of September 30,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NMIC holds optional termination rights under the 2021-2 ILN Transaction, including, among others, an optional call feature which provides NMIC the discretion to terminate the transaction on or after a prescribed date, and a clean-up call if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the agreement. In addition, there are certain events that trigger mandatory termination of the agreement, including NMIC’s failure to pay premiums or consent to reductions in a trust account to make principal payments to noteholders, among others.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has previously been party to other insurance-linked note transactions that it has elected to terminate in accordance with their respective terms. Effective October 25, 2026, NMIC exercised its optional call to terminate a reinsurance agreement with and the associated insurance-linked notes issued by Oaktown Re VII Ltd. In connection with the termination, NMIC's excess-of-loss reinsurance agreement was commuted and the insurance-linked notes issued by Oaktown Re VII Ltd. were redeemed in full with a distribution of remaining collateral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ceded aggregate premiums in connection with current and previously outstanding insurance-linked notes transactions of $1.3 million and $5.3 million during the three and nine months ended September 30, 2026, respectively, and $3.0 million and $9.6 million during the three and nine months ended September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6. Reserves for Insurance Claims and Claim Expenses</w:t>
      </w:r>
    </w:p>
    <w:p>
      <w:pPr>
        <w:pStyle w:val="TextBody"/>
        <w:bidi w:val="0"/>
        <w:spacing w:lineRule="auto" w:line="288" w:before="0" w:after="180"/>
        <w:ind w:left="0" w:right="0" w:firstLine="720"/>
        <w:jc w:val="both"/>
      </w:pPr>
      <w:r>
        <w:rPr>
          <w:rFonts w:ascii="Times New Roman;serif" w:hAnsi="Times New Roman;serif"/>
          <w:b w:val="false"/>
          <w:color w:val="000000"/>
          <w:sz w:val="20"/>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w:t>
      </w:r>
      <w:r>
        <w:rPr>
          <w:color w:val="000000"/>
        </w:rPr>
        <w:t xml:space="preserve"> </w:t>
      </w:r>
      <w:r>
        <w:rPr>
          <w:rFonts w:ascii="Times New Roman;serif" w:hAnsi="Times New Roman;serif"/>
          <w:b w:val="false"/>
          <w:color w:val="000000"/>
          <w:sz w:val="20"/>
        </w:rPr>
        <w:t>We also establish reserves for claim expenses, which represent the estimated cost of the claim administration process, including legal and other fees, as well as other general expenses of administering the claim settlement process. As of September 30, 2026, we held gross reserves for insurance claims and claim expenses of $234.2 million. During the nine months ended September 30, 2026, we paid 569 claims totaling $39.0 million, including 550 claims covered under the QSR Transactions representing $7.4 million of ceded claims and claim expenses. We settled an additional 98 delinquent loans through commutation for $1.3 million, before giving effect to claims ceded under the QSR Transactions.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had 8,571 loans in default in our primary insured portfolio as of September 30, 2026, which represented a 1.23% default rate against 697,361 total policies in-force, and 7,661 loans in default in our primary insured portfolio as of December 31, 2025, which represented a 1.12% default rate against 684,058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gross reserve balances for insurance claims and claim expenses:</w:t>
      </w:r>
    </w:p>
    <w:tbl>
      <w:tblPr>
        <w:tblW w:w="7823" w:type="dxa"/>
        <w:jc w:val="left"/>
        <w:tblInd w:w="0" w:type="dxa"/>
        <w:tblLayout w:type="fixed"/>
        <w:tblCellMar>
          <w:top w:w="28" w:type="dxa"/>
          <w:left w:w="28" w:type="dxa"/>
          <w:bottom w:w="28" w:type="dxa"/>
          <w:right w:w="28" w:type="dxa"/>
        </w:tblCellMar>
      </w:tblPr>
      <w:tblGrid>
        <w:gridCol w:w="1695"/>
        <w:gridCol w:w="1488"/>
        <w:gridCol w:w="1496"/>
        <w:gridCol w:w="249"/>
        <w:gridCol w:w="976"/>
        <w:gridCol w:w="128"/>
        <w:gridCol w:w="128"/>
        <w:gridCol w:w="128"/>
        <w:gridCol w:w="128"/>
        <w:gridCol w:w="249"/>
        <w:gridCol w:w="976"/>
        <w:gridCol w:w="182"/>
      </w:tblGrid>
      <w:t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2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Total claims and claim expenses incurred </w:t>
            </w:r>
            <w:r>
              <w:rPr>
                <w:rFonts w:ascii="Times New Roman;serif" w:hAnsi="Times New Roman;serif"/>
                <w:b w:val="false"/>
                <w:color w:val="000000"/>
                <w:sz w:val="13"/>
              </w:rPr>
              <w:t>(4)</w:t>
            </w:r>
          </w:p>
        </w:tc>
        <w:tc>
          <w:tcPr>
            <w:tcW w:w="12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36,144 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(3)(5)</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(6)</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2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30,909 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234,242 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pPr>
      <w:r>
        <w:rPr>
          <w:rFonts w:ascii="Times New Roman;serif" w:hAnsi="Times New Roman;serif"/>
          <w:b w:val="false"/>
          <w:color w:val="000000"/>
          <w:sz w:val="16"/>
        </w:rPr>
        <w:t>(1)    Related to ceded losses recoverable under the QSR Transactions. See Note 5, “</w:t>
      </w:r>
      <w:r>
        <w:rPr>
          <w:rFonts w:ascii="Times New Roman;serif" w:hAnsi="Times New Roman;serif"/>
          <w:b w:val="false"/>
          <w:i/>
          <w:color w:val="000000"/>
          <w:sz w:val="16"/>
        </w:rPr>
        <w:t>Reinsurance”</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$91.3 million attributed to net case reserves and $12.9 million attributed to net IBNR reserves for the nine months ended September 30, 2026 and $77.2 million attributed to net case reserves and $9.8 million attributed to net IBNR reserves for the nine months ended September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$30.8 million attributed to net case reserves and $10.8 million attributed to net IBNR reserves for the nine months ended September 30, 2026 and $43.2 million attributed to net case reserves and $8.1 million attributed to net IBNR reserves for the nine months ended September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Excludes aggregate termination fees of $0.3 million for the nine months ended September 30, 2025 incurred in connection with the amendment of certain QSR Transactions.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Includes $1.0 million, net of reinsurance, paid in connection with the commutation of coverage on delinquent loans during the nine months ended September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Represents the settlement of reinsurance recoverables in conjunction with the termination or amendment of certain QSR Transactions.</w:t>
      </w:r>
    </w:p>
    <w:p>
      <w:pPr>
        <w:pStyle w:val="TextBody"/>
        <w:bidi w:val="0"/>
        <w:spacing w:before="0" w:after="0"/>
        <w:ind w:left="0" w:right="0" w:hanging="360"/>
        <w:jc w:val="both"/>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nine months ended September 30, 2026 compared to the nine months ended September 30, 2025, primarily due to an increase in the total number of new delinquencies emerging during the period tied to the growth and natural seasoning of our portfolio. Our provision for claims and claim expenses during both the nine months ended September 30, 2026 and 2025 benefited from favorable development on prior year defaults. We recognized $43.0 million and $52.4 million of favorable prior year development during the nine months ended September 30, 2026 and 2025,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$103.5 million related to prior year defaults remained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7. Earnings per Share (EPS)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restricted stock units (RSUs), and the exercise of vested and unvested stock options.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net income and the weighted average shares of common stock outstanding used in the computations of basic and diluted EPS of common stock:</w:t>
      </w:r>
    </w:p>
    <w:tbl>
      <w:tblPr>
        <w:tblW w:w="10205" w:type="dxa"/>
        <w:jc w:val="left"/>
        <w:tblInd w:w="0" w:type="dxa"/>
        <w:tblLayout w:type="fixed"/>
        <w:tblCellMar>
          <w:top w:w="28" w:type="dxa"/>
          <w:left w:w="28" w:type="dxa"/>
          <w:bottom w:w="28" w:type="dxa"/>
          <w:right w:w="28" w:type="dxa"/>
        </w:tblCellMar>
      </w:tblPr>
      <w:tblGrid>
        <w:gridCol w:w="1328"/>
        <w:gridCol w:w="1143"/>
        <w:gridCol w:w="1153"/>
        <w:gridCol w:w="274"/>
        <w:gridCol w:w="939"/>
        <w:gridCol w:w="141"/>
        <w:gridCol w:w="141"/>
        <w:gridCol w:w="141"/>
        <w:gridCol w:w="141"/>
        <w:gridCol w:w="274"/>
        <w:gridCol w:w="939"/>
        <w:gridCol w:w="141"/>
        <w:gridCol w:w="109"/>
        <w:gridCol w:w="109"/>
        <w:gridCol w:w="109"/>
        <w:gridCol w:w="246"/>
        <w:gridCol w:w="967"/>
        <w:gridCol w:w="126"/>
        <w:gridCol w:w="126"/>
        <w:gridCol w:w="126"/>
        <w:gridCol w:w="126"/>
        <w:gridCol w:w="246"/>
        <w:gridCol w:w="967"/>
        <w:gridCol w:w="193"/>
      </w:tblGrid>
      <w:tr>
        <w:tc>
          <w:tcPr>
            <w:tcW w:w="132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r>
      <w:t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 basic and diluted</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77,935 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issuable shares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c>
          <w:tcPr>
            <w:tcW w:w="3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8. Segment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our business activities on a consolidated basis under a single reportable operating segment and our Chief Executive Officer (CEO) serves as our Chief Operating Decision Maker (CODM).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Mortgage Insurance segment provides private mortgage insurance and ancillary loan review services, and our CODM evaluates our performance and allocates resources based on our consolidated financial results, including consolidated revenue, expenses, net income, assets and shareholders' equity. Our CODM reviews consolidated net income to assess segment profit and loss, and also evaluates the broader set of metrics to gauge our financial performance and make strategic decisions, such as whether to reinvest profits in our Mortgage Insurance segment or return capital to shareholders.</w:t>
      </w:r>
    </w:p>
    <w:p>
      <w:pPr>
        <w:pStyle w:val="TextBody"/>
        <w:bidi w:val="0"/>
        <w:spacing w:lineRule="auto" w:line="288" w:before="0" w:after="180"/>
        <w:ind w:left="0" w:right="0" w:firstLine="720"/>
        <w:jc w:val="both"/>
      </w:pPr>
      <w:r>
        <w:rPr>
          <w:rFonts w:ascii="Times New Roman;serif" w:hAnsi="Times New Roman;serif"/>
          <w:b w:val="false"/>
          <w:color w:val="000000"/>
          <w:sz w:val="20"/>
        </w:rPr>
        <w:t>The significant revenue and expense categories that are regularly reviewed by our CODM align with those presented on our condensed consolidated statements of operations and comprehensive income, and segment assets align with total assets as presented on our condensed consolidated balance sheets. The accounting policies governing our Mortgage Insurance segment are the same as those described in Item 8, “</w:t>
      </w:r>
      <w:r>
        <w:rPr>
          <w:rFonts w:ascii="Times New Roman;serif" w:hAnsi="Times New Roman;serif"/>
          <w:b w:val="false"/>
          <w:i/>
          <w:color w:val="000000"/>
          <w:sz w:val="20"/>
        </w:rPr>
        <w:t>Financial Statements and Supplementary Data - Notes to Consolidated Financial Statements - Note 2 - Summary of Accounting Principles”</w:t>
      </w:r>
      <w:r>
        <w:rPr>
          <w:color w:val="000000"/>
        </w:rPr>
        <w:t xml:space="preserve"> </w:t>
      </w:r>
      <w:r>
        <w:rPr>
          <w:rFonts w:ascii="Times New Roman;serif" w:hAnsi="Times New Roman;serif"/>
          <w:b w:val="false"/>
          <w:color w:val="000000"/>
          <w:sz w:val="20"/>
        </w:rPr>
        <w:t>of our 2025 10-K.</w:t>
      </w:r>
    </w:p>
    <w:p>
      <w:pPr>
        <w:pStyle w:val="TextBody"/>
        <w:bidi w:val="0"/>
        <w:spacing w:lineRule="auto" w:line="288" w:before="0" w:after="180"/>
        <w:ind w:left="0" w:right="0" w:firstLine="720"/>
        <w:jc w:val="both"/>
      </w:pPr>
      <w:r>
        <w:rPr>
          <w:rFonts w:ascii="Times New Roman;serif" w:hAnsi="Times New Roman;serif"/>
          <w:b w:val="false"/>
          <w:color w:val="000000"/>
          <w:sz w:val="20"/>
        </w:rPr>
        <w:t>Investment income, also referred to as interest revenue, is reported within “</w:t>
      </w:r>
      <w:r>
        <w:rPr>
          <w:rFonts w:ascii="Times New Roman;serif" w:hAnsi="Times New Roman;serif"/>
          <w:b w:val="false"/>
          <w:i/>
          <w:color w:val="000000"/>
          <w:sz w:val="20"/>
        </w:rPr>
        <w:t>Net Investment Income</w:t>
      </w:r>
      <w:r>
        <w:rPr>
          <w:color w:val="000000"/>
        </w:rPr>
        <w:t xml:space="preserve">” </w:t>
      </w:r>
      <w:r>
        <w:rPr>
          <w:rFonts w:ascii="Times New Roman;serif" w:hAnsi="Times New Roman;serif"/>
          <w:b w:val="false"/>
          <w:color w:val="000000"/>
          <w:sz w:val="20"/>
        </w:rPr>
        <w:t>on our condensed consolidated statements of operations and was $32.6 million and $92.2 million for the three and nine months ended September 30, 2026, respectively, and $27.1 million and $76.4 million for the three and nine months ended September 30, 2025, respectively</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Amortization and depreciation expense for software, equipment, and leasehold improvements was $2.3 million and $7.3 million for the three and nine months ended September 30, 2026, respectively, and $2.8 million and $8.6 million for the three and nine months ended September 30,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U.S. taxpayer and are subject to a statutory U.S. federal corporate income tax rate of 21%. Taxable income is reported on our consolidated U.S. federal and various state income tax returns, filed by NMIH on behalf of itself and its subsidiaries. Our effective tax rate on pre-tax income was 22.3% and 21.9% for the three and nine months ended September 30, 2026, respectively, compared to 22.4% and 22.2% for the three and nine months ended September 30, 2025, respectively. Our provision for income taxes for interim reporting periods is established based on our estimated annual effective tax rate for a given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year. Our effective tax rate may fluctuate between interim periods due to the impact of discrete items not included in our estimated annual effective tax rate, including the tax effects associated with the vesting of RSUs and exercise of options. Such items are treated on a discrete basis in the reporting period in which they occur.</w:t>
      </w:r>
    </w:p>
    <w:p>
      <w:pPr>
        <w:pStyle w:val="TextBody"/>
        <w:bidi w:val="0"/>
        <w:spacing w:lineRule="auto" w:line="288" w:before="180" w:after="180"/>
        <w:ind w:left="0" w:right="0" w:firstLine="720"/>
        <w:jc w:val="both"/>
      </w:pPr>
      <w:r>
        <w:rPr>
          <w:rFonts w:ascii="Times New Roman;serif" w:hAnsi="Times New Roman;serif"/>
          <w:b w:val="false"/>
          <w:color w:val="000000"/>
          <w:sz w:val="20"/>
        </w:rPr>
        <w:t xml:space="preserve">As a mortgage guaranty insurance company, we are eligible to claim a tax deduction for our statutory contingency reserve balance, subject to certain limitations outlined under IRC Section 832(e), and only to the extent we acquire tax and loss bonds in an amount equal to the tax benefit derived from the claimed deduction, which is our intent. As a result, our interim provision for income taxes for the three and nine months ended September 30, 2026 and 2025 primarily represents a change in our net deferred tax liability. As of September 30, 2026 and December 31, 2025, we held $400.3 million of tax and loss bonds in </w:t>
      </w:r>
      <w:r>
        <w:rPr>
          <w:color w:val="000000"/>
        </w:rPr>
        <w:t>“</w:t>
      </w:r>
      <w:r>
        <w:rPr>
          <w:rFonts w:ascii="Times New Roman;serif" w:hAnsi="Times New Roman;serif"/>
          <w:b w:val="false"/>
          <w:i/>
          <w:color w:val="000000"/>
          <w:sz w:val="20"/>
        </w:rPr>
        <w:t>Prepaid Federal Income Taxes”</w:t>
      </w:r>
      <w:r>
        <w:rPr>
          <w:color w:val="000000"/>
        </w:rPr>
        <w:t xml:space="preserve"> </w:t>
      </w:r>
      <w:r>
        <w:rPr>
          <w:rFonts w:ascii="Times New Roman;serif" w:hAnsi="Times New Roman;serif"/>
          <w:b w:val="false"/>
          <w:color w:val="000000"/>
          <w:sz w:val="20"/>
        </w:rPr>
        <w:t>on our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10. Shareholders' Equity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we repurchased 2.2 million shares at an average price of $39.73 per share (excluding associated fees and applicable taxes). As of September 30, 2026, we had $139.7 million of repurchase authorization remaining through December 31, 2027. The authorization provides us with the flexibility, based on market and business conditions, stock price and other factors, to repurchase stock through open market purchases, privately negotiated transactions, or other means, including pursuant to Rule 10b5-1 trading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11. Premiums Receivable, Net </w:t>
      </w:r>
    </w:p>
    <w:p>
      <w:pPr>
        <w:pStyle w:val="TextBody"/>
        <w:bidi w:val="0"/>
        <w:spacing w:before="0" w:after="0"/>
        <w:jc w:val="left"/>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receivable consists of premiums due on our mortgage insurance policies. If a mortgage insurance premium is unpaid for more than 120 days, the associated receivable is written off against earned premium and the related insurance policy is canceled. Premiums receivable may be written off prior to 120 days in the ordinary course of business for non-credit events including, but not limited to, the modification or refinancing of an underlying insured loan. We established a $1.3 million and $1.4 million reserve for premium write-offs at September 30, 2026 and December 31, 2025,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separately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premiums receivables and the allowance for credit loss established on premiums receivable was deemed immaterial at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12. Regulatory Information</w:t>
      </w:r>
    </w:p>
    <w:p>
      <w:pPr>
        <w:pStyle w:val="TextBody"/>
        <w:bidi w:val="0"/>
        <w:spacing w:lineRule="auto" w:line="288" w:before="0" w:after="180"/>
        <w:jc w:val="both"/>
      </w:pPr>
      <w:r>
        <w:rPr>
          <w:color w:val="000000"/>
        </w:rPr>
        <w:t>    </w:t>
      </w:r>
      <w:r>
        <w:rPr>
          <w:rFonts w:ascii="Times New Roman;serif" w:hAnsi="Times New Roman;serif"/>
          <w:b w:val="false"/>
          <w:i/>
          <w:color w:val="000000"/>
          <w:sz w:val="20"/>
        </w:rPr>
        <w:t>Statutory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and Re One generated combined statutory net income of $33.7 million and $110.5 million for the three and nine months ended September 30, 2026, respectively, compared to $30.7 million and $98.0 million for the three and nine months ended September 30, 2025,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NMI HOLDINGS,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 (UNAUDITED)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NMIC's statutory surplus, contingency reserve, statutory capital and risk-to-capital (RTC) ratio as of September 30, 2026 and December 31, 2025.</w:t>
      </w:r>
    </w:p>
    <w:tbl>
      <w:tblPr>
        <w:tblW w:w="5653" w:type="dxa"/>
        <w:jc w:val="left"/>
        <w:tblInd w:w="0" w:type="dxa"/>
        <w:tblLayout w:type="fixed"/>
        <w:tblCellMar>
          <w:top w:w="28" w:type="dxa"/>
          <w:left w:w="28" w:type="dxa"/>
          <w:bottom w:w="28" w:type="dxa"/>
          <w:right w:w="28" w:type="dxa"/>
        </w:tblCellMar>
      </w:tblPr>
      <w:tblGrid>
        <w:gridCol w:w="651"/>
        <w:gridCol w:w="573"/>
        <w:gridCol w:w="576"/>
        <w:gridCol w:w="251"/>
        <w:gridCol w:w="1164"/>
        <w:gridCol w:w="130"/>
        <w:gridCol w:w="109"/>
        <w:gridCol w:w="109"/>
        <w:gridCol w:w="109"/>
        <w:gridCol w:w="244"/>
        <w:gridCol w:w="1130"/>
        <w:gridCol w:w="126"/>
        <w:gridCol w:w="109"/>
        <w:gridCol w:w="109"/>
        <w:gridCol w:w="109"/>
        <w:gridCol w:w="154"/>
      </w:tblGrid>
      <w:t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1,019,228 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1,010,274 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Contingency reserve</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2,245,272 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Statutory capital </w:t>
            </w:r>
            <w:r>
              <w:rPr>
                <w:rFonts w:ascii="Times New Roman;serif" w:hAnsi="Times New Roman;serif"/>
                <w:b w:val="false"/>
                <w:color w:val="000000"/>
                <w:sz w:val="13"/>
              </w:rPr>
              <w:t>(1)</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3,507,250 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3,255,546 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Risk-to-capital </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the total of the statutory surplus and contingency reserve.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 One had $2.1 million of statutory capital at both September 30, 2026 and December 31, 2025.</w:t>
      </w:r>
    </w:p>
    <w:p>
      <w:pPr>
        <w:pStyle w:val="TextBody"/>
        <w:bidi w:val="0"/>
        <w:spacing w:lineRule="auto" w:line="288" w:before="0" w:after="180"/>
        <w:ind w:left="0" w:right="0" w:firstLine="720"/>
        <w:jc w:val="both"/>
      </w:pPr>
      <w:r>
        <w:rPr>
          <w:rFonts w:ascii="Times New Roman;serif" w:hAnsi="Times New Roman;serif"/>
          <w:b w:val="false"/>
          <w:color w:val="000000"/>
          <w:sz w:val="20"/>
        </w:rPr>
        <w:t>NMIH is not subject to any limitations on its ability to pay dividends except those generally applicable to corporations that are incorporated in Delaware. Delaware law provides that dividends are only payable out of a corporation's capital surplus or, subject to certain limitations, recent net profits.</w:t>
      </w:r>
      <w:r>
        <w:rPr>
          <w:color w:val="000000"/>
          <w:shd w:fill="FFFFFF" w:val="clear"/>
        </w:rPr>
        <w:t xml:space="preserve"> </w:t>
      </w:r>
    </w:p>
    <w:p>
      <w:pPr>
        <w:pStyle w:val="TextBody"/>
        <w:bidi w:val="0"/>
        <w:spacing w:lineRule="auto" w:line="288" w:before="0" w:after="180"/>
        <w:ind w:left="0" w:right="0" w:firstLine="720"/>
        <w:jc w:val="both"/>
      </w:pPr>
      <w:r>
        <w:rPr>
          <w:rFonts w:ascii="Times New Roman;serif" w:hAnsi="Times New Roman;serif"/>
          <w:b w:val="false"/>
          <w:color w:val="000000"/>
          <w:sz w:val="20"/>
        </w:rPr>
        <w:t>NMIC and Re One are subject to certain rules and regulations prescribed by jurisdictions in which they are authorized to operate and the GSEs that may restrict their ability to pay dividends to NMIH.</w:t>
      </w:r>
      <w:r>
        <w:rPr>
          <w:color w:val="000000"/>
        </w:rPr>
        <w:t xml:space="preserve"> </w:t>
      </w:r>
      <w:r>
        <w:rPr>
          <w:rFonts w:ascii="Times New Roman;serif" w:hAnsi="Times New Roman;serif"/>
          <w:b w:val="false"/>
          <w:color w:val="000000"/>
          <w:sz w:val="20"/>
        </w:rPr>
        <w:t>NMIC has the capacity to pay $101.0 million of aggregate ordinary dividends to NMIH during the twelve-month period ending December 31, 2026, and, on June 3, 2026, NMIC paid a $101.0 million ordinary course dividend to NMIH.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98"/>
        <w:jc w:val="both"/>
      </w:pPr>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pPr>
      <w:r>
        <w:rPr>
          <w:color w:val="000000"/>
        </w:rPr>
        <w:t>    </w:t>
      </w:r>
      <w:r>
        <w:rPr>
          <w:rFonts w:ascii="Times New Roman;serif" w:hAnsi="Times New Roman;serif"/>
          <w:b w:val="false"/>
          <w:i/>
          <w:color w:val="000000"/>
          <w:sz w:val="20"/>
        </w:rPr>
        <w:t>The following analysis should be read in conjunction with our unaudited condensed consolidated financial statements and the notes thereto included in this report and our audited financial statements, notes thereto and “Management's Discussion and Analysis of Financial Condition and Results of Operations” included in our 2025 10-K, as well as the “Glossary of Abbreviations and Acronyms” above, for a more complete understanding of our financial position and results of operations. In addition, investors should review the “Cautionary Note Regarding Forward-Looking Statements” above and the “Risk Factors” detailed in Part II, Item 1A of this report and in Part I, Item 1A of our 2025 10-K,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pStyle w:val="TextBody"/>
        <w:bidi w:val="0"/>
        <w:spacing w:lineRule="auto" w:line="288" w:before="0" w:after="180"/>
        <w:ind w:left="0" w:right="0" w:firstLine="720"/>
        <w:jc w:val="both"/>
      </w:pPr>
      <w:r>
        <w:rPr>
          <w:rFonts w:ascii="Times New Roman;serif" w:hAnsi="Times New Roman;serif"/>
          <w:b w:val="false"/>
          <w:color w:val="000000"/>
          <w:sz w:val="20"/>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Times New Roman;serif" w:hAnsi="Times New Roman;serif"/>
          <w:b w:val="false"/>
          <w:i/>
          <w:color w:val="000000"/>
          <w:sz w:val="20"/>
        </w:rPr>
        <w:t xml:space="preserve">i.e., </w:t>
      </w:r>
      <w:r>
        <w:rPr>
          <w:rFonts w:ascii="Times New Roman;serif" w:hAnsi="Times New Roman;serif"/>
          <w:b w:val="false"/>
          <w:color w:val="000000"/>
          <w:sz w:val="20"/>
        </w:rPr>
        <w:t>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September 30, 2026, we had issued master policies with 2,246 customers, including national and regional mortgage banks, money center banks, credit unions, community banks, builder-owned mortgage lenders, internet-sourced lenders and other non-bank lenders. As of September 30, 2026, we had $229.7 billion of primary IIF and $61.6 billion of primary RIF. </w:t>
      </w:r>
    </w:p>
    <w:p>
      <w:pPr>
        <w:pStyle w:val="TextBody"/>
        <w:bidi w:val="0"/>
        <w:spacing w:lineRule="auto" w:line="288" w:before="0" w:after="180"/>
        <w:ind w:left="0" w:right="0" w:firstLine="720"/>
        <w:jc w:val="both"/>
      </w:pPr>
      <w:r>
        <w:rPr>
          <w:rFonts w:ascii="Times New Roman;serif" w:hAnsi="Times New Roman;serif"/>
          <w:b w:val="false"/>
          <w:color w:val="000000"/>
          <w:sz w:val="20"/>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pricing platform to dynamically evaluate risk and price our policies, and foster a culture of collaboration and excellence that helps us attract and retain experienced industry leaders.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pStyle w:val="TextBody"/>
        <w:bidi w:val="0"/>
        <w:spacing w:lineRule="auto" w:line="288" w:before="0" w:after="180"/>
        <w:ind w:left="0" w:right="0" w:firstLine="720"/>
        <w:jc w:val="both"/>
      </w:pPr>
      <w:r>
        <w:rPr>
          <w:rFonts w:ascii="Times New Roman;serif" w:hAnsi="Times New Roman;serif"/>
          <w:b w:val="false"/>
          <w:color w:val="000000"/>
          <w:sz w:val="20"/>
        </w:rPr>
        <w:t xml:space="preserve">Our common stock trades on the Nasdaq under the symbol “NMIH.” Our headquarters is located in Emeryville, California. As of September 30, 2026, we had 229 employees. Our corporate website is located at </w:t>
      </w:r>
      <w:r>
        <w:rPr>
          <w:rFonts w:ascii="Times New Roman;serif" w:hAnsi="Times New Roman;serif"/>
          <w:b w:val="false"/>
          <w:i/>
          <w:color w:val="000000"/>
          <w:sz w:val="20"/>
        </w:rPr>
        <w:t>www.nationalmi.com</w:t>
      </w:r>
      <w:r>
        <w:rPr>
          <w:rFonts w:ascii="Times New Roman;serif" w:hAnsi="Times New Roman;serif"/>
          <w:b w:val="false"/>
          <w:color w:val="000000"/>
          <w:sz w:val="20"/>
        </w:rPr>
        <w:t>. Our website and the information contained on or accessible through our website are not incorporated by reference into this report.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98"/>
        <w:jc w:val="both"/>
      </w:p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Conditions and Trends Affecting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Macroeconomic Developments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NIW volume, or contribute to an increase in our future default and claim experience.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Market Developments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22, 2026, the GSEs began accepting mortgage loans evaluated using the VantageScore 4.0 credit scoring framework as an alternative to the classic FICO standard. We have evaluated VantageScore 4.0, including through internal analysis and a review of third-party and industry validation work, and believe that it is an appropriate credit scoring framework for use in our underwriting, pricing and risk management processes. VantageScore 4.0 loans represented less than 1% of our total IIF as of September 30, 2026. Although VantageScore 4.0 represents an immaterial portion of our current insured portfolio, we expect volume will increase in future periods as more lenders incorporate the new standard into their origination and delivery processes.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22, 2026, the President issued Executive Order "Decreasing Housing Costs for the American People," which, among other things, allows the Director of the FHFA, if he determines it to be in the best interests of the GSEs, the FHFA and the American public, to direct the GSEs to establish a pilot program to identify borrowers who satisfy equity-related and other requirements for cancellation of mortgage insurance, applicable only to mortgages made after the establishment of the pilot program. The implementation details and regulatory guidance necessary to fully assess the scope and effect of the executive order have not yet been issued, and we will continue to monitor developments as they become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Key Factors Affecting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New Insurance Written, Insurance-In-Force and Risk-In-Force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Net Premiums Written and Net Premiums Earned</w:t>
      </w:r>
    </w:p>
    <w:p>
      <w:pPr>
        <w:pStyle w:val="TextBody"/>
        <w:bidi w:val="0"/>
        <w:spacing w:lineRule="auto" w:line="288" w:before="0" w:after="180"/>
        <w:ind w:left="0" w:right="0" w:firstLine="720"/>
        <w:jc w:val="both"/>
      </w:pPr>
      <w:r>
        <w:rPr>
          <w:rFonts w:ascii="Times New Roman;serif" w:hAnsi="Times New Roman;serif"/>
          <w:b w:val="false"/>
          <w:color w:val="000000"/>
          <w:sz w:val="20"/>
        </w:rPr>
        <w:t>We set our premium rates on individual policies based on the risk characteristics of the underlying mortgage loans and borrowers, and in accordance with our filed rates and applicable rating rules. We primarily price our policies through a proprietary risk-based pricing platform, which we refer to as 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considers a broad range of individual and layered risk variables, including borrower credit, loan-level, product and lender attributes, as well as market and geographic factors, and provides us with the ability to set and charge premium rates commensurate with the underlying risk of each loan that we insure. We also offer a rate card pricing option to a limited number of lender customers when required for business process reasons. We believe that the utilization of Rate GPS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provides us with a more granular and analytical approach to evaluating and pricing risk, and that this approach enhances our ability to continue building a high-quality mortgage insurance portfolio and delivering attractive risk-adjusted returns.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98"/>
        <w:jc w:val="both"/>
      </w:pPr>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NIW;</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premium rates and the mix of premium payment type, which are either single, monthly or annual premiums, as described below;</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pStyle w:val="TextBody"/>
        <w:bidi w:val="0"/>
        <w:spacing w:lineRule="auto" w:line="288" w:before="0" w:after="180"/>
        <w:ind w:left="0" w:right="0" w:hanging="360"/>
        <w:jc w:val="both"/>
      </w:pPr>
      <w:r>
        <w:rPr>
          <w:color w:val="000000"/>
        </w:rPr>
        <w:t>•</w:t>
      </w:r>
      <w:r>
        <w:rPr>
          <w:rFonts w:ascii="Times New Roman;serif" w:hAnsi="Times New Roman;serif"/>
          <w:b w:val="false"/>
          <w:color w:val="000000"/>
          <w:sz w:val="20"/>
        </w:rPr>
        <w:t>cession of premiums under third-party reinsurance arrangements.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September 30, 2026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pStyle w:val="TextBody"/>
        <w:bidi w:val="0"/>
        <w:spacing w:before="0" w:after="0"/>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Effect of Reinsurance on Our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pStyle w:val="TextBody"/>
        <w:bidi w:val="0"/>
        <w:spacing w:lineRule="auto" w:line="288" w:before="0" w:after="180"/>
        <w:ind w:left="0" w:right="0" w:firstLine="720"/>
        <w:jc w:val="both"/>
      </w:pPr>
      <w:r>
        <w:rPr>
          <w:rFonts w:ascii="Times New Roman;serif" w:hAnsi="Times New Roman;serif"/>
          <w:b w:val="false"/>
          <w:color w:val="000000"/>
          <w:sz w:val="20"/>
        </w:rPr>
        <w:t>See Item 1, “</w:t>
      </w:r>
      <w:r>
        <w:rPr>
          <w:rFonts w:ascii="Times New Roman;serif" w:hAnsi="Times New Roman;serif"/>
          <w:b w:val="false"/>
          <w:i/>
          <w:color w:val="000000"/>
          <w:sz w:val="20"/>
        </w:rPr>
        <w:t>Financial Statements - Notes to Condensed Consolidated Financial Statements - Note 5, Reinsurance”</w:t>
      </w:r>
      <w:r>
        <w:rPr>
          <w:color w:val="000000"/>
        </w:rPr>
        <w:t xml:space="preserve"> </w:t>
      </w:r>
      <w:r>
        <w:rPr>
          <w:rFonts w:ascii="Times New Roman;serif" w:hAnsi="Times New Roman;serif"/>
          <w:b w:val="false"/>
          <w:color w:val="000000"/>
          <w:sz w:val="20"/>
        </w:rPr>
        <w:t>for further discussion of these third-party reinsurance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pPr>
      <w:r/>
    </w:p>
    <w:p>
      <w:pPr>
        <w:pStyle w:val="TextBody"/>
        <w:bidi w:val="0"/>
        <w:spacing w:lineRule="auto" w:line="288" w:before="18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Portfolio Data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NIW and primary IIF as of the dates and for the periods indicated. Unless otherwise noted, the tables below do not include the effects of our third-party reinsurance arrangements described above.</w:t>
      </w:r>
    </w:p>
    <w:tbl>
      <w:tblPr>
        <w:tblW w:w="10205" w:type="dxa"/>
        <w:jc w:val="left"/>
        <w:tblInd w:w="0" w:type="dxa"/>
        <w:tblLayout w:type="fixed"/>
        <w:tblCellMar>
          <w:top w:w="28" w:type="dxa"/>
          <w:left w:w="28" w:type="dxa"/>
          <w:bottom w:w="28" w:type="dxa"/>
          <w:right w:w="28" w:type="dxa"/>
        </w:tblCellMar>
      </w:tblPr>
      <w:tblGrid>
        <w:gridCol w:w="508"/>
        <w:gridCol w:w="398"/>
        <w:gridCol w:w="402"/>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76"/>
        <w:gridCol w:w="944"/>
        <w:gridCol w:w="142"/>
        <w:gridCol w:w="142"/>
        <w:gridCol w:w="142"/>
        <w:gridCol w:w="142"/>
        <w:gridCol w:w="276"/>
        <w:gridCol w:w="944"/>
        <w:gridCol w:w="207"/>
      </w:tblGrid>
      <w:tr>
        <w:tc>
          <w:tcPr>
            <w:tcW w:w="50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c>
          <w:tcPr>
            <w:tcW w:w="13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and primary IIF</w:t>
            </w:r>
          </w:p>
        </w:tc>
        <w:tc>
          <w:tcPr>
            <w:tcW w:w="53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nine months ended September 30,</w:t>
            </w:r>
          </w:p>
        </w:tc>
      </w:tr>
      <w:t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NIW</w:t>
            </w:r>
          </w:p>
        </w:tc>
      </w:tr>
      <w:t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41,884 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3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13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c>
          <w:tcPr>
            <w:tcW w:w="130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NIW increased 4% and 21%, respectively, during the three and nine months ended September 30, 2026 compared to the three and nine months ended September 30, 2025, due to growth in our customer franchise and market presence tied to the increased penetration of existing customer accounts and new customer activations. NIW further benefitted from an increase in the size of the total mortgage insurance market during the nine months ended September 30, 2026 tied to the prevailing interest rate environment in the first six months of the year and associated increase in mortgage refinancing activity.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Primary IIF increased 5% at September 30, 2026 compared to September 30, 2025, primarily due to the NIW generated between such measurement dates, partially offset by the run-off of in-force policies. Our persistency rate was 80.8% at September 30, 2026 compared to 83.9% at September 30, 2025.</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premiums written and earned for the periods indicated:</w:t>
      </w:r>
    </w:p>
    <w:tbl>
      <w:tblPr>
        <w:tblW w:w="9199" w:type="dxa"/>
        <w:jc w:val="left"/>
        <w:tblInd w:w="0" w:type="dxa"/>
        <w:tblLayout w:type="fixed"/>
        <w:tblCellMar>
          <w:top w:w="28" w:type="dxa"/>
          <w:left w:w="28" w:type="dxa"/>
          <w:bottom w:w="28" w:type="dxa"/>
          <w:right w:w="28" w:type="dxa"/>
        </w:tblCellMar>
      </w:tblPr>
      <w:tblGrid>
        <w:gridCol w:w="923"/>
        <w:gridCol w:w="812"/>
        <w:gridCol w:w="815"/>
        <w:gridCol w:w="256"/>
        <w:gridCol w:w="1003"/>
        <w:gridCol w:w="132"/>
        <w:gridCol w:w="132"/>
        <w:gridCol w:w="132"/>
        <w:gridCol w:w="132"/>
        <w:gridCol w:w="256"/>
        <w:gridCol w:w="1003"/>
        <w:gridCol w:w="132"/>
        <w:gridCol w:w="109"/>
        <w:gridCol w:w="109"/>
        <w:gridCol w:w="109"/>
        <w:gridCol w:w="249"/>
        <w:gridCol w:w="976"/>
        <w:gridCol w:w="128"/>
        <w:gridCol w:w="128"/>
        <w:gridCol w:w="128"/>
        <w:gridCol w:w="128"/>
        <w:gridCol w:w="249"/>
        <w:gridCol w:w="976"/>
        <w:gridCol w:w="182"/>
      </w:tblGrid>
      <w:t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premiums written and earned</w:t>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written</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premiums written increased 5% and 6%, respectively, and net premiums earned increased 3% and 4%, respectively, during the three and nine months ended September 30, 2026 compared to the three and nine months ended September 30, 2025, primarily due to growth in our monthly IIF and direct monthly pay premium receipts, partially offset by the impact of ceded premiums written and earned under our third-party reinsurance transactions during each respective period. The year-over-year increases in net premiums earned were further impacted by a reduction in the contribution of earnings from single premium policies.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Portfolio Statistics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noted, the portfolio statistics tables presented below do not include the effects of our third-party reinsurance arrangements described above. The table below highlights trends in our primary portfolio as of the dates and for the periods indicated.</w:t>
      </w:r>
    </w:p>
    <w:tbl>
      <w:tblPr>
        <w:tblW w:w="10205" w:type="dxa"/>
        <w:jc w:val="left"/>
        <w:tblInd w:w="0" w:type="dxa"/>
        <w:tblLayout w:type="fixed"/>
        <w:tblCellMar>
          <w:top w:w="28" w:type="dxa"/>
          <w:left w:w="28" w:type="dxa"/>
          <w:bottom w:w="28" w:type="dxa"/>
          <w:right w:w="28" w:type="dxa"/>
        </w:tblCellMar>
      </w:tblPr>
      <w:tblGrid>
        <w:gridCol w:w="1053"/>
        <w:gridCol w:w="574"/>
        <w:gridCol w:w="490"/>
        <w:gridCol w:w="222"/>
        <w:gridCol w:w="869"/>
        <w:gridCol w:w="285"/>
        <w:gridCol w:w="109"/>
        <w:gridCol w:w="109"/>
        <w:gridCol w:w="109"/>
        <w:gridCol w:w="211"/>
        <w:gridCol w:w="826"/>
        <w:gridCol w:w="271"/>
        <w:gridCol w:w="109"/>
        <w:gridCol w:w="109"/>
        <w:gridCol w:w="109"/>
        <w:gridCol w:w="211"/>
        <w:gridCol w:w="826"/>
        <w:gridCol w:w="271"/>
        <w:gridCol w:w="109"/>
        <w:gridCol w:w="109"/>
        <w:gridCol w:w="109"/>
        <w:gridCol w:w="220"/>
        <w:gridCol w:w="861"/>
        <w:gridCol w:w="282"/>
        <w:gridCol w:w="109"/>
        <w:gridCol w:w="109"/>
        <w:gridCol w:w="109"/>
        <w:gridCol w:w="221"/>
        <w:gridCol w:w="868"/>
        <w:gridCol w:w="336"/>
      </w:tblGrid>
      <w:tr>
        <w:tc>
          <w:tcPr>
            <w:tcW w:w="10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portfolio trends</w:t>
            </w:r>
          </w:p>
        </w:tc>
        <w:tc>
          <w:tcPr>
            <w:tcW w:w="80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r>
      <w:t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 except as noted below)</w:t>
            </w:r>
          </w:p>
        </w:tc>
      </w:tr>
      <w:t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insurance written </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monthly premium</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single premium</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risk written</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Insurance-in-force</w:t>
            </w:r>
            <w:r>
              <w:rPr>
                <w:color w:val="000000"/>
              </w:rPr>
              <w:t xml:space="preserve"> </w:t>
            </w:r>
            <w:r>
              <w:rPr>
                <w:rFonts w:ascii="Times New Roman;serif" w:hAnsi="Times New Roman;serif"/>
                <w:b w:val="false"/>
                <w:color w:val="000000"/>
                <w:sz w:val="13"/>
              </w:rPr>
              <w:t>(1)</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monthly premium</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single premium</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Risk-in-force</w:t>
            </w:r>
            <w:r>
              <w:rPr>
                <w:color w:val="000000"/>
              </w:rPr>
              <w:t xml:space="preserve"> </w:t>
            </w:r>
            <w:r>
              <w:rPr>
                <w:rFonts w:ascii="Times New Roman;serif" w:hAnsi="Times New Roman;serif"/>
                <w:b w:val="false"/>
                <w:color w:val="000000"/>
                <w:sz w:val="13"/>
              </w:rPr>
              <w:t>(1)</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Policies in force (count)</w:t>
            </w:r>
            <w:r>
              <w:rPr>
                <w:color w:val="000000"/>
              </w:rPr>
              <w:t xml:space="preserve"> </w:t>
            </w:r>
            <w:r>
              <w:rPr>
                <w:rFonts w:ascii="Times New Roman;serif" w:hAnsi="Times New Roman;serif"/>
                <w:b w:val="false"/>
                <w:color w:val="000000"/>
                <w:sz w:val="13"/>
              </w:rPr>
              <w:t>(1)</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697,361 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684,058 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677,010 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Average loan size</w:t>
            </w:r>
            <w:r>
              <w:rPr>
                <w:color w:val="000000"/>
              </w:rPr>
              <w:t xml:space="preserve"> </w:t>
            </w:r>
            <w:r>
              <w:rPr>
                <w:rFonts w:ascii="Times New Roman;serif" w:hAnsi="Times New Roman;serif"/>
                <w:b w:val="false"/>
                <w:i/>
                <w:color w:val="000000"/>
                <w:sz w:val="16"/>
              </w:rPr>
              <w:t>($ value in thousands)</w:t>
            </w:r>
            <w:r>
              <w:rPr>
                <w:color w:val="000000"/>
              </w:rPr>
              <w:t xml:space="preserve"> </w:t>
            </w:r>
            <w:r>
              <w:rPr>
                <w:rFonts w:ascii="Times New Roman;serif" w:hAnsi="Times New Roman;serif"/>
                <w:b w:val="false"/>
                <w:color w:val="000000"/>
                <w:sz w:val="13"/>
              </w:rPr>
              <w:t>(1)</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Coverage percentage </w:t>
            </w:r>
            <w:r>
              <w:rPr>
                <w:rFonts w:ascii="Times New Roman;serif" w:hAnsi="Times New Roman;serif"/>
                <w:b w:val="false"/>
                <w:color w:val="000000"/>
                <w:sz w:val="13"/>
              </w:rPr>
              <w:t>(2)</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Loans in default (count) </w:t>
            </w:r>
            <w:r>
              <w:rPr>
                <w:rFonts w:ascii="Times New Roman;serif" w:hAnsi="Times New Roman;serif"/>
                <w:b w:val="false"/>
                <w:color w:val="000000"/>
                <w:sz w:val="13"/>
              </w:rPr>
              <w:t>(1)</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Default rate </w:t>
            </w:r>
            <w:r>
              <w:rPr>
                <w:rFonts w:ascii="Times New Roman;serif" w:hAnsi="Times New Roman;serif"/>
                <w:b w:val="false"/>
                <w:color w:val="000000"/>
                <w:sz w:val="13"/>
              </w:rPr>
              <w:t>(1)</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Risk-in-force on defaulted loans </w:t>
            </w:r>
            <w:r>
              <w:rPr>
                <w:rFonts w:ascii="Times New Roman;serif" w:hAnsi="Times New Roman;serif"/>
                <w:b w:val="false"/>
                <w:color w:val="000000"/>
                <w:sz w:val="13"/>
              </w:rPr>
              <w:t>(1)</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Average net premium yield </w:t>
            </w:r>
            <w:r>
              <w:rPr>
                <w:rFonts w:ascii="Times New Roman;serif" w:hAnsi="Times New Roman;serif"/>
                <w:b w:val="false"/>
                <w:color w:val="000000"/>
                <w:sz w:val="13"/>
              </w:rPr>
              <w:t>(3)</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cancellations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Annual persistency</w:t>
            </w:r>
            <w:r>
              <w:rPr>
                <w:color w:val="000000"/>
              </w:rPr>
              <w:t xml:space="preserve"> </w:t>
            </w:r>
            <w:r>
              <w:rPr>
                <w:rFonts w:ascii="Times New Roman;serif" w:hAnsi="Times New Roman;serif"/>
                <w:b w:val="false"/>
                <w:color w:val="000000"/>
                <w:sz w:val="13"/>
              </w:rPr>
              <w:t>(4)</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Quarterly run-off</w:t>
            </w:r>
            <w:r>
              <w:rPr>
                <w:color w:val="000000"/>
              </w:rPr>
              <w:t xml:space="preserve"> </w:t>
            </w:r>
            <w:r>
              <w:rPr>
                <w:rFonts w:ascii="Times New Roman;serif" w:hAnsi="Times New Roman;serif"/>
                <w:b w:val="false"/>
                <w:color w:val="000000"/>
                <w:sz w:val="13"/>
              </w:rPr>
              <w:t>(5)</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    Reported as of the end of the period.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    Calculated as end of period RIF divided by end of period IIF.</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    Calculated as net premiums earned divided by average primary IIF for the period, annualized.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    Defined as the percentage of IIF that remains on our books after a given twelve-month period.</w:t>
      </w:r>
    </w:p>
    <w:p>
      <w:pPr>
        <w:pStyle w:val="TextBody"/>
        <w:bidi w:val="0"/>
        <w:spacing w:lineRule="auto" w:line="288" w:before="0" w:after="18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(5)    Defined as the percentage of IIF that is no longer on our books after a given three-month period.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the change in total primary IIF for the dates and periods indicated.</w:t>
      </w:r>
    </w:p>
    <w:tbl>
      <w:tblPr>
        <w:tblW w:w="10205" w:type="dxa"/>
        <w:jc w:val="left"/>
        <w:tblInd w:w="0" w:type="dxa"/>
        <w:tblLayout w:type="fixed"/>
        <w:tblCellMar>
          <w:top w:w="28" w:type="dxa"/>
          <w:left w:w="28" w:type="dxa"/>
          <w:bottom w:w="28" w:type="dxa"/>
          <w:right w:w="28" w:type="dxa"/>
        </w:tblCellMar>
      </w:tblPr>
      <w:tblGrid>
        <w:gridCol w:w="1290"/>
        <w:gridCol w:w="985"/>
        <w:gridCol w:w="959"/>
        <w:gridCol w:w="267"/>
        <w:gridCol w:w="1047"/>
        <w:gridCol w:w="138"/>
        <w:gridCol w:w="138"/>
        <w:gridCol w:w="138"/>
        <w:gridCol w:w="138"/>
        <w:gridCol w:w="267"/>
        <w:gridCol w:w="1047"/>
        <w:gridCol w:w="138"/>
        <w:gridCol w:w="109"/>
        <w:gridCol w:w="109"/>
        <w:gridCol w:w="109"/>
        <w:gridCol w:w="263"/>
        <w:gridCol w:w="1030"/>
        <w:gridCol w:w="135"/>
        <w:gridCol w:w="135"/>
        <w:gridCol w:w="135"/>
        <w:gridCol w:w="135"/>
        <w:gridCol w:w="263"/>
        <w:gridCol w:w="1030"/>
        <w:gridCol w:w="200"/>
      </w:tblGrid>
      <w:tr>
        <w:tc>
          <w:tcPr>
            <w:tcW w:w="129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c>
          <w:tcPr>
            <w:tcW w:w="3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w:t>
            </w:r>
          </w:p>
        </w:tc>
        <w:tc>
          <w:tcPr>
            <w:tcW w:w="33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nine months ended September 30,</w:t>
            </w:r>
          </w:p>
        </w:tc>
      </w:tr>
      <w:tr>
        <w:tc>
          <w:tcPr>
            <w:tcW w:w="3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beginning of period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NIW</w:t>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 principal repayments and other reductions</w:t>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end of period</w:t>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229,652 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229,652 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our primary IIF and RIF by book year as of the dates indicated.</w:t>
      </w:r>
    </w:p>
    <w:tbl>
      <w:tblPr>
        <w:tblW w:w="7049" w:type="dxa"/>
        <w:jc w:val="left"/>
        <w:tblInd w:w="0" w:type="dxa"/>
        <w:tblLayout w:type="fixed"/>
        <w:tblCellMar>
          <w:top w:w="28" w:type="dxa"/>
          <w:left w:w="28" w:type="dxa"/>
          <w:bottom w:w="28" w:type="dxa"/>
          <w:right w:w="28" w:type="dxa"/>
        </w:tblCellMar>
      </w:tblPr>
      <w:tblGrid>
        <w:gridCol w:w="596"/>
        <w:gridCol w:w="524"/>
        <w:gridCol w:w="52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and RIF</w:t>
            </w:r>
          </w:p>
        </w:tc>
        <w:tc>
          <w:tcPr>
            <w:tcW w:w="54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r>
      <w:t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Book year</w:t>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and before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utilize certain risk principles that form the basis of how we underwrite and originate NIW. We have established prudential underwriting standards and loan-level eligibility matrices which prescribe the maximum LTV, minimum borrower credit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present our NIW by credit score, LTV and purchase/refinance mix for the periods indicated. We calculate the LTV of a loan as the percentage of the original loan amount to the original purchase value of the property securing the loan.</w:t>
      </w:r>
    </w:p>
    <w:p>
      <w:pPr>
        <w:pStyle w:val="TextBody"/>
        <w:bidi w:val="0"/>
        <w:spacing w:before="0" w:after="180"/>
        <w:ind w:left="0" w:right="0" w:firstLine="720"/>
        <w:jc w:val="both"/>
      </w:pPr>
      <w:r/>
    </w:p>
    <w:tbl>
      <w:tblPr>
        <w:tblW w:w="9209" w:type="dxa"/>
        <w:jc w:val="left"/>
        <w:tblInd w:w="0" w:type="dxa"/>
        <w:tblLayout w:type="fixed"/>
        <w:tblCellMar>
          <w:top w:w="28" w:type="dxa"/>
          <w:left w:w="28" w:type="dxa"/>
          <w:bottom w:w="28" w:type="dxa"/>
          <w:right w:w="28" w:type="dxa"/>
        </w:tblCellMar>
      </w:tblPr>
      <w:tblGrid>
        <w:gridCol w:w="929"/>
        <w:gridCol w:w="815"/>
        <w:gridCol w:w="820"/>
        <w:gridCol w:w="278"/>
        <w:gridCol w:w="952"/>
        <w:gridCol w:w="143"/>
        <w:gridCol w:w="143"/>
        <w:gridCol w:w="143"/>
        <w:gridCol w:w="143"/>
        <w:gridCol w:w="278"/>
        <w:gridCol w:w="952"/>
        <w:gridCol w:w="143"/>
        <w:gridCol w:w="109"/>
        <w:gridCol w:w="109"/>
        <w:gridCol w:w="109"/>
        <w:gridCol w:w="270"/>
        <w:gridCol w:w="925"/>
        <w:gridCol w:w="139"/>
        <w:gridCol w:w="139"/>
        <w:gridCol w:w="139"/>
        <w:gridCol w:w="139"/>
        <w:gridCol w:w="270"/>
        <w:gridCol w:w="925"/>
        <w:gridCol w:w="197"/>
      </w:tblGrid>
      <w:t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 xml:space="preserve">NIW by credit score </w:t>
            </w:r>
            <w:r>
              <w:rPr>
                <w:rFonts w:ascii="Times New Roman;serif" w:hAnsi="Times New Roman;serif"/>
                <w:b/>
                <w:color w:val="000000"/>
                <w:sz w:val="10"/>
              </w:rPr>
              <w:t>(1)</w:t>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credit score</w:t>
            </w:r>
          </w:p>
        </w:tc>
        <w:tc>
          <w:tcPr>
            <w:tcW w:w="12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(1) Includes immaterial amounts related to loans with VantageScore 4.0 credit scores for the three and nine months ended September 30, 2026.</w:t>
      </w:r>
    </w:p>
    <w:tbl>
      <w:tblPr>
        <w:tblW w:w="8658" w:type="dxa"/>
        <w:jc w:val="left"/>
        <w:tblInd w:w="0" w:type="dxa"/>
        <w:tblLayout w:type="fixed"/>
        <w:tblCellMar>
          <w:top w:w="28" w:type="dxa"/>
          <w:left w:w="28" w:type="dxa"/>
          <w:bottom w:w="28" w:type="dxa"/>
          <w:right w:w="28" w:type="dxa"/>
        </w:tblCellMar>
      </w:tblPr>
      <w:tblGrid>
        <w:gridCol w:w="724"/>
        <w:gridCol w:w="638"/>
        <w:gridCol w:w="647"/>
        <w:gridCol w:w="245"/>
        <w:gridCol w:w="839"/>
        <w:gridCol w:w="315"/>
        <w:gridCol w:w="126"/>
        <w:gridCol w:w="126"/>
        <w:gridCol w:w="126"/>
        <w:gridCol w:w="245"/>
        <w:gridCol w:w="839"/>
        <w:gridCol w:w="315"/>
        <w:gridCol w:w="109"/>
        <w:gridCol w:w="109"/>
        <w:gridCol w:w="109"/>
        <w:gridCol w:w="239"/>
        <w:gridCol w:w="817"/>
        <w:gridCol w:w="307"/>
        <w:gridCol w:w="123"/>
        <w:gridCol w:w="123"/>
        <w:gridCol w:w="123"/>
        <w:gridCol w:w="239"/>
        <w:gridCol w:w="817"/>
        <w:gridCol w:w="358"/>
      </w:tblGrid>
      <w:tr>
        <w:tc>
          <w:tcPr>
            <w:tcW w:w="7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LTV</w:t>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18,608 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15,569 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41,884 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LTV</w:t>
            </w:r>
          </w:p>
        </w:tc>
        <w:tc>
          <w:tcPr>
            <w:tcW w:w="108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3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059" w:type="dxa"/>
        <w:jc w:val="left"/>
        <w:tblInd w:w="0" w:type="dxa"/>
        <w:tblLayout w:type="fixed"/>
        <w:tblCellMar>
          <w:top w:w="28" w:type="dxa"/>
          <w:left w:w="28" w:type="dxa"/>
          <w:bottom w:w="28" w:type="dxa"/>
          <w:right w:w="28" w:type="dxa"/>
        </w:tblCellMar>
      </w:tblPr>
      <w:tblGrid>
        <w:gridCol w:w="875"/>
        <w:gridCol w:w="768"/>
        <w:gridCol w:w="771"/>
        <w:gridCol w:w="278"/>
        <w:gridCol w:w="952"/>
        <w:gridCol w:w="143"/>
        <w:gridCol w:w="143"/>
        <w:gridCol w:w="143"/>
        <w:gridCol w:w="143"/>
        <w:gridCol w:w="278"/>
        <w:gridCol w:w="952"/>
        <w:gridCol w:w="143"/>
        <w:gridCol w:w="109"/>
        <w:gridCol w:w="109"/>
        <w:gridCol w:w="109"/>
        <w:gridCol w:w="270"/>
        <w:gridCol w:w="925"/>
        <w:gridCol w:w="139"/>
        <w:gridCol w:w="139"/>
        <w:gridCol w:w="139"/>
        <w:gridCol w:w="139"/>
        <w:gridCol w:w="270"/>
        <w:gridCol w:w="925"/>
        <w:gridCol w:w="197"/>
      </w:tblGrid>
      <w:t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purchase/refinance mix</w:t>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Refinance</w:t>
            </w:r>
            <w:r>
              <w:rPr>
                <w:color w:val="000000"/>
              </w:rPr>
              <w:t xml:space="preserve"> </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13,575 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41,884 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34,697 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present our total primary IIF and RIF by credit score and LTV, and total primary RIF by loan type as of the dates indicated. </w:t>
      </w:r>
    </w:p>
    <w:tbl>
      <w:tblPr>
        <w:tblW w:w="7086" w:type="dxa"/>
        <w:jc w:val="left"/>
        <w:tblInd w:w="0" w:type="dxa"/>
        <w:tblLayout w:type="fixed"/>
        <w:tblCellMar>
          <w:top w:w="28" w:type="dxa"/>
          <w:left w:w="28" w:type="dxa"/>
          <w:bottom w:w="28" w:type="dxa"/>
          <w:right w:w="28" w:type="dxa"/>
        </w:tblCellMar>
      </w:tblPr>
      <w:tblGrid>
        <w:gridCol w:w="829"/>
        <w:gridCol w:w="729"/>
        <w:gridCol w:w="736"/>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Primary IIF by credit score</w:t>
            </w:r>
            <w:r>
              <w:rPr>
                <w:color w:val="000000"/>
              </w:rPr>
              <w:t xml:space="preserve"> </w:t>
            </w:r>
            <w:r>
              <w:rPr>
                <w:rFonts w:ascii="Times New Roman;serif" w:hAnsi="Times New Roman;serif"/>
                <w:b/>
                <w:color w:val="000000"/>
                <w:sz w:val="10"/>
              </w:rPr>
              <w:t>(1)</w:t>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16"/>
        </w:rPr>
      </w:pPr>
      <w:r>
        <w:rPr>
          <w:rFonts w:ascii="Times New Roman;serif" w:hAnsi="Times New Roman;serif"/>
          <w:b w:val="false"/>
          <w:color w:val="000000"/>
          <w:sz w:val="16"/>
        </w:rPr>
        <w:t>(1) Includes immaterial amounts related to loans with VantageScore 4.0 credit scores as of September 30, 2026.</w:t>
      </w:r>
    </w:p>
    <w:tbl>
      <w:tblPr>
        <w:tblW w:w="6922" w:type="dxa"/>
        <w:jc w:val="left"/>
        <w:tblInd w:w="0" w:type="dxa"/>
        <w:tblLayout w:type="fixed"/>
        <w:tblCellMar>
          <w:top w:w="28" w:type="dxa"/>
          <w:left w:w="28" w:type="dxa"/>
          <w:bottom w:w="28" w:type="dxa"/>
          <w:right w:w="28" w:type="dxa"/>
        </w:tblCellMar>
      </w:tblPr>
      <w:tblGrid>
        <w:gridCol w:w="846"/>
        <w:gridCol w:w="744"/>
        <w:gridCol w:w="750"/>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 xml:space="preserve">Primary RIF by credit score </w:t>
            </w:r>
            <w:r>
              <w:rPr>
                <w:rFonts w:ascii="Times New Roman;serif" w:hAnsi="Times New Roman;serif"/>
                <w:b/>
                <w:color w:val="000000"/>
                <w:sz w:val="10"/>
              </w:rPr>
              <w:t>(1)</w:t>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&lt;=679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3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16"/>
        </w:rPr>
      </w:pPr>
      <w:r>
        <w:rPr>
          <w:rFonts w:ascii="Times New Roman;serif" w:hAnsi="Times New Roman;serif"/>
          <w:b w:val="false"/>
          <w:color w:val="000000"/>
          <w:sz w:val="16"/>
        </w:rPr>
        <w:t>(1) Includes immaterial amounts related to loans with VantageScore 4.0 credit scores as of September 30, 2026.</w:t>
      </w:r>
    </w:p>
    <w:tbl>
      <w:tblPr>
        <w:tblW w:w="6427" w:type="dxa"/>
        <w:jc w:val="left"/>
        <w:tblInd w:w="0" w:type="dxa"/>
        <w:tblLayout w:type="fixed"/>
        <w:tblCellMar>
          <w:top w:w="28" w:type="dxa"/>
          <w:left w:w="28" w:type="dxa"/>
          <w:bottom w:w="28" w:type="dxa"/>
          <w:right w:w="28" w:type="dxa"/>
        </w:tblCellMar>
      </w:tblPr>
      <w:tblGrid>
        <w:gridCol w:w="591"/>
        <w:gridCol w:w="520"/>
        <w:gridCol w:w="524"/>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by LTV</w:t>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6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tbl>
      <w:tblPr>
        <w:tblW w:w="6247" w:type="dxa"/>
        <w:jc w:val="left"/>
        <w:tblInd w:w="0" w:type="dxa"/>
        <w:tblLayout w:type="fixed"/>
        <w:tblCellMar>
          <w:top w:w="28" w:type="dxa"/>
          <w:left w:w="28" w:type="dxa"/>
          <w:bottom w:w="28" w:type="dxa"/>
          <w:right w:w="28" w:type="dxa"/>
        </w:tblCellMar>
      </w:tblPr>
      <w:tblGrid>
        <w:gridCol w:w="602"/>
        <w:gridCol w:w="529"/>
        <w:gridCol w:w="534"/>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316"/>
      </w:tblGrid>
      <w:t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LTV</w:t>
            </w:r>
          </w:p>
        </w:tc>
        <w:tc>
          <w:tcPr>
            <w:tcW w:w="45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6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pPr>
      <w:r/>
    </w:p>
    <w:tbl>
      <w:tblPr>
        <w:tblW w:w="4745" w:type="dxa"/>
        <w:jc w:val="left"/>
        <w:tblInd w:w="0" w:type="dxa"/>
        <w:tblLayout w:type="fixed"/>
        <w:tblCellMar>
          <w:top w:w="28" w:type="dxa"/>
          <w:left w:w="28" w:type="dxa"/>
          <w:bottom w:w="28" w:type="dxa"/>
          <w:right w:w="28" w:type="dxa"/>
        </w:tblCellMar>
      </w:tblPr>
      <w:tblGrid>
        <w:gridCol w:w="829"/>
        <w:gridCol w:w="729"/>
        <w:gridCol w:w="736"/>
        <w:gridCol w:w="231"/>
        <w:gridCol w:w="235"/>
        <w:gridCol w:w="324"/>
        <w:gridCol w:w="130"/>
        <w:gridCol w:w="130"/>
        <w:gridCol w:w="130"/>
        <w:gridCol w:w="231"/>
        <w:gridCol w:w="235"/>
        <w:gridCol w:w="324"/>
        <w:gridCol w:w="109"/>
        <w:gridCol w:w="109"/>
        <w:gridCol w:w="109"/>
        <w:gridCol w:w="154"/>
      </w:tblGrid>
      <w:t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Loan Type</w:t>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Adjustable rate mortgages:</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five years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 years and longer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selected primary portfolio statistics, by book year, as of September 30, 2026.</w:t>
      </w:r>
    </w:p>
    <w:tbl>
      <w:tblPr>
        <w:tblW w:w="13906" w:type="dxa"/>
        <w:jc w:val="left"/>
        <w:tblInd w:w="0" w:type="dxa"/>
        <w:tblLayout w:type="fixed"/>
        <w:tblCellMar>
          <w:top w:w="28" w:type="dxa"/>
          <w:left w:w="28" w:type="dxa"/>
          <w:bottom w:w="28" w:type="dxa"/>
          <w:right w:w="28" w:type="dxa"/>
        </w:tblCellMar>
      </w:tblPr>
      <w:tblGrid>
        <w:gridCol w:w="239"/>
        <w:gridCol w:w="158"/>
        <w:gridCol w:w="159"/>
        <w:gridCol w:w="211"/>
        <w:gridCol w:w="826"/>
        <w:gridCol w:w="109"/>
        <w:gridCol w:w="109"/>
        <w:gridCol w:w="109"/>
        <w:gridCol w:w="109"/>
        <w:gridCol w:w="273"/>
        <w:gridCol w:w="1071"/>
        <w:gridCol w:w="142"/>
        <w:gridCol w:w="109"/>
        <w:gridCol w:w="109"/>
        <w:gridCol w:w="109"/>
        <w:gridCol w:w="244"/>
        <w:gridCol w:w="244"/>
        <w:gridCol w:w="608"/>
        <w:gridCol w:w="109"/>
        <w:gridCol w:w="109"/>
        <w:gridCol w:w="109"/>
        <w:gridCol w:w="559"/>
        <w:gridCol w:w="417"/>
        <w:gridCol w:w="216"/>
        <w:gridCol w:w="109"/>
        <w:gridCol w:w="109"/>
        <w:gridCol w:w="109"/>
        <w:gridCol w:w="596"/>
        <w:gridCol w:w="230"/>
        <w:gridCol w:w="231"/>
        <w:gridCol w:w="109"/>
        <w:gridCol w:w="109"/>
        <w:gridCol w:w="109"/>
        <w:gridCol w:w="386"/>
        <w:gridCol w:w="230"/>
        <w:gridCol w:w="231"/>
        <w:gridCol w:w="109"/>
        <w:gridCol w:w="109"/>
        <w:gridCol w:w="109"/>
        <w:gridCol w:w="416"/>
        <w:gridCol w:w="200"/>
        <w:gridCol w:w="201"/>
        <w:gridCol w:w="109"/>
        <w:gridCol w:w="109"/>
        <w:gridCol w:w="109"/>
        <w:gridCol w:w="324"/>
        <w:gridCol w:w="187"/>
        <w:gridCol w:w="467"/>
        <w:gridCol w:w="109"/>
        <w:gridCol w:w="109"/>
        <w:gridCol w:w="109"/>
        <w:gridCol w:w="210"/>
        <w:gridCol w:w="210"/>
        <w:gridCol w:w="526"/>
        <w:gridCol w:w="109"/>
        <w:gridCol w:w="109"/>
        <w:gridCol w:w="109"/>
        <w:gridCol w:w="256"/>
        <w:gridCol w:w="150"/>
        <w:gridCol w:w="436"/>
      </w:tblGrid>
      <w:tr>
        <w:tc>
          <w:tcPr>
            <w:tcW w:w="2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Book Year</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Insurance Written</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Insurance-in-Force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Remaining of Original Insurance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Policies Ever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Policies in Force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Loans in Default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 of Claims Paid </w:t>
            </w:r>
            <w:r>
              <w:rPr>
                <w:rFonts w:ascii="Times New Roman;serif" w:hAnsi="Times New Roman;serif"/>
                <w:b/>
                <w:color w:val="000000"/>
                <w:sz w:val="10"/>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Incurred Loss Ratio (Inception to Date) </w:t>
            </w:r>
            <w:r>
              <w:rPr>
                <w:rFonts w:ascii="Times New Roman;serif" w:hAnsi="Times New Roman;serif"/>
                <w:b/>
                <w:color w:val="000000"/>
                <w:sz w:val="10"/>
              </w:rPr>
              <w:t>(1)(2)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Cumulative Default Rate </w:t>
            </w:r>
            <w:r>
              <w:rPr>
                <w:rFonts w:ascii="Times New Roman;serif" w:hAnsi="Times New Roman;serif"/>
                <w:b/>
                <w:color w:val="000000"/>
                <w:sz w:val="10"/>
              </w:rPr>
              <w:t>(3)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Current Default Rate </w:t>
            </w:r>
            <w:r>
              <w:rPr>
                <w:rFonts w:ascii="Times New Roman;serif" w:hAnsi="Times New Roman;serif"/>
                <w:b/>
                <w:color w:val="000000"/>
                <w:sz w:val="10"/>
              </w:rPr>
              <w:t>(4)</w:t>
            </w:r>
          </w:p>
        </w:tc>
      </w:tr>
      <w:t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0" w:type="dxa"/>
            <w:gridSpan w:val="57"/>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r>
      <w:t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 and prior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122,101 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91,454 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102,197 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229,652 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1,560,940 </w:t>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697,361 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Includes delinquent loans removed from default inventory upon commutation of coverage.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Calculated as total claims incurred divided by cumulative premiums earned, net of reinsurance.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Calculated as the sum of the number of claims paid ever to date and number of loans in default divided by policies ever in force.</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Calculated as the number of loans in default divided by number of policies in force.</w:t>
      </w:r>
    </w:p>
    <w:p>
      <w:pPr>
        <w:pStyle w:val="TextBody"/>
        <w:bidi w:val="0"/>
        <w:spacing w:lineRule="auto" w:line="288" w:before="0" w:after="18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Geographic Dispersion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distribution by state of our primary RIF as of the dates indicated. The distribution of our primary RIF as of September 30, 2026 is not necessarily representative of the geographic distribution we expect in the future. </w:t>
      </w:r>
    </w:p>
    <w:tbl>
      <w:tblPr>
        <w:tblW w:w="4325" w:type="dxa"/>
        <w:jc w:val="left"/>
        <w:tblInd w:w="0" w:type="dxa"/>
        <w:tblLayout w:type="fixed"/>
        <w:tblCellMar>
          <w:top w:w="28" w:type="dxa"/>
          <w:left w:w="28" w:type="dxa"/>
          <w:bottom w:w="28" w:type="dxa"/>
          <w:right w:w="28" w:type="dxa"/>
        </w:tblCellMar>
      </w:tblPr>
      <w:tblGrid>
        <w:gridCol w:w="803"/>
        <w:gridCol w:w="705"/>
        <w:gridCol w:w="711"/>
        <w:gridCol w:w="255"/>
        <w:gridCol w:w="256"/>
        <w:gridCol w:w="322"/>
        <w:gridCol w:w="129"/>
        <w:gridCol w:w="129"/>
        <w:gridCol w:w="129"/>
        <w:gridCol w:w="255"/>
        <w:gridCol w:w="256"/>
        <w:gridCol w:w="375"/>
      </w:tblGrid>
      <w:t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Top 10 primary RIF by state</w:t>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pPr>
      <w:r/>
    </w:p>
    <w:p>
      <w:pPr>
        <w:pStyle w:val="TextBody"/>
        <w:bidi w:val="0"/>
        <w:spacing w:lineRule="auto" w:line="288" w:before="12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Insurance Claims and Claim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Insurance claims and claim expenses incurred represent estimated future payments on newly defaulted insured loans and any change in our claim estimates for previously existing defaults. Claims incurred are generally affected by a variety of factors, including the macroeconomic environment, national and regional unemployment trends, changes in housing values, borrower risk characteristics, LTV ratios and other loan level risk attributes, the size and type of loans insured, the percentage of coverage on insured loans, and the level of reinsurance coverage maintained against insured exposures.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XOL Transactions and ILN Transaction as applicable under each treaty. We have not yet ceded reserves under any of the XOL Transactions or ILN Transaction as incurred claims and claim expenses on each respective reference pool remain within our retained coverage layer for each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gross reserve balances for insurance claims and claim expenses:</w:t>
      </w:r>
    </w:p>
    <w:tbl>
      <w:tblPr>
        <w:tblW w:w="10205" w:type="dxa"/>
        <w:jc w:val="left"/>
        <w:tblInd w:w="0" w:type="dxa"/>
        <w:tblLayout w:type="fixed"/>
        <w:tblCellMar>
          <w:top w:w="28" w:type="dxa"/>
          <w:left w:w="28" w:type="dxa"/>
          <w:bottom w:w="28" w:type="dxa"/>
          <w:right w:w="28" w:type="dxa"/>
        </w:tblCellMar>
      </w:tblPr>
      <w:tblGrid>
        <w:gridCol w:w="1404"/>
        <w:gridCol w:w="1200"/>
        <w:gridCol w:w="1206"/>
        <w:gridCol w:w="244"/>
        <w:gridCol w:w="959"/>
        <w:gridCol w:w="126"/>
        <w:gridCol w:w="126"/>
        <w:gridCol w:w="126"/>
        <w:gridCol w:w="126"/>
        <w:gridCol w:w="244"/>
        <w:gridCol w:w="959"/>
        <w:gridCol w:w="126"/>
        <w:gridCol w:w="109"/>
        <w:gridCol w:w="109"/>
        <w:gridCol w:w="109"/>
        <w:gridCol w:w="239"/>
        <w:gridCol w:w="939"/>
        <w:gridCol w:w="123"/>
        <w:gridCol w:w="123"/>
        <w:gridCol w:w="123"/>
        <w:gridCol w:w="123"/>
        <w:gridCol w:w="239"/>
        <w:gridCol w:w="939"/>
        <w:gridCol w:w="184"/>
      </w:tblGrid>
      <w:tr>
        <w:tc>
          <w:tcPr>
            <w:tcW w:w="140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130,328 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Total claims and claim expenses incurred </w:t>
            </w:r>
            <w:r>
              <w:rPr>
                <w:rFonts w:ascii="Times New Roman;serif" w:hAnsi="Times New Roman;serif"/>
                <w:b w:val="false"/>
                <w:color w:val="000000"/>
                <w:sz w:val="13"/>
              </w:rPr>
              <w:t>(4)</w:t>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36,144 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(3)(5)</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(6)</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13,398 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145,032 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234,242 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234,242 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180,347 </w:t>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pPr>
      <w:r>
        <w:rPr>
          <w:rFonts w:ascii="Times New Roman;serif" w:hAnsi="Times New Roman;serif"/>
          <w:b w:val="false"/>
          <w:color w:val="000000"/>
          <w:sz w:val="16"/>
        </w:rPr>
        <w:t>(1)    Related to ceded losses recoverable under the QSR Transactions. See Item 1, “</w:t>
      </w:r>
      <w:r>
        <w:rPr>
          <w:rFonts w:ascii="Times New Roman;serif" w:hAnsi="Times New Roman;serif"/>
          <w:b w:val="false"/>
          <w:i/>
          <w:color w:val="000000"/>
          <w:sz w:val="16"/>
        </w:rPr>
        <w:t>Financial Statements - Notes to Condensed Consolidated Financial Statements - Note 5, Reinsurance”</w:t>
      </w:r>
      <w:r>
        <w:rPr>
          <w:color w:val="000000"/>
        </w:rPr>
        <w:t xml:space="preserve"> </w:t>
      </w:r>
      <w:r>
        <w:rPr>
          <w:rFonts w:ascii="Times New Roman;serif" w:hAnsi="Times New Roman;serif"/>
          <w:b w:val="false"/>
          <w:color w:val="000000"/>
          <w:sz w:val="16"/>
        </w:rPr>
        <w:t>for additional information.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$91.3 million attributed to net case reserves and $12.9 million attributed to net IBNR reserves for the nine months ended September 30, 2026 and $77.2 million attributed to net case reserves and $9.8 million attributed to net IBNR reserves for the nine months ended September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$30.8 million attributed to net case reserves and $10.8 million attributed to net IBNR reserves for the nine months ended September 30, 2026 and $43.2 million attributed to net case reserves and $8.1 million attributed to net IBNR reserves for the nine months ended September 30,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Excludes aggregate termination fees of $0.3 million for the nine months ended September 30, 2025 incurred in connection with the amendment of certain QSR Transactions.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Includes $1.0 million, net of reinsurance, paid in connection with the commutation of coverage on delinquent loans during the three and nine months ended September 30, 2026.</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Represents the settlement of reinsurance recoverables in conjunction with the termination or amendment of certain QSR Transactions.</w:t>
      </w:r>
    </w:p>
    <w:p>
      <w:pPr>
        <w:pStyle w:val="TextBody"/>
        <w:bidi w:val="0"/>
        <w:spacing w:before="0" w:after="0"/>
        <w:ind w:left="0" w:right="0" w:hanging="360"/>
        <w:jc w:val="both"/>
      </w:pPr>
      <w:r/>
    </w:p>
    <w:p>
      <w:pPr>
        <w:pStyle w:val="TextBody"/>
        <w:bidi w:val="0"/>
        <w:spacing w:lineRule="auto" w:line="288" w:before="0" w:after="180"/>
        <w:ind w:left="0" w:right="0" w:firstLine="720"/>
        <w:jc w:val="both"/>
      </w:pPr>
      <w:r>
        <w:rPr>
          <w:rFonts w:ascii="Times New Roman;serif" w:hAnsi="Times New Roman;serif"/>
          <w:b w:val="false"/>
          <w:color w:val="000000"/>
          <w:sz w:val="20"/>
        </w:rPr>
        <w:t xml:space="preserve">The </w:t>
      </w:r>
      <w:r>
        <w:rPr>
          <w:color w:val="000000"/>
        </w:rPr>
        <w:t>“</w:t>
      </w:r>
      <w:r>
        <w:rPr>
          <w:rFonts w:ascii="Times New Roman;serif" w:hAnsi="Times New Roman;serif"/>
          <w:b w:val="false"/>
          <w:color w:val="000000"/>
          <w:sz w:val="20"/>
        </w:rPr>
        <w:t>claims incurred</w:t>
      </w:r>
      <w:r>
        <w:rPr>
          <w:color w:val="000000"/>
        </w:rPr>
        <w:t xml:space="preserve">” </w:t>
      </w:r>
      <w:r>
        <w:rPr>
          <w:rFonts w:ascii="Times New Roman;serif" w:hAnsi="Times New Roman;serif"/>
          <w:b w:val="false"/>
          <w:color w:val="000000"/>
          <w:sz w:val="20"/>
        </w:rPr>
        <w:t>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$103.5 million related to prior year defaults remained as of September 30,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count of loans in default:</w:t>
      </w:r>
    </w:p>
    <w:tbl>
      <w:tblPr>
        <w:tblW w:w="9962" w:type="dxa"/>
        <w:jc w:val="left"/>
        <w:tblInd w:w="0" w:type="dxa"/>
        <w:tblLayout w:type="fixed"/>
        <w:tblCellMar>
          <w:top w:w="28" w:type="dxa"/>
          <w:left w:w="28" w:type="dxa"/>
          <w:bottom w:w="28" w:type="dxa"/>
          <w:right w:w="28" w:type="dxa"/>
        </w:tblCellMar>
      </w:tblPr>
      <w:tblGrid>
        <w:gridCol w:w="1185"/>
        <w:gridCol w:w="1039"/>
        <w:gridCol w:w="1046"/>
        <w:gridCol w:w="353"/>
        <w:gridCol w:w="353"/>
        <w:gridCol w:w="353"/>
        <w:gridCol w:w="353"/>
        <w:gridCol w:w="353"/>
        <w:gridCol w:w="353"/>
        <w:gridCol w:w="353"/>
        <w:gridCol w:w="353"/>
        <w:gridCol w:w="353"/>
        <w:gridCol w:w="109"/>
        <w:gridCol w:w="109"/>
        <w:gridCol w:w="109"/>
        <w:gridCol w:w="345"/>
        <w:gridCol w:w="345"/>
        <w:gridCol w:w="334"/>
        <w:gridCol w:w="334"/>
        <w:gridCol w:w="334"/>
        <w:gridCol w:w="334"/>
        <w:gridCol w:w="345"/>
        <w:gridCol w:w="345"/>
        <w:gridCol w:w="472"/>
      </w:tblGrid>
      <w:t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default inventory</w:t>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new defaults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cures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Less: commutations and settlements</w:t>
            </w:r>
            <w:r>
              <w:rPr>
                <w:color w:val="000000"/>
              </w:rPr>
              <w:t xml:space="preserve"> </w:t>
            </w:r>
            <w:r>
              <w:rPr>
                <w:rFonts w:ascii="Times New Roman;serif" w:hAnsi="Times New Roman;serif"/>
                <w:b w:val="false"/>
                <w:color w:val="000000"/>
                <w:sz w:val="13"/>
              </w:rPr>
              <w:t>(1)</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rescission and claims denied</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default inventory</w:t>
            </w:r>
          </w:p>
        </w:tc>
        <w:tc>
          <w:tcPr>
            <w:tcW w:w="7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3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loans removed from default inventory upon commutation of coverage.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Ending default inventory increased from September 30, 2025 to September 30, 2026, primarily due to the growth and seasoning of our insured portfolio, partially offset by cure activity within our default population during the intervening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our claims paid, excluding commutations and settlements, before giving effect to claims ceded under the QSR Transactions for the periods indicated:</w:t>
      </w:r>
    </w:p>
    <w:tbl>
      <w:tblPr>
        <w:tblW w:w="9304" w:type="dxa"/>
        <w:jc w:val="left"/>
        <w:tblInd w:w="0" w:type="dxa"/>
        <w:tblLayout w:type="fixed"/>
        <w:tblCellMar>
          <w:top w:w="28" w:type="dxa"/>
          <w:left w:w="28" w:type="dxa"/>
          <w:bottom w:w="28" w:type="dxa"/>
          <w:right w:w="28" w:type="dxa"/>
        </w:tblCellMar>
      </w:tblPr>
      <w:tblGrid>
        <w:gridCol w:w="960"/>
        <w:gridCol w:w="845"/>
        <w:gridCol w:w="850"/>
        <w:gridCol w:w="255"/>
        <w:gridCol w:w="872"/>
        <w:gridCol w:w="328"/>
        <w:gridCol w:w="131"/>
        <w:gridCol w:w="131"/>
        <w:gridCol w:w="131"/>
        <w:gridCol w:w="255"/>
        <w:gridCol w:w="745"/>
        <w:gridCol w:w="328"/>
        <w:gridCol w:w="109"/>
        <w:gridCol w:w="109"/>
        <w:gridCol w:w="109"/>
        <w:gridCol w:w="239"/>
        <w:gridCol w:w="817"/>
        <w:gridCol w:w="307"/>
        <w:gridCol w:w="123"/>
        <w:gridCol w:w="123"/>
        <w:gridCol w:w="123"/>
        <w:gridCol w:w="239"/>
        <w:gridCol w:w="817"/>
        <w:gridCol w:w="358"/>
      </w:tblGrid>
      <w:t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Number of claims paid </w:t>
            </w:r>
            <w:r>
              <w:rPr>
                <w:rFonts w:ascii="Times New Roman;serif" w:hAnsi="Times New Roman;serif"/>
                <w:b w:val="false"/>
                <w:color w:val="000000"/>
                <w:sz w:val="13"/>
              </w:rPr>
              <w:t>(1)</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 paid for claims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38,958 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16,101 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amount paid per claim</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Severity </w:t>
            </w:r>
            <w:r>
              <w:rPr>
                <w:rFonts w:ascii="Times New Roman;serif" w:hAnsi="Times New Roman;serif"/>
                <w:b w:val="false"/>
                <w:color w:val="000000"/>
                <w:sz w:val="13"/>
              </w:rPr>
              <w:t>(2)</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pPr>
      <w:r>
        <w:rPr>
          <w:rFonts w:ascii="Times New Roman;serif" w:hAnsi="Times New Roman;serif"/>
          <w:b w:val="false"/>
          <w:color w:val="000000"/>
          <w:sz w:val="16"/>
        </w:rPr>
        <w:t>(1)    Count includes 19 and 46</w:t>
      </w:r>
      <w:r>
        <w:rPr>
          <w:color w:val="000000"/>
        </w:rPr>
        <w:t xml:space="preserve"> </w:t>
      </w:r>
      <w:r>
        <w:rPr>
          <w:rFonts w:ascii="Times New Roman;serif" w:hAnsi="Times New Roman;serif"/>
          <w:b w:val="false"/>
          <w:color w:val="000000"/>
          <w:sz w:val="16"/>
        </w:rPr>
        <w:t>claims settled without payment during the three and nine months ended September 30, 2026, respectively, and 14 and 50 claims settled without payment during the three and nine months ended September 30, 2025,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Severity represents the total amount of claims paid including claim expenses divided by the related RIF on the loan at the time the claim is perfected, and is calculated including claims settled without payment.</w:t>
      </w:r>
    </w:p>
    <w:p>
      <w:pPr>
        <w:pStyle w:val="TextBody"/>
        <w:bidi w:val="0"/>
        <w:spacing w:before="0" w:after="0"/>
        <w:ind w:left="0" w:right="0" w:hanging="360"/>
        <w:jc w:val="both"/>
      </w:pPr>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paid 216 and 569 claims for $15.3 million and $39.0 million, respectively, during the three and nine months ended September 30, 2026, and 93 and 281 claims for $5.4 million and $16.1 million, respectively, during the three and nine months ended September 30, 2025. During the three and nine months ended September 30, 2026 we settled an additional 98 delinquent loans through commutation for $1.3 million, before giving effect to claims ceded under the QSR Transactions. The number of claims paid in each period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claims severity, excluding the impact of delinquent loans settled through commutation, was 87% and 88% for the three and nine months ended September 30, 2026, respectively, compared to 73% and 74% for the three and nine months ended September 30, 2025, respectively. The increase in claims severity for the three and nine months ended September 30, 2026, was primarily due to an increase in the proportion of claims related to loans originated in more recent years. These loans generally have less accumulated equity than loans from earlier vintages, which typically results in a higher frequency and severity of claims payments. An increase in the value of the homes collateralizing the mortgages we insure provides additional equity support to our risk exposure and raises the prospect of a third-party sale of a foreclosed property, which can mitigate the severity of our settled claims.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claims paid and our severity experience in future periods may be impacted if developing economic cycles impose financial strain on borrowers, and each could increase if house price declines serve to limit the alternative paths and incentives to cure delinquencies that are available to defaulted borrowers or erode the equity value of the homes collateralizing the mortgages we insure.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 on our average reserve per default, before giving effect to reserves ceded under the QSR Transactions, as of the dates indicated:</w:t>
      </w:r>
    </w:p>
    <w:tbl>
      <w:tblPr>
        <w:tblW w:w="4239" w:type="dxa"/>
        <w:jc w:val="left"/>
        <w:tblInd w:w="0" w:type="dxa"/>
        <w:tblLayout w:type="fixed"/>
        <w:tblCellMar>
          <w:top w:w="28" w:type="dxa"/>
          <w:left w:w="28" w:type="dxa"/>
          <w:bottom w:w="28" w:type="dxa"/>
          <w:right w:w="28" w:type="dxa"/>
        </w:tblCellMar>
      </w:tblPr>
      <w:tblGrid>
        <w:gridCol w:w="797"/>
        <w:gridCol w:w="701"/>
        <w:gridCol w:w="707"/>
        <w:gridCol w:w="211"/>
        <w:gridCol w:w="511"/>
        <w:gridCol w:w="109"/>
        <w:gridCol w:w="109"/>
        <w:gridCol w:w="109"/>
        <w:gridCol w:w="109"/>
        <w:gridCol w:w="211"/>
        <w:gridCol w:w="511"/>
        <w:gridCol w:w="154"/>
      </w:tblGrid>
      <w:t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reserve per default:</w:t>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Case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IBNR </w:t>
            </w:r>
            <w:r>
              <w:rPr>
                <w:rFonts w:ascii="Times New Roman;serif" w:hAnsi="Times New Roman;serif"/>
                <w:b w:val="false"/>
                <w:color w:val="000000"/>
                <w:sz w:val="13"/>
              </w:rPr>
              <w:t>(1)(2)</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Defined as the gross reserve per insured loan in default.</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Amount includes claims adjustment 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Average reserve per default increased from September 30, 2025 to September 30, 2026, primarily due to changes in the composition of our default inventory as measured by the size, vintage and current estimated LTV of defaulted loans between the measurement dates. Average reserves per default were further impacted by changes in observed and forecasted housing market conditions and macroeconomic factors between the measurement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GSE Oversight</w:t>
      </w:r>
    </w:p>
    <w:p>
      <w:pPr>
        <w:pStyle w:val="TextBody"/>
        <w:bidi w:val="0"/>
        <w:spacing w:lineRule="auto" w:line="288" w:before="0" w:after="180"/>
        <w:ind w:left="0" w:right="0" w:firstLine="765"/>
        <w:jc w:val="both"/>
      </w:pPr>
      <w:r>
        <w:rPr>
          <w:rFonts w:ascii="Times New Roman;serif" w:hAnsi="Times New Roman;serif"/>
          <w:b w:val="false"/>
          <w:color w:val="000000"/>
          <w:sz w:val="20"/>
        </w:rPr>
        <w:t>As an</w:t>
      </w:r>
      <w:r>
        <w:rPr>
          <w:color w:val="000000"/>
        </w:rPr>
        <w:t xml:space="preserve"> </w:t>
      </w:r>
      <w:r>
        <w:rPr>
          <w:rFonts w:ascii="Times New Roman;serif" w:hAnsi="Times New Roman;serif"/>
          <w:b w:val="false"/>
          <w:i/>
          <w:color w:val="000000"/>
          <w:sz w:val="20"/>
        </w:rPr>
        <w:t>approved insurer</w:t>
      </w:r>
      <w:r>
        <w:rPr>
          <w:rFonts w:ascii="Times New Roman;serif" w:hAnsi="Times New Roman;serif"/>
          <w:b w:val="false"/>
          <w:color w:val="000000"/>
          <w:sz w:val="20"/>
        </w:rPr>
        <w:t>, NMIC is subject to ongoing compliance with the PMIERs established by each of the GSEs (</w:t>
      </w:r>
      <w:r>
        <w:rPr>
          <w:rFonts w:ascii="Times New Roman;serif" w:hAnsi="Times New Roman;serif"/>
          <w:b w:val="false"/>
          <w:i/>
          <w:color w:val="000000"/>
          <w:sz w:val="20"/>
        </w:rPr>
        <w:t>italicized</w:t>
      </w:r>
      <w:r>
        <w:rPr>
          <w:color w:val="000000"/>
        </w:rPr>
        <w:t xml:space="preserve"> </w:t>
      </w:r>
      <w:r>
        <w:rPr>
          <w:rFonts w:ascii="Times New Roman;serif" w:hAnsi="Times New Roman;serif"/>
          <w:b w:val="false"/>
          <w:color w:val="000000"/>
          <w:sz w:val="20"/>
        </w:rPr>
        <w:t>terms have the same meaning that such terms have in the PMIERs, as described below). The PMIERs establish operational, business, remedial and financial requirements applicable to</w:t>
      </w:r>
      <w:r>
        <w:rPr>
          <w:color w:val="000000"/>
        </w:rPr>
        <w:t xml:space="preserve"> </w:t>
      </w:r>
      <w:r>
        <w:rPr>
          <w:rFonts w:ascii="Times New Roman;serif" w:hAnsi="Times New Roman;serif"/>
          <w:b w:val="false"/>
          <w:i/>
          <w:color w:val="000000"/>
          <w:sz w:val="20"/>
        </w:rPr>
        <w:t>approved insurers</w:t>
      </w:r>
      <w:r>
        <w:rPr>
          <w:rFonts w:ascii="Times New Roman;serif" w:hAnsi="Times New Roman;serif"/>
          <w:b w:val="false"/>
          <w:color w:val="000000"/>
          <w:sz w:val="20"/>
        </w:rPr>
        <w:t>. The PMIERs financial requirements prescribe a risk-based methodology whereby the amount of assets required to be held against each insured loan is determined based on certain loan-level risk characteristics, such as credit score, vintage (year of origination), performing vs. non-performing (</w:t>
      </w:r>
      <w:r>
        <w:rPr>
          <w:rFonts w:ascii="Times New Roman;serif" w:hAnsi="Times New Roman;serif"/>
          <w:b w:val="false"/>
          <w:i/>
          <w:color w:val="000000"/>
          <w:sz w:val="20"/>
        </w:rPr>
        <w:t xml:space="preserve">i.e., </w:t>
      </w:r>
      <w:r>
        <w:rPr>
          <w:rFonts w:ascii="Times New Roman;serif" w:hAnsi="Times New Roman;serif"/>
          <w:b w:val="false"/>
          <w:color w:val="000000"/>
          <w:sz w:val="20"/>
        </w:rPr>
        <w:t>current vs. delinquent), LTV ratio and other risk features. In general, higher quality loans carry lower asset charges.</w:t>
      </w:r>
    </w:p>
    <w:p>
      <w:pPr>
        <w:pStyle w:val="TextBody"/>
        <w:bidi w:val="0"/>
        <w:spacing w:lineRule="auto" w:line="288" w:before="0" w:after="180"/>
        <w:ind w:left="0" w:right="0" w:firstLine="765"/>
        <w:jc w:val="both"/>
      </w:pPr>
      <w:r>
        <w:rPr>
          <w:rFonts w:ascii="Times New Roman;serif" w:hAnsi="Times New Roman;serif"/>
          <w:b w:val="false"/>
          <w:color w:val="000000"/>
          <w:sz w:val="20"/>
        </w:rPr>
        <w:t>Under the PMIERs,</w:t>
      </w:r>
      <w:r>
        <w:rPr>
          <w:color w:val="000000"/>
        </w:rPr>
        <w:t xml:space="preserve">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must maintain</w:t>
      </w:r>
      <w:r>
        <w:rPr>
          <w:color w:val="000000"/>
        </w:rPr>
        <w:t xml:space="preserve">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that equal or exceed</w:t>
      </w:r>
      <w:r>
        <w:rPr>
          <w:color w:val="000000"/>
        </w:rPr>
        <w:t xml:space="preserve"> </w:t>
      </w:r>
      <w:r>
        <w:rPr>
          <w:rFonts w:ascii="Times New Roman;serif" w:hAnsi="Times New Roman;serif"/>
          <w:b w:val="false"/>
          <w:i/>
          <w:color w:val="000000"/>
          <w:sz w:val="20"/>
        </w:rPr>
        <w:t>minimum required assets</w:t>
      </w:r>
      <w:r>
        <w:rPr>
          <w:rFonts w:ascii="Times New Roman;serif" w:hAnsi="Times New Roman;serif"/>
          <w:b w:val="false"/>
          <w:color w:val="000000"/>
          <w:sz w:val="20"/>
        </w:rPr>
        <w:t xml:space="preserve">, which is an amount equal to the greater of (i) $400 million or (ii) a total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w:t>
      </w:r>
    </w:p>
    <w:p>
      <w:pPr>
        <w:pStyle w:val="TextBody"/>
        <w:bidi w:val="0"/>
        <w:spacing w:lineRule="auto" w:line="288" w:before="0" w:after="180"/>
        <w:ind w:left="0" w:right="0" w:firstLine="765"/>
        <w:jc w:val="both"/>
      </w:pP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reflect the financial resources of a mortgage insurer available to pay claims, and includes the most readily liquid assets held, such as cash, investments and other items as stipulated in the PMIERs. The credit provided for such assets is subject to adjustment based on several factors, including asset class, credit rating and portfolio concentration.</w:t>
      </w:r>
    </w:p>
    <w:p>
      <w:pPr>
        <w:pStyle w:val="TextBody"/>
        <w:bidi w:val="0"/>
        <w:spacing w:lineRule="auto" w:line="288" w:before="0" w:after="180"/>
        <w:ind w:left="0" w:right="0" w:firstLine="765"/>
        <w:jc w:val="both"/>
      </w:pPr>
      <w:r>
        <w:rPr>
          <w:rFonts w:ascii="Times New Roman;serif" w:hAnsi="Times New Roman;serif"/>
          <w:b w:val="false"/>
          <w:color w:val="000000"/>
          <w:sz w:val="20"/>
        </w:rPr>
        <w:t>The</w:t>
      </w:r>
      <w:r>
        <w:rPr>
          <w:color w:val="000000"/>
        </w:rPr>
        <w:t xml:space="preserv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is a function of the risk profile of an</w:t>
      </w:r>
      <w:r>
        <w:rPr>
          <w:color w:val="000000"/>
        </w:rPr>
        <w:t xml:space="preserve"> </w:t>
      </w:r>
      <w:r>
        <w:rPr>
          <w:rFonts w:ascii="Times New Roman;serif" w:hAnsi="Times New Roman;serif"/>
          <w:b w:val="false"/>
          <w:i/>
          <w:color w:val="000000"/>
          <w:sz w:val="20"/>
        </w:rPr>
        <w:t>approved insurer's</w:t>
      </w:r>
      <w:r>
        <w:rPr>
          <w:color w:val="000000"/>
        </w:rPr>
        <w:t xml:space="preserve"> </w:t>
      </w:r>
      <w:r>
        <w:rPr>
          <w:rFonts w:ascii="Times New Roman;serif" w:hAnsi="Times New Roman;serif"/>
          <w:b w:val="false"/>
          <w:color w:val="000000"/>
          <w:sz w:val="20"/>
        </w:rPr>
        <w:t>RIF, assessed on a loan-by-loan basis and considered against certain risk-based factors derived from tables set out in the PMIERs, which is then adjusted on an aggregate basis for reinsurance transactions approved by the GSEs, such as with respect to our QSR Transactions, XOL Transactions and ILN Transaction. The</w:t>
      </w:r>
      <w:r>
        <w:rPr>
          <w:color w:val="000000"/>
        </w:rPr>
        <w:t xml:space="preserve"> </w:t>
      </w:r>
      <w:r>
        <w:rPr>
          <w:rFonts w:ascii="Times New Roman;serif" w:hAnsi="Times New Roman;serif"/>
          <w:b w:val="false"/>
          <w:i/>
          <w:color w:val="000000"/>
          <w:sz w:val="20"/>
        </w:rPr>
        <w:t xml:space="preserve">aggregate gross risk-based required asset </w:t>
      </w:r>
      <w:r>
        <w:rPr>
          <w:rFonts w:ascii="Times New Roman;serif" w:hAnsi="Times New Roman;serif"/>
          <w:b w:val="false"/>
          <w:color w:val="000000"/>
          <w:sz w:val="20"/>
        </w:rPr>
        <w:t>amount</w:t>
      </w:r>
      <w:r>
        <w:rPr>
          <w:color w:val="000000"/>
        </w:rPr>
        <w:t xml:space="preserve"> </w:t>
      </w:r>
      <w:r>
        <w:rPr>
          <w:rFonts w:ascii="Times New Roman;serif" w:hAnsi="Times New Roman;serif"/>
          <w:b w:val="false"/>
          <w:color w:val="000000"/>
          <w:sz w:val="20"/>
        </w:rPr>
        <w:t>for performing, primary insurance is subject to a floor of 5.6% of</w:t>
      </w:r>
      <w:r>
        <w:rPr>
          <w:color w:val="000000"/>
        </w:rPr>
        <w:t xml:space="preserve"> </w:t>
      </w:r>
      <w:r>
        <w:rPr>
          <w:rFonts w:ascii="Times New Roman;serif" w:hAnsi="Times New Roman;serif"/>
          <w:b w:val="false"/>
          <w:i/>
          <w:color w:val="000000"/>
          <w:sz w:val="20"/>
        </w:rPr>
        <w:t>performing primary adjusted RIF</w:t>
      </w:r>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April 15th of each year, NMIC must certify it met all PMIERs requirements as of December 31st of the prior year. We certified to the GSEs by April 15, 2026 that NMIC was in full compliance with the PMIERs as of December 31, 2025. NMIC also has an ongoing obligation to immediately notify the GSEs in writing upon discovery of a failure to meet one or more of the PMIERs requirements. We continuously monitor NMIC's compliance with the PMIERs.</w:t>
      </w:r>
    </w:p>
    <w:p>
      <w:pPr>
        <w:pStyle w:val="TextBody"/>
        <w:bidi w:val="0"/>
        <w:spacing w:lineRule="auto" w:line="288" w:before="0" w:after="180"/>
        <w:ind w:left="0" w:right="0" w:firstLine="720"/>
        <w:jc w:val="both"/>
      </w:pPr>
      <w:r>
        <w:rPr>
          <w:rFonts w:ascii="Times New Roman;serif" w:hAnsi="Times New Roman;serif"/>
          <w:b w:val="false"/>
          <w:color w:val="000000"/>
          <w:sz w:val="20"/>
        </w:rPr>
        <w:t xml:space="preserve">On July 29, 2026, the GSEs updated PMIERs to establish risk-based required asset factors for loans carrying a VantageScore 4.0 credit score. The updated PMIERs took effect on September 30, 2026 and did not have a material impact on our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risk-based required assets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ind w:left="0" w:right="0" w:firstLine="720"/>
        <w:jc w:val="both"/>
      </w:pPr>
      <w:r>
        <w:rPr>
          <w:rFonts w:ascii="Times New Roman;serif" w:hAnsi="Times New Roman;serif"/>
          <w:b w:val="false"/>
          <w:color w:val="000000"/>
          <w:sz w:val="20"/>
        </w:rPr>
        <w:t xml:space="preserve">The following table provides a comparison of the PMIERs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and net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 as reported by NMIC as of the dates indicated:</w:t>
      </w:r>
    </w:p>
    <w:tbl>
      <w:tblPr>
        <w:tblW w:w="5468" w:type="dxa"/>
        <w:jc w:val="left"/>
        <w:tblInd w:w="0" w:type="dxa"/>
        <w:tblLayout w:type="fixed"/>
        <w:tblCellMar>
          <w:top w:w="28" w:type="dxa"/>
          <w:left w:w="28" w:type="dxa"/>
          <w:bottom w:w="28" w:type="dxa"/>
          <w:right w:w="28" w:type="dxa"/>
        </w:tblCellMar>
      </w:tblPr>
      <w:tblGrid>
        <w:gridCol w:w="907"/>
        <w:gridCol w:w="796"/>
        <w:gridCol w:w="801"/>
        <w:gridCol w:w="211"/>
        <w:gridCol w:w="976"/>
        <w:gridCol w:w="109"/>
        <w:gridCol w:w="109"/>
        <w:gridCol w:w="109"/>
        <w:gridCol w:w="109"/>
        <w:gridCol w:w="211"/>
        <w:gridCol w:w="976"/>
        <w:gridCol w:w="154"/>
      </w:tblGrid>
      <w:t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risk-based required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pP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 xml:space="preserve">were $3.8 billion at September 30, 2026, compared to $3.4 billion at September 30, 2025. The $404 million increase in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between the dates presented was primarily driven by NMIC's positive cash flow from operations during the intervening period, partially offset by the payment of an ordinary dividend from NMIC to NMIH in June 2026.</w:t>
      </w:r>
    </w:p>
    <w:p>
      <w:pPr>
        <w:pStyle w:val="TextBody"/>
        <w:bidi w:val="0"/>
        <w:spacing w:lineRule="auto" w:line="288" w:before="0" w:after="180"/>
        <w:ind w:left="0" w:right="0" w:firstLine="720"/>
        <w:jc w:val="both"/>
      </w:pPr>
      <w:r>
        <w:rPr>
          <w:rFonts w:ascii="Times New Roman;serif" w:hAnsi="Times New Roman;serif"/>
          <w:b w:val="false"/>
          <w:color w:val="000000"/>
          <w:sz w:val="20"/>
        </w:rPr>
        <w:t>Net</w:t>
      </w:r>
      <w:r>
        <w:rPr>
          <w:color w:val="000000"/>
        </w:rPr>
        <w:t xml:space="preserve"> </w:t>
      </w:r>
      <w:r>
        <w:rPr>
          <w:rFonts w:ascii="Times New Roman;serif" w:hAnsi="Times New Roman;serif"/>
          <w:b w:val="false"/>
          <w:i/>
          <w:color w:val="000000"/>
          <w:sz w:val="20"/>
        </w:rPr>
        <w:t>risk-based required assets</w:t>
      </w:r>
      <w:r>
        <w:rPr>
          <w:color w:val="000000"/>
        </w:rPr>
        <w:t xml:space="preserve"> </w:t>
      </w:r>
      <w:r>
        <w:rPr>
          <w:rFonts w:ascii="Times New Roman;serif" w:hAnsi="Times New Roman;serif"/>
          <w:b w:val="false"/>
          <w:color w:val="000000"/>
          <w:sz w:val="20"/>
        </w:rPr>
        <w:t>were $2.2 billion at September 30, 2026, compared to $2.0 billion at September 30, 2025. The $178 million increase in the net</w:t>
      </w:r>
      <w:r>
        <w:rPr>
          <w:color w:val="000000"/>
        </w:rPr>
        <w:t xml:space="preserve">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 xml:space="preserve">amount between the dates presented was primarily due to the growth in our gross RIF and aggregate gross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Consolidated Results of Operations</w:t>
      </w:r>
    </w:p>
    <w:tbl>
      <w:tblPr>
        <w:tblW w:w="9944" w:type="dxa"/>
        <w:jc w:val="left"/>
        <w:tblInd w:w="0" w:type="dxa"/>
        <w:tblLayout w:type="fixed"/>
        <w:tblCellMar>
          <w:top w:w="28" w:type="dxa"/>
          <w:left w:w="28" w:type="dxa"/>
          <w:bottom w:w="28" w:type="dxa"/>
          <w:right w:w="28" w:type="dxa"/>
        </w:tblCellMar>
      </w:tblPr>
      <w:tblGrid>
        <w:gridCol w:w="1146"/>
        <w:gridCol w:w="1006"/>
        <w:gridCol w:w="1012"/>
        <w:gridCol w:w="228"/>
        <w:gridCol w:w="892"/>
        <w:gridCol w:w="292"/>
        <w:gridCol w:w="117"/>
        <w:gridCol w:w="117"/>
        <w:gridCol w:w="117"/>
        <w:gridCol w:w="228"/>
        <w:gridCol w:w="892"/>
        <w:gridCol w:w="292"/>
        <w:gridCol w:w="109"/>
        <w:gridCol w:w="109"/>
        <w:gridCol w:w="109"/>
        <w:gridCol w:w="211"/>
        <w:gridCol w:w="691"/>
        <w:gridCol w:w="109"/>
        <w:gridCol w:w="109"/>
        <w:gridCol w:w="109"/>
        <w:gridCol w:w="109"/>
        <w:gridCol w:w="269"/>
        <w:gridCol w:w="271"/>
        <w:gridCol w:w="483"/>
        <w:gridCol w:w="109"/>
        <w:gridCol w:w="109"/>
        <w:gridCol w:w="109"/>
        <w:gridCol w:w="109"/>
        <w:gridCol w:w="109"/>
        <w:gridCol w:w="109"/>
        <w:gridCol w:w="109"/>
        <w:gridCol w:w="154"/>
      </w:tblGrid>
      <w:t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statements of operations</w:t>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58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155,453 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187,550 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178,679 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67,245 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54,996 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120,305 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93,472 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Combined ratio </w:t>
            </w:r>
            <w:r>
              <w:rPr>
                <w:rFonts w:ascii="Times New Roman;serif" w:hAnsi="Times New Roman;serif"/>
                <w:b w:val="false"/>
                <w:color w:val="000000"/>
                <w:sz w:val="13"/>
              </w:rPr>
              <w:t>(3)</w:t>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36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085"/>
        <w:gridCol w:w="942"/>
        <w:gridCol w:w="946"/>
        <w:gridCol w:w="109"/>
        <w:gridCol w:w="109"/>
        <w:gridCol w:w="210"/>
        <w:gridCol w:w="210"/>
        <w:gridCol w:w="409"/>
        <w:gridCol w:w="1603"/>
        <w:gridCol w:w="525"/>
        <w:gridCol w:w="109"/>
        <w:gridCol w:w="109"/>
        <w:gridCol w:w="109"/>
        <w:gridCol w:w="211"/>
        <w:gridCol w:w="826"/>
        <w:gridCol w:w="271"/>
        <w:gridCol w:w="109"/>
        <w:gridCol w:w="109"/>
        <w:gridCol w:w="109"/>
        <w:gridCol w:w="211"/>
        <w:gridCol w:w="721"/>
        <w:gridCol w:w="109"/>
        <w:gridCol w:w="109"/>
        <w:gridCol w:w="109"/>
        <w:gridCol w:w="109"/>
        <w:gridCol w:w="202"/>
        <w:gridCol w:w="204"/>
        <w:gridCol w:w="321"/>
      </w:tblGrid>
      <w:tr>
        <w:tc>
          <w:tcPr>
            <w:tcW w:w="108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c>
          <w:tcPr>
            <w:tcW w:w="2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54" w:type="dxa"/>
            <w:gridSpan w:val="6"/>
            <w:tcBorders/>
          </w:tcPr>
          <w:p>
            <w:pPr>
              <w:pStyle w:val="TableContents"/>
              <w:bidi w:val="0"/>
              <w:spacing w:before="0" w:after="283"/>
              <w:jc w:val="left"/>
              <w:rPr>
                <w:sz w:val="4"/>
                <w:szCs w:val="4"/>
              </w:rPr>
            </w:pPr>
            <w:r>
              <w:rPr>
                <w:sz w:val="4"/>
                <w:szCs w:val="4"/>
              </w:rPr>
            </w:r>
          </w:p>
        </w:tc>
      </w:tr>
      <w:t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r>
      <w:tr>
        <w:tc>
          <w:tcPr>
            <w:tcW w:w="2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5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r>
      <w:t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467,783 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91,132 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r>
              <w:rPr>
                <w:rFonts w:ascii="Times New Roman;serif" w:hAnsi="Times New Roman;serif"/>
                <w:b w:val="false"/>
                <w:color w:val="000000"/>
                <w:sz w:val="20"/>
              </w:rPr>
              <w:t xml:space="preserve">NM </w:t>
            </w:r>
            <w:r>
              <w:rPr>
                <w:rFonts w:ascii="Times New Roman;serif" w:hAnsi="Times New Roman;serif"/>
                <w:b w:val="false"/>
                <w:color w:val="000000"/>
                <w:sz w:val="13"/>
              </w:rPr>
              <w:t>(4)</w:t>
            </w:r>
          </w:p>
        </w:tc>
      </w:tr>
      <w:t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558,916 </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525,704 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91,907 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176,722 </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147,049 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382,194 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83,604 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298,590 </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99" w:type="dxa"/>
        <w:jc w:val="left"/>
        <w:tblInd w:w="0" w:type="dxa"/>
        <w:tblLayout w:type="fixed"/>
        <w:tblCellMar>
          <w:top w:w="28" w:type="dxa"/>
          <w:left w:w="28" w:type="dxa"/>
          <w:bottom w:w="28" w:type="dxa"/>
          <w:right w:w="28" w:type="dxa"/>
        </w:tblCellMar>
      </w:tblPr>
      <w:tblGrid>
        <w:gridCol w:w="907"/>
        <w:gridCol w:w="797"/>
        <w:gridCol w:w="800"/>
        <w:gridCol w:w="256"/>
        <w:gridCol w:w="1003"/>
        <w:gridCol w:w="132"/>
        <w:gridCol w:w="132"/>
        <w:gridCol w:w="132"/>
        <w:gridCol w:w="132"/>
        <w:gridCol w:w="256"/>
        <w:gridCol w:w="1003"/>
        <w:gridCol w:w="132"/>
        <w:gridCol w:w="109"/>
        <w:gridCol w:w="109"/>
        <w:gridCol w:w="109"/>
        <w:gridCol w:w="211"/>
        <w:gridCol w:w="691"/>
        <w:gridCol w:w="109"/>
        <w:gridCol w:w="109"/>
        <w:gridCol w:w="109"/>
        <w:gridCol w:w="109"/>
        <w:gridCol w:w="194"/>
        <w:gridCol w:w="194"/>
        <w:gridCol w:w="483"/>
        <w:gridCol w:w="109"/>
        <w:gridCol w:w="109"/>
        <w:gridCol w:w="109"/>
        <w:gridCol w:w="154"/>
      </w:tblGrid>
      <w:t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 xml:space="preserve">Non-GAAP financial measures </w:t>
            </w:r>
            <w:r>
              <w:rPr>
                <w:rFonts w:ascii="Times New Roman;serif" w:hAnsi="Times New Roman;serif"/>
                <w:b/>
                <w:color w:val="000000"/>
                <w:sz w:val="10"/>
              </w:rPr>
              <w:t>(5)</w:t>
            </w:r>
          </w:p>
        </w:tc>
        <w:tc>
          <w:tcPr>
            <w:tcW w:w="13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481" w:type="dxa"/>
            <w:gridSpan w:val="4"/>
            <w:tcBorders/>
          </w:tcPr>
          <w:p>
            <w:pPr>
              <w:pStyle w:val="TableContents"/>
              <w:bidi w:val="0"/>
              <w:spacing w:before="0" w:after="283"/>
              <w:jc w:val="left"/>
              <w:rPr>
                <w:sz w:val="4"/>
                <w:szCs w:val="4"/>
              </w:rPr>
            </w:pPr>
            <w:r>
              <w:rPr>
                <w:sz w:val="4"/>
                <w:szCs w:val="4"/>
              </w:rPr>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tax</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115" w:type="dxa"/>
        <w:jc w:val="left"/>
        <w:tblInd w:w="0" w:type="dxa"/>
        <w:tblLayout w:type="fixed"/>
        <w:tblCellMar>
          <w:top w:w="28" w:type="dxa"/>
          <w:left w:w="28" w:type="dxa"/>
          <w:bottom w:w="28" w:type="dxa"/>
          <w:right w:w="28" w:type="dxa"/>
        </w:tblCellMar>
      </w:tblPr>
      <w:tblGrid>
        <w:gridCol w:w="907"/>
        <w:gridCol w:w="797"/>
        <w:gridCol w:w="800"/>
        <w:gridCol w:w="109"/>
        <w:gridCol w:w="109"/>
        <w:gridCol w:w="109"/>
        <w:gridCol w:w="109"/>
        <w:gridCol w:w="109"/>
        <w:gridCol w:w="109"/>
        <w:gridCol w:w="466"/>
        <w:gridCol w:w="248"/>
        <w:gridCol w:w="480"/>
        <w:gridCol w:w="1880"/>
        <w:gridCol w:w="248"/>
        <w:gridCol w:w="109"/>
        <w:gridCol w:w="109"/>
        <w:gridCol w:w="109"/>
        <w:gridCol w:w="211"/>
        <w:gridCol w:w="826"/>
        <w:gridCol w:w="109"/>
        <w:gridCol w:w="109"/>
        <w:gridCol w:w="109"/>
        <w:gridCol w:w="109"/>
        <w:gridCol w:w="211"/>
        <w:gridCol w:w="616"/>
        <w:gridCol w:w="109"/>
        <w:gridCol w:w="109"/>
        <w:gridCol w:w="109"/>
        <w:gridCol w:w="109"/>
        <w:gridCol w:w="128"/>
        <w:gridCol w:w="128"/>
        <w:gridCol w:w="316"/>
      </w:tblGrid>
      <w:t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899" w:type="dxa"/>
            <w:gridSpan w:val="6"/>
            <w:tcBorders/>
          </w:tcPr>
          <w:p>
            <w:pPr>
              <w:pStyle w:val="TableContents"/>
              <w:bidi w:val="0"/>
              <w:spacing w:before="0" w:after="283"/>
              <w:jc w:val="left"/>
              <w:rPr>
                <w:sz w:val="4"/>
                <w:szCs w:val="4"/>
              </w:rPr>
            </w:pPr>
            <w:r>
              <w:rPr>
                <w:sz w:val="4"/>
                <w:szCs w:val="4"/>
              </w:rPr>
            </w:r>
          </w:p>
        </w:tc>
      </w:tr>
      <w:t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 xml:space="preserve">Non-GAAP financial measures </w:t>
            </w:r>
            <w:r>
              <w:rPr>
                <w:rFonts w:ascii="Times New Roman;serif" w:hAnsi="Times New Roman;serif"/>
                <w:b/>
                <w:color w:val="000000"/>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2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899" w:type="dxa"/>
            <w:gridSpan w:val="6"/>
            <w:tcBorders/>
          </w:tcPr>
          <w:p>
            <w:pPr>
              <w:pStyle w:val="TableContents"/>
              <w:bidi w:val="0"/>
              <w:spacing w:before="0" w:after="283"/>
              <w:jc w:val="left"/>
              <w:rPr>
                <w:sz w:val="4"/>
                <w:szCs w:val="4"/>
              </w:rPr>
            </w:pPr>
            <w:r>
              <w:rPr>
                <w:sz w:val="4"/>
                <w:szCs w:val="4"/>
              </w:rPr>
            </w:r>
          </w:p>
        </w:tc>
      </w:tr>
      <w:t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24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382,916 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299,160 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Loss ratio is calculated by dividing insurance claims and claim expenses by net premiums earned.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underwriting and operating expenses by net premiums earned.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Combined ratio may not foot due to rounding.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Not meaningful.</w:t>
      </w:r>
    </w:p>
    <w:p>
      <w:pPr>
        <w:pStyle w:val="TextBody"/>
        <w:bidi w:val="0"/>
        <w:spacing w:lineRule="auto" w:line="288" w:before="0" w:after="0"/>
        <w:ind w:left="0" w:right="0" w:hanging="360"/>
        <w:jc w:val="both"/>
      </w:pPr>
      <w:r>
        <w:rPr>
          <w:rFonts w:ascii="Times New Roman;serif" w:hAnsi="Times New Roman;serif"/>
          <w:b w:val="false"/>
          <w:color w:val="000000"/>
          <w:sz w:val="16"/>
        </w:rPr>
        <w:t>(5)    See “</w:t>
      </w:r>
      <w:r>
        <w:rPr>
          <w:rFonts w:ascii="Times New Roman;serif" w:hAnsi="Times New Roman;serif"/>
          <w:b w:val="false"/>
          <w:i/>
          <w:color w:val="000000"/>
          <w:sz w:val="16"/>
        </w:rPr>
        <w:t>Explanation and Reconciliation of Our Use of Non-GAAP Financial Measures,”</w:t>
      </w:r>
      <w:r>
        <w:rPr>
          <w:color w:val="000000"/>
        </w:rPr>
        <w:t xml:space="preserve"> </w:t>
      </w:r>
      <w:r>
        <w:rPr>
          <w:rFonts w:ascii="Times New Roman;serif" w:hAnsi="Times New Roman;serif"/>
          <w:b w:val="false"/>
          <w:color w:val="000000"/>
          <w:sz w:val="16"/>
        </w:rPr>
        <w:t>below.</w:t>
      </w:r>
    </w:p>
    <w:p>
      <w:pPr>
        <w:pStyle w:val="TextBody"/>
        <w:bidi w:val="0"/>
        <w:spacing w:before="0" w:after="0"/>
        <w:ind w:left="0" w:right="0" w:hanging="36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premiums earned increased during the three and nine months ended September 30, 2026 compared to the three and nine months ended September 30, 2025 primarily due to growth in our monthly IIF and direct monthly pay premium receipts, partially offset by a reduction in the contribution of earnings from single premium policies and an increase in ceded premiums earned under our third-party reinsurance transactions during each respective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investment income increased during the three and nine months ended September 30, 2026 compared to the three and nine months ended September 30, 2025 primarily due to growth in the size of our total invested asset base, as well as an increase in the book yield of our investment portfolio tied to the deployment of new cash flows and reinvestment of rolling maturities at incrementally higher rates.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revenues represent underwriting fee revenue generated by our subsidiary, NMIS, which provides outsourced loan review services to mortgage loan originators. Changes in other revenues primarily reflect changes in NMIS' outsourced loan review volume. Amounts recognized in other revenues generally correspond with amounts incurred as service expenses for outsourced loan review activities in the same periods.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Insurance claims and claim expenses increased during the three and nine months ended September 30, 2026 compared to the three and nine months ended September 30, 2025 primarily due to an increase in the number of newly defaulted loans that emerged during each respective period and the establishment of initial reserves against such loans, as well as an increase in the average case reserves held against previously defaulted loans that aged in their delinquency status, partially offset by the release of a portion of the reserves we established for anticipated claims payments in prior periods in connection with cure activity and the ongoing analysis of recent loss development trends.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Underwriting and operating expenses increased during the three and nine months ended September 30, 2026 compared to the three and nine months ended September 30, 2025 primarily due to an increase in employee compensation costs, partially offset by a decline in depreciation and amortization expenses. Underwriting and operating expenses during the nine months ended September 30, 2026 compared to the nine months ended September 30, 2025 were further impacted by increases in certain technology expenses and the aggregate ceding commission received under our QSR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pStyle w:val="TextBody"/>
        <w:bidi w:val="0"/>
        <w:spacing w:lineRule="auto" w:line="288" w:before="0" w:after="180"/>
        <w:ind w:left="0" w:right="0" w:firstLine="720"/>
        <w:jc w:val="both"/>
      </w:pPr>
      <w:r>
        <w:rPr>
          <w:rFonts w:ascii="Times New Roman;serif" w:hAnsi="Times New Roman;serif"/>
          <w:b w:val="false"/>
          <w:color w:val="000000"/>
          <w:sz w:val="20"/>
        </w:rPr>
        <w:t>Interest expense primarily reflects the carrying costs of our outstanding debt. For further information, see Item 1, “</w:t>
      </w:r>
      <w:r>
        <w:rPr>
          <w:rFonts w:ascii="Times New Roman;serif" w:hAnsi="Times New Roman;serif"/>
          <w:b w:val="false"/>
          <w:i/>
          <w:color w:val="000000"/>
          <w:sz w:val="20"/>
        </w:rPr>
        <w:t>Financial Statements - Notes to Condensed Consolidated Financial Statements - Note 4, Debt.”</w:t>
      </w:r>
    </w:p>
    <w:p>
      <w:pPr>
        <w:pStyle w:val="TextBody"/>
        <w:bidi w:val="0"/>
        <w:spacing w:lineRule="auto" w:line="288" w:before="0" w:after="180"/>
        <w:ind w:left="0" w:right="0" w:firstLine="720"/>
        <w:jc w:val="both"/>
      </w:pPr>
      <w:r>
        <w:rPr>
          <w:rFonts w:ascii="Times New Roman;serif" w:hAnsi="Times New Roman;serif"/>
          <w:b w:val="false"/>
          <w:color w:val="000000"/>
          <w:sz w:val="20"/>
        </w:rPr>
        <w:t>Income tax expense decreased during the three and nine months ended September 30, 2026 compared to the three and nine months ended September 30, 2025. The decrease in income tax expense during the three months ended September 30, 2026 compared to the three months ended September 30, 2025 was primarily driven by a decrease in our pre-tax income. The decrease in income tax expense during the nine months ended September 30, 2026 compared to the nine months ended September 30, 2025 was primarily driven by a decrease in our effective tax rate related to the exercise of outstanding stock options during the period. Our effective tax rate on pre-tax income was 22.3% and 21.9% for the three and nine months ended September 30, 2026, respectively, compared to 22.4% and 22.2% for the three and nine months ended September 30, 2025, respectively. As a U.S. taxpayer, we are subject to a statutory U.S. federal corporate income tax rate of 21%. Our provision for income taxes for interim periods is established based on our estimated annual effective tax rate for a given year and reflects the impact of discrete tax effects in the period in which they occur. Our effective tax rate for the three and nine months ended September 30, 2026 and 2025 reflects the discrete tax effects of the vesting of RSUs, and our effective tax rate for the nine months ended September 30, 2026 further reflects the exercise of options. See Item 1, “</w:t>
      </w:r>
      <w:r>
        <w:rPr>
          <w:rFonts w:ascii="Times New Roman;serif" w:hAnsi="Times New Roman;serif"/>
          <w:b w:val="false"/>
          <w:i/>
          <w:color w:val="000000"/>
          <w:sz w:val="20"/>
        </w:rPr>
        <w:t>Financial Statements - Notes to Condensed Consolidated Financial Statements - Note 9, Income Taxes.”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and adjusted net income decreased during the three months ended September 30, 2026 compared to the three months ended September 30, 2025 primarily due to an increase in our insurance claims and claims expenses, partially offset by growth in our total revenues during the period. Net income and adjusted net income increased during the nine months ended September 30, 2026 compared to the nine months ended September 30, 2025 primarily due to growth in our total revenues, partially offset by an increase in our insurance claims and claim expenses during the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Diluted and adjusted diluted EPS increased during the three and nine months ended September 30, 2026 compared to the three and nine months ended September 30, 2025. The increase in diluted and adjusted diluted EPS during the three months ended September 30, 2026 compared to the three months ended September 30, 2025 was primarily due to a decline in the number of weighted average diluted shares outstanding in connection with continued share repurchase activity. The increase in diluted and adjusted diluted EPS during the nine months ended September 30, 2026 compared to the nine months ended September 30, 2025 was primarily driven by growth in our net income and adjusted net income, and further benefited from a decline in the number of weighted average diluted shares outstanding during the period.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of adjusted income before tax, adjusted net income and adjusted diluted EPS are presented to enhance the comparability of financial results between periods.</w:t>
      </w:r>
    </w:p>
    <w:tbl>
      <w:tblPr>
        <w:tblW w:w="9886" w:type="dxa"/>
        <w:jc w:val="left"/>
        <w:tblInd w:w="0" w:type="dxa"/>
        <w:tblLayout w:type="fixed"/>
        <w:tblCellMar>
          <w:top w:w="28" w:type="dxa"/>
          <w:left w:w="28" w:type="dxa"/>
          <w:bottom w:w="28" w:type="dxa"/>
          <w:right w:w="28" w:type="dxa"/>
        </w:tblCellMar>
      </w:tblPr>
      <w:tblGrid>
        <w:gridCol w:w="1433"/>
        <w:gridCol w:w="1260"/>
        <w:gridCol w:w="1266"/>
        <w:gridCol w:w="256"/>
        <w:gridCol w:w="1003"/>
        <w:gridCol w:w="132"/>
        <w:gridCol w:w="132"/>
        <w:gridCol w:w="132"/>
        <w:gridCol w:w="132"/>
        <w:gridCol w:w="256"/>
        <w:gridCol w:w="1003"/>
        <w:gridCol w:w="132"/>
        <w:gridCol w:w="109"/>
        <w:gridCol w:w="109"/>
        <w:gridCol w:w="109"/>
        <w:gridCol w:w="211"/>
        <w:gridCol w:w="691"/>
        <w:gridCol w:w="109"/>
        <w:gridCol w:w="109"/>
        <w:gridCol w:w="109"/>
        <w:gridCol w:w="109"/>
        <w:gridCol w:w="269"/>
        <w:gridCol w:w="271"/>
        <w:gridCol w:w="544"/>
      </w:tblGrid>
      <w:tr>
        <w:tc>
          <w:tcPr>
            <w:tcW w:w="14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 Reconciliations</w:t>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r>
      <w:t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59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93,472 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c>
          <w:tcPr>
            <w:tcW w:w="3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c>
          <w:tcPr>
            <w:tcW w:w="3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before tax</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120,651 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Income tax expense (benefit) on adjustments</w:t>
            </w:r>
            <w:r>
              <w:rPr>
                <w:color w:val="000000"/>
              </w:rPr>
              <w:t xml:space="preserve"> </w:t>
            </w:r>
            <w:r>
              <w:rPr>
                <w:rFonts w:ascii="Times New Roman;serif" w:hAnsi="Times New Roman;serif"/>
                <w:b w:val="false"/>
                <w:color w:val="000000"/>
                <w:sz w:val="13"/>
              </w:rPr>
              <w:t>(1)</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93,745 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95,745 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95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EPS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423" w:type="dxa"/>
        <w:jc w:val="left"/>
        <w:tblInd w:w="0" w:type="dxa"/>
        <w:tblLayout w:type="fixed"/>
        <w:tblCellMar>
          <w:top w:w="28" w:type="dxa"/>
          <w:left w:w="28" w:type="dxa"/>
          <w:bottom w:w="28" w:type="dxa"/>
          <w:right w:w="28" w:type="dxa"/>
        </w:tblCellMar>
      </w:tblPr>
      <w:tblGrid>
        <w:gridCol w:w="1368"/>
        <w:gridCol w:w="1203"/>
        <w:gridCol w:w="1209"/>
        <w:gridCol w:w="250"/>
        <w:gridCol w:w="979"/>
        <w:gridCol w:w="129"/>
        <w:gridCol w:w="129"/>
        <w:gridCol w:w="129"/>
        <w:gridCol w:w="129"/>
        <w:gridCol w:w="250"/>
        <w:gridCol w:w="979"/>
        <w:gridCol w:w="129"/>
        <w:gridCol w:w="109"/>
        <w:gridCol w:w="109"/>
        <w:gridCol w:w="109"/>
        <w:gridCol w:w="211"/>
        <w:gridCol w:w="616"/>
        <w:gridCol w:w="109"/>
        <w:gridCol w:w="109"/>
        <w:gridCol w:w="109"/>
        <w:gridCol w:w="109"/>
        <w:gridCol w:w="203"/>
        <w:gridCol w:w="203"/>
        <w:gridCol w:w="544"/>
      </w:tblGrid>
      <w:t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 Reconciliations</w:t>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r>
      <w:t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reported</w:t>
            </w:r>
          </w:p>
        </w:tc>
        <w:tc>
          <w:tcPr>
            <w:tcW w:w="56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r>
      <w:t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382,194 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378,655 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298,590 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pPr>
            <w:r>
              <w:rPr>
                <w:rFonts w:ascii="Times New Roman;serif" w:hAnsi="Times New Roman;serif"/>
                <w:b w:val="false"/>
                <w:color w:val="000000"/>
                <w:sz w:val="20"/>
              </w:rPr>
              <w:t xml:space="preserve">NM </w:t>
            </w:r>
            <w:r>
              <w:rPr>
                <w:rFonts w:ascii="Times New Roman;serif" w:hAnsi="Times New Roman;serif"/>
                <w:b w:val="false"/>
                <w:color w:val="000000"/>
                <w:sz w:val="13"/>
              </w:rPr>
              <w:t>(2)</w:t>
            </w:r>
          </w:p>
        </w:tc>
      </w:tr>
      <w:tr>
        <w:tc>
          <w:tcPr>
            <w:tcW w:w="378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c>
          <w:tcPr>
            <w:tcW w:w="378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before tax</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382,916 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378,710 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Income tax expense on adjustments</w:t>
            </w:r>
            <w:r>
              <w:rPr>
                <w:color w:val="000000"/>
              </w:rPr>
              <w:t xml:space="preserve"> </w:t>
            </w:r>
            <w:r>
              <w:rPr>
                <w:rFonts w:ascii="Times New Roman;serif" w:hAnsi="Times New Roman;serif"/>
                <w:b w:val="false"/>
                <w:color w:val="000000"/>
                <w:sz w:val="13"/>
              </w:rPr>
              <w:t>(1)</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pPr>
            <w:r>
              <w:rPr>
                <w:rFonts w:ascii="Times New Roman;serif" w:hAnsi="Times New Roman;serif"/>
                <w:b w:val="false"/>
                <w:color w:val="000000"/>
                <w:sz w:val="20"/>
              </w:rPr>
              <w:t xml:space="preserve">NM </w:t>
            </w:r>
            <w:r>
              <w:rPr>
                <w:rFonts w:ascii="Times New Roman;serif" w:hAnsi="Times New Roman;serif"/>
                <w:b w:val="false"/>
                <w:color w:val="000000"/>
                <w:sz w:val="13"/>
              </w:rPr>
              <w:t>(2)</w:t>
            </w:r>
          </w:p>
        </w:tc>
      </w:tr>
      <w:tr>
        <w:tc>
          <w:tcPr>
            <w:tcW w:w="378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299,160 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294,752 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78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r>
      <w:t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diluted EPS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Marginal tax impact of non-GAAP adjustments is calculated based on our statutory U.S. federal corporate income tax rate of 21%, except for those items that are not eligible for an income tax deduction.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Not meaningful</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Explanation and Reconciliation of Our Use of Non-GAAP Financial Measures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the use of the non-GAAP measures of adjusted income before tax, adjusted net income and adjusted diluted EPS enhance the comparability of our fundamental financial performance between periods, and provide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pStyle w:val="TextBody"/>
        <w:bidi w:val="0"/>
        <w:spacing w:lineRule="auto" w:line="288" w:before="0" w:after="180"/>
        <w:ind w:left="0" w:right="0" w:firstLine="720"/>
        <w:jc w:val="both"/>
      </w:pPr>
      <w:r>
        <w:rPr>
          <w:rFonts w:ascii="Times New Roman;serif" w:hAnsi="Times New Roman;serif"/>
          <w:b/>
          <w:color w:val="000000"/>
          <w:sz w:val="20"/>
        </w:rPr>
        <w:t>Adjusted income before tax</w:t>
      </w:r>
      <w:r>
        <w:rPr>
          <w:color w:val="000000"/>
        </w:rPr>
        <w:t xml:space="preserve"> </w:t>
      </w:r>
      <w:r>
        <w:rPr>
          <w:rFonts w:ascii="Times New Roman;serif" w:hAnsi="Times New Roman;serif"/>
          <w:b w:val="false"/>
          <w:color w:val="000000"/>
          <w:sz w:val="20"/>
        </w:rPr>
        <w:t>is defined as GAAP income before tax, excluding the pre-tax effects of net realized gains or losses from our investment portfolio, periodic costs incurred in connection with capital markets transactions, and other infrequent, unusual or non-operating items in the periods in which such items are incurred.</w:t>
      </w:r>
    </w:p>
    <w:p>
      <w:pPr>
        <w:pStyle w:val="TextBody"/>
        <w:bidi w:val="0"/>
        <w:spacing w:lineRule="auto" w:line="288" w:before="0" w:after="180"/>
        <w:ind w:left="0" w:right="0" w:firstLine="720"/>
        <w:jc w:val="both"/>
      </w:pPr>
      <w:r>
        <w:rPr>
          <w:rFonts w:ascii="Times New Roman;serif" w:hAnsi="Times New Roman;serif"/>
          <w:b/>
          <w:color w:val="000000"/>
          <w:sz w:val="20"/>
        </w:rPr>
        <w:t>Adjusted net income</w:t>
      </w:r>
      <w:r>
        <w:rPr>
          <w:color w:val="000000"/>
        </w:rPr>
        <w:t xml:space="preserve"> </w:t>
      </w:r>
      <w:r>
        <w:rPr>
          <w:rFonts w:ascii="Times New Roman;serif" w:hAnsi="Times New Roman;serif"/>
          <w:b w:val="false"/>
          <w:color w:val="000000"/>
          <w:sz w:val="20"/>
        </w:rPr>
        <w:t>is defined as GAAP net income, excluding the after-tax effects of net realized gains or losses from our investment portfolio, 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pStyle w:val="TextBody"/>
        <w:bidi w:val="0"/>
        <w:spacing w:lineRule="auto" w:line="288" w:before="0" w:after="180"/>
        <w:ind w:left="0" w:right="0" w:firstLine="720"/>
        <w:jc w:val="both"/>
      </w:pPr>
      <w:r>
        <w:rPr>
          <w:rFonts w:ascii="Times New Roman;serif" w:hAnsi="Times New Roman;serif"/>
          <w:b/>
          <w:color w:val="000000"/>
          <w:sz w:val="20"/>
        </w:rPr>
        <w:t>Adjusted diluted EPS</w:t>
      </w:r>
      <w:r>
        <w:rPr>
          <w:color w:val="000000"/>
        </w:rPr>
        <w:t xml:space="preserve"> </w:t>
      </w:r>
      <w:r>
        <w:rPr>
          <w:rFonts w:ascii="Times New Roman;serif" w:hAnsi="Times New Roman;serif"/>
          <w:b w:val="false"/>
          <w:color w:val="000000"/>
          <w:sz w:val="20"/>
        </w:rPr>
        <w:t>is defined as adjusted net income divided by adjusted weighted average diluted shares outstanding. Adjusted weighted 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pStyle w:val="TextBody"/>
        <w:bidi w:val="0"/>
        <w:spacing w:lineRule="auto" w:line="288" w:before="0" w:after="180"/>
        <w:ind w:left="0" w:right="0" w:hanging="360"/>
        <w:jc w:val="both"/>
      </w:pPr>
      <w:r>
        <w:rPr>
          <w:color w:val="000000"/>
        </w:rPr>
        <w:t>•</w:t>
      </w:r>
      <w:r>
        <w:rPr>
          <w:rFonts w:ascii="Times New Roman;serif" w:hAnsi="Times New Roman;serif"/>
          <w:b w:val="false"/>
          <w:i/>
          <w:color w:val="000000"/>
          <w:sz w:val="20"/>
        </w:rPr>
        <w:t>Net realized investment gains and losses</w:t>
      </w:r>
      <w:r>
        <w:rPr>
          <w:rFonts w:ascii="Times New Roman;serif" w:hAnsi="Times New Roman;serif"/>
          <w:b w:val="false"/>
          <w:color w:val="000000"/>
          <w:sz w:val="20"/>
        </w:rPr>
        <w:t>. The recognition of net realized investment gains or losses can vary significantly across periods as the timing is highly discretionary and is influenced by factors such as market opportunities, tax and capital profile, and overall market cycles that do not reflect our current period operating results.</w:t>
      </w:r>
    </w:p>
    <w:p>
      <w:pPr>
        <w:pStyle w:val="TextBody"/>
        <w:bidi w:val="0"/>
        <w:spacing w:lineRule="auto" w:line="288" w:before="0" w:after="180"/>
        <w:ind w:left="0" w:right="0" w:hanging="360"/>
        <w:jc w:val="both"/>
      </w:pPr>
      <w:r>
        <w:rPr>
          <w:color w:val="000000"/>
        </w:rPr>
        <w:t>•</w:t>
      </w:r>
      <w:r>
        <w:rPr>
          <w:rFonts w:ascii="Times New Roman;serif" w:hAnsi="Times New Roman;serif"/>
          <w:b w:val="false"/>
          <w:i/>
          <w:color w:val="000000"/>
          <w:sz w:val="20"/>
        </w:rPr>
        <w:t>Capital markets transaction costs</w:t>
      </w:r>
      <w:r>
        <w:rPr>
          <w:rFonts w:ascii="Times New Roman;serif" w:hAnsi="Times New Roman;serif"/>
          <w:b w:val="false"/>
          <w:color w:val="000000"/>
          <w:sz w:val="20"/>
        </w:rPr>
        <w:t xml:space="preserve">. Capital markets transaction costs result from activities that are undertaken to improve our debt profile or enhance our capital position through activities such as debt refinancing and capital markets reinsurance transactions that may vary in their size and timing due to factors such as market opportunities, tax and capital profile, and overall market cycles. </w:t>
      </w:r>
    </w:p>
    <w:p>
      <w:pPr>
        <w:pStyle w:val="TextBody"/>
        <w:bidi w:val="0"/>
        <w:spacing w:lineRule="auto" w:line="288" w:before="0" w:after="180"/>
        <w:ind w:left="0" w:right="0" w:hanging="360"/>
        <w:jc w:val="both"/>
      </w:pPr>
      <w:r>
        <w:rPr>
          <w:color w:val="000000"/>
        </w:rPr>
        <w:t>•</w:t>
      </w:r>
      <w:r>
        <w:rPr>
          <w:rFonts w:ascii="Times New Roman;serif" w:hAnsi="Times New Roman;serif"/>
          <w:b w:val="false"/>
          <w:i/>
          <w:color w:val="000000"/>
          <w:sz w:val="20"/>
        </w:rPr>
        <w:t>Other infrequent, unusual or non-operating items</w:t>
      </w:r>
      <w:r>
        <w:rPr>
          <w:rFonts w:ascii="Times New Roman;serif" w:hAnsi="Times New Roman;serif"/>
          <w:b w:val="false"/>
          <w:color w:val="000000"/>
          <w:sz w:val="20"/>
        </w:rPr>
        <w:t>. Items that are the result of unforeseen or uncommon events, and are not expected to recur with 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2021,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pPr>
      <w:r/>
    </w:p>
    <w:tbl>
      <w:tblPr>
        <w:tblW w:w="10202" w:type="dxa"/>
        <w:jc w:val="left"/>
        <w:tblInd w:w="0" w:type="dxa"/>
        <w:tblLayout w:type="fixed"/>
        <w:tblCellMar>
          <w:top w:w="28" w:type="dxa"/>
          <w:left w:w="28" w:type="dxa"/>
          <w:bottom w:w="28" w:type="dxa"/>
          <w:right w:w="28" w:type="dxa"/>
        </w:tblCellMar>
      </w:tblPr>
      <w:tblGrid>
        <w:gridCol w:w="1467"/>
        <w:gridCol w:w="1288"/>
        <w:gridCol w:w="1295"/>
        <w:gridCol w:w="251"/>
        <w:gridCol w:w="1164"/>
        <w:gridCol w:w="130"/>
        <w:gridCol w:w="109"/>
        <w:gridCol w:w="109"/>
        <w:gridCol w:w="109"/>
        <w:gridCol w:w="244"/>
        <w:gridCol w:w="1130"/>
        <w:gridCol w:w="126"/>
        <w:gridCol w:w="109"/>
        <w:gridCol w:w="109"/>
        <w:gridCol w:w="109"/>
        <w:gridCol w:w="211"/>
        <w:gridCol w:w="826"/>
        <w:gridCol w:w="109"/>
        <w:gridCol w:w="109"/>
        <w:gridCol w:w="109"/>
        <w:gridCol w:w="109"/>
        <w:gridCol w:w="218"/>
        <w:gridCol w:w="218"/>
        <w:gridCol w:w="544"/>
      </w:tblGrid>
      <w:t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balance sheets</w:t>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r>
      <w:t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portfolio</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3,243,464 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4,002,238 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418,528 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1,299,570 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1,249,112 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4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2,702,668 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4,002,238 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cash and investments increased at September 30, 2026 compared to December 31, 2025 with the addition of incremental cash provided by operating activities, partially offset by share repurchase activity during the nine months ended September 30, 2026, and an increase in the unrealized loss position of our fixed income portfolio primarily tied to changes in interest rates during the period. Cash and investments at September 30, 2026 included $121.7 million held by NMIH.</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premiums receivable represents premiums due on our mortgage insurance policies and may fluctuate based on changes in our monthly premium policies in force, where premiums are generally paid one month in arrears, and the pace of settlement of previously outstanding receivables.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deferred policy acquisition costs increased at September 30, 2026 compared to December 31, 2025 primarily due to the deferral of certain costs associated with the origination of new policies during the nine months ended September 30, 2026 largely offset by the recognition of previously deferred policy acquisition costs during the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software and equipment decreased at September 30, 2026 compared to December 31, 2025 due to the amortization of previously capitalized amounts during the nine months ended September 30, 2026, partially offset by the capitalization of certain software and equipment expenditures during the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Reinsurance recoverable increased at September 30, 2026 compared to December 31, 2025 due to an increase in ceded losses recoverable under our QSR Transactions tied to an increase in our gross reserve for insurance claims and claim expenses during the nine months ended September 30, 2026.</w:t>
      </w:r>
    </w:p>
    <w:p>
      <w:pPr>
        <w:pStyle w:val="TextBody"/>
        <w:bidi w:val="0"/>
        <w:spacing w:lineRule="auto" w:line="288" w:before="100" w:after="180"/>
        <w:ind w:left="0" w:right="0" w:firstLine="720"/>
        <w:jc w:val="both"/>
      </w:pPr>
      <w:r>
        <w:rPr>
          <w:rFonts w:ascii="Times New Roman;serif" w:hAnsi="Times New Roman;serif"/>
          <w:b w:val="false"/>
          <w:color w:val="000000"/>
          <w:sz w:val="20"/>
        </w:rPr>
        <w:t>Prepaid federal income taxes represent tax and loss bonds purchased in connection with our claimed tax deduction for our statutory contingency reserve position. See Item 1, “</w:t>
      </w:r>
      <w:r>
        <w:rPr>
          <w:rFonts w:ascii="Times New Roman;serif" w:hAnsi="Times New Roman;serif"/>
          <w:b w:val="false"/>
          <w:i/>
          <w:color w:val="000000"/>
          <w:sz w:val="20"/>
        </w:rPr>
        <w:t>Financial Statements - Notes to Condensed Consolidated Financial Statements - Note 9, Income Taxes.”</w:t>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assets increased at September 30, 2026 compared to December 31, 2025 primarily due to an increase in accrued investment income, current income taxes receivable and prepaid expenses during the nine months ended September 30,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Unearned premiums decreased at September 30, 2026 compared to December 31, 2025 due to the amortization of existing unearned premiums through earnings in accordance with the expiration of risk on related single premium policies and the cancellations of other single premium policies during the nine months ended September 30, 2026, partially offset by single premium policy originations during the period.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decreased at September 30, 2026 compared to December 31, 2025 primarily due to a reduction in accrued interest on the 2024 Notes, which is payable semi-annually in February and August, and the settlement of previously accrued compensation expenses during the nine months ended September 30, 2026, partially offset by an increase in reinsurance premiums payable during the period.</w:t>
      </w:r>
    </w:p>
    <w:p>
      <w:pPr>
        <w:pStyle w:val="TextBody"/>
        <w:bidi w:val="0"/>
        <w:spacing w:lineRule="auto" w:line="288" w:before="0" w:after="180"/>
        <w:ind w:left="0" w:right="0" w:firstLine="720"/>
        <w:jc w:val="both"/>
      </w:pPr>
      <w:r>
        <w:rPr>
          <w:rFonts w:ascii="Times New Roman;serif" w:hAnsi="Times New Roman;serif"/>
          <w:b w:val="false"/>
          <w:color w:val="000000"/>
          <w:sz w:val="20"/>
        </w:rPr>
        <w:t>Reserve for insurance claims and claim expenses increased at September 30, 2026 compared to December 31, 2025 with the establishment of initial reserves on newly defaulted loans and an increase in the average case reserves held against previously defaulted loans that aged in their delinquency status during the nine months ended September 30, 2026. The increase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Times New Roman;serif" w:hAnsi="Times New Roman;serif"/>
          <w:b w:val="false"/>
          <w:i/>
          <w:color w:val="000000"/>
          <w:sz w:val="20"/>
        </w:rPr>
        <w:t>Insurance Claims and Claim Expenses</w:t>
      </w:r>
      <w:r>
        <w:rPr>
          <w:rFonts w:ascii="Times New Roman;serif" w:hAnsi="Times New Roman;serif"/>
          <w:b w:val="false"/>
          <w:color w:val="000000"/>
          <w:sz w:val="20"/>
        </w:rPr>
        <w:t>,” above</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0" w:after="180"/>
        <w:ind w:left="0" w:right="0" w:firstLine="720"/>
        <w:jc w:val="both"/>
      </w:pPr>
      <w:r>
        <w:rPr>
          <w:rFonts w:ascii="Times New Roman;serif" w:hAnsi="Times New Roman;serif"/>
          <w:b w:val="false"/>
          <w:color w:val="000000"/>
          <w:sz w:val="20"/>
        </w:rPr>
        <w:t>Net deferred tax liability increased at September 30, 2026 compared to December 31, 2025 due to an increase in the claimed deductibility of our statutory contingency reserve during the nine months ended September 30, 2026, partially offset by an increase in the aggregate unrealized loss position of our fixed income portfolio recorded in other comprehensive income during the period. For further information regarding income taxes and their impact on our results of operations and financial position, see Item 1, “</w:t>
      </w:r>
      <w:r>
        <w:rPr>
          <w:rFonts w:ascii="Times New Roman;serif" w:hAnsi="Times New Roman;serif"/>
          <w:b w:val="false"/>
          <w:i/>
          <w:color w:val="000000"/>
          <w:sz w:val="20"/>
        </w:rPr>
        <w:t>Financial Statements - Notes to Condensed Consolidated Financial Statements - Note 9, Income Taxes</w:t>
      </w:r>
      <w:r>
        <w:rPr>
          <w:rFonts w:ascii="Times New Roman;serif" w:hAnsi="Times New Roman;serif"/>
          <w:b w:val="false"/>
          <w:color w:val="000000"/>
          <w:sz w:val="2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consolidated cash flows from operating, investing and financing activities:</w:t>
      </w:r>
    </w:p>
    <w:tbl>
      <w:tblPr>
        <w:tblW w:w="8274" w:type="dxa"/>
        <w:jc w:val="left"/>
        <w:tblInd w:w="0" w:type="dxa"/>
        <w:tblLayout w:type="fixed"/>
        <w:tblCellMar>
          <w:top w:w="28" w:type="dxa"/>
          <w:left w:w="28" w:type="dxa"/>
          <w:bottom w:w="28" w:type="dxa"/>
          <w:right w:w="28" w:type="dxa"/>
        </w:tblCellMar>
      </w:tblPr>
      <w:tblGrid>
        <w:gridCol w:w="1254"/>
        <w:gridCol w:w="1103"/>
        <w:gridCol w:w="1108"/>
        <w:gridCol w:w="250"/>
        <w:gridCol w:w="979"/>
        <w:gridCol w:w="129"/>
        <w:gridCol w:w="129"/>
        <w:gridCol w:w="129"/>
        <w:gridCol w:w="129"/>
        <w:gridCol w:w="250"/>
        <w:gridCol w:w="979"/>
        <w:gridCol w:w="129"/>
        <w:gridCol w:w="109"/>
        <w:gridCol w:w="109"/>
        <w:gridCol w:w="109"/>
        <w:gridCol w:w="211"/>
        <w:gridCol w:w="796"/>
        <w:gridCol w:w="109"/>
        <w:gridCol w:w="109"/>
        <w:gridCol w:w="154"/>
      </w:tblGrid>
      <w:t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cash flows</w:t>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c>
          <w:tcPr>
            <w:tcW w:w="263" w:type="dxa"/>
            <w:gridSpan w:val="2"/>
            <w:tcBorders/>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4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(241,148)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(198,810)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28,389 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76,131 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during the nine months ended September 30, 2026 compared to the nine months ended September 30, 2025 primarily due to increases in our net premium receipts, growth in our investment income and a decrease in interest payments on the 2024 Notes tied to the timing of the first semi-annual interest payment made in February 2025, partially offset by an increase in claims paid.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nine months ended September 30, 2026 and 2025 reflects the purchase of fixed and short-term maturities with cash provided by operating activities, and the reinvestment of maturities, redemptions, sale proceeds and coupon payments within our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financing activities primarily relates to the repurchase of common stock and taxes paid on the net share settlement of equity awards for certain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2024 Notes and 2024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pStyle w:val="TextBody"/>
        <w:bidi w:val="0"/>
        <w:spacing w:lineRule="auto" w:line="288" w:before="0" w:after="180"/>
        <w:ind w:left="0" w:right="0" w:firstLine="720"/>
        <w:jc w:val="both"/>
      </w:pPr>
      <w:r>
        <w:rPr>
          <w:rFonts w:ascii="Times New Roman;serif" w:hAnsi="Times New Roman;serif"/>
          <w:b w:val="false"/>
          <w:color w:val="000000"/>
          <w:sz w:val="20"/>
        </w:rPr>
        <w:t>As of September 30, 2026, NMIH had $121.7 million of cash, cash equivalents and investments. NMIH</w:t>
      </w:r>
      <w:r>
        <w:rPr>
          <w:color w:val="000000"/>
        </w:rPr>
        <w:t>’</w:t>
      </w:r>
      <w:r>
        <w:rPr>
          <w:rFonts w:ascii="Times New Roman;serif" w:hAnsi="Times New Roman;serif"/>
          <w:b w:val="false"/>
          <w:color w:val="000000"/>
          <w:sz w:val="20"/>
        </w:rPr>
        <w:t xml:space="preserve">s principal sources of net cash are dividends from its subsidiaries and investment income. NMIC paid a $101.0 million ordinary dividend to NMIH on June 3, 2026, representing its full ordinary dividend capacity payable under Wisconsin insurance laws for the twelve-month period ending December 31, 2026. NMIH also has access to $250 million of undrawn revolving credit capacity under the 2024 Revolving Credit Facility.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2025, our Board of Directors authorized a $250 million repurchase program, effective through December 31, 2027. The authorization provides NMIH with the flexibility, based on market and business conditions, stock price and other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factors, to repurchase stock from time to time through open market repurchases, privately negotiated transactions, or other means, including pursuant to Rule 10b5-1 trading plans.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NMIH repurchased 2.2 million shares of common stock at a total cost of $86.2 million, excluding associated fees and applicable taxes. As of September 30, 2026, NMIH had $139.7 million of repurchase authority remaining.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2024 Notes and 2024 Revolving Credit Facility to NMIC, to the extent proceeds from such offering and facility are contributed to NMIC or used to repay, redeem or otherwise defease amounts raised by NMIC under prior credit arrangements that have previously been distributed to NMIC.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2024 Notes mature on August 15, 2029 and bear interest at a rate of 6.00%, payable semi-annually on February 15 and August 15. The 2024 Revolving Credit Facility matures on May 21, 2029, and accrues interest at a variable rate equal to, at our discretion, (i) a Base Rate (as defined in the 2024 Revolving Credit Facility, subject to a floor of 1.00% per annum) plus a margin of 0.375% to 1.875% per annum, or (ii) the Adjusted Term SOFR Rate (as defined in the 2024 Revolving Credit Facility) plus a margin of 1.375% to 2.875% per annum, with the margin in each of (i) or (ii) based on our applicable corporate credit rating at the time. Borrowings under the 2024 Revolving Credit Facility may be used for general corporate purposes, including to support the growth of our new business production and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2024 Revolving Credit Facility, NMIH is required to pay a quarterly commitment fee on the average daily undrawn amount of 0.175% to 0.525%, based on the applicable corporate credit rating at the time. As of September 30, 2026, the applicable commitment fee was 0.175%.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certain covenants under the 2024 Revolving Credit Facility, including: a maximum debt-to-total capitalization ratio of 35%, a minimum consolidated net worth requirement (as defined therein), and a requirement to maintain compliance with the financial standards prescribed by the PMIERs (subject to any GSE approved waivers). We were in compliance with all covenants at September 30, 2026.</w:t>
      </w:r>
    </w:p>
    <w:p>
      <w:pPr>
        <w:pStyle w:val="TextBody"/>
        <w:bidi w:val="0"/>
        <w:spacing w:lineRule="auto" w:line="288" w:before="0" w:after="180"/>
        <w:ind w:left="0" w:right="0" w:firstLine="720"/>
        <w:jc w:val="both"/>
      </w:pPr>
      <w:r>
        <w:rPr>
          <w:rFonts w:ascii="Times New Roman;serif" w:hAnsi="Times New Roman;serif"/>
          <w:b w:val="false"/>
          <w:color w:val="000000"/>
          <w:sz w:val="20"/>
        </w:rPr>
        <w:t>NMIC and Re One are subject to certain capital and dividend rules and regulations prescribed by jurisdictions in which they are authorized to operate and by the GSEs. Under Wisconsin insurance laws, NMIC and Re One may pay dividends up to specified levels (</w:t>
      </w:r>
      <w:r>
        <w:rPr>
          <w:rFonts w:ascii="Times New Roman;serif" w:hAnsi="Times New Roman;serif"/>
          <w:b w:val="false"/>
          <w:i/>
          <w:color w:val="000000"/>
          <w:sz w:val="20"/>
        </w:rPr>
        <w:t>i.e.,</w:t>
      </w:r>
      <w:r>
        <w:rPr>
          <w:color w:val="000000"/>
        </w:rPr>
        <w:t xml:space="preserve"> “</w:t>
      </w:r>
      <w:r>
        <w:rPr>
          <w:rFonts w:ascii="Times New Roman;serif" w:hAnsi="Times New Roman;serif"/>
          <w:b w:val="false"/>
          <w:color w:val="000000"/>
          <w:sz w:val="20"/>
        </w:rPr>
        <w:t>ordinary” dividends) with 30 days' prior notice to the Wisconsin OCI. Dividends in larger amounts, or “extraordinary” dividends, are subject to the Wisconsin OCI's prior approval. Under Wisconsin insurance laws, an ordinary dividend is defined as any payment or distribution that, together with other dividends and distributions made within the preceding twelve months, is less than the lesser of (i) 10% of the insurer's statutory policyholders' surplus as of the preceding December 31 or (ii) adjusted statutory net income for the twelve-month period ending the preceding December 31</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On June 3, 2026, NMIC paid a $101.0 million ordinary dividend to NMIH, representing its full ordinary dividend capacity payable under Wisconsin insurance laws for the twelve-month period ending December 31, 2026.</w:t>
      </w:r>
    </w:p>
    <w:p>
      <w:pPr>
        <w:pStyle w:val="TextBody"/>
        <w:bidi w:val="0"/>
        <w:spacing w:lineRule="auto" w:line="288" w:before="0" w:after="180"/>
        <w:ind w:left="0" w:right="0" w:firstLine="720"/>
        <w:jc w:val="both"/>
      </w:pPr>
      <w:r>
        <w:rPr>
          <w:rFonts w:ascii="Times New Roman;serif" w:hAnsi="Times New Roman;serif"/>
          <w:b w:val="false"/>
          <w:color w:val="000000"/>
          <w:sz w:val="20"/>
        </w:rPr>
        <w:t xml:space="preserve">As an </w:t>
      </w:r>
      <w:r>
        <w:rPr>
          <w:rFonts w:ascii="Times New Roman;serif" w:hAnsi="Times New Roman;serif"/>
          <w:b w:val="false"/>
          <w:i/>
          <w:color w:val="000000"/>
          <w:sz w:val="20"/>
        </w:rPr>
        <w:t>approved insurer</w:t>
      </w:r>
      <w:r>
        <w:rPr>
          <w:color w:val="000000"/>
        </w:rPr>
        <w:t xml:space="preserve"> </w:t>
      </w:r>
      <w:r>
        <w:rPr>
          <w:rFonts w:ascii="Times New Roman;serif" w:hAnsi="Times New Roman;serif"/>
          <w:b w:val="false"/>
          <w:color w:val="000000"/>
          <w:sz w:val="20"/>
        </w:rPr>
        <w:t>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pStyle w:val="TextBody"/>
        <w:bidi w:val="0"/>
        <w:spacing w:lineRule="auto" w:line="276" w:before="0" w:after="180"/>
        <w:ind w:left="0" w:right="0" w:firstLine="720"/>
        <w:jc w:val="both"/>
      </w:pPr>
      <w:r>
        <w:rPr>
          <w:rFonts w:ascii="Times New Roman;serif" w:hAnsi="Times New Roman;serif"/>
          <w:b w:val="false"/>
          <w:color w:val="000000"/>
          <w:sz w:val="20"/>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serif" w:hAnsi="Times New Roman;serif"/>
          <w:b w:val="false"/>
          <w:i/>
          <w:color w:val="000000"/>
          <w:sz w:val="20"/>
        </w:rPr>
        <w:t>minimum required asset</w:t>
      </w:r>
      <w:r>
        <w:rPr>
          <w:color w:val="000000"/>
        </w:rPr>
        <w:t xml:space="preserve"> </w:t>
      </w:r>
      <w:r>
        <w:rPr>
          <w:rFonts w:ascii="Times New Roman;serif" w:hAnsi="Times New Roman;serif"/>
          <w:b w:val="false"/>
          <w:color w:val="000000"/>
          <w:sz w:val="20"/>
        </w:rPr>
        <w:t>thresholds under the PMIERs and minimum state capital requirements (respectively, as defined therein).</w:t>
      </w:r>
    </w:p>
    <w:p>
      <w:pPr>
        <w:pStyle w:val="TextBody"/>
        <w:bidi w:val="0"/>
        <w:spacing w:lineRule="auto" w:line="288" w:before="0" w:after="180"/>
        <w:ind w:left="0" w:right="0" w:firstLine="720"/>
        <w:jc w:val="both"/>
      </w:pPr>
      <w:r>
        <w:rPr>
          <w:rFonts w:ascii="Times New Roman;serif" w:hAnsi="Times New Roman;serif"/>
          <w:b w:val="false"/>
          <w:color w:val="000000"/>
          <w:sz w:val="20"/>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that are equal to or exceed a minimum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 subject to a minimum floor of $400 million.</w:t>
      </w:r>
    </w:p>
    <w:p>
      <w:pPr>
        <w:pStyle w:val="TextBody"/>
        <w:bidi w:val="0"/>
        <w:spacing w:lineRule="auto" w:line="288" w:before="0" w:after="180"/>
        <w:ind w:left="0" w:right="0" w:firstLine="765"/>
        <w:jc w:val="both"/>
      </w:pPr>
      <w:r>
        <w:rPr>
          <w:rFonts w:ascii="Times New Roman;serif" w:hAnsi="Times New Roman;serif"/>
          <w:b w:val="false"/>
          <w:i/>
          <w:color w:val="000000"/>
          <w:sz w:val="20"/>
        </w:rPr>
        <w:t xml:space="preserve">Available assets </w:t>
      </w:r>
      <w:r>
        <w:rPr>
          <w:rFonts w:ascii="Times New Roman;serif" w:hAnsi="Times New Roman;serif"/>
          <w:b w:val="false"/>
          <w:color w:val="000000"/>
          <w:sz w:val="20"/>
        </w:rPr>
        <w:t>reflect the financial resources of a mortgage insurer available to pay claims, and includes the most readily liquid assets held, such as cash, investments and other items as stipulated in the PMIERs. The credit provided for such assets is subject to adjustment based on several factors, including asset class, credit rating and portfolio concentration.</w:t>
      </w:r>
    </w:p>
    <w:p>
      <w:pPr>
        <w:pStyle w:val="TextBody"/>
        <w:bidi w:val="0"/>
        <w:spacing w:lineRule="auto" w:line="288" w:before="0" w:after="180"/>
        <w:ind w:left="0" w:right="0" w:firstLine="720"/>
        <w:jc w:val="both"/>
      </w:pPr>
      <w:r>
        <w:rPr>
          <w:rFonts w:ascii="Times New Roman;serif" w:hAnsi="Times New Roman;serif"/>
          <w:b w:val="false"/>
          <w:color w:val="000000"/>
          <w:sz w:val="20"/>
        </w:rPr>
        <w:t xml:space="preserve">The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 xml:space="preserve">amount under PMIERs is determined at an individual policy-level based on the risk characteristics of each insured loan. Loans with higher risk factors, such as higher LTVs or lower borrower credit scores, are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w:t>
      </w:r>
    </w:p>
    <w:p>
      <w:pPr>
        <w:pStyle w:val="TextBody"/>
        <w:bidi w:val="0"/>
        <w:spacing w:lineRule="auto" w:line="288" w:before="0" w:after="180"/>
        <w:ind w:left="0" w:right="0" w:firstLine="720"/>
        <w:jc w:val="both"/>
      </w:pPr>
      <w:r>
        <w:rPr>
          <w:rFonts w:ascii="Times New Roman;serif" w:hAnsi="Times New Roman;serif"/>
          <w:b w:val="false"/>
          <w:color w:val="000000"/>
          <w:sz w:val="20"/>
        </w:rPr>
        <w:t xml:space="preserve">NMIC’s PMIERs minimum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 xml:space="preserve">amount is also adjusted for its reinsurance transactions (as approved by the GSEs). Under NMIC’s quota share reinsurance treaties, it receives credit for the PMIERs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 xml:space="preserve">amount on ceded RIF. As its gross PMIERs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 xml:space="preserve">amount on ceded RIF increases, the PMIERs credit for ceded RIF automatically increases as well (in an unlimited amount). Under NMIC’s ILN and XOL Transactions, it generally receives credit for the PMIERs </w:t>
      </w:r>
      <w:r>
        <w:rPr>
          <w:rFonts w:ascii="Times New Roman;serif" w:hAnsi="Times New Roman;serif"/>
          <w:b w:val="false"/>
          <w:i/>
          <w:color w:val="000000"/>
          <w:sz w:val="20"/>
        </w:rPr>
        <w:t>risk-based required asset</w:t>
      </w:r>
      <w:r>
        <w:rPr>
          <w:color w:val="000000"/>
        </w:rPr>
        <w:t xml:space="preserve"> </w:t>
      </w:r>
      <w:r>
        <w:rPr>
          <w:rFonts w:ascii="Times New Roman;serif" w:hAnsi="Times New Roman;serif"/>
          <w:b w:val="false"/>
          <w:color w:val="000000"/>
          <w:sz w:val="20"/>
        </w:rPr>
        <w:t>amount on ceded RIF to the extent such requirement is within the subordinated coverage (excess-of-loss detachment threshold) afforded by the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2026, NMIC had a RTC ratio of 12.8:1 with $45.0 billion of primary RIF, net of reinsurance, and $3.5 billion of total statutory capital, including contingency reserves. Re One has no RIF remaining and no longer reports a RTC ratio.</w:t>
      </w:r>
    </w:p>
    <w:p>
      <w:pPr>
        <w:pStyle w:val="TextBody"/>
        <w:bidi w:val="0"/>
        <w:spacing w:lineRule="auto" w:line="288" w:before="0" w:after="180"/>
        <w:ind w:left="0" w:right="0" w:firstLine="720"/>
        <w:jc w:val="both"/>
      </w:pPr>
      <w:r>
        <w:rPr>
          <w:rFonts w:ascii="Times New Roman;serif" w:hAnsi="Times New Roman;serif"/>
          <w:b w:val="false"/>
          <w:color w:val="000000"/>
          <w:sz w:val="20"/>
        </w:rPr>
        <w:t>NMIC’s principal sources of liquidity include (i) premium receipts on its insured portfolio and new business production, (ii) interest income on its investment portfolio and principal repayments on maturities therein, and (iii) existing cash and cash equivalent holdings. At September 30, 2026, NMIC had $3.2 billion of cash and investments, including $48.4 million of cash and cash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September 30, 2026, NMIC generated $433 million of cash flow from operations and received an additional $642 million of cash flow on the sale, maturity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serif" w:hAnsi="Times New Roman;serif"/>
          <w:b w:val="false"/>
          <w:i/>
          <w:color w:val="000000"/>
          <w:sz w:val="20"/>
        </w:rPr>
        <w:t>i.e.</w:t>
      </w:r>
      <w:r>
        <w:rPr>
          <w:rFonts w:ascii="Times New Roman;serif" w:hAnsi="Times New Roman;serif"/>
          <w:b w:val="false"/>
          <w:color w:val="000000"/>
          <w:sz w:val="20"/>
        </w:rPr>
        <w:t>, are of a contractually predetermined amount and due at a contractually predetermined date). NMIC’s only use of cash with the potential to develop along an unscheduled path is claims payments. Given the relatively small size of our current population of defaulted policies, the generally extended duration of the default-to-foreclosure-to-claim cycle, and the potential availability of forbearance, foreclosure moratorium and other borrower assistance programs (which serve to further extend the default-to-foreclosure-to-claim cycle timeline), we do not expect NMIC to use a meaningful amount of cash to settle claims in the near-term.</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we have sufficient liquidity available at both NMIH and NMIC to meet our operating cash and capital obligations over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Debt and Financial Strength Ratings</w:t>
      </w:r>
    </w:p>
    <w:p>
      <w:pPr>
        <w:pStyle w:val="TextBody"/>
        <w:bidi w:val="0"/>
        <w:spacing w:lineRule="auto" w:line="26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NMIC’s financial strength is rated “A” by Fitch Ratings (Fitch), “A2” by Moody’s, and “A-” by S&amp;P. NMIH’s 2024 Notes are rated “BBB” by Fitch and “Baa2” by Moody’s. The outlook for all ratings provided by Fitch, Moody's and S&amp;P is stable.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Consolidated Investment Portfolio</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 portfolio is comprised entirely of fixed maturity instruments. As of September 30, 2026, the fair value of our investment portfolio was $3.2 billion and we held an additional $72.3 million of cash and cash equivalents. Pre-tax book yield on the investment portfolio for the nine months ended September 30, 2026 was 3.6%. Book yield is calculated as period-to-date net investment income divided by the average amortized cost of the investment portfolio. The yield on our investment portfolio is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likely to change over time based on movements in interest rates, credit spreads, the duration or mix of our holdings and other factors.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breakdown of our investment portfolio and cash and cash equivalents by investment type and credit rating: </w:t>
      </w:r>
    </w:p>
    <w:tbl>
      <w:tblPr>
        <w:tblW w:w="9042" w:type="dxa"/>
        <w:jc w:val="left"/>
        <w:tblInd w:w="0" w:type="dxa"/>
        <w:tblLayout w:type="fixed"/>
        <w:tblCellMar>
          <w:top w:w="28" w:type="dxa"/>
          <w:left w:w="28" w:type="dxa"/>
          <w:bottom w:w="28" w:type="dxa"/>
          <w:right w:w="28" w:type="dxa"/>
        </w:tblCellMar>
      </w:tblPr>
      <w:tblGrid>
        <w:gridCol w:w="2036"/>
        <w:gridCol w:w="1789"/>
        <w:gridCol w:w="1800"/>
        <w:gridCol w:w="344"/>
        <w:gridCol w:w="344"/>
        <w:gridCol w:w="857"/>
        <w:gridCol w:w="109"/>
        <w:gridCol w:w="109"/>
        <w:gridCol w:w="109"/>
        <w:gridCol w:w="314"/>
        <w:gridCol w:w="314"/>
        <w:gridCol w:w="917"/>
      </w:tblGrid>
      <w:tr>
        <w:tc>
          <w:tcPr>
            <w:tcW w:w="203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Percentage of portfolio's fair value</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debt securities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of U.S. government agencies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agency mortgage-backed securities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687" w:type="dxa"/>
        <w:jc w:val="left"/>
        <w:tblInd w:w="0" w:type="dxa"/>
        <w:tblLayout w:type="fixed"/>
        <w:tblCellMar>
          <w:top w:w="28" w:type="dxa"/>
          <w:left w:w="28" w:type="dxa"/>
          <w:bottom w:w="28" w:type="dxa"/>
          <w:right w:w="28" w:type="dxa"/>
        </w:tblCellMar>
      </w:tblPr>
      <w:tblGrid>
        <w:gridCol w:w="1185"/>
        <w:gridCol w:w="1039"/>
        <w:gridCol w:w="1046"/>
        <w:gridCol w:w="344"/>
        <w:gridCol w:w="344"/>
        <w:gridCol w:w="857"/>
        <w:gridCol w:w="109"/>
        <w:gridCol w:w="109"/>
        <w:gridCol w:w="109"/>
        <w:gridCol w:w="314"/>
        <w:gridCol w:w="314"/>
        <w:gridCol w:w="917"/>
      </w:tblGrid>
      <w:tr>
        <w:tc>
          <w:tcPr>
            <w:tcW w:w="118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16"/>
              </w:rPr>
              <w:t xml:space="preserve">Investment portfolio ratings at fair value </w:t>
            </w:r>
            <w:r>
              <w:rPr>
                <w:rFonts w:ascii="Times New Roman;serif" w:hAnsi="Times New Roman;serif"/>
                <w:b/>
                <w:color w:val="000000"/>
                <w:sz w:val="10"/>
              </w:rPr>
              <w:t>(1)</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AAA </w:t>
            </w:r>
            <w:r>
              <w:rPr>
                <w:rFonts w:ascii="Times New Roman;serif" w:hAnsi="Times New Roman;serif"/>
                <w:b w:val="false"/>
                <w:color w:val="000000"/>
                <w:sz w:val="13"/>
              </w:rPr>
              <w:t>(2)</w:t>
            </w:r>
          </w:p>
        </w:tc>
        <w:tc>
          <w:tcPr>
            <w:tcW w:w="6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AA </w:t>
            </w:r>
            <w:r>
              <w:rPr>
                <w:rFonts w:ascii="Times New Roman;serif" w:hAnsi="Times New Roman;serif"/>
                <w:b w:val="false"/>
                <w:color w:val="000000"/>
                <w:sz w:val="13"/>
              </w:rPr>
              <w:t>(3)</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 </w:t>
            </w:r>
            <w:r>
              <w:rPr>
                <w:rFonts w:ascii="Times New Roman;serif" w:hAnsi="Times New Roman;serif"/>
                <w:b w:val="false"/>
                <w:color w:val="000000"/>
                <w:sz w:val="13"/>
              </w:rPr>
              <w:t>(3)</w:t>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9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BBB </w:t>
            </w:r>
            <w:r>
              <w:rPr>
                <w:rFonts w:ascii="Times New Roman;serif" w:hAnsi="Times New Roman;serif"/>
                <w:b w:val="false"/>
                <w:color w:val="000000"/>
                <w:sz w:val="13"/>
              </w:rPr>
              <w:t>(3)</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32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327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Excluding certain operating cash accounts.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Includes short-term securities rated A-1+.</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Includes +/– ratings.</w:t>
      </w:r>
    </w:p>
    <w:p>
      <w:pPr>
        <w:pStyle w:val="TextBody"/>
        <w:bidi w:val="0"/>
        <w:spacing w:before="0" w:after="0"/>
        <w:ind w:left="0" w:right="0" w:hanging="360"/>
        <w:jc w:val="both"/>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investments are rated by one or more nationally recognized statistical rating organizations. If three or more ratings are available, we assign the middle rating for classification purposes, otherwise we assign the lowest rating.</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Securities - Allowance for credit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recognize an allowance for credit loss for any security in the investment portfolio as of September 30, 2026 or December 31, 2025, and we did not record any provision for credit loss for investment securities during the three and nine months ended September 30, 2026 or 2025.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investment portfolio had gross unrealized losses of $184.9 million, of which $101.7 million were associated with securities that had been in an unrealized loss position for a period of twelve months or longer. As of December 31, 2025, the investment portfolio had gross unrealized losses of $86.3 million, of which $84.3 million were associated with securities that had been in an unrealized loss position for a period of twelve months or longer.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evaluated the securities in an unrealized loss position as of September 30, 2026, assessing their credit ratings as well as any adverse conditions specifically related to the security. Based upon our assessment of the amount and timing of cash flows to be collected over the remaining life of each instrument, we believe the unrealized losses as of September 30, 2026 are not indicative of the ultimate collectability of the current amortized cost of the securities. Rather, the unrealized losses on securities held as of September 30, 2026 were primarily driven by fluctuations in interest rates, and to a lesser extent, movements in credit spreads following the purchase of those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the assumptions and estimates associated with revenue recognition and reserves for insurance claims and claim expenses have the greatest potential impact on our consolidated financial statements. Therefore, we consider these to be our critical accounting estimates. There have not been any material changes to our critical accounting policies and estimates as compared to the critical accounting policies and estimates described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0" w:after="180"/>
        <w:ind w:left="0" w:right="0" w:firstLine="720"/>
        <w:jc w:val="both"/>
      </w:pPr>
      <w:r>
        <w:rPr>
          <w:rFonts w:ascii="Times New Roman;serif" w:hAnsi="Times New Roman;serif"/>
          <w:b w:val="false"/>
          <w:color w:val="000000"/>
          <w:sz w:val="20"/>
        </w:rPr>
        <w:t>We own and manage a large investment portfolio of various holdings, types and maturities. NMIH</w:t>
      </w:r>
      <w:r>
        <w:rPr>
          <w:color w:val="000000"/>
        </w:rPr>
        <w:t>’</w:t>
      </w:r>
      <w:r>
        <w:rPr>
          <w:rFonts w:ascii="Times New Roman;serif" w:hAnsi="Times New Roman;serif"/>
          <w:b w:val="false"/>
          <w:color w:val="000000"/>
          <w:sz w:val="20"/>
        </w:rPr>
        <w:t>s principal source of operating cash is investment income. The assets within the investment portfolio are exposed to the same factors that affect overall financial market performance.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market risk via a defined investment policy implemented by our treasury function with oversight from our Board's Risk Committee. Important drivers of our market risk exposure monitored and managed by us include but are not limited to:</w:t>
      </w:r>
    </w:p>
    <w:p>
      <w:pPr>
        <w:pStyle w:val="TextBody"/>
        <w:bidi w:val="0"/>
        <w:spacing w:lineRule="auto" w:line="288" w:before="0" w:after="180"/>
        <w:ind w:left="0" w:right="0" w:hanging="360"/>
        <w:jc w:val="both"/>
      </w:pPr>
      <w:r>
        <w:rPr>
          <w:color w:val="000000"/>
        </w:rPr>
        <w:t>•</w:t>
      </w:r>
      <w:r>
        <w:rPr>
          <w:rFonts w:ascii="Times New Roman;serif" w:hAnsi="Times New Roman;serif"/>
          <w:b w:val="false"/>
          <w:i/>
          <w:color w:val="000000"/>
          <w:sz w:val="20"/>
        </w:rPr>
        <w:t>Changes to the level of interest rates</w:t>
      </w:r>
      <w:r>
        <w:rPr>
          <w:rFonts w:ascii="Times New Roman;serif" w:hAnsi="Times New Roman;serif"/>
          <w:b w:val="false"/>
          <w:color w:val="000000"/>
          <w:sz w:val="20"/>
        </w:rPr>
        <w:t>. Increasing interest rates may reduce the value of certain fixed-rate bonds held in the investment 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w:t>
      </w:r>
    </w:p>
    <w:p>
      <w:pPr>
        <w:pStyle w:val="TextBody"/>
        <w:bidi w:val="0"/>
        <w:spacing w:lineRule="auto" w:line="288" w:before="0" w:after="180"/>
        <w:ind w:left="0" w:right="0" w:hanging="360"/>
        <w:jc w:val="both"/>
      </w:pPr>
      <w:r>
        <w:rPr>
          <w:color w:val="000000"/>
        </w:rPr>
        <w:t>•</w:t>
      </w:r>
      <w:r>
        <w:rPr>
          <w:rFonts w:ascii="Times New Roman;serif" w:hAnsi="Times New Roman;serif"/>
          <w:b w:val="false"/>
          <w:i/>
          <w:color w:val="000000"/>
          <w:sz w:val="20"/>
        </w:rPr>
        <w:t>Changes to the term structure of interest rates</w:t>
      </w:r>
      <w:r>
        <w:rPr>
          <w:rFonts w:ascii="Times New Roman;serif" w:hAnsi="Times New Roman;serif"/>
          <w:b w:val="false"/>
          <w:color w:val="000000"/>
          <w:sz w:val="20"/>
        </w:rPr>
        <w:t xml:space="preserve">. Rising or falling rates typically change by different amounts along the yield curve. These changes may have unforeseen impacts on the value of certain assets. </w:t>
      </w:r>
    </w:p>
    <w:p>
      <w:pPr>
        <w:pStyle w:val="TextBody"/>
        <w:bidi w:val="0"/>
        <w:spacing w:lineRule="auto" w:line="288" w:before="0" w:after="180"/>
        <w:ind w:left="0" w:right="0" w:hanging="360"/>
        <w:jc w:val="both"/>
      </w:pPr>
      <w:r>
        <w:rPr>
          <w:color w:val="000000"/>
        </w:rPr>
        <w:t>•</w:t>
      </w:r>
      <w:r>
        <w:rPr>
          <w:rFonts w:ascii="Times New Roman;serif" w:hAnsi="Times New Roman;serif"/>
          <w:b w:val="false"/>
          <w:i/>
          <w:color w:val="000000"/>
          <w:sz w:val="20"/>
        </w:rPr>
        <w:t>Market volatility/changes in the real or perceived credit quality of investments</w:t>
      </w:r>
      <w:r>
        <w:rPr>
          <w:rFonts w:ascii="Times New Roman;serif" w:hAnsi="Times New Roman;serif"/>
          <w:b w:val="false"/>
          <w:color w:val="000000"/>
          <w:sz w:val="20"/>
        </w:rPr>
        <w:t>. Deterioration in the quality of investments, identified through changes to our own or third-party (</w:t>
      </w:r>
      <w:r>
        <w:rPr>
          <w:rFonts w:ascii="Times New Roman;serif" w:hAnsi="Times New Roman;serif"/>
          <w:b w:val="false"/>
          <w:i/>
          <w:color w:val="000000"/>
          <w:sz w:val="20"/>
        </w:rPr>
        <w:t>e.g.</w:t>
      </w:r>
      <w:r>
        <w:rPr>
          <w:rFonts w:ascii="Times New Roman;serif" w:hAnsi="Times New Roman;serif"/>
          <w:b w:val="false"/>
          <w:color w:val="000000"/>
          <w:sz w:val="20"/>
        </w:rPr>
        <w:t>, rating agency or investment advisors) assessments, will reduce the value and potentially the liquidity of investments.</w:t>
      </w:r>
    </w:p>
    <w:p>
      <w:pPr>
        <w:pStyle w:val="TextBody"/>
        <w:bidi w:val="0"/>
        <w:spacing w:lineRule="auto" w:line="288" w:before="0" w:after="180"/>
        <w:ind w:left="0" w:right="0" w:hanging="360"/>
        <w:jc w:val="both"/>
      </w:pPr>
      <w:r>
        <w:rPr>
          <w:color w:val="000000"/>
        </w:rPr>
        <w:t>•</w:t>
      </w:r>
      <w:r>
        <w:rPr>
          <w:rFonts w:ascii="Times New Roman;serif" w:hAnsi="Times New Roman;serif"/>
          <w:b w:val="false"/>
          <w:i/>
          <w:color w:val="000000"/>
          <w:sz w:val="20"/>
        </w:rPr>
        <w:t>Concentration risk</w:t>
      </w:r>
      <w:r>
        <w:rPr>
          <w:rFonts w:ascii="Times New Roman;serif" w:hAnsi="Times New Roman;serif"/>
          <w:b w:val="false"/>
          <w:color w:val="000000"/>
          <w:sz w:val="20"/>
        </w:rPr>
        <w:t>. 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bidi w:val="0"/>
        <w:spacing w:lineRule="auto" w:line="288" w:before="0" w:after="180"/>
        <w:ind w:left="0" w:right="0" w:hanging="360"/>
        <w:jc w:val="both"/>
      </w:pPr>
      <w:r>
        <w:rPr>
          <w:color w:val="000000"/>
        </w:rPr>
        <w:t>•</w:t>
      </w:r>
      <w:r>
        <w:rPr>
          <w:rFonts w:ascii="Times New Roman;serif" w:hAnsi="Times New Roman;serif"/>
          <w:b w:val="false"/>
          <w:i/>
          <w:color w:val="000000"/>
          <w:sz w:val="20"/>
        </w:rPr>
        <w:t>Prepayment risk</w:t>
      </w:r>
      <w:r>
        <w:rPr>
          <w:rFonts w:ascii="Times New Roman;serif" w:hAnsi="Times New Roman;serif"/>
          <w:b w:val="false"/>
          <w:color w:val="000000"/>
          <w:sz w:val="20"/>
        </w:rPr>
        <w:t>. Bonds may have call provisions that permit debtors to repay prior to maturity when it is to their advantage. This typically occurs when rates fall below the interest rate of the debt.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value of our investment portfolio as of September 30, 2026 and December 31, 2025 was $3.2 billion and $3.1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duration of our fixed income portfolio, including cash and cash equivalents, was 3.60 years, which means that an instantaneous parallel shift (movement up or down) in the yield curve of 100 basis points would result in a change of 3.60% in fair value of our fixed income portfolio. Excluding cash, our fixed income portfolio duration was 3.62 years, which means that an instantaneous parallel shift (movement up or down) in the yield curve of 100 basis points would result in a change of 3.62% in fair value of our fixed income portfolio.</w:t>
      </w:r>
    </w:p>
    <w:p>
      <w:pPr>
        <w:pStyle w:val="TextBody"/>
        <w:bidi w:val="0"/>
        <w:spacing w:lineRule="auto" w:line="288" w:before="0" w:after="180"/>
        <w:ind w:left="0" w:right="0" w:firstLine="720"/>
        <w:jc w:val="both"/>
      </w:pPr>
      <w:r>
        <w:rPr>
          <w:rFonts w:ascii="Times New Roman;serif" w:hAnsi="Times New Roman;serif"/>
          <w:b w:val="false"/>
          <w:color w:val="000000"/>
          <w:sz w:val="20"/>
        </w:rPr>
        <w:t>We are also subject to market risk related to the 2024 Revolving Credit Facility and the ILN Transaction. As discussed in Item 1, “</w:t>
      </w:r>
      <w:r>
        <w:rPr>
          <w:rFonts w:ascii="Times New Roman;serif" w:hAnsi="Times New Roman;serif"/>
          <w:b w:val="false"/>
          <w:i/>
          <w:color w:val="000000"/>
          <w:sz w:val="20"/>
        </w:rPr>
        <w:t>Financial Statements - Notes to Condensed Consolidated Financial Statements - Note 4, Debt”</w:t>
      </w:r>
      <w:r>
        <w:rPr>
          <w:color w:val="000000"/>
        </w:rPr>
        <w:t xml:space="preserve"> </w:t>
      </w:r>
      <w:r>
        <w:rPr>
          <w:rFonts w:ascii="Times New Roman;serif" w:hAnsi="Times New Roman;serif"/>
          <w:b w:val="false"/>
          <w:color w:val="000000"/>
          <w:sz w:val="20"/>
        </w:rPr>
        <w:t>the 2024 Revolving Credit Facility bears interest at a variable rate and, as a result, increases in market interest rates would generally result in increased interest expense on any outstanding drawn balance.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risk premium amount under the ILN Transaction is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conducted an evaluation of the effectiveness of our disclosure controls and procedures (as defined in Rule 13a-15(e) of the Exchange Act) as of September 30, 2026,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pStyle w:val="TextBody"/>
        <w:bidi w:val="0"/>
        <w:spacing w:lineRule="auto" w:line="288" w:before="0" w:after="180"/>
        <w:ind w:left="0" w:right="0" w:firstLine="720"/>
        <w:jc w:val="both"/>
      </w:pPr>
      <w:r>
        <w:rPr>
          <w:rFonts w:ascii="Times New Roman;serif" w:hAnsi="Times New Roman;serif"/>
          <w:b w:val="false"/>
          <w:color w:val="000000"/>
          <w:sz w:val="20"/>
        </w:rPr>
        <w:t>Based upon that evaluation, our Chief Executive Officer and Chief Financial Officer concluded that, as of September 30, 2026,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w:t>
      </w:r>
      <w:r>
        <w:rPr>
          <w:color w:val="000000"/>
        </w:rPr>
        <w:t>’</w:t>
      </w:r>
      <w:r>
        <w:rPr>
          <w:rFonts w:ascii="Times New Roman;serif" w:hAnsi="Times New Roman;serif"/>
          <w:b w:val="false"/>
          <w:color w:val="000000"/>
          <w:sz w:val="20"/>
        </w:rPr>
        <w:t>s rules and forms.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Internal Control Over Financial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period covered by this report that has materially affected, or is reasonably likely to materially affect, our internal control over financial reporting.</w:t>
      </w:r>
    </w:p>
    <w:p>
      <w:pPr>
        <w:pStyle w:val="TextBody"/>
        <w:bidi w:val="0"/>
        <w:spacing w:before="0" w:after="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Risk factors that affect our business and financial results are discussed in Part I, Item 1A of our 2025 10-K. As of the date of this report, other than as indicated below, we are not aware of any material changes in our risk factors from the risk factors disclosed in our 2025 10-K. You should carefully consider the risks and uncertainties described herein and in our 2025 10-K, which have the potential to affect our business, financial condition, results of operations, cash flows or prospects in a material and adverse manner. The risks described herein and in our 2025 10-K are not the only risks we face, as there are additional risks and uncertainties not currently known to us or that we currently deem to be immaterial, which may in the future adversely affect our business, financial condition and/or operating results.</w:t>
      </w:r>
    </w:p>
    <w:p>
      <w:pPr>
        <w:pStyle w:val="TextBody"/>
        <w:bidi w:val="0"/>
        <w:spacing w:before="0" w:after="0"/>
        <w:ind w:left="0" w:right="0" w:firstLine="720"/>
        <w:jc w:val="both"/>
      </w:p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Regulation of the Mortgage Insurance Industry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the business practices of the GSEs, including a decision to decrease or discontinue the use of private MI, or changes in the terms on which mortgage insurance coverage may be canceled, federal legislation that changes their charters or a restructuring of the GSEs or changes in loan delivery pricing imposed by the GSEs could reduce the private MI market opportunity, reduce our revenues or increase our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requirements and practices of the GSEs impact the operating results and financial performance of approved insurers, including NMIC. Changes in the charters or business practices of the GSEs could materially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the GSEs in a prolonged conservatorship, there has been ongoing debate over the future role and purpose of the GSEs in the U.S. housing market. The U.S.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with regard to the government's role in the housing market and, more specifically, with regard to the existence of an explicit or implicit government guarantee. Recently, there has been increased focus on and discussion of administrative reform independent of legislative action. The former director of FHFA leadership under the first Trump administration was more focused on preparing the GSEs to exit from conservatorship by increasing the GSEs’ overall capital levels and reducing their credit risk profile. In December 2020, the FHFA published a final rule (2020 ERCF rule) establishing a new enterprise regulatory capital framework (ERCF) for the GSEs, which included provisions governing the capital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p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relief allowed to the GSEs for loans with private MI. The 2020 ERCF rule established that loans with private MI, as opposed to loans without private MI, provide more favorable capital relief to the GSEs. Additionally, while in conservatorship, each GSE has been subject to the terms of senior Preferred Stock Purchase Agreements (PSPAs) establishing Treasury's ownership of senior preferred stock and warrants in the GSEs. The PSPAs, as amended by the Treasury Department in collaboration with the FHFA, also establish Treasury's right to consent to any GSE release from conservatorship, among other rights.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Leadership at the FHFA changes from time to time. Given that the Director of the FHFA is removable by the President at will, the agency's agenda, policies and actions likely will be significantly influenced by the then current administration. Accordingly, it is difficult to predict whether or how the FHFA might seek to implement GSE oversight beyond the current administration's term. Between the Director of the FHFA and the Treasury Department, they possess significant capacity to effect administrative GSE reforms. Subsequent to the adoption of the 2020 ERCF rule and the PSPAs, the Director of the FHFA, together with the Treasury Department, have adopted amendments to both the 2020 ERCF and the PSPAs to help facilitate the ultimate release of the GSEs from conservatorship and additional changes could be adopted. Further changes to the ERCF, the PSPAs, or the business practices of the GSEs, including any that increase the capital required to be held by us under PMIERs, could make our products less desirable or more expensive and could have a material adverse impact on our financial condition and future business prospects.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potential GSE reforms, whether through legislation or administrative action, could impact the current role of private mortgage insurance as credit enhancement, including its reduction or elimination, which would have an adverse effect on our revenue, operating results, prospects or financial condition. Some other examples of potential GSE reforms or policy changes that could impact our business may also include, but are not limited by, the following:</w:t>
      </w:r>
    </w:p>
    <w:p>
      <w:pPr>
        <w:pStyle w:val="TextBody"/>
        <w:bidi w:val="0"/>
        <w:spacing w:lineRule="auto" w:line="268" w:before="0" w:after="120"/>
        <w:ind w:left="0" w:right="0" w:hanging="360"/>
        <w:jc w:val="both"/>
      </w:pPr>
      <w:r>
        <w:rPr>
          <w:color w:val="000000"/>
        </w:rPr>
        <w:t>•</w:t>
      </w:r>
      <w:r>
        <w:rPr>
          <w:rFonts w:ascii="Times New Roman;serif" w:hAnsi="Times New Roman;serif"/>
          <w:b w:val="false"/>
          <w:color w:val="000000"/>
          <w:sz w:val="20"/>
        </w:rPr>
        <w:t xml:space="preserve">Policies or requirements that may result in a reduction in the number of mortgages GSEs acquire; </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 xml:space="preserve">The national conforming loan limit for mortgages GSEs acquire; </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 xml:space="preserve">The level of mortgage insurance required; </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 xml:space="preserve">The terms on which mortgage insurance coverage may be canceled, including GSE requirements and programs that permit cancellation prior to reaching the cancellation thresholds and conditions established by law; </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 xml:space="preserve">The terms required to be included in master policies for the mortgage insurance policies GSEs acquire; </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 xml:space="preserve">The amount of loan level price adjustments or guarantee fees that the GSEs charge on loans that require mortgage insurance; and </w:t>
      </w:r>
    </w:p>
    <w:p>
      <w:pPr>
        <w:pStyle w:val="TextBody"/>
        <w:bidi w:val="0"/>
        <w:spacing w:lineRule="auto" w:line="288" w:before="0" w:after="120"/>
        <w:ind w:left="0" w:right="0" w:hanging="360"/>
        <w:jc w:val="both"/>
      </w:pPr>
      <w:r>
        <w:rPr>
          <w:color w:val="000000"/>
        </w:rPr>
        <w:t>•</w:t>
      </w:r>
      <w:r>
        <w:rPr>
          <w:rFonts w:ascii="Times New Roman;serif" w:hAnsi="Times New Roman;serif"/>
          <w:b w:val="false"/>
          <w:color w:val="000000"/>
          <w:sz w:val="20"/>
        </w:rPr>
        <w:t xml:space="preserve">The degree of influence that the GSEs have over a mortgage lender’s selection of the mortgage insurer providing coverage. </w:t>
      </w:r>
    </w:p>
    <w:p>
      <w:pPr>
        <w:pStyle w:val="TextBody"/>
        <w:bidi w:val="0"/>
        <w:spacing w:lineRule="auto" w:line="288" w:before="0" w:after="180"/>
        <w:ind w:left="0" w:right="0" w:firstLine="720"/>
        <w:jc w:val="both"/>
      </w:pPr>
      <w:r>
        <w:rPr>
          <w:rFonts w:ascii="Times New Roman;serif" w:hAnsi="Times New Roman;serif"/>
          <w:b w:val="false"/>
          <w:color w:val="000000"/>
          <w:sz w:val="20"/>
        </w:rPr>
        <w:t>On October 22, 2026, the President issued Executive Order "Decreasing Housing Costs for the American People," which, among other things, allows the Director of the FHFA, if he determines it to be in the best interests of the GSEs, the FHFA and the American public, to direct the GSEs to establish a pilot program to identify borrowers who satisfy equity-related and other requirements for cancellation of mortgage insurance, applicable only to mortgages made after the establishment of the pilot program. The implementation details and regulatory guidance necessary to fully assess the scope and effect of the order have not yet been issued, and we will continue to monitor developments as they become available. To the extent the implementation details, regulatory guidance or other impacts of the executive order cause increased and unexpected turnover in our IIF, our future revenues may be negatively impacted. For more information see our risk factor titled “</w:t>
      </w:r>
      <w:r>
        <w:rPr>
          <w:rFonts w:ascii="Times New Roman;serif" w:hAnsi="Times New Roman;serif"/>
          <w:b w:val="false"/>
          <w:i/>
          <w:color w:val="000000"/>
          <w:sz w:val="20"/>
        </w:rPr>
        <w:t>Changes in factors that impact the length of time that our policies remain in force may adversely impact our future revenues and claims experience.</w:t>
      </w:r>
      <w:r>
        <w:rPr>
          <w:color w:val="000000"/>
        </w:rPr>
        <w: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these matters, it is uncertain what role private capital, including MI, will play in the domestic residential housing finance system in the future or the impact of any such changes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significant impact on our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recent years, the FHFA has set goals for the GSEs to transfer significant portions of the GSEs' mortgage credit risk to the private sector. To the extent any other current or potential credit risk products that may evolve in a manner that displace primary MI coverage, the amount of insurance we write may be reduced. It is difficult to predict the impact of any other current or potential alternative credit risk transfer products, if any, that are developed to meet the goals established by the FHFA.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p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Issuer Purchases of Equity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purchases of NMI Holdings, Inc. common stock by us during the three months ended September 30, 2026.</w:t>
      </w:r>
    </w:p>
    <w:tbl>
      <w:tblPr>
        <w:tblW w:w="10205" w:type="dxa"/>
        <w:jc w:val="left"/>
        <w:tblInd w:w="0" w:type="dxa"/>
        <w:tblLayout w:type="fixed"/>
        <w:tblCellMar>
          <w:top w:w="28" w:type="dxa"/>
          <w:left w:w="28" w:type="dxa"/>
          <w:bottom w:w="28" w:type="dxa"/>
          <w:right w:w="28" w:type="dxa"/>
        </w:tblCellMar>
      </w:tblPr>
      <w:tblGrid>
        <w:gridCol w:w="267"/>
        <w:gridCol w:w="235"/>
        <w:gridCol w:w="235"/>
        <w:gridCol w:w="235"/>
        <w:gridCol w:w="235"/>
        <w:gridCol w:w="238"/>
        <w:gridCol w:w="622"/>
        <w:gridCol w:w="427"/>
        <w:gridCol w:w="429"/>
        <w:gridCol w:w="109"/>
        <w:gridCol w:w="109"/>
        <w:gridCol w:w="109"/>
        <w:gridCol w:w="282"/>
        <w:gridCol w:w="826"/>
        <w:gridCol w:w="146"/>
        <w:gridCol w:w="109"/>
        <w:gridCol w:w="109"/>
        <w:gridCol w:w="109"/>
        <w:gridCol w:w="912"/>
        <w:gridCol w:w="748"/>
        <w:gridCol w:w="751"/>
        <w:gridCol w:w="109"/>
        <w:gridCol w:w="109"/>
        <w:gridCol w:w="109"/>
        <w:gridCol w:w="465"/>
        <w:gridCol w:w="1822"/>
        <w:gridCol w:w="349"/>
      </w:tblGrid>
      <w:t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c>
          <w:tcPr>
            <w:tcW w:w="144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for per share data)</w:t>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Approximate Dollar Value of Shares That May Yet Be Purchased Under the Plans or Program </w:t>
            </w:r>
            <w:r>
              <w:rPr>
                <w:rFonts w:ascii="Times New Roman;serif" w:hAnsi="Times New Roman;serif"/>
                <w:b/>
                <w:color w:val="000000"/>
                <w:sz w:val="10"/>
              </w:rPr>
              <w:t>(1)</w:t>
            </w:r>
          </w:p>
        </w:tc>
      </w:tr>
      <w:tr>
        <w:tc>
          <w:tcPr>
            <w:tcW w:w="1445"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w:t>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7/1/2026 to 7/31/2026</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227,904 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227,904 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157,263 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8/1/2026 to 8/31/2026</w:t>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186,599 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186,599 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148,863 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9/1/2026 to 9/30/2026</w:t>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211,880 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139,714 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4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626,383 </w:t>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626,383 </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pPr>
      <w:r>
        <w:rPr>
          <w:rFonts w:ascii="Times New Roman;serif" w:hAnsi="Times New Roman;serif"/>
          <w:b w:val="false"/>
          <w:color w:val="000000"/>
          <w:sz w:val="16"/>
        </w:rPr>
        <w:t>(1)    On February 5, 2025, our Board of Directors authorized a $250 million share repurchase program (the 2025 Repurchase Program), effective through December 31, 2027. See Part I, Item 1, “</w:t>
      </w:r>
      <w:r>
        <w:rPr>
          <w:rFonts w:ascii="Times New Roman;serif" w:hAnsi="Times New Roman;serif"/>
          <w:b w:val="false"/>
          <w:i/>
          <w:color w:val="000000"/>
          <w:sz w:val="16"/>
        </w:rPr>
        <w:t>Financial Statements - Notes to Condensed Consolidated Financial Statements - Note 10, Shareholders' Equity</w:t>
      </w:r>
      <w:r>
        <w:rPr>
          <w:color w:val="000000"/>
        </w:rPr>
        <w:t xml:space="preserve">” </w:t>
      </w:r>
      <w:r>
        <w:rPr>
          <w:rFonts w:ascii="Times New Roman;serif" w:hAnsi="Times New Roman;serif"/>
          <w:b w:val="false"/>
          <w:color w:val="000000"/>
          <w:sz w:val="16"/>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720"/>
        <w:jc w:val="both"/>
        <w:rPr>
          <w:rFonts w:ascii="Times New Roman;serif" w:hAnsi="Times New Roman;serif"/>
          <w:b/>
          <w:i/>
          <w:color w:val="000000"/>
          <w:sz w:val="20"/>
        </w:rPr>
      </w:pPr>
      <w:r>
        <w:rPr>
          <w:rFonts w:ascii="Times New Roman;serif" w:hAnsi="Times New Roman;serif"/>
          <w:b/>
          <w:i/>
          <w:color w:val="000000"/>
          <w:sz w:val="20"/>
        </w:rPr>
        <w:t>10b5-1 Trading Arrangements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Section 16 officers and directors (each as defined in Rule 16a-1 under the Exchange Act) may from time to time enter into plans for the purchase or sale of the Company's stock that are intended to satisfy the affirmative defense conditions of Rule 10b5-1(c) under the Exchange Act. During the quarter ended September 30, 2026, none of our Section 16 officers or directors adopted, modified or terminated “Rule 10b5-1 trading arrangements” or "non-Rule 10b5-1 trading arrangements" (each as defined in Item 408 under Regulation S-K).</w:t>
      </w:r>
    </w:p>
    <w:p>
      <w:pPr>
        <w:pStyle w:val="TextBody"/>
        <w:bidi w:val="0"/>
        <w:spacing w:before="0" w:after="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603"/>
        <w:gridCol w:w="2592"/>
        <w:gridCol w:w="3693"/>
      </w:tblGrid>
      <w:t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Description</w:t>
            </w:r>
          </w:p>
        </w:tc>
      </w:tr>
      <w:tr>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
              <w:r>
                <w:rPr>
                  <w:rStyle w:val="InternetLink"/>
                  <w:rFonts w:ascii="Times New Roman;serif" w:hAnsi="Times New Roman;serif"/>
                  <w:b w:val="false"/>
                  <w:color w:val="0000FF"/>
                  <w:sz w:val="20"/>
                  <w:u w:val="single"/>
                </w:rPr>
                <w:t>Underwriting Agreement, dated May 7, 2024, among the Company, RBC Capital Markets, LLC, Goldman Sachs &amp; Co. LLC, BMO Capital Markets Corp., Citigroup Global Markets Inc. and Truist Securities, Inc. acting as representatives of several underwriters named therein</w:t>
              </w:r>
            </w:hyperlink>
            <w:r>
              <w:rPr>
                <w:color w:val="000000"/>
              </w:rPr>
              <w:t xml:space="preserve"> </w:t>
            </w:r>
            <w:r>
              <w:rPr>
                <w:rFonts w:ascii="Times New Roman;serif" w:hAnsi="Times New Roman;serif"/>
                <w:b w:val="false"/>
                <w:color w:val="000000"/>
                <w:sz w:val="20"/>
              </w:rPr>
              <w:t>(incorporated herein by reference to Exhibit 1.1 to our Form 8-K, filed on May 8, 2024)</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
              <w:r>
                <w:rPr>
                  <w:rStyle w:val="InternetLink"/>
                  <w:rFonts w:ascii="Times New Roman;serif" w:hAnsi="Times New Roman;serif"/>
                  <w:b w:val="false"/>
                  <w:color w:val="0000FF"/>
                  <w:sz w:val="20"/>
                  <w:u w:val="single"/>
                </w:rPr>
                <w:t>Third Amended and Restated Certificate of Incorporation</w:t>
              </w:r>
            </w:hyperlink>
            <w:r>
              <w:rPr>
                <w:color w:val="000000"/>
              </w:rPr>
              <w:t xml:space="preserve"> </w:t>
            </w:r>
            <w:r>
              <w:rPr>
                <w:rFonts w:ascii="Times New Roman;serif" w:hAnsi="Times New Roman;serif"/>
                <w:b w:val="false"/>
                <w:color w:val="000000"/>
                <w:sz w:val="20"/>
              </w:rPr>
              <w:t xml:space="preserve">(incorporated herein by reference to Exhibit 3.1 to our Form 8-K, filed on May 10, 2024) </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4">
              <w:r>
                <w:rPr>
                  <w:rStyle w:val="InternetLink"/>
                  <w:rFonts w:ascii="Times New Roman;serif" w:hAnsi="Times New Roman;serif"/>
                  <w:b w:val="false"/>
                  <w:color w:val="0000FF"/>
                  <w:sz w:val="20"/>
                  <w:u w:val="single"/>
                </w:rPr>
                <w:t>Fifth Amended and Restated Bylaws</w:t>
              </w:r>
            </w:hyperlink>
            <w:r>
              <w:rPr>
                <w:color w:val="000000"/>
              </w:rPr>
              <w:t xml:space="preserve"> </w:t>
            </w:r>
            <w:r>
              <w:rPr>
                <w:rFonts w:ascii="Times New Roman;serif" w:hAnsi="Times New Roman;serif"/>
                <w:b w:val="false"/>
                <w:color w:val="000000"/>
                <w:sz w:val="20"/>
              </w:rPr>
              <w:t>(incorporated herein by reference to Exhibit 3.2 to our Form 8-K, filed on May 10, 2024)</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5">
              <w:r>
                <w:rPr>
                  <w:rStyle w:val="InternetLink"/>
                  <w:rFonts w:ascii="Times New Roman;serif" w:hAnsi="Times New Roman;serif"/>
                  <w:b w:val="false"/>
                  <w:color w:val="0000FF"/>
                  <w:sz w:val="20"/>
                  <w:u w:val="single"/>
                </w:rPr>
                <w:t>Indenture, dated as of May 21, 2024, by and between NMI Holdings, Inc. and The Bank of New York Mellon Trust Company, N.A. as Trustee</w:t>
              </w:r>
            </w:hyperlink>
            <w:r>
              <w:rPr>
                <w:color w:val="000000"/>
              </w:rPr>
              <w:t xml:space="preserve"> </w:t>
            </w:r>
            <w:r>
              <w:rPr>
                <w:rFonts w:ascii="Times New Roman;serif" w:hAnsi="Times New Roman;serif"/>
                <w:b w:val="false"/>
                <w:color w:val="000000"/>
                <w:sz w:val="20"/>
              </w:rPr>
              <w:t>(incorporated herein by reference to Exhibit 4.1 to our Form 8-K, filed on May 21, 2024)</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6">
              <w:r>
                <w:rPr>
                  <w:rStyle w:val="InternetLink"/>
                  <w:rFonts w:ascii="Times New Roman;serif" w:hAnsi="Times New Roman;serif"/>
                  <w:b w:val="false"/>
                  <w:color w:val="0000FF"/>
                  <w:sz w:val="20"/>
                  <w:u w:val="single"/>
                </w:rPr>
                <w:t>Supplemental Indenture, dated as of May 21, 2024, by and between NMI Holdings, Inc. and The Bank of New York Mellon Trust Company, N.A. as Trustee</w:t>
              </w:r>
            </w:hyperlink>
            <w:r>
              <w:rPr>
                <w:color w:val="000000"/>
              </w:rPr>
              <w:t xml:space="preserve"> </w:t>
            </w:r>
            <w:r>
              <w:rPr>
                <w:rFonts w:ascii="Times New Roman;serif" w:hAnsi="Times New Roman;serif"/>
                <w:b w:val="false"/>
                <w:color w:val="000000"/>
                <w:sz w:val="20"/>
              </w:rPr>
              <w:t>(including the form of the Notes) (incorporated herein by reference to Exhibit 4.2 to our Form 8-K, filed on May 21, 2024)</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7">
              <w:r>
                <w:rPr>
                  <w:rStyle w:val="InternetLink"/>
                  <w:rFonts w:ascii="Times New Roman;serif" w:hAnsi="Times New Roman;serif"/>
                  <w:b w:val="false"/>
                  <w:color w:val="0000FF"/>
                  <w:sz w:val="20"/>
                  <w:u w:val="single"/>
                </w:rPr>
                <w:t>Description of Securities</w:t>
              </w:r>
            </w:hyperlink>
            <w:r>
              <w:rPr>
                <w:color w:val="000000"/>
              </w:rPr>
              <w:t xml:space="preserve"> </w:t>
            </w:r>
            <w:r>
              <w:rPr>
                <w:rFonts w:ascii="Times New Roman;serif" w:hAnsi="Times New Roman;serif"/>
                <w:b w:val="false"/>
                <w:color w:val="000000"/>
                <w:sz w:val="20"/>
              </w:rPr>
              <w:t>(incorporated herein by reference to Exhibit 4.4 to our Form 10-Q, filed on July 31, 2024)</w:t>
            </w:r>
          </w:p>
        </w:tc>
      </w:tr>
      <w:t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pPr>
            <w:hyperlink r:id="rId8">
              <w:r>
                <w:rPr>
                  <w:rStyle w:val="InternetLink"/>
                  <w:rFonts w:ascii="Times New Roman;serif" w:hAnsi="Times New Roman;serif"/>
                  <w:b w:val="false"/>
                  <w:color w:val="0000FF"/>
                  <w:sz w:val="20"/>
                  <w:u w:val="single"/>
                </w:rPr>
                <w:t>NMI Holdings, Inc. 2012 Stock Incentive Plan</w:t>
              </w:r>
            </w:hyperlink>
            <w:r>
              <w:rPr>
                <w:color w:val="000000"/>
              </w:rPr>
              <w:t xml:space="preserve"> </w:t>
            </w:r>
            <w:r>
              <w:rPr>
                <w:rFonts w:ascii="Times New Roman;serif" w:hAnsi="Times New Roman;serif"/>
                <w:b w:val="false"/>
                <w:color w:val="000000"/>
                <w:sz w:val="20"/>
              </w:rPr>
              <w:t>(incorporated herein by reference to Exhibit 10.1 to our Form S-1 Registration Statement (Registration No. 333-191635), filed on October 9, 2013)</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9">
              <w:r>
                <w:rPr>
                  <w:rStyle w:val="InternetLink"/>
                  <w:rFonts w:ascii="Times New Roman;serif" w:hAnsi="Times New Roman;serif"/>
                  <w:b w:val="false"/>
                  <w:color w:val="0000FF"/>
                  <w:sz w:val="20"/>
                  <w:u w:val="single"/>
                </w:rPr>
                <w:t>Form of NMI Holdings, Inc. 2012 Stock Incentive Plan Nonqualified Stock Option Award Agreement (For CEO and CFO)</w:t>
              </w:r>
            </w:hyperlink>
            <w:r>
              <w:rPr>
                <w:color w:val="000000"/>
              </w:rPr>
              <w:t xml:space="preserve"> </w:t>
            </w:r>
            <w:r>
              <w:rPr>
                <w:rFonts w:ascii="Times New Roman;serif" w:hAnsi="Times New Roman;serif"/>
                <w:b w:val="false"/>
                <w:color w:val="000000"/>
                <w:sz w:val="20"/>
              </w:rPr>
              <w:t>(incorporated herein by reference to Exhibit 10.5 to our Form S-1 Registration Statement (Registration No. 333-191635), filed on October 9, 2013)</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0">
              <w:r>
                <w:rPr>
                  <w:rStyle w:val="InternetLink"/>
                  <w:rFonts w:ascii="Times New Roman;serif" w:hAnsi="Times New Roman;serif"/>
                  <w:b w:val="false"/>
                  <w:color w:val="0000FF"/>
                  <w:sz w:val="20"/>
                  <w:u w:val="single"/>
                </w:rPr>
                <w:t>Form of NMI Holdings, Inc. 2012 Stock Incentive Plan Nonqualified Stock Option Award Agreement (For Management)</w:t>
              </w:r>
            </w:hyperlink>
            <w:r>
              <w:rPr>
                <w:color w:val="000000"/>
              </w:rPr>
              <w:t xml:space="preserve"> </w:t>
            </w:r>
            <w:r>
              <w:rPr>
                <w:rFonts w:ascii="Times New Roman;serif" w:hAnsi="Times New Roman;serif"/>
                <w:b w:val="false"/>
                <w:color w:val="000000"/>
                <w:sz w:val="20"/>
              </w:rPr>
              <w:t>(incorporated herein by reference to Exhibit 10.6 to our Form S-1 Registration Statement (Registration No. 333-191635), filed on October 9, 2013)</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1">
              <w:r>
                <w:rPr>
                  <w:rStyle w:val="InternetLink"/>
                  <w:rFonts w:ascii="Times New Roman;serif" w:hAnsi="Times New Roman;serif"/>
                  <w:b w:val="false"/>
                  <w:color w:val="0000FF"/>
                  <w:sz w:val="20"/>
                  <w:u w:val="single"/>
                </w:rPr>
                <w:t>Form of NMI Holdings, Inc. 2012 Stock Incentive Plan Nonqualified Stock Option Award Agreement (For Non-Employee Directors)</w:t>
              </w:r>
            </w:hyperlink>
            <w:r>
              <w:rPr>
                <w:color w:val="000000"/>
              </w:rPr>
              <w:t xml:space="preserve"> </w:t>
            </w:r>
            <w:r>
              <w:rPr>
                <w:rFonts w:ascii="Times New Roman;serif" w:hAnsi="Times New Roman;serif"/>
                <w:b w:val="false"/>
                <w:color w:val="000000"/>
                <w:sz w:val="20"/>
              </w:rPr>
              <w:t>(incorporated herein by reference to Exhibit 10.7 to our Form S-1 Registration Statement (Registration No. 333-191635), filed on October 9, 2013)</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2">
              <w:r>
                <w:rPr>
                  <w:rStyle w:val="InternetLink"/>
                  <w:rFonts w:ascii="Times New Roman;serif" w:hAnsi="Times New Roman;serif"/>
                  <w:b w:val="false"/>
                  <w:color w:val="0000FF"/>
                  <w:sz w:val="20"/>
                  <w:u w:val="single"/>
                </w:rPr>
                <w:t>Form of NMI Holdings, Inc. 2012 Stock Incentive Plan Nonqualified Stock Option Award Agreement (For CEO/CFO)</w:t>
              </w:r>
            </w:hyperlink>
            <w:r>
              <w:rPr>
                <w:color w:val="000000"/>
              </w:rPr>
              <w:t xml:space="preserve"> </w:t>
            </w:r>
            <w:r>
              <w:rPr>
                <w:rFonts w:ascii="Times New Roman;serif" w:hAnsi="Times New Roman;serif"/>
                <w:b w:val="false"/>
                <w:color w:val="000000"/>
                <w:sz w:val="20"/>
              </w:rPr>
              <w:t>(incorporated herein by reference to Exhibit 10.8 to our Form 10-K, filed on February 17, 2017)</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3">
              <w:r>
                <w:rPr>
                  <w:rStyle w:val="InternetLink"/>
                  <w:rFonts w:ascii="Times New Roman;serif" w:hAnsi="Times New Roman;serif"/>
                  <w:b w:val="false"/>
                  <w:color w:val="0000FF"/>
                  <w:sz w:val="20"/>
                  <w:u w:val="single"/>
                </w:rPr>
                <w:t>Form of NMI Holdings, Inc. 2012 Stock Incentive Plan Nonqualified Stock Option Award Agreement (For Employees)</w:t>
              </w:r>
            </w:hyperlink>
            <w:r>
              <w:rPr>
                <w:color w:val="000000"/>
              </w:rPr>
              <w:t xml:space="preserve"> </w:t>
            </w:r>
            <w:r>
              <w:rPr>
                <w:rFonts w:ascii="Times New Roman;serif" w:hAnsi="Times New Roman;serif"/>
                <w:b w:val="false"/>
                <w:color w:val="000000"/>
                <w:sz w:val="20"/>
              </w:rPr>
              <w:t>(incorporated herein by reference to Exhibit 10.9 to our Form 10-K, filed on February 17, 2017)</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4">
              <w:r>
                <w:rPr>
                  <w:rStyle w:val="InternetLink"/>
                  <w:rFonts w:ascii="Times New Roman;serif" w:hAnsi="Times New Roman;serif"/>
                  <w:b w:val="false"/>
                  <w:color w:val="0000FF"/>
                  <w:sz w:val="20"/>
                  <w:u w:val="single"/>
                </w:rPr>
                <w:t xml:space="preserve">Form of NMI Holdings, Inc. 2012 Stock Incentive Plan Nonqualified Stock Option Agreement (For Employees) </w:t>
              </w:r>
            </w:hyperlink>
            <w:r>
              <w:rPr>
                <w:rFonts w:ascii="Times New Roman;serif" w:hAnsi="Times New Roman;serif"/>
                <w:b w:val="false"/>
                <w:color w:val="000000"/>
                <w:sz w:val="20"/>
              </w:rPr>
              <w:t>(incorporated herein by reference to Exhibit 10.32 to our Form 10-Q, filed on May 2, 2019)</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15">
              <w:r>
                <w:rPr>
                  <w:rStyle w:val="InternetLink"/>
                  <w:rFonts w:ascii="Times New Roman;serif" w:hAnsi="Times New Roman;serif"/>
                  <w:b w:val="false"/>
                  <w:color w:val="0000FF"/>
                  <w:sz w:val="20"/>
                  <w:u w:val="single"/>
                </w:rPr>
                <w:t>NMI Holdings, Inc. Amended and Restated 2014 Omnibus Incentive Plan</w:t>
              </w:r>
            </w:hyperlink>
            <w:r>
              <w:rPr>
                <w:color w:val="000000"/>
              </w:rPr>
              <w:t xml:space="preserve"> </w:t>
            </w:r>
            <w:r>
              <w:rPr>
                <w:rFonts w:ascii="Times New Roman;serif" w:hAnsi="Times New Roman;serif"/>
                <w:b w:val="false"/>
                <w:color w:val="000000"/>
                <w:sz w:val="20"/>
              </w:rPr>
              <w:t>(incorporated herein by reference to Appendix A to our 2022 Annual Proxy Statement, filed on March 29, 2022)</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16">
              <w:r>
                <w:rPr>
                  <w:rStyle w:val="InternetLink"/>
                  <w:rFonts w:ascii="Times New Roman;serif" w:hAnsi="Times New Roman;serif"/>
                  <w:b w:val="false"/>
                  <w:color w:val="0000FF"/>
                  <w:sz w:val="20"/>
                  <w:u w:val="single"/>
                </w:rPr>
                <w:t>Form of NMI Holdings, Inc. Amended and Restated 2014 Omnibus Incentive Plan Nonqualified Stock Option Award Agreement (For CEO)</w:t>
              </w:r>
            </w:hyperlink>
            <w:r>
              <w:rPr>
                <w:color w:val="000000"/>
              </w:rPr>
              <w:t xml:space="preserve"> </w:t>
            </w:r>
            <w:r>
              <w:rPr>
                <w:rFonts w:ascii="Times New Roman;serif" w:hAnsi="Times New Roman;serif"/>
                <w:b w:val="false"/>
                <w:color w:val="000000"/>
                <w:sz w:val="20"/>
              </w:rPr>
              <w:t>(incorporated herein by reference to Exhibit 10.23 to our Form 10-Q filed on August 1, 2017)</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17">
              <w:r>
                <w:rPr>
                  <w:rStyle w:val="InternetLink"/>
                  <w:rFonts w:ascii="Times New Roman;serif" w:hAnsi="Times New Roman;serif"/>
                  <w:b w:val="false"/>
                  <w:color w:val="0000FF"/>
                  <w:sz w:val="20"/>
                  <w:u w:val="single"/>
                </w:rPr>
                <w:t>Form of NMI Holdings, Inc. Amended and Restated 2014 Omnibus Incentive Plan Nonqualified Stock Option Award Agreement (For Executive Officers and Employees</w:t>
              </w:r>
            </w:hyperlink>
            <w:r>
              <w:rPr>
                <w:rFonts w:ascii="Times New Roman;serif" w:hAnsi="Times New Roman;serif"/>
                <w:b w:val="false"/>
                <w:color w:val="000000"/>
                <w:sz w:val="20"/>
              </w:rPr>
              <w:t>) (incorporated herein by reference to Exhibit 10.24 to our Form 10-Q filed on August 1, 2017)</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18">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10.38 to our Form 10-Q, filed on May 7, 2020)</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19">
              <w:r>
                <w:rPr>
                  <w:rStyle w:val="InternetLink"/>
                  <w:rFonts w:ascii="Times New Roman;serif" w:hAnsi="Times New Roman;serif"/>
                  <w:b w:val="false"/>
                  <w:color w:val="0000FF"/>
                  <w:sz w:val="20"/>
                  <w:u w:val="single"/>
                </w:rPr>
                <w:t>Form of NMI Holdings, Inc. Amended and Restated 2014 Omnibus Incentive Plan Restricted Stock Unit Award Agreement (For Independent Directors)</w:t>
              </w:r>
            </w:hyperlink>
            <w:r>
              <w:rPr>
                <w:color w:val="000000"/>
              </w:rPr>
              <w:t xml:space="preserve"> </w:t>
            </w:r>
            <w:r>
              <w:rPr>
                <w:rFonts w:ascii="Times New Roman;serif" w:hAnsi="Times New Roman;serif"/>
                <w:b w:val="false"/>
                <w:color w:val="000000"/>
                <w:sz w:val="20"/>
              </w:rPr>
              <w:t>(incorporated herein by reference to Exhibit 10.12 to our Form 10-K, filed on February 15, 2024)</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0">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rFonts w:ascii="Times New Roman;serif" w:hAnsi="Times New Roman;serif"/>
                <w:b w:val="false"/>
                <w:color w:val="000000"/>
                <w:sz w:val="20"/>
              </w:rPr>
              <w:t>) (incorporated herein by reference to Exhibit 10.34 to our Form 10-Q, filed on May 2, 2019)</w:t>
            </w:r>
          </w:p>
        </w:tc>
      </w:tr>
      <w:t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1">
              <w:r>
                <w:rPr>
                  <w:rStyle w:val="InternetLink"/>
                  <w:rFonts w:ascii="Times New Roman;serif" w:hAnsi="Times New Roman;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erif" w:hAnsi="Times New Roman;serif"/>
                <w:b w:val="false"/>
                <w:color w:val="000000"/>
                <w:sz w:val="20"/>
              </w:rPr>
              <w:t>(incorporated herein by reference to Exhibit 10.22 to our Form 10-K, filed on February 15, 2024)</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224"/>
        <w:gridCol w:w="197"/>
        <w:gridCol w:w="199"/>
        <w:gridCol w:w="109"/>
        <w:gridCol w:w="109"/>
        <w:gridCol w:w="109"/>
        <w:gridCol w:w="2825"/>
        <w:gridCol w:w="2664"/>
        <w:gridCol w:w="3769"/>
      </w:tblGrid>
      <w:t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2">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10.23 to our Form 10-K, filed on February 15, 2024)</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3">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10.24 to our Form 10-K, filed on February 15, 2024)</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4">
              <w:r>
                <w:rPr>
                  <w:rStyle w:val="InternetLink"/>
                  <w:rFonts w:ascii="Times New Roman;serif" w:hAnsi="Times New Roman;serif"/>
                  <w:b w:val="false"/>
                  <w:color w:val="0000FF"/>
                  <w:sz w:val="20"/>
                  <w:u w:val="single"/>
                </w:rPr>
                <w:t>Form of NMI Holdings, Inc. Amended and Restated 2014 Omnibus Incentive Plan Nonqualified Stock Option Agreement (For Employees</w:t>
              </w:r>
            </w:hyperlink>
            <w:r>
              <w:rPr>
                <w:rFonts w:ascii="Times New Roman;serif" w:hAnsi="Times New Roman;serif"/>
                <w:b w:val="false"/>
                <w:color w:val="000000"/>
                <w:sz w:val="20"/>
              </w:rPr>
              <w:t>) (incorporated herein by reference to Exhibit 10.35 to our Form 10-Q, filed on May 2, 2019)</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5">
              <w:r>
                <w:rPr>
                  <w:rStyle w:val="InternetLink"/>
                  <w:rFonts w:ascii="Times New Roman;serif" w:hAnsi="Times New Roman;serif"/>
                  <w:b w:val="false"/>
                  <w:color w:val="0000FF"/>
                  <w:sz w:val="20"/>
                  <w:u w:val="single"/>
                </w:rPr>
                <w:t>Form of NMI Holdings, Inc. Amended and Restated 2014 Omnibus Incentive Plan Restricted Stock Unit Award Agreement (For Executives)</w:t>
              </w:r>
            </w:hyperlink>
            <w:r>
              <w:rPr>
                <w:color w:val="000000"/>
              </w:rPr>
              <w:t xml:space="preserve"> </w:t>
            </w:r>
            <w:r>
              <w:rPr>
                <w:rFonts w:ascii="Times New Roman;serif" w:hAnsi="Times New Roman;serif"/>
                <w:b w:val="false"/>
                <w:color w:val="000000"/>
                <w:sz w:val="20"/>
              </w:rPr>
              <w:t>(incorporated herein by reference to Exhibit 10.18 to our Form 10-K, filed on February 14, 2025)</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6">
              <w:r>
                <w:rPr>
                  <w:rStyle w:val="InternetLink"/>
                  <w:rFonts w:ascii="Times New Roman;serif" w:hAnsi="Times New Roman;serif"/>
                  <w:b w:val="false"/>
                  <w:color w:val="0000FF"/>
                  <w:sz w:val="20"/>
                  <w:u w:val="single"/>
                </w:rPr>
                <w:t>Form of NMI Holdings, Inc. Amended and Restated 2014 Omnibus Incentive Plan Restricted Stock Unit Award Agreement (For Employees)</w:t>
              </w:r>
            </w:hyperlink>
            <w:r>
              <w:rPr>
                <w:color w:val="000000"/>
              </w:rPr>
              <w:t xml:space="preserve"> </w:t>
            </w:r>
            <w:r>
              <w:rPr>
                <w:rFonts w:ascii="Times New Roman;serif" w:hAnsi="Times New Roman;serif"/>
                <w:b w:val="false"/>
                <w:color w:val="000000"/>
                <w:sz w:val="20"/>
              </w:rPr>
              <w:t>(incorporated herein by reference to Exhibit 10.19 to our Form 10-K, filed on February 14, 2025)</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7">
              <w:r>
                <w:rPr>
                  <w:rStyle w:val="InternetLink"/>
                  <w:rFonts w:ascii="Times New Roman;serif" w:hAnsi="Times New Roman;serif"/>
                  <w:b w:val="false"/>
                  <w:color w:val="0000FF"/>
                  <w:sz w:val="20"/>
                  <w:u w:val="single"/>
                </w:rPr>
                <w:t>Form of NMI Holdings, Inc. Amended and Restated 2014 Omnibus Incentive Plan Restricted Stock Unit Award Agreement (Performance Based)</w:t>
              </w:r>
            </w:hyperlink>
            <w:r>
              <w:rPr>
                <w:color w:val="000000"/>
              </w:rPr>
              <w:t xml:space="preserve"> </w:t>
            </w:r>
            <w:r>
              <w:rPr>
                <w:rFonts w:ascii="Times New Roman;serif" w:hAnsi="Times New Roman;serif"/>
                <w:b w:val="false"/>
                <w:color w:val="000000"/>
                <w:sz w:val="20"/>
              </w:rPr>
              <w:t>(incorporated herein by reference to Exhibit 10.20 to our Form 10-K, filed on February 14, 2025)</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8">
              <w:r>
                <w:rPr>
                  <w:rStyle w:val="InternetLink"/>
                  <w:rFonts w:ascii="Times New Roman;serif" w:hAnsi="Times New Roman;serif"/>
                  <w:b w:val="false"/>
                  <w:color w:val="0000FF"/>
                  <w:sz w:val="20"/>
                  <w:u w:val="single"/>
                </w:rPr>
                <w:t>Form of Indemnification Agreement between NMI Holdings, Inc. and its directors and certain executive officers</w:t>
              </w:r>
            </w:hyperlink>
            <w:r>
              <w:rPr>
                <w:color w:val="000000"/>
              </w:rPr>
              <w:t xml:space="preserve"> </w:t>
            </w:r>
            <w:r>
              <w:rPr>
                <w:rFonts w:ascii="Times New Roman;serif" w:hAnsi="Times New Roman;serif"/>
                <w:b w:val="false"/>
                <w:color w:val="000000"/>
                <w:sz w:val="20"/>
              </w:rPr>
              <w:t xml:space="preserve">(incorporated herein by reference to Exhibit 10.1 to our Form 8-K, filed on November 25, 2014) </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9">
              <w:r>
                <w:rPr>
                  <w:rStyle w:val="InternetLink"/>
                  <w:rFonts w:ascii="Times New Roman;serif" w:hAnsi="Times New Roman;serif"/>
                  <w:b w:val="false"/>
                  <w:color w:val="0000FF"/>
                  <w:sz w:val="20"/>
                  <w:u w:val="single"/>
                </w:rPr>
                <w:t>NMI Holdings, Inc. Amended and Restated Severance Benefit Plan</w:t>
              </w:r>
            </w:hyperlink>
            <w:r>
              <w:rPr>
                <w:color w:val="000000"/>
              </w:rPr>
              <w:t xml:space="preserve"> </w:t>
            </w:r>
            <w:r>
              <w:rPr>
                <w:rFonts w:ascii="Times New Roman;serif" w:hAnsi="Times New Roman;serif"/>
                <w:b w:val="false"/>
                <w:color w:val="000000"/>
                <w:sz w:val="20"/>
              </w:rPr>
              <w:t>(incorporated herein by reference to Exhibit 10.22 to our Form 10-Q, filed on November 5, 2025)</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0">
              <w:r>
                <w:rPr>
                  <w:rStyle w:val="InternetLink"/>
                  <w:rFonts w:ascii="Times New Roman;serif" w:hAnsi="Times New Roman;serif"/>
                  <w:b w:val="false"/>
                  <w:color w:val="0000FF"/>
                  <w:sz w:val="20"/>
                  <w:u w:val="single"/>
                </w:rPr>
                <w:t>NMI Holdings, Inc. Amended and Restated Change in Control Severance Benefit Plan</w:t>
              </w:r>
            </w:hyperlink>
            <w:r>
              <w:rPr>
                <w:color w:val="000000"/>
              </w:rPr>
              <w:t xml:space="preserve"> </w:t>
            </w:r>
            <w:r>
              <w:rPr>
                <w:rFonts w:ascii="Times New Roman;serif" w:hAnsi="Times New Roman;serif"/>
                <w:b w:val="false"/>
                <w:color w:val="000000"/>
                <w:sz w:val="20"/>
              </w:rPr>
              <w:t>(incorporated herein by reference to Exhibit 10.23 to our Form 10-Q, filed on November 5, 2025)</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1">
              <w:r>
                <w:rPr>
                  <w:rStyle w:val="InternetLink"/>
                  <w:rFonts w:ascii="Times New Roman;serif" w:hAnsi="Times New Roman;serif"/>
                  <w:b w:val="false"/>
                  <w:color w:val="0000FF"/>
                  <w:sz w:val="20"/>
                  <w:u w:val="single"/>
                </w:rPr>
                <w:t>Offer Letter by and between NMI Holdings, Inc. and William Leatherberry, dated July 11, 2014</w:t>
              </w:r>
            </w:hyperlink>
            <w:r>
              <w:rPr>
                <w:color w:val="000000"/>
              </w:rPr>
              <w:t xml:space="preserve"> </w:t>
            </w:r>
            <w:r>
              <w:rPr>
                <w:rFonts w:ascii="Times New Roman;serif" w:hAnsi="Times New Roman;serif"/>
                <w:b w:val="false"/>
                <w:color w:val="000000"/>
                <w:sz w:val="20"/>
              </w:rPr>
              <w:t>(incorporated herein by reference to Exhibit 10.10 to our Form 10-Q, filed on April 28, 2016)</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10.25 ~</w:t>
            </w:r>
          </w:p>
          <w:p>
            <w:pPr>
              <w:pStyle w:val="TableContents"/>
              <w:bidi w:val="0"/>
              <w:spacing w:before="0" w:after="0"/>
              <w:jc w:val="center"/>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2">
              <w:r>
                <w:rPr>
                  <w:rStyle w:val="InternetLink"/>
                  <w:rFonts w:ascii="Times New Roman;serif" w:hAnsi="Times New Roman;serif"/>
                  <w:b w:val="false"/>
                  <w:color w:val="0000FF"/>
                  <w:sz w:val="20"/>
                  <w:u w:val="single"/>
                </w:rPr>
                <w:t>Employment Letter by and between NMI Holdings, Inc. and Bradley M. Shuster, effective as of January 1, 2019</w:t>
              </w:r>
            </w:hyperlink>
            <w:r>
              <w:rPr>
                <w:color w:val="000000"/>
              </w:rPr>
              <w:t xml:space="preserve"> </w:t>
            </w:r>
            <w:r>
              <w:rPr>
                <w:rFonts w:ascii="Times New Roman;serif" w:hAnsi="Times New Roman;serif"/>
                <w:b w:val="false"/>
                <w:color w:val="000000"/>
                <w:sz w:val="20"/>
              </w:rPr>
              <w:t>(incorporated herein by reference to Exhibit 10.1 to our Form 8-K, filed on December 28, 2018)</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3">
              <w:r>
                <w:rPr>
                  <w:rStyle w:val="InternetLink"/>
                  <w:rFonts w:ascii="Times New Roman;serif" w:hAnsi="Times New Roman;serif"/>
                  <w:b w:val="false"/>
                  <w:color w:val="0000FF"/>
                  <w:sz w:val="20"/>
                  <w:u w:val="single"/>
                </w:rPr>
                <w:t>Offer Letter by and between NMI Holdings, Inc. and Adam Pollitzer, dated September 9, 2021</w:t>
              </w:r>
            </w:hyperlink>
            <w:r>
              <w:rPr>
                <w:color w:val="000000"/>
              </w:rPr>
              <w:t xml:space="preserve"> </w:t>
            </w:r>
            <w:r>
              <w:rPr>
                <w:rFonts w:ascii="Times New Roman;serif" w:hAnsi="Times New Roman;serif"/>
                <w:b w:val="false"/>
                <w:color w:val="000000"/>
                <w:sz w:val="20"/>
              </w:rPr>
              <w:t>(incorporated herein by reference to Exhibit 10.1 to our Form 8-K, filed on September 9, 2021)</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10.27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4">
              <w:r>
                <w:rPr>
                  <w:rStyle w:val="InternetLink"/>
                  <w:rFonts w:ascii="Times New Roman;serif" w:hAnsi="Times New Roman;serif"/>
                  <w:b w:val="false"/>
                  <w:color w:val="0000FF"/>
                  <w:sz w:val="20"/>
                  <w:u w:val="single"/>
                </w:rPr>
                <w:t>Offer Letter by and between NMI Holdings, Inc. and Aurora Swithenbank, dated March 1, 202</w:t>
              </w:r>
            </w:hyperlink>
            <w:r>
              <w:rPr>
                <w:rFonts w:ascii="Times New Roman;serif" w:hAnsi="Times New Roman;serif"/>
                <w:b w:val="false"/>
                <w:color w:val="000000"/>
                <w:sz w:val="20"/>
              </w:rPr>
              <w:t>4 (incorporated herein by reference to Exhibit 10.1 to our Form 8-K, filed on March 4, 2024)</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10.28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5">
              <w:r>
                <w:rPr>
                  <w:rStyle w:val="InternetLink"/>
                  <w:rFonts w:ascii="Times New Roman;serif" w:hAnsi="Times New Roman;serif"/>
                  <w:b w:val="false"/>
                  <w:color w:val="0000FF"/>
                  <w:sz w:val="20"/>
                  <w:u w:val="single"/>
                </w:rPr>
                <w:t>Separation Agreement by and between NMI Holdings, Inc. and Ravi Mallela, dated March 1, 2024</w:t>
              </w:r>
            </w:hyperlink>
            <w:r>
              <w:rPr>
                <w:color w:val="000000"/>
              </w:rPr>
              <w:t xml:space="preserve"> </w:t>
            </w:r>
            <w:r>
              <w:rPr>
                <w:rFonts w:ascii="Times New Roman;serif" w:hAnsi="Times New Roman;serif"/>
                <w:b w:val="false"/>
                <w:color w:val="000000"/>
                <w:sz w:val="20"/>
              </w:rPr>
              <w:t>(incorporated herein by reference to Exhibit 10.2 to our Form 8-K, filed on March 4, 2024)</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6">
              <w:r>
                <w:rPr>
                  <w:rStyle w:val="InternetLink"/>
                  <w:rFonts w:ascii="Times New Roman;serif" w:hAnsi="Times New Roman;serif"/>
                  <w:b w:val="false"/>
                  <w:color w:val="0000FF"/>
                  <w:sz w:val="20"/>
                  <w:u w:val="single"/>
                </w:rPr>
                <w:t>Commitment Letter dated July 12, 2013 for Bulk Fannie Mae-Paid Loss-on-Sale Mortgage Insurance on the Portfolio of approximately $5.46 billion Purchased by Fannie Mae and Identified by Fannie Mae as Deal No. 2013 MIRT 01 and by the Company as Policy No. P-0001-01</w:t>
              </w:r>
            </w:hyperlink>
            <w:r>
              <w:rPr>
                <w:color w:val="000000"/>
              </w:rPr>
              <w:t xml:space="preserve"> </w:t>
            </w:r>
            <w:r>
              <w:rPr>
                <w:rFonts w:ascii="Times New Roman;serif" w:hAnsi="Times New Roman;serif"/>
                <w:b w:val="false"/>
                <w:color w:val="000000"/>
                <w:sz w:val="20"/>
              </w:rPr>
              <w:t>(incorporated herein by reference to Exhibit 10.14 to our Form S-1 Registration Statement (Registration No. 333-191635), filed on October 9, 2013)</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7">
              <w:r>
                <w:rPr>
                  <w:rStyle w:val="InternetLink"/>
                  <w:rFonts w:ascii="Times New Roman;serif" w:hAnsi="Times New Roman;serif"/>
                  <w:b w:val="false"/>
                  <w:color w:val="0000FF"/>
                  <w:sz w:val="20"/>
                  <w:u w:val="single"/>
                </w:rPr>
                <w:t>Credit Agreement, dated as of April 29, 2024, by and among the Company, the lenders party hereto, and Royal Bank of Canada, as the Agent</w:t>
              </w:r>
            </w:hyperlink>
            <w:r>
              <w:rPr>
                <w:color w:val="000000"/>
              </w:rPr>
              <w:t xml:space="preserve"> </w:t>
            </w:r>
            <w:r>
              <w:rPr>
                <w:rFonts w:ascii="Times New Roman;serif" w:hAnsi="Times New Roman;serif"/>
                <w:b w:val="false"/>
                <w:color w:val="000000"/>
                <w:sz w:val="20"/>
              </w:rPr>
              <w:t>(incorporated herein by reference to Exhibit 10.31 to our Form 10-Q, filed on May 1, 2024)</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8">
              <w:r>
                <w:rPr>
                  <w:rStyle w:val="InternetLink"/>
                  <w:rFonts w:ascii="Times New Roman;serif" w:hAnsi="Times New Roman;serif"/>
                  <w:b w:val="false"/>
                  <w:color w:val="0000FF"/>
                  <w:sz w:val="20"/>
                  <w:u w:val="single"/>
                </w:rPr>
                <w:t>Insider Trading and Information Policy</w:t>
              </w:r>
            </w:hyperlink>
            <w:r>
              <w:rPr>
                <w:color w:val="000000"/>
              </w:rPr>
              <w:t xml:space="preserve"> </w:t>
            </w:r>
            <w:r>
              <w:rPr>
                <w:rFonts w:ascii="Times New Roman;serif" w:hAnsi="Times New Roman;serif"/>
                <w:b w:val="false"/>
                <w:color w:val="000000"/>
                <w:sz w:val="20"/>
              </w:rPr>
              <w:t>(incorporated herein by reference to Exhibit 19.1 to our Form 10-K, filed on February 12, 2026)</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9">
              <w:r>
                <w:rPr>
                  <w:rStyle w:val="InternetLink"/>
                  <w:rFonts w:ascii="Times New Roman;serif" w:hAnsi="Times New Roman;serif"/>
                  <w:b w:val="false"/>
                  <w:color w:val="0000FF"/>
                  <w:sz w:val="20"/>
                  <w:u w:val="single"/>
                </w:rPr>
                <w:t>Subsidiaries of NMI Holdings, Inc.</w:t>
              </w:r>
            </w:hyperlink>
            <w:r>
              <w:rPr>
                <w:color w:val="000000"/>
              </w:rPr>
              <w:t xml:space="preserve"> </w:t>
            </w:r>
            <w:r>
              <w:rPr>
                <w:rFonts w:ascii="Times New Roman;serif" w:hAnsi="Times New Roman;serif"/>
                <w:b w:val="false"/>
                <w:color w:val="000000"/>
                <w:sz w:val="20"/>
              </w:rPr>
              <w:t>(incorporated herein by reference to Exhibit 21.1 to our Form 10-Q, filed on October 30, 2015)</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311q32026.htm">
              <w:r>
                <w:rPr>
                  <w:rStyle w:val="InternetLink"/>
                  <w:rFonts w:ascii="Times New Roman;serif" w:hAnsi="Times New Roman;serif"/>
                  <w:b w:val="false"/>
                  <w:color w:val="0000FF"/>
                  <w:sz w:val="20"/>
                  <w:u w:val="single"/>
                </w:rPr>
                <w:t>Principal Executive Officer's Certification Pursuant to Section 302 of the Sarbanes-Oxley Act of 2002</w:t>
              </w:r>
            </w:hyperlink>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312q32026.htm">
              <w:r>
                <w:rPr>
                  <w:rStyle w:val="InternetLink"/>
                  <w:rFonts w:ascii="Times New Roman;serif" w:hAnsi="Times New Roman;serif"/>
                  <w:b w:val="false"/>
                  <w:color w:val="0000FF"/>
                  <w:sz w:val="20"/>
                  <w:u w:val="single"/>
                </w:rPr>
                <w:t>Principal Financial Officer's Certification Pursuant to Section 302 of the Sarbanes-Oxley Act of 2002</w:t>
              </w:r>
            </w:hyperlink>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321q32026.htm">
              <w:r>
                <w:rPr>
                  <w:rStyle w:val="InternetLink"/>
                  <w:rFonts w:ascii="Times New Roman;serif" w:hAnsi="Times New Roman;serif"/>
                  <w:b w:val="false"/>
                  <w:color w:val="0000FF"/>
                  <w:sz w:val="20"/>
                  <w:u w:val="single"/>
                </w:rPr>
                <w:t>Certifications of CEO and CFO Pursuant to 18 U.S.C. Section 1350, as Adopted Pursuant to Section 906 of the Sarbanes-Oxley Act of 2002</w:t>
              </w:r>
            </w:hyperlink>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0">
              <w:r>
                <w:rPr>
                  <w:rStyle w:val="InternetLink"/>
                  <w:rFonts w:ascii="Times New Roman;serif" w:hAnsi="Times New Roman;serif"/>
                  <w:b w:val="false"/>
                  <w:color w:val="0000FF"/>
                  <w:sz w:val="20"/>
                  <w:u w:val="single"/>
                </w:rPr>
                <w:t>NMI Holdings, Inc. Compensation Recovery Policy, Effective September 13, 2023</w:t>
              </w:r>
            </w:hyperlink>
            <w:r>
              <w:rPr>
                <w:color w:val="000000"/>
              </w:rPr>
              <w:t xml:space="preserve"> </w:t>
            </w:r>
            <w:r>
              <w:rPr>
                <w:rFonts w:ascii="Times New Roman;serif" w:hAnsi="Times New Roman;serif"/>
                <w:b w:val="false"/>
                <w:color w:val="000000"/>
                <w:sz w:val="20"/>
              </w:rPr>
              <w:t xml:space="preserve">(incorporated herein by reference to Exhibit 97.1 to our Form 10-K, filed on February 15, 2024) </w:t>
            </w:r>
          </w:p>
        </w:tc>
      </w:tr>
      <w:t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NMI Holdings, Inc.'s Quarterly Report on Form 10-Q for the quarter ended September 30, 2026 (Unaudited) formatted in XBRL (eXtensible Business Reporting Language):</w:t>
            </w:r>
          </w:p>
        </w:tc>
      </w:tr>
      <w:t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Condensed Consolidated Balance Sheets as of September 30, 2026 (Unaudited) and December 31, 2025; </w:t>
            </w:r>
          </w:p>
        </w:tc>
      </w:tr>
      <w:t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 Condensed Consolidated Statements of Operations and Comprehensive Income for the three and nine months ended September 30, 2026 and 2025 (Unaudited);</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761"/>
        <w:gridCol w:w="2761"/>
        <w:gridCol w:w="3920"/>
      </w:tblGrid>
      <w:t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(iii) Condensed Consolidated Statements of Changes in Shareholders' Equity for the three months ended September 30, 2026 and 2025 (Unaudited);</w:t>
            </w:r>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(iv) Condensed Consolidated Statements of Cash Flows for the nine months ended September 30, 2026 and 2025 (Unaudited); and</w:t>
            </w:r>
          </w:p>
        </w:tc>
      </w:tr>
      <w:t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 Notes to Condensed Consolidated Financial Statements (Unaudited). The instance document does not appear in the Interactive Data File because XBRL tags are embedded within the Inline XBRL document.</w:t>
            </w:r>
          </w:p>
        </w:tc>
      </w:tr>
      <w:t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NMI Holdings, Inc.'s Quarterly Report on Form 10-Q for the quarter ended September 30, 2026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Indicates a management contract or compensatory plan or contract.</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Confidential treatment granted as to certain portions, which portions have been filed separately with the SEC.</w:t>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accordance with Item 601(b)(32)(ii) of Regulation S-K and SEC Release No. 34-47986, the certifications furnished in Exhibit 32.1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tc>
      </w:tr>
    </w:tbl>
    <w:p>
      <w:pPr>
        <w:pStyle w:val="TextBody"/>
        <w:bidi w:val="0"/>
        <w:spacing w:before="0" w:after="0"/>
        <w:ind w:left="0" w:right="0" w:hanging="18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pPr>
      <w:r/>
    </w:p>
    <w:p>
      <w:pPr>
        <w:pStyle w:val="TextBody"/>
        <w:bidi w:val="0"/>
        <w:spacing w:lineRule="auto" w:line="417"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80"/>
        <w:ind w:left="0" w:right="0" w:firstLine="720"/>
        <w:jc w:val="both"/>
      </w:pPr>
      <w:r/>
    </w:p>
    <w:tbl>
      <w:tblPr>
        <w:tblW w:w="7199" w:type="dxa"/>
        <w:jc w:val="left"/>
        <w:tblInd w:w="0" w:type="dxa"/>
        <w:tblLayout w:type="fixed"/>
        <w:tblCellMar>
          <w:top w:w="28" w:type="dxa"/>
          <w:left w:w="28" w:type="dxa"/>
          <w:bottom w:w="28" w:type="dxa"/>
          <w:right w:w="28" w:type="dxa"/>
        </w:tblCellMar>
      </w:tblPr>
      <w:tblGrid>
        <w:gridCol w:w="759"/>
        <w:gridCol w:w="668"/>
        <w:gridCol w:w="672"/>
        <w:gridCol w:w="1491"/>
        <w:gridCol w:w="1491"/>
        <w:gridCol w:w="2118"/>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NMI HOLDINGS, INC.</w:t>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40" w:after="40"/>
              <w:jc w:val="left"/>
            </w:pPr>
            <w:r>
              <w:rPr>
                <w:rFonts w:ascii="Times New Roman;serif" w:hAnsi="Times New Roman;serif"/>
                <w:b w:val="false"/>
                <w:color w:val="000000"/>
                <w:sz w:val="20"/>
              </w:rPr>
              <w:t>By: </w:t>
            </w:r>
            <w:r>
              <w:rPr>
                <w:rFonts w:ascii="Times New Roman;serif" w:hAnsi="Times New Roman;serif"/>
                <w:b w:val="false"/>
                <w:color w:val="000000"/>
                <w:sz w:val="20"/>
                <w:u w:val="single"/>
              </w:rPr>
              <w:t>/s/ Aurora Swithenbank                 </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Name: Aurora Swithenbank </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 and Duly Authorized Signatory</w:t>
            </w:r>
          </w:p>
        </w:tc>
      </w:tr>
    </w:tbl>
    <w:p>
      <w:pPr>
        <w:pStyle w:val="TextBody"/>
        <w:bidi w:val="0"/>
        <w:spacing w:before="60" w:after="283"/>
        <w:ind w:left="0" w:right="0" w:firstLine="720"/>
        <w:jc w:val="left"/>
      </w:pPr>
      <w:r/>
    </w:p>
    <w:p>
      <w:pPr>
        <w:pStyle w:val="TextBody"/>
        <w:bidi w:val="0"/>
        <w:spacing w:before="0" w:after="180"/>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PRINCIPAL EXECUTIVE OFFICER’S 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before="0" w:after="120"/>
        <w:jc w:val="center"/>
      </w:p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Adam S. Pollitzer, certify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NMI Holdings, Inc.;</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94" w:type="dxa"/>
        <w:jc w:val="center"/>
        <w:tblInd w:w="0" w:type="dxa"/>
        <w:tblLayout w:type="fixed"/>
        <w:tblCellMar>
          <w:top w:w="28" w:type="dxa"/>
          <w:left w:w="28" w:type="dxa"/>
          <w:bottom w:w="28" w:type="dxa"/>
          <w:right w:w="28" w:type="dxa"/>
        </w:tblCellMar>
      </w:tblPr>
      <w:tblGrid>
        <w:gridCol w:w="587"/>
        <w:gridCol w:w="516"/>
        <w:gridCol w:w="517"/>
        <w:gridCol w:w="723"/>
        <w:gridCol w:w="723"/>
        <w:gridCol w:w="1028"/>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Adam S. Pollitzer </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S. Pollitzer</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PRINCIPAL FINANCIAL OFFICER’S CERTIFICATION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417" w:before="0" w:after="120"/>
        <w:jc w:val="left"/>
        <w:rPr>
          <w:rFonts w:ascii="Times New Roman;serif" w:hAnsi="Times New Roman;serif"/>
          <w:b w:val="false"/>
          <w:color w:val="000000"/>
          <w:sz w:val="20"/>
        </w:rPr>
      </w:pPr>
      <w:r>
        <w:rPr>
          <w:rFonts w:ascii="Times New Roman;serif" w:hAnsi="Times New Roman;serif"/>
          <w:b w:val="false"/>
          <w:color w:val="000000"/>
          <w:sz w:val="20"/>
        </w:rPr>
        <w:t>I, Aurora Swithenbank,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NMI Holdings, Inc.;</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34" w:type="dxa"/>
        <w:jc w:val="left"/>
        <w:tblInd w:w="0" w:type="dxa"/>
        <w:tblLayout w:type="fixed"/>
        <w:tblCellMar>
          <w:top w:w="28" w:type="dxa"/>
          <w:left w:w="28" w:type="dxa"/>
          <w:bottom w:w="28" w:type="dxa"/>
          <w:right w:w="28" w:type="dxa"/>
        </w:tblCellMar>
      </w:tblPr>
      <w:tblGrid>
        <w:gridCol w:w="587"/>
        <w:gridCol w:w="516"/>
        <w:gridCol w:w="517"/>
        <w:gridCol w:w="707"/>
        <w:gridCol w:w="707"/>
        <w:gridCol w:w="1000"/>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Aurora Swithenbank </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 Swithenbank</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20"/>
        <w:jc w:val="left"/>
      </w:p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NMI Holdings, Inc. (the "Company") on Form 10-Q for the quarter ended September 30, 2026,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bl>
      <w:tblPr>
        <w:tblW w:w="4094" w:type="dxa"/>
        <w:jc w:val="left"/>
        <w:tblInd w:w="0" w:type="dxa"/>
        <w:tblLayout w:type="fixed"/>
        <w:tblCellMar>
          <w:top w:w="28" w:type="dxa"/>
          <w:left w:w="28" w:type="dxa"/>
          <w:bottom w:w="28" w:type="dxa"/>
          <w:right w:w="28" w:type="dxa"/>
        </w:tblCellMar>
      </w:tblPr>
      <w:tblGrid>
        <w:gridCol w:w="587"/>
        <w:gridCol w:w="516"/>
        <w:gridCol w:w="517"/>
        <w:gridCol w:w="723"/>
        <w:gridCol w:w="723"/>
        <w:gridCol w:w="1028"/>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Adam S. Pollitzer              </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S. Pollitzer</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4034" w:type="dxa"/>
        <w:jc w:val="center"/>
        <w:tblInd w:w="0" w:type="dxa"/>
        <w:tblLayout w:type="fixed"/>
        <w:tblCellMar>
          <w:top w:w="28" w:type="dxa"/>
          <w:left w:w="28" w:type="dxa"/>
          <w:bottom w:w="28" w:type="dxa"/>
          <w:right w:w="28" w:type="dxa"/>
        </w:tblCellMar>
      </w:tblPr>
      <w:tblGrid>
        <w:gridCol w:w="587"/>
        <w:gridCol w:w="516"/>
        <w:gridCol w:w="517"/>
        <w:gridCol w:w="707"/>
        <w:gridCol w:w="707"/>
        <w:gridCol w:w="1000"/>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Aurora Swithenbank </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Aurora Swithenbank</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p>
      <w:pPr>
        <w:pStyle w:val="TextBody"/>
        <w:bidi w:val="0"/>
        <w:spacing w:before="180" w:after="180"/>
        <w:jc w:val="left"/>
      </w:pPr>
      <w:r/>
    </w:p>
    <w:p>
      <w:pPr>
        <w:pStyle w:val="TextBody"/>
        <w:bidi w:val="0"/>
        <w:spacing w:before="0" w:after="283"/>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7903/000119312524134340/d816160dex11.htm" TargetMode="External"/><Relationship Id="rId3" Type="http://schemas.openxmlformats.org/officeDocument/2006/relationships/hyperlink" Target="https://www.sec.gov/Archives/edgar/data/1547903/000154790324000111/nmih-certificateofincorpor.htm" TargetMode="External"/><Relationship Id="rId4" Type="http://schemas.openxmlformats.org/officeDocument/2006/relationships/hyperlink" Target="https://www.sec.gov/Archives/edgar/data/1547903/000154790324000111/fifthamendedandrestatedbyl.htm" TargetMode="External"/><Relationship Id="rId5" Type="http://schemas.openxmlformats.org/officeDocument/2006/relationships/hyperlink" Target="https://www.sec.gov/Archives/edgar/data/1547903/000119312524144008/d768666dex41.htm" TargetMode="External"/><Relationship Id="rId6" Type="http://schemas.openxmlformats.org/officeDocument/2006/relationships/hyperlink" Target="https://www.sec.gov/Archives/edgar/data/1547903/000119312524144008/d768666dex42.htm" TargetMode="External"/><Relationship Id="rId7" Type="http://schemas.openxmlformats.org/officeDocument/2006/relationships/hyperlink" Target="https://www.sec.gov/Archives/edgar/data/1547903/000154790324000139/exhibit44nmihdescriptionof.htm" TargetMode="External"/><Relationship Id="rId8" Type="http://schemas.openxmlformats.org/officeDocument/2006/relationships/hyperlink" Target="https://www.sec.gov/Archives/edgar/data/1547903/000154790313000020/a101nmiholdingsinc2012stoc.htm" TargetMode="External"/><Relationship Id="rId9" Type="http://schemas.openxmlformats.org/officeDocument/2006/relationships/hyperlink" Target="https://www.sec.gov/Archives/edgar/data/1547903/000154790313000020/a105formofnonqualifiedstoc.htm" TargetMode="External"/><Relationship Id="rId10" Type="http://schemas.openxmlformats.org/officeDocument/2006/relationships/hyperlink" Target="https://www.sec.gov/Archives/edgar/data/1547903/000154790313000020/a106formofnonqualifiedstoc.htm" TargetMode="External"/><Relationship Id="rId11" Type="http://schemas.openxmlformats.org/officeDocument/2006/relationships/hyperlink" Target="https://www.sec.gov/Archives/edgar/data/1547903/000154790313000020/a107formofnonqualifiedstoc.htm" TargetMode="External"/><Relationship Id="rId12" Type="http://schemas.openxmlformats.org/officeDocument/2006/relationships/hyperlink" Target="https://www.sec.gov/Archives/edgar/data/1547903/000154790317000032/exhibit108-2012stockincent.htm" TargetMode="External"/><Relationship Id="rId13" Type="http://schemas.openxmlformats.org/officeDocument/2006/relationships/hyperlink" Target="https://www.sec.gov/Archives/edgar/data/1547903/000154790317000032/exhibit109-2012stockincent.htm" TargetMode="External"/><Relationship Id="rId14" Type="http://schemas.openxmlformats.org/officeDocument/2006/relationships/hyperlink" Target="https://www.sec.gov/Archives/edgar/data/1547903/000154790319000064/exhibit1032.htm" TargetMode="External"/><Relationship Id="rId15" Type="http://schemas.openxmlformats.org/officeDocument/2006/relationships/hyperlink" Target="https://www.sec.gov/ix?doc=/Archives/edgar/data/1547903/000154790324000103/nmih-20240331.htm" TargetMode="External"/><Relationship Id="rId16" Type="http://schemas.openxmlformats.org/officeDocument/2006/relationships/hyperlink" Target="https://www.sec.gov/Archives/edgar/data/1547903/000154790317000100/ex1023nqsceo.htm" TargetMode="External"/><Relationship Id="rId17" Type="http://schemas.openxmlformats.org/officeDocument/2006/relationships/hyperlink" Target="https://www.sec.gov/Archives/edgar/data/1547903/000154790317000100/ex1024nqseoee.htm" TargetMode="External"/><Relationship Id="rId18" Type="http://schemas.openxmlformats.org/officeDocument/2006/relationships/hyperlink" Target="https://www.sec.gov/Archives/edgar/data/1547903/000154790320000045/ex1038202010q.htm" TargetMode="External"/><Relationship Id="rId19" Type="http://schemas.openxmlformats.org/officeDocument/2006/relationships/hyperlink" Target="https://www.sec.gov/Archives/edgar/data/1547903/000154790325000026/ex1012rsuagreementforindep.htm" TargetMode="External"/><Relationship Id="rId20" Type="http://schemas.openxmlformats.org/officeDocument/2006/relationships/hyperlink" Target="https://www.sec.gov/Archives/edgar/data/1547903/000154790325000026/ex1012rsuagreementforindep.htm" TargetMode="External"/><Relationship Id="rId21" Type="http://schemas.openxmlformats.org/officeDocument/2006/relationships/hyperlink" Target="https://www.sec.gov/Archives/edgar/data/1547903/000154790324000035/ex1022ye2023rsuawardagreem.htm" TargetMode="External"/><Relationship Id="rId22" Type="http://schemas.openxmlformats.org/officeDocument/2006/relationships/hyperlink" Target="https://www.sec.gov/Archives/edgar/data/1547903/000154790324000035/ex1023ye2023rsuawardagreem.htm" TargetMode="External"/><Relationship Id="rId23" Type="http://schemas.openxmlformats.org/officeDocument/2006/relationships/hyperlink" Target="https://www.sec.gov/Archives/edgar/data/1547903/000154790324000035/ex1024ye2023rsuawardagreem.htm" TargetMode="External"/><Relationship Id="rId24" Type="http://schemas.openxmlformats.org/officeDocument/2006/relationships/hyperlink" Target="https://www.sec.gov/Archives/edgar/data/1547903/000154790319000064/exhibit1035.htm" TargetMode="External"/><Relationship Id="rId25" Type="http://schemas.openxmlformats.org/officeDocument/2006/relationships/hyperlink" Target="https://www.sec.gov/Archives/edgar/data/1547903/000154790325000026/ex1018rsuagreementforexecu.htm" TargetMode="External"/><Relationship Id="rId26" Type="http://schemas.openxmlformats.org/officeDocument/2006/relationships/hyperlink" Target="https://www.sec.gov/Archives/edgar/data/1547903/000154790325000026/ex1019rsuagreementforemplo.htm" TargetMode="External"/><Relationship Id="rId27" Type="http://schemas.openxmlformats.org/officeDocument/2006/relationships/hyperlink" Target="https://www.sec.gov/Archives/edgar/data/1547903/000154790325000026/ex1020rsuagreementperforma.htm" TargetMode="External"/><Relationship Id="rId28" Type="http://schemas.openxmlformats.org/officeDocument/2006/relationships/hyperlink" Target="https://www.sec.gov/Archives/edgar/data/1547903/000154790314000146/exhibit101november252014.htm" TargetMode="External"/><Relationship Id="rId29" Type="http://schemas.openxmlformats.org/officeDocument/2006/relationships/hyperlink" Target="https://www.sec.gov/Archives/edgar/data/1547903/000154790325000103/ex1022nmiharseverancebenef.htm" TargetMode="External"/><Relationship Id="rId30" Type="http://schemas.openxmlformats.org/officeDocument/2006/relationships/hyperlink" Target="https://www.sec.gov/Archives/edgar/data/1547903/000154790325000103/ex1023nmiharcicseverancebe.htm" TargetMode="External"/><Relationship Id="rId31" Type="http://schemas.openxmlformats.org/officeDocument/2006/relationships/hyperlink" Target="https://www.sec.gov/Archives/edgar/data/1547903/000154790316000230/exhibit1010leatherberrybil.htm" TargetMode="External"/><Relationship Id="rId32" Type="http://schemas.openxmlformats.org/officeDocument/2006/relationships/hyperlink" Target="https://www.sec.gov/Archives/edgar/data/1547903/000154790318000137/exhibit101shuster.htm" TargetMode="External"/><Relationship Id="rId33" Type="http://schemas.openxmlformats.org/officeDocument/2006/relationships/hyperlink" Target="https://www.sec.gov/Archives/edgar/data/0001547903/000154790321000153/exhibit101-nmihxapollitz.htm" TargetMode="External"/><Relationship Id="rId34" Type="http://schemas.openxmlformats.org/officeDocument/2006/relationships/hyperlink" Target="https://www.sec.gov/Archives/edgar/data/1547903/000154790324000041/nmih-aswithenbankofferlett.htm" TargetMode="External"/><Relationship Id="rId35" Type="http://schemas.openxmlformats.org/officeDocument/2006/relationships/hyperlink" Target="https://www.sec.gov/Archives/edgar/data/1547903/000154790324000041/nmih-rmallelaseparationagr.htm" TargetMode="External"/><Relationship Id="rId36" Type="http://schemas.openxmlformats.org/officeDocument/2006/relationships/hyperlink" Target="https://www.sec.gov/Archives/edgar/data/1547903/000154790313000020/a1014commitmentletterforbu.htm" TargetMode="External"/><Relationship Id="rId37" Type="http://schemas.openxmlformats.org/officeDocument/2006/relationships/hyperlink" Target="https://www.sec.gov/Archives/edgar/data/1547903/000154790324000103/ex1031q12024.htm" TargetMode="External"/><Relationship Id="rId38" Type="http://schemas.openxmlformats.org/officeDocument/2006/relationships/hyperlink" Target="https://www.sec.gov/Archives/edgar/data/1547903/000154790326000011/ex191insidertradingandinfo.htm" TargetMode="External"/><Relationship Id="rId39" Type="http://schemas.openxmlformats.org/officeDocument/2006/relationships/hyperlink" Target="https://www.sec.gov/Archives/edgar/data/1547903/000154790315000133/exhibit211subsidiariesofnm.htm" TargetMode="External"/><Relationship Id="rId40" Type="http://schemas.openxmlformats.org/officeDocument/2006/relationships/hyperlink" Target="https://www.sec.gov/Archives/edgar/data/1547903/000154790324000035/ex971ye2023compensationrec.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31382</Words>
  <Characters>171428</Characters>
  <CharactersWithSpaces>200671</CharactersWithSpaces>
  <Paragraphs>4235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