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2019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195"/>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195"/>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(855) 530-6642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33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o</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April 26, 2019 was 67,533,958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4"/>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9"/>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9"/>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9"/>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7"/>
                <w:shd w:val="clear" w:color="auto" w:fill="CCEEFF"/>
              </w:rPr>
            </w:pPr>
            <w:hyperlink w:anchor="page46">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9"/>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891"/>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40" w:type="dxa"/>
            <w:vAlign w:val="bottom"/>
            <w:tcBorders>
              <w:top w:val="single" w:sz="8" w:color="CCEEFF"/>
            </w:tcBorders>
            <w:gridSpan w:val="8"/>
          </w:tcPr>
          <w:p>
            <w:pPr>
              <w:ind w:left="4580"/>
              <w:spacing w:after="0"/>
              <w:rPr>
                <w:sz w:val="20"/>
                <w:szCs w:val="20"/>
                <w:color w:val="auto"/>
              </w:rPr>
            </w:pPr>
            <w:r>
              <w:rPr>
                <w:rFonts w:ascii="Arial" w:cs="Arial" w:eastAsia="Arial" w:hAnsi="Arial"/>
                <w:sz w:val="18"/>
                <w:szCs w:val="18"/>
                <w:color w:val="auto"/>
              </w:rPr>
              <w:t>2</w:t>
            </w:r>
          </w:p>
        </w:tc>
        <w:tc>
          <w:tcPr>
            <w:tcW w:w="37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Veterans Administration (VA) (collectively, government MIs), and potential market entry by new competitors or consolidation of existing competitors;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2018 (2018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March 31, 2019 and December 31, 2018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8"/>
              </w:rPr>
              <w:t>Condensed Consolidated Statements of Operations and Comprehensive Income (Loss) for the three months ended March 31, 2019 and 2018</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Condensed Consolidated Statements of Changes in Shareholders' Equity for the three months ended March 31, 2019 and 2018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2019 and 2018</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r>
      <w:tr>
        <w:trPr>
          <w:trHeight w:val="251"/>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Fixed maturities, available-for-sale, at fair value (amortized cost of $934,712 and $924,987 as of March</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31, 2019 and December 31, 2018,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940,223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911,490</w:t>
            </w: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4"/>
              </w:rPr>
              <w:t>Cash and cash equivalents (including restricted cash of $1,422 and $1,414 as of March 31, 2019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December 31, 2018, respectively)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39,761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25,294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36,007</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48,820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46,840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24,765</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1,147,511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146,503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146,757</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158,893</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31,141</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Reinsurance funds withheld</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27,114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7,296</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tax liability,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6"/>
                <w:shd w:val="clear" w:color="auto" w:fill="CCEEFF"/>
              </w:rPr>
              <w:t>Other liabilities</w:t>
            </w:r>
          </w:p>
        </w:tc>
        <w:tc>
          <w:tcPr>
            <w:tcW w:w="6520" w:type="dxa"/>
            <w:vAlign w:val="bottom"/>
            <w:tcBorders>
              <w:bottom w:val="single" w:sz="8" w:color="CCEEFF"/>
            </w:tcBorders>
            <w:shd w:val="clear" w:color="auto" w:fill="CCEEFF"/>
          </w:tcPr>
          <w:p>
            <w:pPr>
              <w:jc w:val="right"/>
              <w:ind w:right="6269"/>
              <w:spacing w:after="0"/>
              <w:rPr>
                <w:sz w:val="20"/>
                <w:szCs w:val="20"/>
                <w:color w:val="auto"/>
              </w:rPr>
            </w:pPr>
            <w:r>
              <w:rPr>
                <w:rFonts w:ascii="Arial" w:cs="Arial" w:eastAsia="Arial" w:hAnsi="Arial"/>
                <w:sz w:val="14"/>
                <w:szCs w:val="14"/>
                <w:color w:val="auto"/>
                <w:w w:val="93"/>
                <w:shd w:val="clear" w:color="auto" w:fill="CCEEFF"/>
              </w:rPr>
              <w:t>(1)</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395,630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390,543</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8"/>
              </w:rPr>
              <w:t>Common stock - class A shares, $0.01 par value; 67,501,958 and 66,318,849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0"/>
              </w:rPr>
              <w:t>outstanding as of March 31, 2019 and December 31, 2018, respectively (250,000,000 shares authorized)</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682,181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(14,832)</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33,488</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751,881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1,147,511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Deferred Ceding Commissions have been reclassified to "Other Liabilities" in prior periods</w:t>
      </w:r>
    </w:p>
    <w:p>
      <w:pPr>
        <w:spacing w:after="0" w:line="21"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(LOSS)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8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i w:val="1"/>
                <w:iCs w:val="1"/>
                <w:color w:val="auto"/>
              </w:rPr>
              <w:t>(In Thousands, except for per share data)</w:t>
            </w:r>
          </w:p>
        </w:tc>
      </w:tr>
      <w:tr>
        <w:trPr>
          <w:trHeight w:val="256"/>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28,453</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77"/>
        </w:trPr>
        <w:tc>
          <w:tcPr>
            <w:tcW w:w="8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62,099</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Unrealized (losses) gains in accumulated other comprehensive income, net of tax (benefit) expense of $3,953</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($423) for the quarters ended March 31, 2019 and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240" w:type="dxa"/>
            <w:vAlign w:val="bottom"/>
          </w:tcPr>
          <w:p>
            <w:pPr>
              <w:ind w:left="280"/>
              <w:spacing w:after="0"/>
              <w:rPr>
                <w:sz w:val="20"/>
                <w:szCs w:val="20"/>
                <w:color w:val="auto"/>
              </w:rPr>
            </w:pPr>
            <w:r>
              <w:rPr>
                <w:rFonts w:ascii="Arial" w:cs="Arial" w:eastAsia="Arial" w:hAnsi="Arial"/>
                <w:sz w:val="18"/>
                <w:szCs w:val="18"/>
                <w:color w:val="auto"/>
                <w:w w:val="92"/>
              </w:rPr>
              <w:t>Reclassification adjustment for realized losses (gains) included in net income, net of tax expense (benefit) of</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($39) and $0 for the quarters ended March 31, 2019 and 2018, respectively</w:t>
            </w:r>
          </w:p>
        </w:tc>
        <w:tc>
          <w:tcPr>
            <w:tcW w:w="24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47,915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11,399</w:t>
            </w:r>
          </w:p>
        </w:tc>
        <w:tc>
          <w:tcPr>
            <w:tcW w:w="1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line="20" w:lineRule="exact"/>
              <w:rPr>
                <w:sz w:val="1"/>
                <w:szCs w:val="1"/>
                <w:color w:val="auto"/>
              </w:rPr>
            </w:pPr>
          </w:p>
        </w:tc>
        <w:tc>
          <w:tcPr>
            <w:tcW w:w="1100" w:type="dxa"/>
            <w:vAlign w:val="bottom"/>
            <w:vMerge w:val="restart"/>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1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3"/>
          </w:tcPr>
          <w:p>
            <w:pPr>
              <w:jc w:val="right"/>
              <w:ind w:right="596"/>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585,488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9"/>
              </w:rPr>
              <w:t>Cumulative effect of change in accounting principle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Common stock: class A shares issued related to public</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79,122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$423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22,355</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666,905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601,944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20" w:type="dxa"/>
            <w:vAlign w:val="bottom"/>
          </w:tcPr>
          <w:p>
            <w:pPr>
              <w:spacing w:after="0"/>
              <w:rPr>
                <w:sz w:val="24"/>
                <w:szCs w:val="24"/>
                <w:color w:val="auto"/>
              </w:rPr>
            </w:pPr>
          </w:p>
        </w:tc>
        <w:tc>
          <w:tcPr>
            <w:tcW w:w="22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line="20" w:lineRule="exact"/>
              <w:rPr>
                <w:sz w:val="1"/>
                <w:szCs w:val="1"/>
                <w:color w:val="auto"/>
              </w:rPr>
            </w:pPr>
          </w:p>
        </w:tc>
        <w:tc>
          <w:tcPr>
            <w:tcW w:w="1100" w:type="dxa"/>
            <w:vAlign w:val="bottom"/>
            <w:vMerge w:val="restart"/>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1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3"/>
          </w:tcPr>
          <w:p>
            <w:pPr>
              <w:jc w:val="right"/>
              <w:ind w:right="596"/>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682,181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of $3,992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15,016</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32,899</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684,635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66,387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ended March 31, 2019 and 2018, we issued 39,195 and 25,686 common shares, respectively, with a par value of $0.01 related to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64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7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1040" w:type="dxa"/>
            <w:vAlign w:val="bottom"/>
          </w:tcPr>
          <w:p>
            <w:pPr>
              <w:spacing w:after="0"/>
              <w:rPr>
                <w:sz w:val="20"/>
                <w:szCs w:val="20"/>
                <w:color w:val="auto"/>
              </w:rPr>
            </w:pPr>
          </w:p>
        </w:tc>
        <w:tc>
          <w:tcPr>
            <w:tcW w:w="1380" w:type="dxa"/>
            <w:vAlign w:val="bottom"/>
            <w:gridSpan w:val="3"/>
          </w:tcPr>
          <w:p>
            <w:pPr>
              <w:jc w:val="right"/>
              <w:ind w:right="75"/>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32,899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22,355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10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5,479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(420)</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1,858</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10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439</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361</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0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2,981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2,805</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4,009</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(2,985)</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(859)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(553)</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(1,451)</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(1,980)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(2,101)</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shd w:val="clear" w:color="auto" w:fill="CCEEFF"/>
          </w:tcPr>
          <w:p>
            <w:pPr>
              <w:ind w:left="380"/>
              <w:spacing w:after="0" w:line="27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(1)</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163</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(4,568)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2,424</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1,630</w:t>
            </w:r>
          </w:p>
        </w:tc>
      </w:tr>
      <w:tr>
        <w:trPr>
          <w:trHeight w:val="270"/>
        </w:trPr>
        <w:tc>
          <w:tcPr>
            <w:tcW w:w="7780" w:type="dxa"/>
            <w:vAlign w:val="bottom"/>
          </w:tcPr>
          <w:p>
            <w:pPr>
              <w:ind w:left="380"/>
              <w:spacing w:after="0" w:line="270" w:lineRule="exact"/>
              <w:rPr>
                <w:sz w:val="20"/>
                <w:szCs w:val="20"/>
                <w:color w:val="auto"/>
              </w:rPr>
            </w:pPr>
            <w:r>
              <w:rPr>
                <w:rFonts w:ascii="Arial" w:cs="Arial" w:eastAsia="Arial" w:hAnsi="Arial"/>
                <w:sz w:val="17"/>
                <w:szCs w:val="17"/>
                <w:color w:val="auto"/>
              </w:rPr>
              <w:t xml:space="preserve">Reinsurance balances, net </w:t>
            </w:r>
            <w:r>
              <w:rPr>
                <w:rFonts w:ascii="Arial" w:cs="Arial" w:eastAsia="Arial" w:hAnsi="Arial"/>
                <w:sz w:val="28"/>
                <w:szCs w:val="28"/>
                <w:color w:val="auto"/>
                <w:vertAlign w:val="superscript"/>
              </w:rPr>
              <w:t>(1)</w:t>
            </w: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153</w:t>
            </w: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(13,453)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(7,556)</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28,279</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21,131</w:t>
            </w:r>
          </w:p>
        </w:tc>
      </w:tr>
      <w:tr>
        <w:trPr>
          <w:trHeight w:val="31"/>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(47,994)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(16,858)</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(72,586)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(74,095)</w:t>
            </w: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10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98"/>
              </w:rPr>
              <w:t>81,311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31,309</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29,043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44,444</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Additions to software and equipment</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(1,751)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(1,370)</w:t>
            </w:r>
          </w:p>
        </w:tc>
      </w:tr>
      <w:tr>
        <w:trPr>
          <w:trHeight w:val="31"/>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(11,977)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(16,570)</w:t>
            </w:r>
          </w:p>
        </w:tc>
      </w:tr>
      <w:tr>
        <w:trPr>
          <w:trHeight w:val="233"/>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79,249</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11,017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4,782</w:t>
            </w: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(12,477)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(5,523)</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31"/>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78,133</w:t>
            </w:r>
          </w:p>
        </w:tc>
      </w:tr>
      <w:tr>
        <w:trPr>
          <w:trHeight w:val="129"/>
        </w:trPr>
        <w:tc>
          <w:tcPr>
            <w:tcW w:w="77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 cash, cash equivalents and restricted cash</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82,694</w:t>
            </w: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10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25,294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19,196</w:t>
            </w:r>
          </w:p>
        </w:tc>
      </w:tr>
      <w:tr>
        <w:trPr>
          <w:trHeight w:val="31"/>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39,761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101,890</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Noncash financing activities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3,072</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Income tax refunded</w:t>
            </w:r>
          </w:p>
        </w:tc>
        <w:tc>
          <w:tcPr>
            <w:tcW w:w="1040" w:type="dxa"/>
            <w:vAlign w:val="bottom"/>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20"/>
                <w:szCs w:val="20"/>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17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Ceded losses recoverable under our quota-share reinsurance transactions were reclassified from "Other Assets" in prior periods to "Reinsurance balance, net".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2018, included in our 2018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our previously reported financial information have been made to conform to current period presentation. The results of operations for the interim period may not be indicative of the results that may be expected for the full year ending December 31, 2019.</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2018 10-K, other than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We adopted this ASU on January 1, 2019 using the modified-retrospective method and applied it prospectively as of the effective date, without adjusting comparative periods presented as permitted by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Adoption of this new standard increased our assets and liabilities by $7.6 million in connection with the recognition of right-of-use assets and lease liabilities, primarily related to the operating lease on our corporate headquarters. Adoption of this standard did not impact our consolidated statements of operations or cash flows. See Note 10, "</w:t>
      </w:r>
      <w:r>
        <w:rPr>
          <w:rFonts w:ascii="Arial" w:cs="Arial" w:eastAsia="Arial" w:hAnsi="Arial"/>
          <w:sz w:val="16"/>
          <w:szCs w:val="16"/>
          <w:i w:val="1"/>
          <w:iCs w:val="1"/>
          <w:color w:val="auto"/>
        </w:rPr>
        <w:t>Leases</w:t>
      </w:r>
      <w:r>
        <w:rPr>
          <w:rFonts w:ascii="Arial" w:cs="Arial" w:eastAsia="Arial" w:hAnsi="Arial"/>
          <w:sz w:val="16"/>
          <w:szCs w:val="16"/>
          <w:color w:val="auto"/>
        </w:rPr>
        <w:t>" for additional information related to our leases.</w:t>
      </w:r>
    </w:p>
    <w:p>
      <w:pPr>
        <w:spacing w:after="0" w:line="127"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We adopted this ASU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2019. Adoption of this standard had no impact on our consolidated financial statements.</w:t>
      </w:r>
    </w:p>
    <w:p>
      <w:pPr>
        <w:spacing w:after="0" w:line="14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update expands the scope of Topic 718 to include share-based payments made to non-employees in connection with the acquisition of goods and services. We adopted this ASU on January 1, 2019. Adoption of this standard had no impact on our financial results at this time as we have not made any share-based grants to non-employees as defined in ASC 718-10-20.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reviewing the impact the adoption of this ASU will have, if any, on our financial assets. We do not expect it 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impact our accounting for insurance claims and claim expenses as these items are not in the scope of this ASU.</w:t>
      </w:r>
    </w:p>
    <w:p>
      <w:pPr>
        <w:spacing w:after="0" w:line="185"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This update modifies the fair value measurement disclosure requirements of ASC 820. The standard will take effect for public business entities for fiscal years, and interim periods within those fiscal years, beginning after December 15, 2019. We are currently evaluating the impact the adoption of this ASU will have, if any, on our fair value of financial instruments disclosures.</w:t>
      </w:r>
    </w:p>
    <w:p>
      <w:pPr>
        <w:spacing w:after="0" w:line="146"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update applies to cloud computing arrangements hosted by a vendor and provides companies with guidance on the criteria for capitalizing implementation, set-up and other up-front costs incurred in association with these arrangements.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other-than-temporarily impaired.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91,833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92,173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613,016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617,616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156,258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157,374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909,296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914,742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25,416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25,481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934,712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940,223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171,990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866,254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58,733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own any mortgage-backed securities in our asset-backed securities portfolio as March 31, 2019 and December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a breakdown of the fair value of our corporate debt securities by issuer industry group as of March 31, 2019 and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2019</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Consumer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2019 and December 31, 2018, approximately $5.4 million and $5.3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amortized cost and fair values of available-for-sale securities as of March 31, 2019 and December 31, 2018,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399,669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400,793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314,593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317,471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17,596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156,258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157,374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934,712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940,223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352,282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347,701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2019, the investment portfolio had gross unrealized losses of $4.0 million, $3.6 million of which has been in an unrealized loss position for a period of 12 months or greater. We did not consider these securities to be other-than-temporarily impaired as of March 31, 2019. We based our conclusion that these investments were not other-than-temporarily impaired as of March 31, 2019 on the following facts: (i) the unrealized losses were primarily caused by interest rate movements and market fluctuations in credit spreads since the purchase date; (ii) we do not intend to sell these investments; and (iii) we do not believe that it is more likely than not that we will be required to sell these investments before recovery of our amortized cost basis, which may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occur until maturity. For those securities in an unrealized loss position, the length of time the securities were in such a position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Municipal debt securities</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33,034</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35,034</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158,174</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18,173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28,453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46,626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Short-term investments</w:t>
            </w:r>
            <w:r>
              <w:rPr>
                <w:rFonts w:ascii="Arial" w:cs="Arial" w:eastAsia="Arial" w:hAnsi="Arial"/>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257,086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321,347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6"/>
          <w:szCs w:val="16"/>
          <w:color w:val="auto"/>
        </w:rPr>
        <w:t>Includes securities with unrealized losses of less than 12 months which are not identifiable in the schedule due to rounding.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7"/>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8"/>
              <w:spacing w:after="0" w:line="153" w:lineRule="exact"/>
              <w:rPr>
                <w:sz w:val="20"/>
                <w:szCs w:val="20"/>
                <w:color w:val="auto"/>
              </w:rPr>
            </w:pPr>
            <w:r>
              <w:rPr>
                <w:rFonts w:ascii="Arial" w:cs="Arial" w:eastAsia="Arial" w:hAnsi="Arial"/>
                <w:sz w:val="14"/>
                <w:szCs w:val="14"/>
                <w:b w:val="1"/>
                <w:bCs w:val="1"/>
                <w:color w:val="auto"/>
              </w:rPr>
              <w:t># of</w:t>
            </w:r>
          </w:p>
        </w:tc>
        <w:tc>
          <w:tcPr>
            <w:tcW w:w="10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Securities</w:t>
            </w:r>
          </w:p>
        </w:tc>
        <w:tc>
          <w:tcPr>
            <w:tcW w:w="10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41,817</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58,658</w:t>
            </w:r>
          </w:p>
        </w:tc>
        <w:tc>
          <w:tcPr>
            <w:tcW w:w="20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99"/>
              </w:rPr>
              <w:t>(952)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1"/>
                <w:szCs w:val="21"/>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66,067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448,152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33,988</w:t>
            </w:r>
          </w:p>
        </w:tc>
        <w:tc>
          <w:tcPr>
            <w:tcW w:w="20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99"/>
              </w:rPr>
              <w:t>(321)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70,005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(10,385)</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8"/>
              </w:rPr>
              <w:t>626,041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340" w:type="dxa"/>
            <w:vAlign w:val="bottom"/>
            <w:gridSpan w:val="2"/>
          </w:tcPr>
          <w:p>
            <w:pPr>
              <w:ind w:left="660"/>
              <w:spacing w:after="0"/>
              <w:rPr>
                <w:sz w:val="20"/>
                <w:szCs w:val="20"/>
                <w:color w:val="auto"/>
              </w:rPr>
            </w:pPr>
            <w:r>
              <w:rPr>
                <w:rFonts w:ascii="Arial" w:cs="Arial" w:eastAsia="Arial" w:hAnsi="Arial"/>
                <w:sz w:val="18"/>
                <w:szCs w:val="18"/>
                <w:i w:val="1"/>
                <w:iCs w:val="1"/>
                <w:color w:val="auto"/>
                <w:w w:val="89"/>
              </w:rPr>
              <w:t>Net Investment Income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0" w:type="dxa"/>
            <w:vAlign w:val="bottom"/>
            <w:gridSpan w:val="8"/>
          </w:tcPr>
          <w:p>
            <w:pPr>
              <w:spacing w:after="0"/>
              <w:rPr>
                <w:sz w:val="20"/>
                <w:szCs w:val="20"/>
                <w:color w:val="auto"/>
              </w:rPr>
            </w:pPr>
            <w:r>
              <w:rPr>
                <w:rFonts w:ascii="Arial" w:cs="Arial" w:eastAsia="Arial" w:hAnsi="Arial"/>
                <w:sz w:val="18"/>
                <w:szCs w:val="18"/>
                <w:color w:val="auto"/>
                <w:w w:val="94"/>
              </w:rPr>
              <w:t>The following table presents the components of net investment income:</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right="453"/>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4"/>
          </w:tcPr>
          <w:p>
            <w:pPr>
              <w:jc w:val="center"/>
              <w:ind w:left="438"/>
              <w:spacing w:after="0"/>
              <w:rPr>
                <w:sz w:val="20"/>
                <w:szCs w:val="20"/>
                <w:color w:val="auto"/>
              </w:rPr>
            </w:pPr>
            <w:r>
              <w:rPr>
                <w:rFonts w:ascii="Arial" w:cs="Arial" w:eastAsia="Arial" w:hAnsi="Arial"/>
                <w:sz w:val="14"/>
                <w:szCs w:val="14"/>
                <w:i w:val="1"/>
                <w:iCs w:val="1"/>
                <w:color w:val="auto"/>
                <w:w w:val="91"/>
              </w:rPr>
              <w:t>(In Thousands)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7,496</w:t>
            </w:r>
          </w:p>
        </w:tc>
        <w:tc>
          <w:tcPr>
            <w:tcW w:w="74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7,383</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10"/>
            <w:vMerge w:val="restart"/>
          </w:tcPr>
          <w:p>
            <w:pPr>
              <w:ind w:left="660"/>
              <w:spacing w:after="0"/>
              <w:rPr>
                <w:sz w:val="20"/>
                <w:szCs w:val="20"/>
                <w:color w:val="auto"/>
              </w:rPr>
            </w:pPr>
            <w:r>
              <w:rPr>
                <w:rFonts w:ascii="Arial" w:cs="Arial" w:eastAsia="Arial" w:hAnsi="Arial"/>
                <w:sz w:val="18"/>
                <w:szCs w:val="18"/>
                <w:color w:val="auto"/>
                <w:w w:val="91"/>
              </w:rPr>
              <w:t>The following table presents the components of net realized investment losses:</w:t>
            </w: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460" w:type="dxa"/>
            <w:vAlign w:val="bottom"/>
            <w:gridSpan w:val="10"/>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right="453"/>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4"/>
          </w:tcPr>
          <w:p>
            <w:pPr>
              <w:jc w:val="center"/>
              <w:ind w:left="438"/>
              <w:spacing w:after="0"/>
              <w:rPr>
                <w:sz w:val="20"/>
                <w:szCs w:val="20"/>
                <w:color w:val="auto"/>
              </w:rPr>
            </w:pPr>
            <w:r>
              <w:rPr>
                <w:rFonts w:ascii="Arial" w:cs="Arial" w:eastAsia="Arial" w:hAnsi="Arial"/>
                <w:sz w:val="14"/>
                <w:szCs w:val="14"/>
                <w:i w:val="1"/>
                <w:iCs w:val="1"/>
                <w:color w:val="auto"/>
                <w:w w:val="91"/>
              </w:rPr>
              <w:t>(In Thousands)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Gross realized investment gains</w:t>
            </w:r>
          </w:p>
        </w:tc>
        <w:tc>
          <w:tcPr>
            <w:tcW w:w="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195</w:t>
            </w:r>
          </w:p>
        </w:tc>
        <w:tc>
          <w:tcPr>
            <w:tcW w:w="74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Gross realized investment losses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Net realized investment losses</w:t>
            </w: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314"/>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March 31, 2019, we recognized a $0.4 million OTTI loss in earnings related to the planned sale of a security in a loss position in April 2019. For the three months ended March 31, 2018, we did not recognize any OTTI losses. There were no credit losses recognized in earnings for which a portion of an OTTI loss was recognized in accumulated other comprehensive income (loss) for the three months ended March 31, 2019 or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92,173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92,173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617,616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617,616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157,374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157,374</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65,242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65,242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867,163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979,984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11,831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91,257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84,134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805,820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936,784</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three months ended March 31, 2019 and the year ended December 31,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28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Balance, March 31</w:t>
            </w:r>
          </w:p>
        </w:tc>
        <w:tc>
          <w:tcPr>
            <w:tcW w:w="28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80" w:type="dxa"/>
            <w:vAlign w:val="bottom"/>
            <w:vMerge w:val="restart"/>
          </w:tcPr>
          <w:p>
            <w:pPr>
              <w:jc w:val="right"/>
              <w:ind w:right="201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March 31,</w:t>
            </w:r>
          </w:p>
        </w:tc>
        <w:tc>
          <w:tcPr>
            <w:tcW w:w="116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16.55</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90"/>
              </w:rPr>
              <w:t>- 2.31%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78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82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1.67 - 3.06 years</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2.59 years</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42.30</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90"/>
              </w:rPr>
              <w:t>- 45.7%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r>
      <w:tr>
        <w:trPr>
          <w:trHeight w:val="27"/>
        </w:trPr>
        <w:tc>
          <w:tcPr>
            <w:tcW w:w="78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three months ended March 31, 2019 and 2018 are primarily attributable to changes in the price of our common stock during the respective periods, with additional impact related to changes in the Black-Scholes model inputs and exercises of outstanding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5-year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(2015 Term Loan) due on November 10, 2019, and to pay fees and expenses incurred in connection with the 2018 Credit Agreement.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2018 Term Loan bears interest at the Eurodollar Rate, as defined in the 2018 Credit Agreement and subject to a 1.00% floor, plus an annual margin rate of 4.75%, representing an all-in rate of 7.25% as of March 31, 2019, payable monthly based on our current interest period election. Quarterly principal payments of $375 thousand are also required. As of March 31, 2019, the outstanding principal balance of the 2018 Term Loan was $148.9 million.</w:t>
      </w:r>
    </w:p>
    <w:p>
      <w:pPr>
        <w:spacing w:after="0" w:line="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for the 2018 Term Loan includes interest and the amortization of issuance costs, an original issue discount and capitalized modification costs related to the 2015 Term Loan. For the three months ended March 31, 2019, interest expense was $2.8 million. Remaining unamortized issuance costs were $2.4 million as of March 31, 2019 and are being amortized to interest expense using the effective interest method over the contractual life of the 2018 Term Loan.</w:t>
      </w:r>
    </w:p>
    <w:p>
      <w:pPr>
        <w:spacing w:after="0" w:line="13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March 31,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March 31, 2019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r>
      <w:tr>
        <w:trPr>
          <w:trHeight w:val="223"/>
        </w:trPr>
        <w:tc>
          <w:tcPr>
            <w:tcW w:w="9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143,250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148,875</w:t>
            </w:r>
          </w:p>
        </w:tc>
        <w:tc>
          <w:tcPr>
            <w:tcW w:w="100" w:type="dxa"/>
            <w:vAlign w:val="bottom"/>
          </w:tcPr>
          <w:p>
            <w:pPr>
              <w:spacing w:after="0"/>
              <w:rPr>
                <w:sz w:val="22"/>
                <w:szCs w:val="22"/>
                <w:color w:val="auto"/>
              </w:rPr>
            </w:pP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Eurodollar Rate (subject to a floor of 0.00% per annum) plus a margin of 2.00% to 3.50% per annum, based on the applicable corporate credit rating at the time. As of March 31, 2019, no borrowings had been made under the 2018 Revolving Credit Facility.</w:t>
      </w:r>
    </w:p>
    <w:p>
      <w:pPr>
        <w:spacing w:after="0" w:line="11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are required to pay a quarterly commitment fee on the average daily undrawn amount of the 2018 Revolving Credit Facility, which ranges from 0.30% to 0.60%, based on the applicable corporate credit rating at the time. As of March 31, 2019, the applicable commitment fee was 0.50%. For the three months ended March 31, 2019, we recorded $0.1 million of commitment fees in interest expense.</w:t>
      </w:r>
    </w:p>
    <w:p>
      <w:pPr>
        <w:spacing w:after="0" w:line="127" w:lineRule="exact"/>
        <w:rPr>
          <w:sz w:val="20"/>
          <w:szCs w:val="20"/>
          <w:color w:val="auto"/>
        </w:rPr>
      </w:pPr>
    </w:p>
    <w:p>
      <w:pPr>
        <w:jc w:val="both"/>
        <w:ind w:right="320" w:firstLine="648"/>
        <w:spacing w:after="0" w:line="279" w:lineRule="auto"/>
        <w:rPr>
          <w:sz w:val="20"/>
          <w:szCs w:val="20"/>
          <w:color w:val="auto"/>
        </w:rPr>
      </w:pPr>
      <w:r>
        <w:rPr>
          <w:rFonts w:ascii="Arial" w:cs="Arial" w:eastAsia="Arial" w:hAnsi="Arial"/>
          <w:sz w:val="17"/>
          <w:szCs w:val="17"/>
          <w:color w:val="auto"/>
        </w:rPr>
        <w:t>We incurred issuance costs of $1.5 million in connection with the establishment of the 2018 Revolving Credit Facility, which were deferred and recorded within Other Assets. These costs are being amortized through interest expense over the three-year life of the 2018 Revolving Credit Facility on a straight line basis. For the three months ended March 31, 2019, we recognized $0.1 million of interest expense from the amortization of deferred issuance costs. At March 31, 2019, remaining deferred issuance costs were $1.1 million, net of accumulated amortization.</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March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4"/>
          </w:tcPr>
          <w:p>
            <w:pPr>
              <w:jc w:val="right"/>
              <w:ind w:right="121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81,730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66,027</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r>
      <w:tr>
        <w:trPr>
          <w:trHeight w:val="297"/>
        </w:trPr>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71,923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59,030</w:t>
            </w:r>
          </w:p>
        </w:tc>
      </w:tr>
      <w:tr>
        <w:trPr>
          <w:trHeight w:val="257"/>
        </w:trPr>
        <w:tc>
          <w:tcPr>
            <w:tcW w:w="7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63,604</w:t>
            </w:r>
          </w:p>
        </w:tc>
      </w:tr>
      <w:tr>
        <w:trPr>
          <w:trHeight w:val="270"/>
        </w:trPr>
        <w:tc>
          <w:tcPr>
            <w:tcW w:w="774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r>
      <w:tr>
        <w:trPr>
          <w:trHeight w:val="257"/>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73,868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54,914</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ILN Transaction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NMIC entered into a reinsurance agreement with Oaktown Re Ltd. (Oaktown Re), which provides for up to $211.3 million of aggregate excess-of-loss reinsurance coverage at inception for new delinquencies on an existing portfolio of mortgage insurance policies written from 2013 through December 31, 2016. For the reinsurance coverage period, NMIC retains the first layer of $126.8 million of aggregate losses, of which $124.7 million remained at March 31, 2019, and Oaktown Re then provides second layer coverage up to the outstanding reinsurance coverage amount. NMIC then retains losses in excess of the outstanding reinsurance coverage amount. The outstanding reinsurance coverage amount decreases from $211.3 million at inception over a ten-year period as the underlying covered mortgages are amortized or repaid, and/or the mortgage insurance coverage is canceled and was $117.4 million as of March 31, 2019. The outstanding reinsurance coverage amount will stop amortizing if certain credit enhancement or delinquency thresholds are triggered.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anticipated operating expenses (capped at $300 thousand per year). For the three months ended March 31, 2019 and 2018, NMIC ceded risk premiums of $1.4 million and $1.6 million, respectively. NMIC did not cede any losses to Oaktown Re during the three months ended March 31, 2019 and 2018.</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ILN Transaction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2018, NMIC entered into a reinsurance agreement with Oaktown Re II Ltd. (Oaktown Re II), which provides for up to $264.5 million of aggregate excess-of-loss reinsurance coverage at inception for new delinquencies on an existing portfolio of mortgage insurance policies written between January 1, 2017 and May 31, 2018. For the reinsurance coverage period, NMIC retains the first layer of $125.3 million of aggregate losses, of which $125.3 million remained at March 31, 2019, and Oaktown Re II then provides second layer coverage up to the outstanding reinsurance coverage amount. NMIC then retains losses in excess of the outstanding reinsurance coverage amount. The outstanding reinsurance coverage amount decreases from $264.5 million at inception over a ten-year period as the underlying covered mortgages are amortized or repaid, and/or the mortgage insurance coverage is canceled, and was $264.5 million as of March 31, 2019. The outstanding reinsurance coverage amount will begin amortizing after an initial period in which a target level of credit enhancement is obtained and will stop amortizing if certain credit enhancement or delinquency thresholds are triggered.</w:t>
      </w:r>
    </w:p>
    <w:p>
      <w:pPr>
        <w:spacing w:after="0" w:line="1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 under the reinsurance agreement. Funds in the reinsurance trust account are required to be invested in high credit quality money market funds at all times. We refer collectively to NMIC's reinsurance agreement with Oaktown Re II and the issuance of the 2018 Notes by Oaktown Re II as the 2018 ILN Transaction. Under the terms of the 2018 ILN Transaction, NMIC makes risk premium payments for the applicable outstanding reinsurance coverage amount and pays Oaktown Re II for anticipated operating expenses (capped at $250 thousand per year). For the three months ended March 31, 2019, NMIC ceded risk premiums of $1.7 million and did not cede any losses to Oaktown Re II.</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ILN Transaction, we are required to maintain a certain level of restricted funds in a premium deposit account with Bank of New York Mellon until the 2018 Notes have been redeemed in full. "Cash and cash equivalents" on our balance sheet includes restricted cash of $1.4 million as of March 31, 2019. We are not required to deposit additional funds into the premium deposit account and the restricted balance will decrease over time as the principal balance of the 2018 Notes declines.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refer collectively to the 2017 ILN Transaction and 2018 ILN Transaction as the ILN Transactions. NMIC holds optional termination rights under each ILN Transaction in the event of certain occurrences,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inception of each ILN Transaction, we determined that Oaktown Re and Oaktown Re II were variable interest entities (VIEs). However, we concluded that we are not the primary beneficiary of either Oaktown Re or Oaktown Re II because NMIC does not have significant economic exposure to either Oaktown Re or Oaktown Re II, and, as such, we do not consolidate the VIEs in our consolidated financial statements.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September 1, 2016, NMIC entered into a quota-share reinsurance (QSR) transaction (the 2016 QSR Transaction) with a panel of third-party reinsurers. Each of the third-party reinsurers has an insurer financial strength rating of A- or better by Standard and Poor’s Rating Services (S&amp;P), A.M. Best or both.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31"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94" w:lineRule="exact"/>
        <w:rPr>
          <w:rFonts w:ascii="Arial" w:cs="Arial" w:eastAsia="Arial" w:hAnsi="Arial"/>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Effective January 1, 2018, NMIC entered into a second quota share reinsurance treaty with a panel of third-party reinsurers (the 2018 QSR Transaction, together with the 2016 QSR Transaction, the QSR Transactions). Each of the third-party reinsurers has an insurer financial strength rating of A-or better by S&amp;P, AM Best or both. Under the 2018 QSR Transaction, NMIC cedes premiums earned related to 25% of risk on eligible policies written in 2018 and 20% of risk on eligible policies written in 2019. The 2018 QSR Transaction is scheduled to terminate on December 31, 2029. However, NMIC has the option, based on certain conditions and subject to a termination fee, to terminate the agreement as of December 31, 2022, or at the end of any calendar quarter thereafter, which would result in NMIC reassuming the related risk.</w:t>
      </w:r>
    </w:p>
    <w:p>
      <w:pPr>
        <w:spacing w:after="0" w:line="153"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9"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this termination, ceded premiums written under the 2016 QSR Transaction will decrease from 25% to 20.5% on eligible policies. The termination has no effect on the cession of pool risk under the 2016 QSR Transaction.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ind w:right="111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4,534,353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3,304,335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(18,845)</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(14,525)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(21,468)</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Ceded claims and claim expenses</w:t>
            </w:r>
          </w:p>
        </w:tc>
        <w:tc>
          <w:tcPr>
            <w:tcW w:w="22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3,771</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22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4,206</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3,151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12,061</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9,201</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$3.1 million as of March 31, 2019.</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$0.6 million as of March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 expense reserves, which represent the estimated cost of the claim administration process, including legal and other fees, as well as other general expenses of administering the claims settlement process. As of March 31, 2019, we had reserves for insurance claims and claim expenses of $15.5 million for 940 primary loans in default. During the three months ended March 31, 2019, we paid 37 claims totaling $0.9 million, including 36 claims covered under the QSR Transactions representing $0.2 million of ceded claims and claim expenses.</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2019, 53 loans in the pool were past due by 60 days or more. These 53 loans represented approximately $3.3 million of RIF. Due to the size of the remaining deductible, the low level of notices of default (NODs) reported on loans in the pool through March 31, 2019 and the expected severity (all loans in the pool have loan-to-value ratios (LTV) ratios under 80%), we did not establish any case or IBNR reserves for pool risk at March 31, 2019. In connection with the settlement of pool claims, we applied $0.6 million to the pool deductible through March 31, 2019. At March 31, 2019, the remaining pool deductible was $9.7 million. We have not paid any pool claims to date. 100% of our pool RIF is reinsured under the 2016 QSR Transaction.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371</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r>
      <w:tr>
        <w:trPr>
          <w:trHeight w:val="318"/>
        </w:trPr>
        <w:tc>
          <w:tcPr>
            <w:tcW w:w="79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8,057</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2,334</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15,537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00" w:right="200" w:hanging="492"/>
        <w:spacing w:after="0" w:line="215" w:lineRule="auto"/>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 xml:space="preserve">Related to ceded losses recoverable on the QSR Transactions, included in "Other Assets" on the Condensed Consolidated Balance Sheets. See Note 5, </w:t>
      </w:r>
      <w:r>
        <w:rPr>
          <w:rFonts w:ascii="Arial" w:cs="Arial" w:eastAsia="Arial" w:hAnsi="Arial"/>
          <w:sz w:val="16"/>
          <w:szCs w:val="16"/>
          <w:i w:val="1"/>
          <w:iCs w:val="1"/>
          <w:color w:val="auto"/>
        </w:rPr>
        <w:t>"Reinsurance"</w:t>
      </w:r>
      <w:r>
        <w:rPr>
          <w:rFonts w:ascii="Arial" w:cs="Arial" w:eastAsia="Arial" w:hAnsi="Arial"/>
          <w:sz w:val="16"/>
          <w:szCs w:val="16"/>
          <w:color w:val="auto"/>
        </w:rPr>
        <w:t xml:space="preserve"> for additional information.</w:t>
      </w:r>
    </w:p>
    <w:p>
      <w:pPr>
        <w:spacing w:after="0" w:line="63" w:lineRule="exact"/>
        <w:rPr>
          <w:rFonts w:ascii="Arial" w:cs="Arial" w:eastAsia="Arial" w:hAnsi="Arial"/>
          <w:sz w:val="25"/>
          <w:szCs w:val="25"/>
          <w:color w:val="auto"/>
          <w:vertAlign w:val="superscript"/>
        </w:rPr>
      </w:pPr>
    </w:p>
    <w:p>
      <w:pPr>
        <w:ind w:left="500" w:right="260" w:hanging="492"/>
        <w:spacing w:after="0" w:line="232" w:lineRule="auto"/>
        <w:tabs>
          <w:tab w:leader="none" w:pos="5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spacing w:after="0" w:line="5" w:lineRule="exact"/>
        <w:rPr>
          <w:rFonts w:ascii="Arial" w:cs="Arial" w:eastAsia="Arial" w:hAnsi="Arial"/>
          <w:sz w:val="23"/>
          <w:szCs w:val="23"/>
          <w:color w:val="auto"/>
          <w:vertAlign w:val="superscript"/>
        </w:rPr>
      </w:pPr>
    </w:p>
    <w:p>
      <w:pPr>
        <w:ind w:left="500" w:hanging="492"/>
        <w:spacing w:after="0"/>
        <w:tabs>
          <w:tab w:leader="none" w:pos="5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 Amounts are presented net of reinsurance.</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 expenses to be ultimately paid on such loans in default. We recognized $1.2 million and $0.4 million of favorable prior year development during the three months ended March 31, 2019 and 2018,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$10.4 million related to prior year defaults remained as of March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702"/>
        <w:spacing w:after="0" w:line="293" w:lineRule="auto"/>
        <w:rPr>
          <w:sz w:val="20"/>
          <w:szCs w:val="20"/>
          <w:color w:val="auto"/>
        </w:rPr>
      </w:pPr>
      <w:r>
        <w:rPr>
          <w:rFonts w:ascii="Arial" w:cs="Arial" w:eastAsia="Arial" w:hAnsi="Arial"/>
          <w:sz w:val="16"/>
          <w:szCs w:val="16"/>
          <w:color w:val="auto"/>
        </w:rPr>
        <w:t>Basic earnings per share is based on the weighted average number of shares of common stock outstanding. Diluted earnings per share is based on the weighted average number of shares of common stock outstanding and common stock equivalents that would be issuable upon the vesting of service based and performance and service based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earnings per share of common stock.</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3300" w:type="dxa"/>
            <w:vAlign w:val="bottom"/>
            <w:gridSpan w:val="5"/>
          </w:tcPr>
          <w:p>
            <w:pPr>
              <w:jc w:val="right"/>
              <w:ind w:right="351"/>
              <w:spacing w:after="0"/>
              <w:rPr>
                <w:sz w:val="20"/>
                <w:szCs w:val="20"/>
                <w:color w:val="auto"/>
              </w:rPr>
            </w:pPr>
            <w:r>
              <w:rPr>
                <w:rFonts w:ascii="Arial" w:cs="Arial" w:eastAsia="Arial" w:hAnsi="Arial"/>
                <w:sz w:val="14"/>
                <w:szCs w:val="14"/>
                <w:i w:val="1"/>
                <w:iCs w:val="1"/>
                <w:color w:val="auto"/>
              </w:rPr>
              <w:t>(In Thousands, except for per share data)</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32,899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66,692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62,099</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32,899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9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32,899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w:t>
            </w:r>
          </w:p>
        </w:tc>
      </w:tr>
      <w:tr>
        <w:trPr>
          <w:trHeight w:val="297"/>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66,692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3,598</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68,996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65,697</w:t>
            </w:r>
          </w:p>
        </w:tc>
      </w:tr>
      <w:tr>
        <w:trPr>
          <w:trHeight w:val="297"/>
        </w:trPr>
        <w:tc>
          <w:tcPr>
            <w:tcW w:w="8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8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shares</w:t>
            </w: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 During the three months ended March 31, 2019, 67 thousand warrants were exercised resulting in the issuance of 39 thousand common shares. Upon exercise, we reclassified approximately $0.9 million of warrant fair value from warrant liability to additional paid-in capital, of which $0.3 million related to changes in fair value during the three months ended March 31, 2019. During the three months ended March 31, 2018, 54 thousand warrants were exercised resulting in the issuance of 26 thousand common shares. Upon exercise, we reclassified approximately $0.5 million of warrant fair value from warrant liability to additional paid-in capital, of which $0.1 million related to changes in fair value during the three months ended March 31, 2018.</w:t>
      </w:r>
    </w:p>
    <w:p>
      <w:pPr>
        <w:spacing w:after="0" w:line="1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U.S. taxpayer and are subject to a statutory U.S. federal corporate income tax rate of 21%. NMIH files a consolidated U.S. federal and various state income tax returns on behalf of itself and its subsidiaries. Our provision for income taxes for interim reporting periods is established based on our estimated annual effective tax rates for a given year. Our effective tax rate on our pre-tax income was 15.6% for the three months ended March 31, 2019, compared to 15.7% for the three months ended March 31, 2018. As a mortgage guaranty insurance company, we are eligible to claim a tax deduction of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2019 represents a change in our net deferred tax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two operating lease agreements related to our corporate headquarters and a data center facility for which we recognized operating right-of-use (ROU) assets and lease liabilities of $7.7 million and $8.9 million, respectively, as of March 31, 2019. As of March 31, 2019, we did not have any finance leases.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recognize ROU assets and lease liabilities in connection with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ROU assets and lease liabilities are established based on the estimated present value of lease payments over the relevant lease term. We estimate a discount rate for each lease based on our estimated incremental borrowing rate at the commencement date of the relevant lease.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Right-of-use assets obtained in exchange for new operating lease liabilities for the three months ended March 31, 2019 were $8.1 million. The following table provides a summary of our ROU asset and lease liability assumptions as of March 31,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4620" w:type="dxa"/>
            <w:vAlign w:val="bottom"/>
          </w:tcPr>
          <w:p>
            <w:pPr>
              <w:jc w:val="right"/>
              <w:ind w:right="90"/>
              <w:spacing w:after="0"/>
              <w:rPr>
                <w:sz w:val="20"/>
                <w:szCs w:val="20"/>
                <w:color w:val="auto"/>
              </w:rPr>
            </w:pPr>
            <w:r>
              <w:rPr>
                <w:rFonts w:ascii="Arial" w:cs="Arial" w:eastAsia="Arial" w:hAnsi="Arial"/>
                <w:sz w:val="18"/>
                <w:szCs w:val="18"/>
                <w:color w:val="auto"/>
              </w:rPr>
              <w:t>4 years</w:t>
            </w:r>
          </w:p>
        </w:tc>
      </w:tr>
      <w:tr>
        <w:trPr>
          <w:trHeight w:val="27"/>
        </w:trPr>
        <w:tc>
          <w:tcPr>
            <w:tcW w:w="680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43"/>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8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paid and lease expenses recognized on our operating lease liabilities for the three months ended March 31, 2019 were $0.6 million. Future payments due under our existing operating leases as of March 31, 2019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tcPr>
          <w:p>
            <w:pPr>
              <w:jc w:val="right"/>
              <w:ind w:right="1072"/>
              <w:spacing w:after="0"/>
              <w:rPr>
                <w:sz w:val="20"/>
                <w:szCs w:val="20"/>
                <w:color w:val="auto"/>
              </w:rPr>
            </w:pPr>
            <w:r>
              <w:rPr>
                <w:rFonts w:ascii="Arial" w:cs="Arial" w:eastAsia="Arial" w:hAnsi="Arial"/>
                <w:sz w:val="14"/>
                <w:szCs w:val="14"/>
                <w:i w:val="1"/>
                <w:iCs w:val="1"/>
                <w:color w:val="auto"/>
              </w:rPr>
              <w:t>(In Thousands)</w:t>
            </w:r>
          </w:p>
        </w:tc>
      </w:tr>
      <w:tr>
        <w:trPr>
          <w:trHeight w:val="222"/>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62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56"/>
        </w:trPr>
        <w:tc>
          <w:tcPr>
            <w:tcW w:w="8240" w:type="dxa"/>
            <w:vAlign w:val="bottom"/>
            <w:tcBorders>
              <w:bottom w:val="single" w:sz="8" w:color="CCEEFF"/>
            </w:tcBorders>
            <w:shd w:val="clear" w:color="auto" w:fill="CCEEFF"/>
          </w:tcPr>
          <w:p>
            <w:pPr>
              <w:jc w:val="right"/>
              <w:ind w:right="7512"/>
              <w:spacing w:after="0"/>
              <w:rPr>
                <w:sz w:val="20"/>
                <w:szCs w:val="20"/>
                <w:color w:val="auto"/>
              </w:rPr>
            </w:pPr>
            <w:r>
              <w:rPr>
                <w:rFonts w:ascii="Arial" w:cs="Arial" w:eastAsia="Arial" w:hAnsi="Arial"/>
                <w:sz w:val="18"/>
                <w:szCs w:val="18"/>
                <w:color w:val="auto"/>
                <w:shd w:val="clear" w:color="auto" w:fill="CCEEFF"/>
              </w:rPr>
              <w:t>2019</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w:t>
            </w:r>
          </w:p>
        </w:tc>
      </w:tr>
      <w:tr>
        <w:trPr>
          <w:trHeight w:val="243"/>
        </w:trPr>
        <w:tc>
          <w:tcPr>
            <w:tcW w:w="8240" w:type="dxa"/>
            <w:vAlign w:val="bottom"/>
          </w:tcPr>
          <w:p>
            <w:pPr>
              <w:jc w:val="right"/>
              <w:ind w:right="7512"/>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1"/>
                <w:szCs w:val="21"/>
                <w:color w:val="auto"/>
              </w:rPr>
            </w:pP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2,537</w:t>
            </w:r>
          </w:p>
        </w:tc>
      </w:tr>
      <w:tr>
        <w:trPr>
          <w:trHeight w:val="27"/>
        </w:trPr>
        <w:tc>
          <w:tcPr>
            <w:tcW w:w="8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jc w:val="right"/>
              <w:ind w:right="7512"/>
              <w:spacing w:after="0"/>
              <w:rPr>
                <w:sz w:val="20"/>
                <w:szCs w:val="20"/>
                <w:color w:val="auto"/>
              </w:rPr>
            </w:pPr>
            <w:r>
              <w:rPr>
                <w:rFonts w:ascii="Arial" w:cs="Arial" w:eastAsia="Arial" w:hAnsi="Arial"/>
                <w:sz w:val="18"/>
                <w:szCs w:val="18"/>
                <w:color w:val="auto"/>
                <w:shd w:val="clear" w:color="auto" w:fill="CCEEFF"/>
              </w:rPr>
              <w:t>2021</w:t>
            </w:r>
          </w:p>
        </w:tc>
        <w:tc>
          <w:tcPr>
            <w:tcW w:w="6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w:t>
            </w:r>
          </w:p>
        </w:tc>
      </w:tr>
      <w:tr>
        <w:trPr>
          <w:trHeight w:val="243"/>
        </w:trPr>
        <w:tc>
          <w:tcPr>
            <w:tcW w:w="8240" w:type="dxa"/>
            <w:vAlign w:val="bottom"/>
          </w:tcPr>
          <w:p>
            <w:pPr>
              <w:jc w:val="right"/>
              <w:ind w:right="7512"/>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21"/>
                <w:szCs w:val="21"/>
                <w:color w:val="auto"/>
              </w:rPr>
            </w:pP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2,574</w:t>
            </w:r>
          </w:p>
        </w:tc>
      </w:tr>
      <w:tr>
        <w:trPr>
          <w:trHeight w:val="27"/>
        </w:trPr>
        <w:tc>
          <w:tcPr>
            <w:tcW w:w="8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jc w:val="right"/>
              <w:ind w:right="7512"/>
              <w:spacing w:after="0"/>
              <w:rPr>
                <w:sz w:val="20"/>
                <w:szCs w:val="20"/>
                <w:color w:val="auto"/>
              </w:rPr>
            </w:pPr>
            <w:r>
              <w:rPr>
                <w:rFonts w:ascii="Arial" w:cs="Arial" w:eastAsia="Arial" w:hAnsi="Arial"/>
                <w:sz w:val="18"/>
                <w:szCs w:val="18"/>
                <w:color w:val="auto"/>
                <w:shd w:val="clear" w:color="auto" w:fill="CCEEFF"/>
              </w:rPr>
              <w:t>2023</w:t>
            </w:r>
          </w:p>
        </w:tc>
        <w:tc>
          <w:tcPr>
            <w:tcW w:w="6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10,035</w:t>
            </w:r>
          </w:p>
        </w:tc>
      </w:tr>
      <w:tr>
        <w:trPr>
          <w:trHeight w:val="27"/>
        </w:trPr>
        <w:tc>
          <w:tcPr>
            <w:tcW w:w="8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effects of discounting</w:t>
            </w:r>
          </w:p>
        </w:tc>
        <w:tc>
          <w:tcPr>
            <w:tcW w:w="6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Present value of lease payments</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8,871</w:t>
            </w:r>
          </w:p>
        </w:tc>
      </w:tr>
      <w:tr>
        <w:trPr>
          <w:trHeight w:val="20"/>
        </w:trPr>
        <w:tc>
          <w:tcPr>
            <w:tcW w:w="8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Lease expense is recorded in underwriting and operating expenses on the consolidated statements of operations. Our existing operating leases have terms that range from three to five years. The lease for our corporate headquarters includes an option to renew for an additional five years at prevailing market rates at time of renewal. We have not included this renewal option in our calculation of minimum lease payments as it is not reasonably certain to be exercised.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of December 31, 2018, the future minimum lease payments as accounted for prior to our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jc w:val="right"/>
              <w:ind w:right="11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r>
      <w:tr>
        <w:trPr>
          <w:trHeight w:val="243"/>
        </w:trPr>
        <w:tc>
          <w:tcPr>
            <w:tcW w:w="8120" w:type="dxa"/>
            <w:vAlign w:val="bottom"/>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2,417</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r>
      <w:tr>
        <w:trPr>
          <w:trHeight w:val="243"/>
        </w:trPr>
        <w:tc>
          <w:tcPr>
            <w:tcW w:w="8120" w:type="dxa"/>
            <w:vAlign w:val="bottom"/>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2,564</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Totals</w:t>
            </w: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r>
    </w:tbl>
    <w:p>
      <w:pPr>
        <w:spacing w:after="0" w:line="171" w:lineRule="exact"/>
        <w:rPr>
          <w:sz w:val="20"/>
          <w:szCs w:val="20"/>
          <w:color w:val="auto"/>
        </w:rPr>
      </w:pPr>
    </w:p>
    <w:p>
      <w:pPr>
        <w:ind w:left="660" w:right="9080" w:hanging="652"/>
        <w:spacing w:after="0" w:line="528" w:lineRule="auto"/>
        <w:tabs>
          <w:tab w:leader="none" w:pos="272"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264"/>
        </w:trPr>
        <w:tc>
          <w:tcPr>
            <w:tcW w:w="7820" w:type="dxa"/>
            <w:vAlign w:val="bottom"/>
          </w:tcPr>
          <w:p>
            <w:pPr>
              <w:spacing w:after="0"/>
              <w:rPr>
                <w:sz w:val="22"/>
                <w:szCs w:val="22"/>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2018</w:t>
            </w:r>
          </w:p>
        </w:tc>
      </w:tr>
      <w:tr>
        <w:trPr>
          <w:trHeight w:val="250"/>
        </w:trPr>
        <w:tc>
          <w:tcPr>
            <w:tcW w:w="7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1160" w:type="dxa"/>
            <w:vAlign w:val="bottom"/>
          </w:tcPr>
          <w:p>
            <w:pPr>
              <w:spacing w:after="0"/>
              <w:rPr>
                <w:sz w:val="21"/>
                <w:szCs w:val="21"/>
                <w:color w:val="auto"/>
              </w:rPr>
            </w:pPr>
          </w:p>
        </w:tc>
      </w:tr>
      <w:tr>
        <w:trPr>
          <w:trHeight w:val="24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 (loss)</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(927)</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r>
      <w:tr>
        <w:trPr>
          <w:trHeight w:val="27"/>
        </w:trPr>
        <w:tc>
          <w:tcPr>
            <w:tcW w:w="78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surplus, contingency reserve and risk-to-capital (RTC) ratios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gridSpan w:val="3"/>
          </w:tcPr>
          <w:p>
            <w:pPr>
              <w:jc w:val="right"/>
              <w:ind w:right="974"/>
              <w:spacing w:after="0"/>
              <w:rPr>
                <w:sz w:val="20"/>
                <w:szCs w:val="20"/>
                <w:color w:val="auto"/>
              </w:rPr>
            </w:pPr>
            <w:r>
              <w:rPr>
                <w:rFonts w:ascii="Arial" w:cs="Arial" w:eastAsia="Arial" w:hAnsi="Arial"/>
                <w:sz w:val="14"/>
                <w:szCs w:val="14"/>
                <w:i w:val="1"/>
                <w:iCs w:val="1"/>
                <w:color w:val="auto"/>
              </w:rPr>
              <w:t>(Dollars In Thousands)</w:t>
            </w:r>
          </w:p>
        </w:tc>
      </w:tr>
      <w:tr>
        <w:trPr>
          <w:trHeight w:val="25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431,824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430,785</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375,823</w:t>
            </w:r>
          </w:p>
        </w:tc>
        <w:tc>
          <w:tcPr>
            <w:tcW w:w="2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332,702</w:t>
            </w: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RTC Ratio</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13.1:1</w:t>
            </w:r>
          </w:p>
        </w:tc>
      </w:tr>
      <w:tr>
        <w:trPr>
          <w:trHeight w:val="27"/>
        </w:trPr>
        <w:tc>
          <w:tcPr>
            <w:tcW w:w="7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2018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2018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2019, we had master policies with 1,392 customers, including national and regional mortgage banks, money center banks, credit unions, community banks, builder-owned mortgage lenders, internet-sourced lenders and other non-bank lenders. As of March 31, 2019, we had $76.1 billion of total insurance-in-force (IIF), including primary IIF of $73.2 billion, and $18.5 billion of gross RIF, including primary RIF of $18.4 billion.</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March 31, 2019, we had 308 full time employees.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SM</w:t>
      </w:r>
      <w:r>
        <w:rPr>
          <w:rFonts w:ascii="Arial" w:cs="Arial" w:eastAsia="Arial" w:hAnsi="Arial"/>
          <w:sz w:val="17"/>
          <w:szCs w:val="17"/>
          <w:color w:val="auto"/>
        </w:rPr>
        <w:t>.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Premiums are generally fixed for the duration of our coverage of the underlying loans. Net premiums written are equal to gross premiums written minus ceded premiums written under our reinsurance arrangements, less premium refunds. As a result, net premiums written are generally influenced by:</w:t>
      </w:r>
    </w:p>
    <w:p>
      <w:pPr>
        <w:spacing w:after="0" w:line="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jc w:val="both"/>
        <w:ind w:left="660" w:right="4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A majority of our single premium policies in force as of March 31, 2019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utilize third-party reinsurance to actively manage our risk, ensure PMIERs compliance and support the growth of our business. We currently have both quota share and excess-of-loss reinsurance agreements in place, which impact our results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Under the terms of the 2016 QSR Transaction, NMIC ceded premiums written related to (1) 100% of the risk under our pool agreement with Fannie Mae, (2) 25% of the existing risk on eligible policies written as of August 31, 2016 and (3) 25% of the risk on eligible policies written between September 1, 2016 and December 31, 2017, in exchange for reimbursement of ceded claims and claim expenses on covered policies, a 20% ceding commission, and a profit commission of up to 60% that varies directly and inversely with ceded claims.</w:t>
      </w:r>
    </w:p>
    <w:p>
      <w:pPr>
        <w:spacing w:after="0" w:line="13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panel of third-party reinsurers. Under the 2018 QSR Transaction, NMIC cedes premiums earned related to 25% of risk on eligible policies written in 2018 and will cede premiums earned related to 20% of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Under the terms of the QSR Transactions, NMIC may elect to selectively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1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this termination, ceded premiums written under the 2016 QSR Transaction will decrease from 25% to 20.5% on eligible policies. The termination has no effect on the cession of pool risk under the 2016 QSR Transaction. We estimate that PMIERs </w:t>
      </w:r>
      <w:r>
        <w:rPr>
          <w:rFonts w:ascii="Arial" w:cs="Arial" w:eastAsia="Arial" w:hAnsi="Arial"/>
          <w:sz w:val="17"/>
          <w:szCs w:val="17"/>
          <w:i w:val="1"/>
          <w:iCs w:val="1"/>
          <w:color w:val="auto"/>
        </w:rPr>
        <w:t>risk-based required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w:t>
      </w:r>
      <w:r>
        <w:rPr>
          <w:rFonts w:ascii="Arial" w:cs="Arial" w:eastAsia="Arial" w:hAnsi="Arial"/>
          <w:sz w:val="17"/>
          <w:szCs w:val="17"/>
          <w:color w:val="auto"/>
        </w:rPr>
        <w:t>would have increased by approximately $27 million at March 31, 2019 as a result of the termination.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May 2017, NMIC secured $211.3 million of aggregate excess-of-loss reinsurance coverage at inception for an existing portfolio of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are amortized or repaid, and/or the mortgage insurance coverage is canceled and was $117.4 million as of March 31, 2019. For the reinsurance coverage period, NMIC retains the first layer of $126.8 million of aggregate losses, of which $124.7 million remained as of March 31, 2019, and Oaktown Re then provides second layer coverage up to the outstanding reinsurance coverage amount. NMIC then retains losses in excess of the outstanding reinsurance coverage amount.</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2018, NMIC secured $264.5 million of aggregate excess-of-loss reinsurance coverage at inception for an existing portfolio of policies written from January 1, 2017 through May 31, 2018, through a mortgage insurance-linked notes offering by Oaktown Re II. The reinsurance coverage amount under the terms of the 2018 ILN Transaction decreases from $264.5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and was $264.5 million as of March 31, 2019. For the reinsurance coverage period, NMIC retains the first layer of $125.3 million of aggregate losses, of which $125.3 million remained at March 31, 2019, and Oaktown Re II then provides second layer coverage up to the outstanding reinsurance coverage amount. NMIC then retains losses in excess of the outstanding reinsurance coverage amount.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right="20"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March 31, 2019</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6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NIW</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IIF</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NIW</w:t>
            </w:r>
          </w:p>
        </w:tc>
      </w:tr>
      <w:tr>
        <w:trPr>
          <w:trHeight w:val="250"/>
        </w:trPr>
        <w:tc>
          <w:tcPr>
            <w:tcW w:w="6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Single</w:t>
            </w:r>
          </w:p>
        </w:tc>
        <w:tc>
          <w:tcPr>
            <w:tcW w:w="3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1,019</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6,460</w:t>
            </w:r>
          </w:p>
        </w:tc>
      </w:tr>
      <w:tr>
        <w:trPr>
          <w:trHeight w:val="176"/>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76,072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56,587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6,460</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2019, NIW increased 7%, compared to the three months ended March 31, 2018, primarily due to growth in our monthly premium policy volume tied to increased penetration of existing customer accounts and new customer account activations, partially offset by a reduction in our single premium policy production. For the three months ended March 31, 2019, monthly premium NIW increased 14%, compared to the three months ended March 31, 2018.</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2019, monthly premium polices accounted for 90% of our NIW. As of March 31, 2019, monthly premium policies accounted for 76% of our primary IIF, as compared to 70% at March 31, 2018. We expect the break-down of monthly premium policies and single premium policies (which we refer to as "mix") in our primary IIF to continue to trend toward an increased monthly mix over time given the composition of our NIW. Our primary IIF increased 37% as of March 31, 2019 compared to March 31, 2018, primarily due to the NIW generated between such measurement dates and the persistency of in force policies.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4"/>
              </w:rPr>
              <w:t>March 31, 2019</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March 31, 2018</w:t>
            </w:r>
          </w:p>
        </w:tc>
      </w:tr>
      <w:tr>
        <w:trPr>
          <w:trHeight w:val="250"/>
        </w:trPr>
        <w:tc>
          <w:tcPr>
            <w:tcW w:w="8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right"/>
              <w:ind w:right="77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71,923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59,030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73,868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54,914</w:t>
            </w:r>
          </w:p>
        </w:tc>
      </w:tr>
    </w:tbl>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2019, net premiums written increased 22% and net premiums earned increased 35% compared to the three months ended March 31, 2018. The increases in net premiums written and earned are due to the growth of our IIF and increased monthly policy production, partially offset by increased cessions under the QSR Transactions tied to the growth of our direct premium volume and the inception of the 2018 ILN Transaction.</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Pool premiums written and earned for the three months ended March 31, 2019 and 2018, were $0.8 million and $0.9 million, respectively, before giving effect to the 2016 QSR Transaction, under which all of our written and earned pool premiums have been ceded. A portion of our ceded pool premiums written and earned are recouped through profit commission under the 2016 QSR Transaction.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40" w:type="dxa"/>
            <w:vAlign w:val="bottom"/>
            <w:gridSpan w:val="5"/>
          </w:tcPr>
          <w:p>
            <w:pPr>
              <w:jc w:val="center"/>
              <w:ind w:right="251"/>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6"/>
        </w:trPr>
        <w:tc>
          <w:tcPr>
            <w:tcW w:w="3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March 31, 2019</w:t>
            </w:r>
          </w:p>
        </w:tc>
        <w:tc>
          <w:tcPr>
            <w:tcW w:w="14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December 31, 2018</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June 30, 2018</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8"/>
              </w:rPr>
              <w:t>March 31, 2018</w:t>
            </w:r>
          </w:p>
        </w:tc>
      </w:tr>
      <w:tr>
        <w:trPr>
          <w:trHeight w:val="250"/>
        </w:trPr>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6"/>
              </w:rPr>
              <w:t>($ Values In Millions)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3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6,913</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6,962</w:t>
            </w:r>
          </w:p>
        </w:tc>
        <w:tc>
          <w:tcPr>
            <w:tcW w:w="4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6,460</w:t>
            </w:r>
          </w:p>
        </w:tc>
      </w:tr>
      <w:tr>
        <w:trPr>
          <w:trHeight w:val="243"/>
        </w:trPr>
        <w:tc>
          <w:tcPr>
            <w:tcW w:w="3640" w:type="dxa"/>
            <w:vAlign w:val="bottom"/>
          </w:tcPr>
          <w:p>
            <w:pPr>
              <w:ind w:left="68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Percentage of single premium</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New risk written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1,799</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1,799</w:t>
            </w:r>
          </w:p>
        </w:tc>
        <w:tc>
          <w:tcPr>
            <w:tcW w:w="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1,580</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Insurance-in-force (IIF)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73,234</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68,551</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63,527</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58,089</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53,434</w:t>
            </w:r>
          </w:p>
        </w:tc>
      </w:tr>
      <w:tr>
        <w:trPr>
          <w:trHeight w:val="243"/>
        </w:trPr>
        <w:tc>
          <w:tcPr>
            <w:tcW w:w="3640" w:type="dxa"/>
            <w:vAlign w:val="bottom"/>
          </w:tcPr>
          <w:p>
            <w:pPr>
              <w:ind w:left="68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Percentage of single premium</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6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18,373</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17,091</w:t>
            </w:r>
          </w:p>
        </w:tc>
        <w:tc>
          <w:tcPr>
            <w:tcW w:w="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15,744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14,308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13,085</w:t>
            </w:r>
          </w:p>
        </w:tc>
      </w:tr>
      <w:tr>
        <w:trPr>
          <w:trHeight w:val="270"/>
        </w:trPr>
        <w:tc>
          <w:tcPr>
            <w:tcW w:w="36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297,232</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280,825</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262,485</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241,993</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223,263</w:t>
            </w:r>
          </w:p>
        </w:tc>
      </w:tr>
      <w:tr>
        <w:trPr>
          <w:trHeight w:val="270"/>
        </w:trPr>
        <w:tc>
          <w:tcPr>
            <w:tcW w:w="36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0.246</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0.244</w:t>
            </w:r>
          </w:p>
        </w:tc>
        <w:tc>
          <w:tcPr>
            <w:tcW w:w="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0.239</w:t>
            </w:r>
          </w:p>
        </w:tc>
      </w:tr>
      <w:tr>
        <w:trPr>
          <w:trHeight w:val="270"/>
        </w:trPr>
        <w:tc>
          <w:tcPr>
            <w:tcW w:w="36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36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940</w:t>
            </w:r>
          </w:p>
        </w:tc>
        <w:tc>
          <w:tcPr>
            <w:tcW w:w="420" w:type="dxa"/>
            <w:vAlign w:val="bottom"/>
          </w:tcPr>
          <w:p>
            <w:pPr>
              <w:spacing w:after="0"/>
              <w:rPr>
                <w:sz w:val="23"/>
                <w:szCs w:val="23"/>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877</w:t>
            </w:r>
          </w:p>
        </w:tc>
        <w:tc>
          <w:tcPr>
            <w:tcW w:w="40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1,000</w:t>
            </w:r>
          </w:p>
        </w:tc>
      </w:tr>
      <w:tr>
        <w:trPr>
          <w:trHeight w:val="250"/>
        </w:trPr>
        <w:tc>
          <w:tcPr>
            <w:tcW w:w="3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Percentage of loans in default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36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 in force on defaulted loans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57</w:t>
            </w:r>
          </w:p>
        </w:tc>
      </w:tr>
      <w:tr>
        <w:trPr>
          <w:trHeight w:val="270"/>
        </w:trPr>
        <w:tc>
          <w:tcPr>
            <w:tcW w:w="36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Earnings from cancellations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322"/>
        </w:trPr>
        <w:tc>
          <w:tcPr>
            <w:tcW w:w="3640" w:type="dxa"/>
            <w:vAlign w:val="bottom"/>
          </w:tcPr>
          <w:p>
            <w:pPr>
              <w:ind w:left="26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bl>
    <w:p>
      <w:pPr>
        <w:ind w:left="500" w:hanging="249"/>
        <w:spacing w:after="0" w:line="184"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Reported as of the end of the period.</w:t>
      </w:r>
    </w:p>
    <w:p>
      <w:pPr>
        <w:spacing w:after="0" w:line="1" w:lineRule="exact"/>
        <w:rPr>
          <w:rFonts w:ascii="Arial" w:cs="Arial" w:eastAsia="Arial" w:hAnsi="Arial"/>
          <w:sz w:val="22"/>
          <w:szCs w:val="22"/>
          <w:color w:val="auto"/>
          <w:vertAlign w:val="superscript"/>
        </w:rPr>
      </w:pPr>
    </w:p>
    <w:p>
      <w:pPr>
        <w:ind w:left="500" w:hanging="249"/>
        <w:spacing w:after="0" w:line="187" w:lineRule="auto"/>
        <w:tabs>
          <w:tab w:leader="none" w:pos="50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Calculated as end of period RIF divided by IIF.</w:t>
      </w:r>
    </w:p>
    <w:p>
      <w:pPr>
        <w:ind w:left="500" w:hanging="249"/>
        <w:spacing w:after="0" w:line="187" w:lineRule="auto"/>
        <w:tabs>
          <w:tab w:leader="none" w:pos="50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Calculated as net primary and pool premiums earned, net of reinsurance, divided by average primary IIF for the period, annualized.</w:t>
      </w:r>
    </w:p>
    <w:p>
      <w:pPr>
        <w:ind w:left="500" w:hanging="249"/>
        <w:spacing w:after="0" w:line="187" w:lineRule="auto"/>
        <w:tabs>
          <w:tab w:leader="none" w:pos="50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Defined as the percentage of IIF that remains on our books after any 12-month period.</w:t>
      </w:r>
    </w:p>
    <w:p>
      <w:pPr>
        <w:ind w:left="500" w:hanging="249"/>
        <w:spacing w:after="0" w:line="182"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Defined as the percentage of IIF that is no longer on our books after any 3-month period.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4"/>
          </w:tcPr>
          <w:p>
            <w:pPr>
              <w:jc w:val="right"/>
              <w:ind w:right="854"/>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NIW</w:t>
            </w:r>
          </w:p>
        </w:tc>
        <w:tc>
          <w:tcPr>
            <w:tcW w:w="4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Cancellations and other reductions</w:t>
            </w:r>
          </w:p>
        </w:tc>
        <w:tc>
          <w:tcPr>
            <w:tcW w:w="4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4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73,234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600" w:type="dxa"/>
            <w:vAlign w:val="bottom"/>
            <w:vMerge w:val="restart"/>
          </w:tcPr>
          <w:p>
            <w:pPr>
              <w:jc w:val="right"/>
              <w:ind w:right="291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1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2019</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2018</w:t>
            </w:r>
          </w:p>
        </w:tc>
        <w:tc>
          <w:tcPr>
            <w:tcW w:w="980" w:type="dxa"/>
            <w:vAlign w:val="bottom"/>
            <w:tcBorders>
              <w:bottom w:val="single" w:sz="8" w:color="auto"/>
            </w:tcBorders>
          </w:tcPr>
          <w:p>
            <w:pPr>
              <w:spacing w:after="0"/>
              <w:rPr>
                <w:sz w:val="16"/>
                <w:szCs w:val="16"/>
                <w:color w:val="auto"/>
              </w:rPr>
            </w:pPr>
          </w:p>
        </w:tc>
      </w:tr>
      <w:tr>
        <w:trPr>
          <w:trHeight w:val="264"/>
        </w:trPr>
        <w:tc>
          <w:tcPr>
            <w:tcW w:w="42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IIF</w:t>
            </w:r>
          </w:p>
        </w:tc>
        <w:tc>
          <w:tcPr>
            <w:tcW w:w="7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March 31, 2019</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25,609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1,573</w:t>
            </w:r>
          </w:p>
        </w:tc>
      </w:tr>
      <w:tr>
        <w:trPr>
          <w:trHeight w:val="27"/>
        </w:trPr>
        <w:tc>
          <w:tcPr>
            <w:tcW w:w="4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18,353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4,948</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14,750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17,497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4,262</w:t>
            </w:r>
          </w:p>
        </w:tc>
      </w:tr>
      <w:tr>
        <w:trPr>
          <w:trHeight w:val="27"/>
        </w:trPr>
        <w:tc>
          <w:tcPr>
            <w:tcW w:w="4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1,971</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2014 and before</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331</w:t>
            </w:r>
          </w:p>
        </w:tc>
      </w:tr>
      <w:tr>
        <w:trPr>
          <w:trHeight w:val="27"/>
        </w:trPr>
        <w:tc>
          <w:tcPr>
            <w:tcW w:w="4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73,234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53,434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13,085</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702"/>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172"/>
              <w:spacing w:after="0"/>
              <w:rPr>
                <w:sz w:val="20"/>
                <w:szCs w:val="20"/>
                <w:color w:val="auto"/>
              </w:rPr>
            </w:pPr>
            <w:r>
              <w:rPr>
                <w:rFonts w:ascii="Arial" w:cs="Arial" w:eastAsia="Arial" w:hAnsi="Arial"/>
                <w:sz w:val="14"/>
                <w:szCs w:val="14"/>
                <w:i w:val="1"/>
                <w:iCs w:val="1"/>
                <w:color w:val="auto"/>
              </w:rPr>
              <w:t>($ In Millions)</w:t>
            </w: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4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740-759</w:t>
            </w: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4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700-719</w:t>
            </w: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4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&lt;=679</w:t>
            </w: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4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0" w:type="dxa"/>
            <w:vAlign w:val="bottom"/>
            <w:vMerge w:val="restart"/>
          </w:tcPr>
          <w:p>
            <w:pPr>
              <w:jc w:val="right"/>
              <w:ind w:right="201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7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7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6"/>
          </w:tcPr>
          <w:p>
            <w:pPr>
              <w:jc w:val="right"/>
              <w:ind w:right="1233"/>
              <w:spacing w:after="0"/>
              <w:rPr>
                <w:sz w:val="20"/>
                <w:szCs w:val="20"/>
                <w:color w:val="auto"/>
              </w:rPr>
            </w:pPr>
            <w:r>
              <w:rPr>
                <w:rFonts w:ascii="Arial" w:cs="Arial" w:eastAsia="Arial" w:hAnsi="Arial"/>
                <w:sz w:val="14"/>
                <w:szCs w:val="14"/>
                <w:i w:val="1"/>
                <w:iCs w:val="1"/>
                <w:color w:val="auto"/>
              </w:rPr>
              <w:t>($ In Millions)</w:t>
            </w: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569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97"/>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2,765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2,241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1,755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97"/>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943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6,913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6,460</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481"/>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6"/>
          </w:tcPr>
          <w:p>
            <w:pPr>
              <w:jc w:val="center"/>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1,035</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6,460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2018</w:t>
            </w:r>
          </w:p>
        </w:tc>
        <w:tc>
          <w:tcPr>
            <w:tcW w:w="720" w:type="dxa"/>
            <w:vAlign w:val="bottom"/>
            <w:tcBorders>
              <w:bottom w:val="single" w:sz="8" w:color="auto"/>
            </w:tcBorders>
          </w:tcPr>
          <w:p>
            <w:pPr>
              <w:spacing w:after="0"/>
              <w:rPr>
                <w:sz w:val="22"/>
                <w:szCs w:val="22"/>
                <w:color w:val="auto"/>
              </w:rPr>
            </w:pPr>
          </w:p>
        </w:tc>
      </w:tr>
      <w:tr>
        <w:trPr>
          <w:trHeight w:val="250"/>
        </w:trPr>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33,902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25,371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12,160</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8,635</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10,096</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6,981</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8,122</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5,814</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5,435</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3,852</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3,519</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2,781</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73,234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53,434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73"/>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2018</w:t>
            </w:r>
          </w:p>
        </w:tc>
        <w:tc>
          <w:tcPr>
            <w:tcW w:w="720" w:type="dxa"/>
            <w:vAlign w:val="bottom"/>
            <w:tcBorders>
              <w:bottom w:val="single" w:sz="8" w:color="auto"/>
            </w:tcBorders>
          </w:tcPr>
          <w:p>
            <w:pPr>
              <w:spacing w:after="0"/>
              <w:rPr>
                <w:sz w:val="22"/>
                <w:szCs w:val="22"/>
                <w:color w:val="auto"/>
              </w:rPr>
            </w:pPr>
          </w:p>
        </w:tc>
      </w:tr>
      <w:tr>
        <w:trPr>
          <w:trHeight w:val="250"/>
        </w:trPr>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8,506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6,246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3,076</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2,125</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2,550</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1,710</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2,036</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1,416</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1,357</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932</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r>
      <w:tr>
        <w:trPr>
          <w:trHeight w:val="243"/>
        </w:trPr>
        <w:tc>
          <w:tcPr>
            <w:tcW w:w="5500" w:type="dxa"/>
            <w:vAlign w:val="bottom"/>
          </w:tcPr>
          <w:p>
            <w:pPr>
              <w:ind w:left="26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60" w:type="dxa"/>
            <w:vAlign w:val="bottom"/>
          </w:tcPr>
          <w:p>
            <w:pPr>
              <w:jc w:val="right"/>
              <w:ind w:right="852"/>
              <w:spacing w:after="0"/>
              <w:rPr>
                <w:sz w:val="20"/>
                <w:szCs w:val="20"/>
                <w:color w:val="auto"/>
              </w:rPr>
            </w:pPr>
            <w:r>
              <w:rPr>
                <w:rFonts w:ascii="Arial" w:cs="Arial" w:eastAsia="Arial" w:hAnsi="Arial"/>
                <w:sz w:val="18"/>
                <w:szCs w:val="18"/>
                <w:color w:val="auto"/>
              </w:rPr>
              <w:t>848</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656</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18,373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13,085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0"/>
        </w:trPr>
        <w:tc>
          <w:tcPr>
            <w:tcW w:w="550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1" w:name="page32"/>
    <w:bookmarkEnd w:id="3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60" w:type="dxa"/>
            <w:vAlign w:val="bottom"/>
          </w:tcPr>
          <w:p>
            <w:pPr>
              <w:ind w:left="40"/>
              <w:spacing w:after="0"/>
              <w:rPr>
                <w:sz w:val="20"/>
                <w:szCs w:val="20"/>
                <w:color w:val="auto"/>
              </w:rPr>
            </w:pPr>
            <w:r>
              <w:rPr>
                <w:rFonts w:ascii="Arial" w:cs="Arial" w:eastAsia="Arial" w:hAnsi="Arial"/>
                <w:sz w:val="14"/>
                <w:szCs w:val="14"/>
                <w:b w:val="1"/>
                <w:bCs w:val="1"/>
                <w:color w:val="auto"/>
              </w:rPr>
              <w:t>Primary IIF by LTV</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89"/>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23,937</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22,208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73,234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53,434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4"/>
                <w:szCs w:val="14"/>
                <w:b w:val="1"/>
                <w:bCs w:val="1"/>
                <w:color w:val="auto"/>
              </w:rPr>
              <w:t>Primary RIF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89"/>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13,085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2"/>
                <w:szCs w:val="22"/>
                <w:color w:val="auto"/>
              </w:rPr>
            </w:pPr>
          </w:p>
        </w:tc>
      </w:tr>
      <w:tr>
        <w:trPr>
          <w:trHeight w:val="20"/>
        </w:trPr>
        <w:tc>
          <w:tcPr>
            <w:tcW w:w="54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60" w:type="dxa"/>
            <w:vAlign w:val="bottom"/>
            <w:gridSpan w:val="7"/>
          </w:tcPr>
          <w:p>
            <w:pPr>
              <w:ind w:left="400"/>
              <w:spacing w:after="0"/>
              <w:rPr>
                <w:sz w:val="20"/>
                <w:szCs w:val="20"/>
                <w:color w:val="auto"/>
              </w:rPr>
            </w:pPr>
            <w:r>
              <w:rPr>
                <w:rFonts w:ascii="Arial" w:cs="Arial" w:eastAsia="Arial" w:hAnsi="Arial"/>
                <w:sz w:val="14"/>
                <w:szCs w:val="14"/>
                <w:b w:val="1"/>
                <w:bCs w:val="1"/>
                <w:color w:val="auto"/>
              </w:rPr>
              <w:t>March 31, 2019</w:t>
            </w: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Pr>
          <w:p>
            <w:pPr>
              <w:spacing w:after="0"/>
              <w:rPr>
                <w:sz w:val="22"/>
                <w:szCs w:val="22"/>
                <w:color w:val="auto"/>
              </w:rPr>
            </w:pPr>
          </w:p>
        </w:tc>
      </w:tr>
      <w:tr>
        <w:trPr>
          <w:trHeight w:val="32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Arial" w:cs="Arial" w:eastAsia="Arial" w:hAnsi="Arial"/>
                <w:sz w:val="18"/>
                <w:szCs w:val="18"/>
                <w:color w:val="auto"/>
                <w:w w:val="89"/>
              </w:rPr>
              <w:t>Less than five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Five years and longer</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7"/>
        </w:trPr>
        <w:tc>
          <w:tcPr>
            <w:tcW w:w="54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March 31, 2019.</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left="796"/>
              <w:spacing w:after="0"/>
              <w:rPr>
                <w:sz w:val="20"/>
                <w:szCs w:val="20"/>
                <w:color w:val="auto"/>
              </w:rPr>
            </w:pPr>
            <w:r>
              <w:rPr>
                <w:rFonts w:ascii="Arial" w:cs="Arial" w:eastAsia="Arial" w:hAnsi="Arial"/>
                <w:sz w:val="14"/>
                <w:szCs w:val="14"/>
                <w:b w:val="1"/>
                <w:bCs w:val="1"/>
                <w:color w:val="auto"/>
                <w:w w:val="93"/>
              </w:rPr>
              <w:t>As of March 31, 2019</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Original</w:t>
            </w:r>
          </w:p>
        </w:tc>
        <w:tc>
          <w:tcPr>
            <w:tcW w:w="100" w:type="dxa"/>
            <w:vAlign w:val="bottom"/>
          </w:tcPr>
          <w:p>
            <w:pPr>
              <w:spacing w:after="0"/>
              <w:rPr>
                <w:sz w:val="13"/>
                <w:szCs w:val="13"/>
                <w:color w:val="auto"/>
              </w:rPr>
            </w:pPr>
          </w:p>
        </w:tc>
        <w:tc>
          <w:tcPr>
            <w:tcW w:w="9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rPr>
              <w:t>% Remaining of</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Policies Ever in</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Insurance</w:t>
            </w:r>
          </w:p>
        </w:tc>
        <w:tc>
          <w:tcPr>
            <w:tcW w:w="10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30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Original</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Loans in</w:t>
            </w:r>
          </w:p>
        </w:tc>
        <w:tc>
          <w:tcPr>
            <w:tcW w:w="78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Written</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Insurance</w:t>
            </w: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Force</w:t>
            </w: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Force</w:t>
            </w: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Paid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to Date) </w:t>
            </w:r>
            <w:r>
              <w:rPr>
                <w:rFonts w:ascii="Arial" w:cs="Arial" w:eastAsia="Arial" w:hAnsi="Arial"/>
                <w:sz w:val="8"/>
                <w:szCs w:val="8"/>
                <w:b w:val="1"/>
                <w:bCs w:val="1"/>
                <w:color w:val="auto"/>
                <w:w w:val="97"/>
              </w:rPr>
              <w:t>(1)</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60" w:type="dxa"/>
            <w:vAlign w:val="bottom"/>
            <w:gridSpan w:val="4"/>
          </w:tcPr>
          <w:p>
            <w:pPr>
              <w:jc w:val="center"/>
              <w:ind w:left="816"/>
              <w:spacing w:after="0"/>
              <w:rPr>
                <w:sz w:val="20"/>
                <w:szCs w:val="20"/>
                <w:color w:val="auto"/>
              </w:rPr>
            </w:pPr>
            <w:r>
              <w:rPr>
                <w:rFonts w:ascii="Arial" w:cs="Arial" w:eastAsia="Arial" w:hAnsi="Arial"/>
                <w:sz w:val="14"/>
                <w:szCs w:val="14"/>
                <w:i w:val="1"/>
                <w:iCs w:val="1"/>
                <w:color w:val="auto"/>
                <w:w w:val="95"/>
              </w:rPr>
              <w:t>($ Values 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1,037</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30%</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14,786</w:t>
            </w: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3.44%</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6,585</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52,548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30,653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14,750</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83,626</w:t>
            </w: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61,940</w:t>
            </w: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2.28%</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18,353</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85,897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75,951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27,289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25,609</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94%</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104,017</w:t>
            </w: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99,200</w:t>
            </w: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2019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6,872</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99%</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24,006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23,885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93,006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73,234</w:t>
            </w:r>
          </w:p>
        </w:tc>
        <w:tc>
          <w:tcPr>
            <w:tcW w:w="13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365,535</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297,232</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ratio of total claims incurred (paid and reserved) divided by cumulative premiums earned, net of reinsurance.</w:t>
      </w:r>
    </w:p>
    <w:p>
      <w:pPr>
        <w:ind w:left="340" w:hanging="332"/>
        <w:spacing w:after="0" w:line="188"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sum of the number of claims paid ever to date and number of loans in default as of the end of the period divided by policies ever in force.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March 31, 2019, our RIF continues to be relatively more concentrated in California, primarily as a result of the size of the California mortgage market relative to the rest of the country and the location and timing of our acquisition of new customers. The distribution of our primary RIF as of March 31, 2019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1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14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 2019</w:t>
            </w:r>
          </w:p>
        </w:tc>
        <w:tc>
          <w:tcPr>
            <w:tcW w:w="1500" w:type="dxa"/>
            <w:vAlign w:val="bottom"/>
          </w:tcPr>
          <w:p>
            <w:pPr>
              <w:jc w:val="right"/>
              <w:ind w:right="311"/>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5.1</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77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Reserves for claims and allocated claim expenses are established for reported mortgage loan defaults, which we refer to as case reserves, when we are notified that a borrower has missed two or more mortgage payments (</w:t>
      </w:r>
      <w:r>
        <w:rPr>
          <w:rFonts w:ascii="Arial" w:cs="Arial" w:eastAsia="Arial" w:hAnsi="Arial"/>
          <w:sz w:val="16"/>
          <w:szCs w:val="16"/>
          <w:i w:val="1"/>
          <w:iCs w:val="1"/>
          <w:color w:val="auto"/>
        </w:rPr>
        <w:t>i.e.</w:t>
      </w:r>
      <w:r>
        <w:rPr>
          <w:rFonts w:ascii="Arial" w:cs="Arial" w:eastAsia="Arial" w:hAnsi="Arial"/>
          <w:sz w:val="16"/>
          <w:szCs w:val="16"/>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 expenses not associated with a specific claim. Claim expenses consist of the estimated cost of the claim administration process, including legal and other fees as well as other general expenses of administering the claim settlement process.</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under the ILN Transactions unless losses exceed the respective retained coverage layers. Reserves are not established for future claims on insured loans which are not currently in default.</w:t>
      </w:r>
    </w:p>
    <w:p>
      <w:pPr>
        <w:spacing w:after="0" w:line="124" w:lineRule="exact"/>
        <w:rPr>
          <w:sz w:val="20"/>
          <w:szCs w:val="20"/>
          <w:color w:val="auto"/>
        </w:rPr>
      </w:pPr>
    </w:p>
    <w:p>
      <w:pPr>
        <w:jc w:val="both"/>
        <w:ind w:firstLine="702"/>
        <w:spacing w:after="0" w:line="297" w:lineRule="auto"/>
        <w:rPr>
          <w:sz w:val="20"/>
          <w:szCs w:val="20"/>
          <w:color w:val="auto"/>
        </w:rPr>
      </w:pPr>
      <w:r>
        <w:rPr>
          <w:rFonts w:ascii="Arial" w:cs="Arial" w:eastAsia="Arial" w:hAnsi="Arial"/>
          <w:sz w:val="16"/>
          <w:szCs w:val="16"/>
          <w:color w:val="auto"/>
        </w:rPr>
        <w:t>Based on our experience and industry data, we believe that claims incidence for mortgage insurance is generally highest in the third through sixth years after loan origination. As of March 31, 2019, approximately 90% of our primary IIF related to business written since March 31, 2016. Although the claims experience on our IIF to date has been modest, we expect incurred claims to increase as a greater amount of our existing insured portfolio reaches its anticipated period of highest claim frequency.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future macroeconomic factors such as housing prices, interest rates, unemployment rates and other events, such as natural disasters.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To date, our claims experience is developing at a slower pace than historical trends indicate, as a result of high quality underwriting, a strong macroeconomic environment and a favorable housing market. For additional discussion of our reserves, see, Item 1, "</w:t>
      </w:r>
      <w:r>
        <w:rPr>
          <w:rFonts w:ascii="Arial" w:cs="Arial" w:eastAsia="Arial" w:hAnsi="Arial"/>
          <w:sz w:val="18"/>
          <w:szCs w:val="18"/>
          <w:i w:val="1"/>
          <w:iCs w:val="1"/>
          <w:color w:val="auto"/>
        </w:rPr>
        <w:t>Financial Statements - Notes to Condensed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6, Reserves for Insurance Claims and Claim Expenses</w:t>
      </w:r>
      <w:r>
        <w:rPr>
          <w:rFonts w:ascii="Arial" w:cs="Arial" w:eastAsia="Arial" w:hAnsi="Arial"/>
          <w:sz w:val="18"/>
          <w:szCs w:val="18"/>
          <w:color w:val="auto"/>
        </w:rPr>
        <w:t>."</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have been impacted by recent natural disasters. We do not provide coverage for property or casualty claims related to physical damage of a home underpinning an insured mortgage. Our ultimate claims exposure for loans in areas impacted by natural disasters will depend on the number of NODs received, proximate cause of each default, cure rate of the NOD population, and potential repair cost curtailment for appropriate claims on damaged properties as permitted under our Master Policy.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2018</w:t>
            </w:r>
          </w:p>
        </w:tc>
      </w:tr>
      <w:tr>
        <w:trPr>
          <w:trHeight w:val="250"/>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89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70"/>
        </w:trPr>
        <w:tc>
          <w:tcPr>
            <w:tcW w:w="8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r>
      <w:tr>
        <w:trPr>
          <w:trHeight w:val="318"/>
        </w:trPr>
        <w:tc>
          <w:tcPr>
            <w:tcW w:w="8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r>
      <w:tr>
        <w:trPr>
          <w:trHeight w:val="270"/>
        </w:trPr>
        <w:tc>
          <w:tcPr>
            <w:tcW w:w="858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r>
      <w:tr>
        <w:trPr>
          <w:trHeight w:val="318"/>
        </w:trPr>
        <w:tc>
          <w:tcPr>
            <w:tcW w:w="8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371</w:t>
            </w: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r>
      <w:tr>
        <w:trPr>
          <w:trHeight w:val="318"/>
        </w:trPr>
        <w:tc>
          <w:tcPr>
            <w:tcW w:w="85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8,057</w:t>
            </w:r>
          </w:p>
        </w:tc>
      </w:tr>
      <w:tr>
        <w:trPr>
          <w:trHeight w:val="264"/>
        </w:trPr>
        <w:tc>
          <w:tcPr>
            <w:tcW w:w="858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2,334</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line="25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Related to ceded losses recoverable on the QSR Transactions, included in "Other Assets" on the Condensed Consolidated Balance Sheets.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 Notes to Condensed Consolidated Financial Statements - Note 5, Reinsurance" </w:t>
      </w:r>
      <w:r>
        <w:rPr>
          <w:rFonts w:ascii="Arial" w:cs="Arial" w:eastAsia="Arial" w:hAnsi="Arial"/>
          <w:sz w:val="16"/>
          <w:szCs w:val="16"/>
          <w:color w:val="auto"/>
        </w:rPr>
        <w:t>for additional information.</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340" w:hanging="332"/>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Related to insured loans with defaults occurring in prior years, which have been continuously in default since that time. Amounts are presented net of reinsurance.</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development trends. We may increase or decrease our original estimates as we gather additional information about individual defaults and claims and continue to observe and analyze loss development trends in our portfolio. Gross reserves of $10.4 million related to prior year defaults remained as of March 31,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2019</w:t>
            </w: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413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decrease in the ending default inventory at March 31, 2019 compared to March 31, 2018, primarily relates to cure activity on defaults on insured loans in areas declared by FEMA to be individual assistance disaster zones following Hurricanes Harvey and Irma, and the California wildfires in 2017, and to a lesser extent, cure activity on our non-disaster related NOD population. The impact of this cure activity was partially offset by an increase in new defaults tied to the growth in the number of policies in force, the aging of our earlier book years and, to a more limited extent, default experience in areas declared by FEMA to be individual assistance disaster zones following disasters that we determined to be focal events in 2018.</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8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0" w:type="dxa"/>
            <w:vAlign w:val="bottom"/>
            <w:gridSpan w:val="3"/>
          </w:tcPr>
          <w:p>
            <w:pPr>
              <w:jc w:val="right"/>
              <w:ind w:right="1014"/>
              <w:spacing w:after="0"/>
              <w:rPr>
                <w:sz w:val="20"/>
                <w:szCs w:val="20"/>
                <w:color w:val="auto"/>
              </w:rPr>
            </w:pPr>
            <w:r>
              <w:rPr>
                <w:rFonts w:ascii="Arial" w:cs="Arial" w:eastAsia="Arial" w:hAnsi="Arial"/>
                <w:sz w:val="14"/>
                <w:szCs w:val="14"/>
                <w:i w:val="1"/>
                <w:iCs w:val="1"/>
                <w:color w:val="auto"/>
              </w:rPr>
              <w:t>($ In Thousands)</w:t>
            </w:r>
          </w:p>
        </w:tc>
      </w:tr>
      <w:tr>
        <w:trPr>
          <w:trHeight w:val="276"/>
        </w:trPr>
        <w:tc>
          <w:tcPr>
            <w:tcW w:w="82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926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482</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amount paid per claim </w:t>
            </w:r>
            <w:r>
              <w:rPr>
                <w:rFonts w:ascii="Arial" w:cs="Arial" w:eastAsia="Arial" w:hAnsi="Arial"/>
                <w:sz w:val="25"/>
                <w:szCs w:val="25"/>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r>
      <w:tr>
        <w:trPr>
          <w:trHeight w:val="341"/>
        </w:trPr>
        <w:tc>
          <w:tcPr>
            <w:tcW w:w="822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r>
    </w:tbl>
    <w:p>
      <w:pPr>
        <w:ind w:left="340" w:hanging="332"/>
        <w:spacing w:after="0" w:line="218"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Count includes claims settled without payment.</w:t>
      </w:r>
    </w:p>
    <w:p>
      <w:pPr>
        <w:ind w:left="340" w:hanging="332"/>
        <w:spacing w:after="0" w:line="187"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Calculation is net of claims settled without payment.</w:t>
      </w:r>
    </w:p>
    <w:p>
      <w:pPr>
        <w:ind w:left="340" w:right="300" w:hanging="332"/>
        <w:spacing w:after="0" w:line="209"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Severity represents the total amount of claims paid including claim expenses divided by the related RIF on the loan at the time the claim is perfected, and is calculated including claims settled without payment.</w:t>
      </w:r>
    </w:p>
    <w:p>
      <w:pPr>
        <w:spacing w:after="0" w:line="1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increase in the number of claims paid for the three months ended March 31, 2019, compared to the three months ended March 31, 2018, is due to an increase in our default inventory and the continued growth and seasoning of our insured portfolio. Claims settled without payment are included in claim counts, but excluded from averages. Over time, we expect the severity of claims paid to be between 85% and 95% of the coverage amount.</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March 31, 2019</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5"/>
              </w:rPr>
              <w:t>As of March 31, 2018</w:t>
            </w:r>
          </w:p>
        </w:tc>
      </w:tr>
      <w:tr>
        <w:trPr>
          <w:trHeight w:val="250"/>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Pr>
          <w:p>
            <w:pPr>
              <w:spacing w:after="0"/>
              <w:rPr>
                <w:sz w:val="21"/>
                <w:szCs w:val="21"/>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4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Defined as the gross reserve per insured loan in default.</w:t>
      </w:r>
    </w:p>
    <w:p>
      <w:pPr>
        <w:ind w:left="340" w:hanging="332"/>
        <w:spacing w:after="0" w:line="182"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Amount includes claims adjustment expenses.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91" w:lineRule="auto"/>
        <w:rPr>
          <w:sz w:val="20"/>
          <w:szCs w:val="20"/>
          <w:color w:val="auto"/>
        </w:rPr>
      </w:pPr>
      <w:r>
        <w:rPr>
          <w:rFonts w:ascii="Arial" w:cs="Arial" w:eastAsia="Arial" w:hAnsi="Arial"/>
          <w:sz w:val="16"/>
          <w:szCs w:val="16"/>
          <w:color w:val="auto"/>
        </w:rPr>
        <w:t>The average reserve per default at March 31, 2019 increased from March 31, 2018, primarily due to cure activity on defaults outstanding at March 31, 2018 for loans in areas impacted by natural disasters. We established lower reserves for these NODs than we otherwise do for similarly situated NODs in non-disaster zones. As this default population declined with increased cure activity, the average reserve per remaining default increased. As of March 31, 2019, 42 of the 940 loans in default related to homes in areas declared by FEMA to be individual assistance disaster zones following natural catastrophes that we determine to be focal events, compared to 474 of 1,000 loans at March 31, 2018. We anticipate that focal disaster-related loans in default will cure at a higher rate than the estimated rate we apply to non-disaster related loans in default, due to our historical and observed industry experience, and current economic indicators and relief programs. As such, we establish lower reserves for these NODs than we otherwise do for our broader NOD population.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xml:space="preserve"> current vs. delinquent), LTV ratio and other risk features. In general, higher quality loans carry lower asset charges.</w:t>
      </w:r>
    </w:p>
    <w:p>
      <w:pPr>
        <w:spacing w:after="0" w:line="146" w:lineRule="exact"/>
        <w:rPr>
          <w:sz w:val="20"/>
          <w:szCs w:val="20"/>
          <w:color w:val="auto"/>
        </w:rPr>
      </w:pPr>
    </w:p>
    <w:p>
      <w:pPr>
        <w:jc w:val="both"/>
        <w:ind w:firstLine="702"/>
        <w:spacing w:after="0" w:line="265"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 to gross</w:t>
      </w:r>
      <w:r>
        <w:rPr>
          <w:rFonts w:ascii="Arial" w:cs="Arial" w:eastAsia="Arial" w:hAnsi="Arial"/>
          <w:sz w:val="18"/>
          <w:szCs w:val="18"/>
          <w:i w:val="1"/>
          <w:iCs w:val="1"/>
          <w:color w:val="auto"/>
        </w:rPr>
        <w:t xml:space="preserve"> </w:t>
      </w:r>
      <w:r>
        <w:rPr>
          <w:rFonts w:ascii="Arial" w:cs="Arial" w:eastAsia="Arial" w:hAnsi="Arial"/>
          <w:sz w:val="19"/>
          <w:szCs w:val="19"/>
          <w:color w:val="auto"/>
        </w:rPr>
        <w:t xml:space="preserve">RIF, </w:t>
      </w:r>
      <w:r>
        <w:rPr>
          <w:rFonts w:ascii="Arial" w:cs="Arial" w:eastAsia="Arial" w:hAnsi="Arial"/>
          <w:sz w:val="18"/>
          <w:szCs w:val="18"/>
          <w:color w:val="auto"/>
        </w:rPr>
        <w:t>which is then adjusted on an aggregate basis for reinsurance transactions approved by the GSEs, such as with respect to our ILN Transactions and QSR</w:t>
      </w:r>
      <w:r>
        <w:rPr>
          <w:rFonts w:ascii="Arial" w:cs="Arial" w:eastAsia="Arial" w:hAnsi="Arial"/>
          <w:sz w:val="19"/>
          <w:szCs w:val="19"/>
          <w:color w:val="auto"/>
        </w:rPr>
        <w:t xml:space="preserve"> </w:t>
      </w:r>
      <w:r>
        <w:rPr>
          <w:rFonts w:ascii="Arial" w:cs="Arial" w:eastAsia="Arial" w:hAnsi="Arial"/>
          <w:sz w:val="18"/>
          <w:szCs w:val="18"/>
          <w:color w:val="auto"/>
        </w:rPr>
        <w:t xml:space="preserve">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 adjusted RIF</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pool insurance considers both factors in the PMIERs tables and the </w:t>
      </w:r>
      <w:r>
        <w:rPr>
          <w:rFonts w:ascii="Arial" w:cs="Arial" w:eastAsia="Arial" w:hAnsi="Arial"/>
          <w:sz w:val="18"/>
          <w:szCs w:val="18"/>
          <w:i w:val="1"/>
          <w:iCs w:val="1"/>
          <w:color w:val="auto"/>
        </w:rPr>
        <w:t>net remaining stop loss</w:t>
      </w:r>
      <w:r>
        <w:rPr>
          <w:rFonts w:ascii="Arial" w:cs="Arial" w:eastAsia="Arial" w:hAnsi="Arial"/>
          <w:sz w:val="18"/>
          <w:szCs w:val="18"/>
          <w:color w:val="auto"/>
        </w:rPr>
        <w:t xml:space="preserve"> for each pool insurance policy.</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September 27, 2018, the GSEs published revised PMIERs that took effect and became applicable to NMIC on March 31, 2019. 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 as calculated under the applicable PMIERs requirement.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As of</w:t>
            </w:r>
          </w:p>
        </w:tc>
      </w:tr>
      <w:tr>
        <w:trPr>
          <w:trHeight w:val="250"/>
        </w:trPr>
        <w:tc>
          <w:tcPr>
            <w:tcW w:w="8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March 31, 2018</w:t>
            </w:r>
          </w:p>
        </w:tc>
      </w:tr>
      <w:tr>
        <w:trPr>
          <w:trHeight w:val="250"/>
        </w:trPr>
        <w:tc>
          <w:tcPr>
            <w:tcW w:w="8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3"/>
          </w:tcPr>
          <w:p>
            <w:pPr>
              <w:jc w:val="right"/>
              <w:ind w:right="71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555,336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607,325</w:t>
            </w:r>
          </w:p>
        </w:tc>
        <w:tc>
          <w:tcPr>
            <w:tcW w:w="18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522,260</w:t>
            </w:r>
          </w:p>
        </w:tc>
      </w:tr>
    </w:tbl>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Available assets </w:t>
      </w:r>
      <w:r>
        <w:rPr>
          <w:rFonts w:ascii="Arial" w:cs="Arial" w:eastAsia="Arial" w:hAnsi="Arial"/>
          <w:sz w:val="16"/>
          <w:szCs w:val="16"/>
          <w:color w:val="auto"/>
        </w:rPr>
        <w:t>were $818 million at March 31, 2019, compared to $555 million at March 31, 2018. The increase in</w:t>
      </w:r>
      <w:r>
        <w:rPr>
          <w:rFonts w:ascii="Arial" w:cs="Arial" w:eastAsia="Arial" w:hAnsi="Arial"/>
          <w:sz w:val="16"/>
          <w:szCs w:val="16"/>
          <w:i w:val="1"/>
          <w:iCs w:val="1"/>
          <w:color w:val="auto"/>
        </w:rPr>
        <w:t xml:space="preserve"> available assets </w:t>
      </w:r>
      <w:r>
        <w:rPr>
          <w:rFonts w:ascii="Arial" w:cs="Arial" w:eastAsia="Arial" w:hAnsi="Arial"/>
          <w:sz w:val="16"/>
          <w:szCs w:val="16"/>
          <w:color w:val="auto"/>
        </w:rPr>
        <w:t>of $263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driven by our positive cash flow from operations, a $70 million capital contribution from NMIH to NMIC during the second quarter of 2018 and the impact of adopting the revised PMIERs guidance effective March 31, 2019. The increase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was primarily due to the growth of our gross RIF, partially offset by the increased cession of risk under our third-party reinsurance agreements and a decrease in our NOD population.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NMIC's performing primary RIF, net of reinsurance, was approximately $12.3 billion. NMIC ceded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100% of its pool RIF pursuant to the 2016 QSR Transaction. Based on NMIC's total statutory capital of $772 million (including contingency reserves) as of March 31, 2019, NMIC's RTC ratio was 14.6:1. Re One had total statutory capital of $35 million as of March 31, 2019, and a RTC ratio of 1.1:1. We continuously monitor our compliance with state capital requirements.</w:t>
      </w:r>
    </w:p>
    <w:p>
      <w:pPr>
        <w:spacing w:after="0" w:line="127"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In May 2018, Moody's Investors Service (Moody's) upgraded its financial strength rating on NMIC from "Ba1" to "Baa3" and issued a "Ba3" rating for NMIH's $150 million senior secured 2018 Term Loan, compared to its previous "B1" rating on the 2015 Term Loan. In August 2018, Moody's assigned a "Ba3" rating to our 2018 Revolving Credit Facility. The outlook for Moody's ratings is stable. In July 2018, S&amp;P affirmed its "BBB-" financial strength and long-term counter-party credit ratings on NMIC and its "BB-" long-term counter-party credit rating on NMIH. The outlook for S&amp;P's ratings is positive.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and information technology capabilities. We expect the private MI market to remain competitive, with pressure for industry participants to grow or maintain their market share.</w:t>
      </w:r>
    </w:p>
    <w:p>
      <w:pPr>
        <w:spacing w:after="0" w:line="1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presence in the MI market following the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historical levels. A range of factors influence a lender's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2018</w:t>
            </w: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1"/>
                <w:szCs w:val="21"/>
                <w:color w:val="auto"/>
              </w:rPr>
            </w:pPr>
          </w:p>
        </w:tc>
        <w:tc>
          <w:tcPr>
            <w:tcW w:w="3000" w:type="dxa"/>
            <w:vAlign w:val="bottom"/>
            <w:gridSpan w:val="4"/>
          </w:tcPr>
          <w:p>
            <w:pPr>
              <w:jc w:val="right"/>
              <w:ind w:right="107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73,868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54,914</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4,574</w:t>
            </w: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64</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59,552</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28,453</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30,022</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(3,419)</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26,531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4,176</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32,899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22,355</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8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3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8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Loss ratio is calculated by dividing the provision for insurance claims and claim expenses by net premiums earned.</w:t>
      </w:r>
    </w:p>
    <w:p>
      <w:pPr>
        <w:ind w:left="340" w:hanging="332"/>
        <w:spacing w:after="0" w:line="182"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Expense ratio is calculated by dividing other underwriting and operating expenses by net premiums earned.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March 31, 2019, net premiums earned increased $19.0 million or 35%, compared to the three months ended March 31, 2018. The increase is primarily due to the growth of our IIF and increased monthly policy production, partially offset by increases to cessions under the QSR Transactions tied to the growth of our direct premium volume and the inception of the 2018 ILN Transaction.</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2019, net investment income increased $2.8 million, compared to three months ended March 31, 2018, due to an increase in the size and yield of our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increased $1.2 million or 75% for the three months ended March 31, 2019, compared to the three months ended March 31, 2018, primarily due to an increase in our average reserve per default tied to the aging of our NOD population and composition of our default inventory between loans in disaster and non-disaster impacted areas, partially offset by a reduction in the total number of NODs and related release of prior year reserves on cured defaults.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and operating expenses increased $2.4 million or 8% for the three months ended March 31, 2019, compared to the three months ended March 31, 2018. Employee compensation and technology costs account for the majority of our operating expenses and increased to support the growth of our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648"/>
        <w:spacing w:after="0" w:line="302" w:lineRule="auto"/>
        <w:rPr>
          <w:sz w:val="20"/>
          <w:szCs w:val="20"/>
          <w:color w:val="auto"/>
        </w:rPr>
      </w:pPr>
      <w:r>
        <w:rPr>
          <w:rFonts w:ascii="Arial" w:cs="Arial" w:eastAsia="Arial" w:hAnsi="Arial"/>
          <w:sz w:val="16"/>
          <w:szCs w:val="16"/>
          <w:color w:val="auto"/>
        </w:rPr>
        <w:t>Interest expense was $3.1 million for the three months ended March 31, 2019, compared to $3.4 million for the three months ended March 31, 2018. Interest expense decreased in the three months ended March 31, 2019 compared to the three months ended March 31, 2018 due to the reduction in the interest spread payable on borrowings under the 2018 Term Loan as compared to the 2015 Term Loan partially offset by interest recognized on the 2018 Revolving Credit Facility. See Item 1, "</w:t>
      </w:r>
      <w:r>
        <w:rPr>
          <w:rFonts w:ascii="Arial" w:cs="Arial" w:eastAsia="Arial" w:hAnsi="Arial"/>
          <w:sz w:val="16"/>
          <w:szCs w:val="16"/>
          <w:i w:val="1"/>
          <w:iCs w:val="1"/>
          <w:color w:val="auto"/>
        </w:rPr>
        <w:t>Financial Statements - Notes to Condensed Consolidated Financial Statements - Note 4, Debt.</w:t>
      </w:r>
      <w:r>
        <w:rPr>
          <w:rFonts w:ascii="Arial" w:cs="Arial" w:eastAsia="Arial" w:hAnsi="Arial"/>
          <w:sz w:val="16"/>
          <w:szCs w:val="16"/>
          <w:color w:val="auto"/>
        </w:rPr>
        <w:t>"</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 expense increased to $6.1 million for the three months ended March 31, 2019 from $4.2 million for the three months ended March 31, 2018 because of the growth in our pre-tax income. Our provision for income taxes for interim periods is established based on our estimated annual effective tax rate for a given year. Our effective tax rate on our pre-tax income was 15.6% and 15.7% for the three months ended March 31, 2019 and 2018, respectively. Our effective tax rate for the three months ended March 31, 2019 and 2018, was below our statutory U.S. federal tax rate of 21% primarily due to the impact of excess tax benefits on the vesting of RSUs and exercise of options held by our employees.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9, Income Taxes.</w:t>
      </w:r>
      <w:r>
        <w:rPr>
          <w:rFonts w:ascii="Arial" w:cs="Arial" w:eastAsia="Arial" w:hAnsi="Arial"/>
          <w:sz w:val="18"/>
          <w:szCs w:val="18"/>
          <w:color w:val="auto"/>
        </w:rPr>
        <w: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income was $32.9 million for the three months ended March 31, 2019, compared to $22.4 million for the three months ended March 31, 2018. The increase in net income primarily relates to growth in total revenues, partially offset by an increase in total expenses, an increase in the fair value of our warrant liability and an increase in tax expense.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Diluted EPS was $0.48 and $0.34 for the three months ended March 31, 2019 and 2018, respectively. Diluted EPS increased due to growth in net income, partially offset by an increase in weighted average diluted shares outstanding.</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911,490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39,761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25,294</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48,820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46,840</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24,765</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27,747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30,370</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17,277</w:t>
            </w:r>
          </w:p>
        </w:tc>
      </w:tr>
      <w:tr>
        <w:trPr>
          <w:trHeight w:val="29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1,147,511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1,092,043</w:t>
            </w:r>
          </w:p>
        </w:tc>
      </w:tr>
      <w:tr>
        <w:trPr>
          <w:trHeight w:val="237"/>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154,325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158,893</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31,141</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12,811</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Reinsurance funds withheld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27,114</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7,296</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3,791</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390,543</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751,881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701,500</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1,147,511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1,092,043</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2019, we had $980.0 million in cash and investments, including $43.7 million held by NMIH. The increase in cash and cash equivalents and investments from December 31, 2018 relates to cash generated from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was $38.5 million as of March 31, 2019, compared to $36.0 million as of December 31, 2018. The increase was primarily driven by the increase in our monthly premium policies in force, where premiums are generally paid one month in arrears.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deferred policy acquisition costs were $48.8 million as of March 31, 2019, compared to $46.8 million at December 31, 2018. The increase was primarily driven by growth in the number of policies written during the period and the deferral of certain costs associated with the origination of those policies, partially offset by the amortization of previously deferred acquisition costs.</w:t>
      </w:r>
    </w:p>
    <w:p>
      <w:pPr>
        <w:sectPr>
          <w:pgSz w:w="11900" w:h="16838" w:orient="portrait"/>
          <w:cols w:equalWidth="0" w:num="1">
            <w:col w:w="11420"/>
          </w:cols>
          <w:pgMar w:left="240" w:top="58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84" w:right="239" w:bottom="1440" w:gutter="0" w:footer="0" w:header="0"/>
          <w:type w:val="continuous"/>
        </w:sectPr>
      </w:pPr>
    </w:p>
    <w:bookmarkStart w:id="39" w:name="page40"/>
    <w:bookmarkEnd w:id="39"/>
    <w:p>
      <w:pPr>
        <w:jc w:val="both"/>
        <w:ind w:firstLine="648"/>
        <w:spacing w:after="0" w:line="302" w:lineRule="auto"/>
        <w:rPr>
          <w:sz w:val="20"/>
          <w:szCs w:val="20"/>
          <w:color w:val="auto"/>
        </w:rPr>
      </w:pPr>
      <w:r>
        <w:rPr>
          <w:rFonts w:ascii="Arial" w:cs="Arial" w:eastAsia="Arial" w:hAnsi="Arial"/>
          <w:sz w:val="16"/>
          <w:szCs w:val="16"/>
          <w:color w:val="auto"/>
        </w:rPr>
        <w:t>Prepaid reinsurance premiums were $27.7 million as of March 31, 2019, compared to $30.4 million as of December 31, 2018. The prepaid reinsurance premiums balance represents the unearned premiums reserve on single premium policies ceded under the 2016 QSR Transaction. The reinsurance coverage period of the 2016 QSR Transaction ended for new business written after December 31, 2017, and the decrease in prepaid reinsurance premiums reflects the amortization of the unearned premiums reserve on singles policies previously ceded under the 2016 QSR Transaction.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assets increased to $27.4 million as of March 31, 2019 from $17.3 million as of December 31, 2018. Other assets at March 31, 2019 includes $7.7 million of operating lease right-of-use assets, which we recognized for the first time during the three months ended March 31, 2019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1, "</w:t>
      </w:r>
      <w:r>
        <w:rPr>
          <w:rFonts w:ascii="Arial" w:cs="Arial" w:eastAsia="Arial" w:hAnsi="Arial"/>
          <w:sz w:val="18"/>
          <w:szCs w:val="18"/>
          <w:i w:val="1"/>
          <w:iCs w:val="1"/>
          <w:color w:val="auto"/>
        </w:rPr>
        <w:t>Financial Statements - Notes to Condensed Consolidated Financial Statements - Note 10,</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Unearned premiums decreased from $158.9 million as of December 31, 2018 to $154.3 million as of March 31, 2019, primarily due to the amortization of existing unearned premiums through earnings in accordance with the expiration of risk on related single premium policies and the cancellation of other single premium policies, partially offset by single premium policy originations during the three months ended March 31, 2019.</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payable and accrued expense decreased from $31.1 million at December 31, 2018 to $17.0 million as of March 31, 2019, primarily due to the payment of previously accrued compensation during the three months ended March 31, 2019.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Reserve for insurance claims and claim expenses increased from $12.8 million as of December 31, 2018 to $15.5 million at March 31, 2019, primarily due to an increase in our average reserve per default tied to the aging of our NOD population and composition of our default inventory between loans in disaster and non-disaster impacted areas, partially offset by a reduction in the total number of NODs and related release of prior year reserves on cured defaults. See "</w:t>
      </w:r>
      <w:r>
        <w:rPr>
          <w:rFonts w:ascii="Arial" w:cs="Arial" w:eastAsia="Arial" w:hAnsi="Arial"/>
          <w:sz w:val="18"/>
          <w:szCs w:val="18"/>
          <w:i w:val="1"/>
          <w:iCs w:val="1"/>
          <w:color w:val="auto"/>
        </w:rPr>
        <w:t>- Insurance Claims and Claim Expenses</w:t>
      </w:r>
      <w:r>
        <w:rPr>
          <w:rFonts w:ascii="Arial" w:cs="Arial" w:eastAsia="Arial" w:hAnsi="Arial"/>
          <w:sz w:val="18"/>
          <w:szCs w:val="18"/>
          <w:color w:val="auto"/>
        </w:rPr>
        <w:t>," above for further details.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Reinsurance funds withheld was $25.3 million as of March 31, 2019, representing the net of our ceded reinsurance premiums written, less our profit and ceding commission receivables related to the 2016 QSR Transaction. The decrease in reinsurance funds withheld of $1.8 million from December 31, 2018,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8"/>
          <w:szCs w:val="18"/>
          <w:i w:val="1"/>
          <w:iCs w:val="1"/>
          <w:color w:val="auto"/>
        </w:rPr>
        <w:t>Financial Statements - Notes to Condensed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 5, Reinsurance</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liability increased from $7.3 million at December 31, 2018 to $11.8 million at March 31, 2019, primarily due to an increase in our stock price from December 31, 2018 to March 31, 2019 and changes in the Black-Scholes model inputs used to measure warrant fair value. For further information regarding the valuation of our warrant liability and its impact on our results of operations and financial position,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3, Fair Value of Financial Instruments.</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Other liabilities as of March 31, 2019 includes $8.9 million of operating lease liabilities, which we recognized for the first time during the three months ended March 31, 2019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10, Leases.</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deferred tax liability increased from $2.7 million at December 31, 2018 to $12.8 million as of March 31, 2019, primarily due to the forecasted deductibility of our statutory contingency reserve in fiscal year 2019.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7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28,279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(16,570)</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78,133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14,467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82,694</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was $28.3 million for the three months ended March 31, 2019, compared to $21.1 million for the three months ended March 31, 2018. The increase in cash generated from operating activities was primarily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driven by growth in premiums written and investment income, partially offset by increased operating expenses and growth in claims paid tied to the growth and aging of our insured portfolio.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periods presented was driven by the purchase of fixed and short-term maturities during those periods.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$1.8 million for the three months ended March 31, 2019, compared to cash provided by financing activities of $78.1 million for the three months ended March 31, 2018. Cash flow provided activities for the three months ended March 31, 2018 reflects $79.2 million of net cash proceeds raised through a common stock offering we completed in March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2018 Revolving Credit Facility; (iv) tax payments to the Internal Revenue Service;</w:t>
      </w:r>
    </w:p>
    <w:p>
      <w:pPr>
        <w:spacing w:after="0" w:line="32" w:lineRule="exact"/>
        <w:rPr>
          <w:rFonts w:ascii="Arial" w:cs="Arial" w:eastAsia="Arial" w:hAnsi="Arial"/>
          <w:sz w:val="16"/>
          <w:szCs w:val="16"/>
          <w:color w:val="auto"/>
        </w:rPr>
      </w:pPr>
    </w:p>
    <w:p>
      <w:pPr>
        <w:jc w:val="both"/>
        <w:ind w:right="20" w:firstLine="8"/>
        <w:spacing w:after="0" w:line="255" w:lineRule="auto"/>
        <w:tabs>
          <w:tab w:leader="none" w:pos="2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2019, NMIH had $43.7 million of cash and investments. NMIH's principal source of net cash is investment income. NMIH also has access to $85 million of undrawn revolving credit capacity under the 2018 Revolving Credit Facility and $2.7 million of ordinary course dividend capacity from Re One. In the future, NMIH could benefit from dividend capacity from NMIC, as available and permitted under law and by the GSEs.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NMIC and Re One's ability to pay dividends to NMIH is subject to insurance department notice or approval.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year ended December 31, 2018 and cannot pay any dividends to NMIH through December 31, 2019 without the prior approval of the Wisconsin OCI. Re One has never paid dividends to NMIH. Re One has capacity to pay ordinary dividends of up to $2.7 million to NMIH through December 31, 2019. Certain other states in which NMIC and Re One are licensed also have statutes or regulations that may restrict their ability to pay dividends.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of the GSEs.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Revolving Credit Facility also requires 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quarterly commitment fee on the average daily undrawn amount ranging from 0.30% to 0.60%, based on the applicable corporate credit rating at the time.</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certain covenants under the 2018 Term Loan and 2018 Revolving Credit Facility. Under the 2018 Term Loan (and as defined in the 2018 Credit Agreement), we are subject a maximum debt-to-total capitalization ratio of 35%. Under the 2018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March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entirely comprised of fixed maturity instruments. As of March 31, 2019, the fair value of our investment portfolio was $940.2 million. We also had an additional $39.8 million of cash and equivalents as of March 31, 2019. Pre-tax book yield on the investment portfolio for the three months ended March 31, 2019 was 3.2%.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March 31, 2019</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9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78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8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r>
      <w:tr>
        <w:trPr>
          <w:trHeight w:val="270"/>
        </w:trPr>
        <w:tc>
          <w:tcPr>
            <w:tcW w:w="7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6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BB</w:t>
            </w: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Excluding certain operating cash accounts.</w:t>
      </w:r>
    </w:p>
    <w:p>
      <w:pPr>
        <w:ind w:left="340" w:hanging="332"/>
        <w:spacing w:after="0" w:line="187" w:lineRule="auto"/>
        <w:tabs>
          <w:tab w:leader="none" w:pos="34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Includes +/– ratings.</w:t>
      </w:r>
    </w:p>
    <w:p>
      <w:pPr>
        <w:ind w:left="340" w:hanging="332"/>
        <w:spacing w:after="0" w:line="182"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We held one security with a BB rating at March 31, 2019, which is not identifiable in the table due to rounding.</w:t>
      </w:r>
    </w:p>
    <w:p>
      <w:pPr>
        <w:spacing w:after="0" w:line="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March 31, 2019, we recognized a $0.4 million OTTI loss in earnings related to the planned sale of a security in a loss position in April 2019. For the three months ended March 31, 2018, we did not recognize any OTTI losses. There were no credit losses recognized in earnings for which a portion of an OTTI loss was recognized in accumulated other comprehensive income (loss) for the three months ended March 31, 2019 or 2018.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material off-balance sheet arrangements as of March 31, 2019. In connection with the ILN Transactions, we have certain future contractual commitments to Oaktown Re and Oaktown Re II, special purpose VIEs that are not consolidated in our financial results.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5, Reinsurance."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fair value measurements, our investment portfolio, deferred policy acquisition costs, premium deficiency reserves, income taxes and reserves for insurance claims and claim expenses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2018 10-K.</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2019 and December 31, 2018 was $940 million and $911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2019, the duration of our fixed income portfolio, including cash and cash equivalents, was 3.47 years, which means that an instantaneous parallel shift (movement up or down) in the yield curve of 100 basis points would result in a change of 3.47% in fair value of our fixed income portfolio. Excluding cash, our fixed income portfolio duration was 3.62 years, which means that an instantaneous parallel shift (movement up or down) in the yield curve of 100 basis points would result in a change of 3.62%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2018 Term Loan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2018 Term Loan bears interest at a variable rate and, as a result, increases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2019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2019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2018 10-K. As of the date of this report, we are not aware of any material changes in our risk factors from the risk factors disclosed in our 2018 10-K. You should carefully consider the risks and uncertainties described herein and in our 2018 10-K, which has the potential to affect our business, financial condition, results of operations, cash flows or prospects in a material and adverse manner. The risks described herein and in our 2018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60"/>
          </w:cols>
          <w:pgMar w:left="240" w:top="580" w:right="399" w:bottom="1440" w:gutter="0" w:footer="0" w:header="0"/>
        </w:sect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440"/>
          </w:cols>
          <w:pgMar w:left="240" w:top="580" w:right="399" w:bottom="1440" w:gutter="0" w:footer="0" w:header="0"/>
          <w:type w:val="continuous"/>
        </w:sectPr>
      </w:pPr>
    </w:p>
    <w:p>
      <w:pPr>
        <w:spacing w:after="0" w:line="155" w:lineRule="exact"/>
        <w:rPr>
          <w:sz w:val="20"/>
          <w:szCs w:val="20"/>
          <w:color w:val="auto"/>
        </w:rPr>
      </w:pPr>
    </w:p>
    <w:p>
      <w:pPr>
        <w:jc w:val="center"/>
        <w:ind w:left="38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2">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42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3">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10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5">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42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6">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3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17">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8">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24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19">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0">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320"/>
        <w:spacing w:after="0" w:line="261" w:lineRule="auto"/>
        <w:rPr>
          <w:rFonts w:ascii="Arial" w:cs="Arial" w:eastAsia="Arial" w:hAnsi="Arial"/>
          <w:sz w:val="18"/>
          <w:szCs w:val="18"/>
          <w:color w:val="0000FF"/>
        </w:rPr>
      </w:pPr>
      <w:hyperlink r:id="rId20">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16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1">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2">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23">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24">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5">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26">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27">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27">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28">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8" w:lineRule="exact"/>
        <w:rPr>
          <w:sz w:val="20"/>
          <w:szCs w:val="20"/>
          <w:color w:val="auto"/>
        </w:rPr>
      </w:pPr>
    </w:p>
    <w:p>
      <w:pPr>
        <w:ind w:left="42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10.8 ~</w:t>
      </w:r>
      <w:r>
        <w:rPr>
          <w:sz w:val="20"/>
          <w:szCs w:val="20"/>
          <w:color w:val="auto"/>
        </w:rPr>
        <w:tab/>
      </w:r>
      <w:hyperlink r:id="rId29">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23" w:lineRule="exact"/>
        <w:rPr>
          <w:sz w:val="20"/>
          <w:szCs w:val="20"/>
          <w:color w:val="auto"/>
        </w:rPr>
      </w:pPr>
    </w:p>
    <w:p>
      <w:pPr>
        <w:ind w:left="1300"/>
        <w:spacing w:after="0"/>
        <w:rPr>
          <w:rFonts w:ascii="Arial" w:cs="Arial" w:eastAsia="Arial" w:hAnsi="Arial"/>
          <w:sz w:val="18"/>
          <w:szCs w:val="18"/>
          <w:color w:val="0000FF"/>
        </w:rPr>
      </w:pPr>
      <w:hyperlink r:id="rId29">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49" w:lineRule="exact"/>
        <w:rPr>
          <w:sz w:val="20"/>
          <w:szCs w:val="20"/>
          <w:color w:val="auto"/>
        </w:rPr>
      </w:pPr>
    </w:p>
    <w:p>
      <w:pPr>
        <w:jc w:val="both"/>
        <w:ind w:left="1300" w:right="2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30">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10.10 ~</w:t>
      </w:r>
      <w:r>
        <w:rPr>
          <w:sz w:val="20"/>
          <w:szCs w:val="20"/>
          <w:color w:val="auto"/>
        </w:rPr>
        <w:tab/>
      </w:r>
      <w:hyperlink r:id="rId31">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to our Form 8-K, filed on February 3, 2017)</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580" w:right="399" w:bottom="1440" w:gutter="0" w:footer="0" w:header="0"/>
          <w:type w:val="continuous"/>
        </w:sectPr>
      </w:pPr>
    </w:p>
    <w:bookmarkStart w:id="47" w:name="page48"/>
    <w:bookmarkEnd w:id="47"/>
    <w:p>
      <w:pPr>
        <w:jc w:val="both"/>
        <w:ind w:left="9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2">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33">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3">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34">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4">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35">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36">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jc w:val="both"/>
        <w:ind w:left="920" w:hanging="843"/>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37">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 ~</w:t>
      </w:r>
      <w:r>
        <w:rPr>
          <w:sz w:val="20"/>
          <w:szCs w:val="20"/>
          <w:color w:val="auto"/>
        </w:rPr>
        <w:tab/>
      </w:r>
      <w:hyperlink r:id="rId38">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 ~</w:t>
      </w:r>
      <w:r>
        <w:rPr>
          <w:sz w:val="20"/>
          <w:szCs w:val="20"/>
          <w:color w:val="auto"/>
        </w:rPr>
        <w:tab/>
      </w:r>
      <w:hyperlink r:id="rId39">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40">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1">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10.22 ~</w:t>
      </w:r>
      <w:r>
        <w:rPr>
          <w:sz w:val="20"/>
          <w:szCs w:val="20"/>
          <w:color w:val="auto"/>
        </w:rPr>
        <w:tab/>
      </w:r>
      <w:hyperlink r:id="rId43">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10.23 ~</w:t>
      </w:r>
      <w:r>
        <w:rPr>
          <w:sz w:val="20"/>
          <w:szCs w:val="20"/>
          <w:color w:val="auto"/>
        </w:rPr>
        <w:tab/>
      </w:r>
      <w:hyperlink r:id="rId44">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10.24 ~</w:t>
      </w:r>
      <w:r>
        <w:rPr>
          <w:sz w:val="20"/>
          <w:szCs w:val="20"/>
          <w:color w:val="auto"/>
        </w:rPr>
        <w:tab/>
      </w:r>
      <w:hyperlink r:id="rId45">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10.25 ~</w:t>
      </w:r>
      <w:r>
        <w:rPr>
          <w:sz w:val="20"/>
          <w:szCs w:val="20"/>
          <w:color w:val="auto"/>
        </w:rPr>
        <w:tab/>
      </w:r>
      <w:hyperlink r:id="rId46">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47">
        <w:r>
          <w:rPr>
            <w:rFonts w:ascii="Arial" w:cs="Arial" w:eastAsia="Arial" w:hAnsi="Arial"/>
            <w:sz w:val="18"/>
            <w:szCs w:val="18"/>
            <w:u w:val="single" w:color="auto"/>
            <w:color w:val="0000FF"/>
          </w:rPr>
          <w:t>NMI Holdings, Inc. Amended and Restated Change in Control Severance Benefit Plan (incorporated herein by reference to Exhibit 10.30</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to our Form 10-Q, filed on October 30, 2018)</w:t>
        </w:r>
      </w:hyperlink>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10.27 ~</w:t>
      </w:r>
      <w:r>
        <w:rPr>
          <w:sz w:val="20"/>
          <w:szCs w:val="20"/>
          <w:color w:val="auto"/>
        </w:rPr>
        <w:tab/>
      </w:r>
      <w:hyperlink r:id="rId48">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49">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0">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8"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w:anchor="page51">
        <w:r>
          <w:rPr>
            <w:rFonts w:ascii="Arial" w:cs="Arial" w:eastAsia="Arial" w:hAnsi="Arial"/>
            <w:sz w:val="16"/>
            <w:szCs w:val="16"/>
            <w:u w:val="single" w:color="auto"/>
            <w:color w:val="0000FF"/>
          </w:rPr>
          <w:t>Form of NMI Holdings, Inc. 2012 Stock Incentive Plan Restricted Stock Unit Award Agreement for Independent Directors</w:t>
        </w:r>
      </w:hyperlink>
    </w:p>
    <w:p>
      <w:pPr>
        <w:spacing w:after="0" w:line="63"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w:anchor="page55">
        <w:r>
          <w:rPr>
            <w:rFonts w:ascii="Arial" w:cs="Arial" w:eastAsia="Arial" w:hAnsi="Arial"/>
            <w:sz w:val="16"/>
            <w:szCs w:val="16"/>
            <w:u w:val="single" w:color="auto"/>
            <w:color w:val="0000FF"/>
          </w:rPr>
          <w:t>Form of NMI Holdings, Inc. 2012 Stock Incentive Plan Restricted Stock Unit Award Agreement for Employees</w:t>
        </w:r>
      </w:hyperlink>
    </w:p>
    <w:p>
      <w:pPr>
        <w:spacing w:after="0" w:line="279"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w:anchor="page59">
        <w:r>
          <w:rPr>
            <w:rFonts w:ascii="Arial" w:cs="Arial" w:eastAsia="Arial" w:hAnsi="Arial"/>
            <w:sz w:val="16"/>
            <w:szCs w:val="16"/>
            <w:u w:val="single" w:color="auto"/>
            <w:color w:val="0000FF"/>
          </w:rPr>
          <w:t>Form of NMI Holdings, Inc. 2012 Stock Incentive Plan Nonqualified Stock Option Agreement for Employees</w:t>
        </w:r>
      </w:hyperlink>
    </w:p>
    <w:p>
      <w:pPr>
        <w:spacing w:after="0" w:line="279" w:lineRule="exact"/>
        <w:rPr>
          <w:sz w:val="20"/>
          <w:szCs w:val="20"/>
          <w:color w:val="auto"/>
        </w:rPr>
      </w:pPr>
    </w:p>
    <w:p>
      <w:pPr>
        <w:ind w:left="9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w:anchor="page6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Independent Directors</w:t>
        </w:r>
      </w:hyperlink>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80"/>
          </w:cols>
          <w:pgMar w:left="620" w:top="746" w:right="399" w:bottom="1440" w:gutter="0" w:footer="0" w:header="0"/>
        </w:sectPr>
      </w:pPr>
    </w:p>
    <w:bookmarkStart w:id="48" w:name="page49"/>
    <w:bookmarkEnd w:id="48"/>
    <w:p>
      <w:pPr>
        <w:ind w:left="941" w:right="60" w:hanging="892"/>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w:anchor="page68">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Employees</w:t>
        </w:r>
      </w:hyperlink>
    </w:p>
    <w:p>
      <w:pPr>
        <w:spacing w:after="0" w:line="8" w:lineRule="exact"/>
        <w:rPr>
          <w:sz w:val="20"/>
          <w:szCs w:val="20"/>
          <w:color w:val="auto"/>
        </w:rPr>
      </w:pPr>
    </w:p>
    <w:p>
      <w:pPr>
        <w:ind w:left="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hyperlink w:anchor="page72">
        <w:r>
          <w:rPr>
            <w:rFonts w:ascii="Arial" w:cs="Arial" w:eastAsia="Arial" w:hAnsi="Arial"/>
            <w:sz w:val="16"/>
            <w:szCs w:val="16"/>
            <w:u w:val="single" w:color="auto"/>
            <w:color w:val="0000FF"/>
          </w:rPr>
          <w:t>Form of NMI Holdings, Inc. Amended and Restated 2014 Omnibus Incentive Plan Nonqualified Stock Option Agreement for Employees</w:t>
        </w:r>
      </w:hyperlink>
    </w:p>
    <w:p>
      <w:pPr>
        <w:spacing w:after="0" w:line="279"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1">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7">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8">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3" w:lineRule="exact"/>
        <w:rPr>
          <w:sz w:val="20"/>
          <w:szCs w:val="20"/>
          <w:color w:val="auto"/>
        </w:rPr>
      </w:pPr>
    </w:p>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79">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380" w:hanging="786"/>
        <w:spacing w:after="0" w:line="258" w:lineRule="auto"/>
        <w:tabs>
          <w:tab w:leader="none" w:pos="9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March 31, 2019 formatted in XBRL (eXtensible Business Reporting Language):</w:t>
      </w:r>
    </w:p>
    <w:p>
      <w:pPr>
        <w:spacing w:after="0" w:line="1" w:lineRule="exact"/>
        <w:rPr>
          <w:rFonts w:ascii="Arial" w:cs="Arial" w:eastAsia="Arial" w:hAnsi="Arial"/>
          <w:sz w:val="18"/>
          <w:szCs w:val="18"/>
          <w:color w:val="auto"/>
        </w:rPr>
      </w:pPr>
    </w:p>
    <w:p>
      <w:pPr>
        <w:ind w:left="1141" w:hanging="209"/>
        <w:spacing w:after="0"/>
        <w:tabs>
          <w:tab w:leader="none" w:pos="11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Balance Sheets as of March 31, 2019 and December 31, 2018</w:t>
      </w:r>
    </w:p>
    <w:p>
      <w:pPr>
        <w:spacing w:after="0" w:line="9" w:lineRule="exact"/>
        <w:rPr>
          <w:rFonts w:ascii="Arial" w:cs="Arial" w:eastAsia="Arial" w:hAnsi="Arial"/>
          <w:sz w:val="18"/>
          <w:szCs w:val="18"/>
          <w:color w:val="auto"/>
        </w:rPr>
      </w:pPr>
    </w:p>
    <w:p>
      <w:pPr>
        <w:ind w:left="941" w:right="320" w:firstLine="216"/>
        <w:spacing w:after="0" w:line="250" w:lineRule="auto"/>
        <w:tabs>
          <w:tab w:leader="none" w:pos="143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 for each of the three month periods ended March 31, 2019 and 2018</w:t>
      </w:r>
    </w:p>
    <w:p>
      <w:pPr>
        <w:ind w:left="1481" w:hanging="324"/>
        <w:spacing w:after="0"/>
        <w:tabs>
          <w:tab w:leader="none" w:pos="1481" w:val="left"/>
        </w:tabs>
        <w:numPr>
          <w:ilvl w:val="2"/>
          <w:numId w:val="23"/>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month periods ended March 31, 2019 and 2018</w:t>
      </w:r>
    </w:p>
    <w:p>
      <w:pPr>
        <w:spacing w:after="0" w:line="32" w:lineRule="exact"/>
        <w:rPr>
          <w:rFonts w:ascii="Arial" w:cs="Arial" w:eastAsia="Arial" w:hAnsi="Arial"/>
          <w:sz w:val="16"/>
          <w:szCs w:val="16"/>
          <w:color w:val="auto"/>
        </w:rPr>
      </w:pPr>
    </w:p>
    <w:p>
      <w:pPr>
        <w:ind w:left="1461" w:hanging="304"/>
        <w:spacing w:after="0"/>
        <w:tabs>
          <w:tab w:leader="none" w:pos="146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month periods ended March 31, 2019 and 2018, and</w:t>
      </w:r>
    </w:p>
    <w:p>
      <w:pPr>
        <w:spacing w:after="0" w:line="9" w:lineRule="exact"/>
        <w:rPr>
          <w:sz w:val="20"/>
          <w:szCs w:val="20"/>
          <w:color w:val="auto"/>
        </w:rPr>
      </w:pPr>
    </w:p>
    <w:p>
      <w:pPr>
        <w:ind w:left="1181" w:hanging="249"/>
        <w:spacing w:after="0"/>
        <w:tabs>
          <w:tab w:leader="none" w:pos="11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221" w:hanging="221"/>
        <w:spacing w:after="0"/>
        <w:tabs>
          <w:tab w:leader="none" w:pos="2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1"/>
          </w:cols>
          <w:pgMar w:left="599" w:top="74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1, 2019</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-10160</wp:posOffset>
            </wp:positionV>
            <wp:extent cx="2952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extLst>
                    </a:blip>
                    <a:srcRect/>
                    <a:stretch>
                      <a:fillRect/>
                    </a:stretch>
                  </pic:blipFill>
                  <pic:spPr bwMode="auto">
                    <a:xfrm>
                      <a:off x="0" y="0"/>
                      <a:ext cx="2952750" cy="8890"/>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3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10.30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2012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(FOR INDEPENDENT DIRECTORS)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404040"/>
        </w:rPr>
        <w:t xml:space="preserve">THIS RESTRICTED STOCK UNIT AWARD AGREEMENT </w:t>
      </w:r>
      <w:r>
        <w:rPr>
          <w:rFonts w:ascii="Arial" w:cs="Arial" w:eastAsia="Arial" w:hAnsi="Arial"/>
          <w:sz w:val="17"/>
          <w:szCs w:val="17"/>
          <w:color w:val="404040"/>
        </w:rPr>
        <w:t>(this “</w:t>
      </w:r>
      <w:r>
        <w:rPr>
          <w:rFonts w:ascii="Arial" w:cs="Arial" w:eastAsia="Arial" w:hAnsi="Arial"/>
          <w:sz w:val="17"/>
          <w:szCs w:val="17"/>
          <w:u w:val="single" w:color="auto"/>
          <w:color w:val="404040"/>
        </w:rPr>
        <w:t>Agreement</w:t>
      </w:r>
      <w:r>
        <w:rPr>
          <w:rFonts w:ascii="Arial" w:cs="Arial" w:eastAsia="Arial" w:hAnsi="Arial"/>
          <w:sz w:val="17"/>
          <w:szCs w:val="17"/>
          <w:color w:val="404040"/>
        </w:rPr>
        <w:t>”), dated as of [•], _______ (the “</w:t>
      </w:r>
      <w:r>
        <w:rPr>
          <w:rFonts w:ascii="Arial" w:cs="Arial" w:eastAsia="Arial" w:hAnsi="Arial"/>
          <w:sz w:val="17"/>
          <w:szCs w:val="17"/>
          <w:u w:val="single" w:color="auto"/>
          <w:color w:val="404040"/>
        </w:rPr>
        <w:t>Grant Date</w:t>
      </w:r>
      <w:r>
        <w:rPr>
          <w:rFonts w:ascii="Arial" w:cs="Arial" w:eastAsia="Arial" w:hAnsi="Arial"/>
          <w:sz w:val="17"/>
          <w:szCs w:val="17"/>
          <w:color w:val="404040"/>
        </w:rPr>
        <w:t>”), is made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404040"/>
        </w:rPr>
        <w:t>by and between NMI Holdings, Inc., a Delaware corporation (the “</w:t>
      </w:r>
      <w:r>
        <w:rPr>
          <w:rFonts w:ascii="Arial" w:cs="Arial" w:eastAsia="Arial" w:hAnsi="Arial"/>
          <w:sz w:val="18"/>
          <w:szCs w:val="18"/>
          <w:u w:val="single" w:color="auto"/>
          <w:color w:val="404040"/>
        </w:rPr>
        <w:t>Company</w:t>
      </w:r>
      <w:r>
        <w:rPr>
          <w:rFonts w:ascii="Arial" w:cs="Arial" w:eastAsia="Arial" w:hAnsi="Arial"/>
          <w:sz w:val="18"/>
          <w:szCs w:val="18"/>
          <w:color w:val="404040"/>
        </w:rPr>
        <w:t>”), and [NAME] (“</w:t>
      </w:r>
      <w:r>
        <w:rPr>
          <w:rFonts w:ascii="Arial" w:cs="Arial" w:eastAsia="Arial" w:hAnsi="Arial"/>
          <w:sz w:val="18"/>
          <w:szCs w:val="18"/>
          <w:u w:val="single" w:color="auto"/>
          <w:color w:val="404040"/>
        </w:rPr>
        <w:t>Participant</w:t>
      </w:r>
      <w:r>
        <w:rPr>
          <w:rFonts w:ascii="Arial" w:cs="Arial" w:eastAsia="Arial" w:hAnsi="Arial"/>
          <w:sz w:val="18"/>
          <w:szCs w:val="18"/>
          <w:color w:val="404040"/>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404040"/>
        </w:rPr>
        <w:t>WHEREAS</w:t>
      </w:r>
      <w:r>
        <w:rPr>
          <w:rFonts w:ascii="Arial" w:cs="Arial" w:eastAsia="Arial" w:hAnsi="Arial"/>
          <w:sz w:val="18"/>
          <w:szCs w:val="18"/>
          <w:color w:val="404040"/>
        </w:rPr>
        <w:t>, the Company has adopted the NMI Holdings, Inc. 2012 Stock Incentive Plan (the “</w:t>
      </w:r>
      <w:r>
        <w:rPr>
          <w:rFonts w:ascii="Arial" w:cs="Arial" w:eastAsia="Arial" w:hAnsi="Arial"/>
          <w:sz w:val="18"/>
          <w:szCs w:val="18"/>
          <w:u w:val="single" w:color="auto"/>
          <w:color w:val="404040"/>
        </w:rPr>
        <w:t>Plan</w:t>
      </w:r>
      <w:r>
        <w:rPr>
          <w:rFonts w:ascii="Arial" w:cs="Arial" w:eastAsia="Arial" w:hAnsi="Arial"/>
          <w:sz w:val="18"/>
          <w:szCs w:val="18"/>
          <w:color w:val="404040"/>
        </w:rPr>
        <w:t>”); and</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404040"/>
        </w:rPr>
        <w:t>WHEREAS</w:t>
      </w:r>
      <w:r>
        <w:rPr>
          <w:rFonts w:ascii="Arial" w:cs="Arial" w:eastAsia="Arial" w:hAnsi="Arial"/>
          <w:sz w:val="18"/>
          <w:szCs w:val="18"/>
          <w:color w:val="404040"/>
        </w:rPr>
        <w:t>, the Committee has determined that it would be in the best interests of the Company and its stockholders to grant Participant</w:t>
      </w:r>
      <w:r>
        <w:rPr>
          <w:rFonts w:ascii="Arial" w:cs="Arial" w:eastAsia="Arial" w:hAnsi="Arial"/>
          <w:sz w:val="18"/>
          <w:szCs w:val="18"/>
          <w:b w:val="1"/>
          <w:bCs w:val="1"/>
          <w:color w:val="404040"/>
        </w:rPr>
        <w:t xml:space="preserve"> </w:t>
      </w:r>
      <w:r>
        <w:rPr>
          <w:rFonts w:ascii="Arial" w:cs="Arial" w:eastAsia="Arial" w:hAnsi="Arial"/>
          <w:sz w:val="18"/>
          <w:szCs w:val="18"/>
          <w:color w:val="404040"/>
        </w:rPr>
        <w:t>restricted stock units with respect to a number of shares of the Company’s Common Stock (the “</w:t>
      </w:r>
      <w:r>
        <w:rPr>
          <w:rFonts w:ascii="Arial" w:cs="Arial" w:eastAsia="Arial" w:hAnsi="Arial"/>
          <w:sz w:val="18"/>
          <w:szCs w:val="18"/>
          <w:u w:val="single" w:color="auto"/>
          <w:color w:val="404040"/>
        </w:rPr>
        <w:t>Shares</w:t>
      </w:r>
      <w:r>
        <w:rPr>
          <w:rFonts w:ascii="Arial" w:cs="Arial" w:eastAsia="Arial" w:hAnsi="Arial"/>
          <w:sz w:val="18"/>
          <w:szCs w:val="18"/>
          <w:color w:val="404040"/>
        </w:rPr>
        <w:t>”) on the terms and subject to the conditions set forth in this Agreement and the Plan.</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404040"/>
        </w:rPr>
        <w:t>NOW THEREFORE</w:t>
      </w:r>
      <w:r>
        <w:rPr>
          <w:rFonts w:ascii="Arial" w:cs="Arial" w:eastAsia="Arial" w:hAnsi="Arial"/>
          <w:sz w:val="18"/>
          <w:szCs w:val="18"/>
          <w:color w:val="404040"/>
        </w:rPr>
        <w:t>, for and in consideration of the premises and the covenants of the parties contained in this Agreement, and for other</w:t>
      </w:r>
      <w:r>
        <w:rPr>
          <w:rFonts w:ascii="Arial" w:cs="Arial" w:eastAsia="Arial" w:hAnsi="Arial"/>
          <w:sz w:val="18"/>
          <w:szCs w:val="18"/>
          <w:b w:val="1"/>
          <w:bCs w:val="1"/>
          <w:color w:val="404040"/>
        </w:rPr>
        <w:t xml:space="preserve"> </w:t>
      </w:r>
      <w:r>
        <w:rPr>
          <w:rFonts w:ascii="Arial" w:cs="Arial" w:eastAsia="Arial" w:hAnsi="Arial"/>
          <w:sz w:val="18"/>
          <w:szCs w:val="18"/>
          <w:color w:val="404040"/>
        </w:rPr>
        <w:t>good and valuable consideration, the receipt of which is hereby acknowledged, the parties hereto, for themselves, their successors and assigns, hereby agree as follows:</w:t>
      </w:r>
    </w:p>
    <w:p>
      <w:pPr>
        <w:spacing w:after="0" w:line="207" w:lineRule="exact"/>
        <w:rPr>
          <w:sz w:val="20"/>
          <w:szCs w:val="20"/>
          <w:color w:val="auto"/>
        </w:rPr>
      </w:pPr>
    </w:p>
    <w:p>
      <w:pPr>
        <w:ind w:left="1440" w:hanging="784"/>
        <w:spacing w:after="0"/>
        <w:tabs>
          <w:tab w:leader="none" w:pos="14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404040"/>
        </w:rPr>
        <w:t>Grant of Restricted Stock Unit Award</w:t>
      </w:r>
      <w:r>
        <w:rPr>
          <w:rFonts w:ascii="Arial" w:cs="Arial" w:eastAsia="Arial" w:hAnsi="Arial"/>
          <w:sz w:val="18"/>
          <w:szCs w:val="18"/>
          <w:color w:val="404040"/>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404040"/>
        </w:rPr>
        <w:t>Grant</w:t>
      </w:r>
      <w:r>
        <w:rPr>
          <w:rFonts w:ascii="Arial" w:cs="Arial" w:eastAsia="Arial" w:hAnsi="Arial"/>
          <w:sz w:val="18"/>
          <w:szCs w:val="18"/>
          <w:color w:val="404040"/>
        </w:rPr>
        <w:t>. The Company hereby grants to Participant an award of restricted stock units with respect to [•] Shares (the “</w:t>
      </w:r>
      <w:r>
        <w:rPr>
          <w:rFonts w:ascii="Arial" w:cs="Arial" w:eastAsia="Arial" w:hAnsi="Arial"/>
          <w:sz w:val="18"/>
          <w:szCs w:val="18"/>
          <w:u w:val="single" w:color="auto"/>
          <w:color w:val="404040"/>
        </w:rPr>
        <w:t>RSUs</w:t>
      </w:r>
      <w:r>
        <w:rPr>
          <w:rFonts w:ascii="Arial" w:cs="Arial" w:eastAsia="Arial" w:hAnsi="Arial"/>
          <w:sz w:val="18"/>
          <w:szCs w:val="18"/>
          <w:color w:val="404040"/>
        </w:rPr>
        <w:t>”) on the terms and conditions set forth in this Agreement and as otherwise provided in the Plan.</w:t>
      </w:r>
    </w:p>
    <w:p>
      <w:pPr>
        <w:spacing w:after="0" w:line="62"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26"/>
        </w:numPr>
        <w:rPr>
          <w:rFonts w:ascii="Arial" w:cs="Arial" w:eastAsia="Arial" w:hAnsi="Arial"/>
          <w:sz w:val="18"/>
          <w:szCs w:val="18"/>
          <w:color w:val="404040"/>
        </w:rPr>
      </w:pPr>
      <w:r>
        <w:rPr>
          <w:rFonts w:ascii="Arial" w:cs="Arial" w:eastAsia="Arial" w:hAnsi="Arial"/>
          <w:sz w:val="18"/>
          <w:szCs w:val="18"/>
          <w:u w:val="single" w:color="auto"/>
          <w:color w:val="404040"/>
        </w:rPr>
        <w:t>Incorporation by Reference, Etc.</w:t>
      </w:r>
      <w:r>
        <w:rPr>
          <w:rFonts w:ascii="Arial" w:cs="Arial" w:eastAsia="Arial" w:hAnsi="Arial"/>
          <w:sz w:val="18"/>
          <w:szCs w:val="18"/>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404040"/>
        </w:rPr>
      </w:pPr>
    </w:p>
    <w:p>
      <w:pPr>
        <w:ind w:left="1440" w:hanging="784"/>
        <w:spacing w:after="0"/>
        <w:tabs>
          <w:tab w:leader="none" w:pos="1440" w:val="left"/>
        </w:tabs>
        <w:numPr>
          <w:ilvl w:val="0"/>
          <w:numId w:val="26"/>
        </w:numPr>
        <w:rPr>
          <w:rFonts w:ascii="Arial" w:cs="Arial" w:eastAsia="Arial" w:hAnsi="Arial"/>
          <w:sz w:val="18"/>
          <w:szCs w:val="18"/>
          <w:color w:val="404040"/>
        </w:rPr>
      </w:pPr>
      <w:r>
        <w:rPr>
          <w:rFonts w:ascii="Arial" w:cs="Arial" w:eastAsia="Arial" w:hAnsi="Arial"/>
          <w:sz w:val="18"/>
          <w:szCs w:val="18"/>
          <w:u w:val="single" w:color="auto"/>
          <w:color w:val="404040"/>
        </w:rPr>
        <w:t>Vesting</w:t>
      </w:r>
      <w:r>
        <w:rPr>
          <w:rFonts w:ascii="Arial" w:cs="Arial" w:eastAsia="Arial" w:hAnsi="Arial"/>
          <w:sz w:val="18"/>
          <w:szCs w:val="18"/>
          <w:color w:val="404040"/>
        </w:rPr>
        <w:t>.</w:t>
      </w:r>
    </w:p>
    <w:p>
      <w:pPr>
        <w:spacing w:after="0" w:line="157" w:lineRule="exact"/>
        <w:rPr>
          <w:rFonts w:ascii="Arial" w:cs="Arial" w:eastAsia="Arial" w:hAnsi="Arial"/>
          <w:sz w:val="18"/>
          <w:szCs w:val="18"/>
          <w:color w:val="404040"/>
        </w:rPr>
      </w:pPr>
    </w:p>
    <w:p>
      <w:pPr>
        <w:ind w:firstLine="1305"/>
        <w:spacing w:after="0" w:line="324" w:lineRule="auto"/>
        <w:tabs>
          <w:tab w:leader="none" w:pos="214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404040"/>
        </w:rPr>
        <w:t>General</w:t>
      </w:r>
      <w:r>
        <w:rPr>
          <w:rFonts w:ascii="Arial" w:cs="Arial" w:eastAsia="Arial" w:hAnsi="Arial"/>
          <w:sz w:val="18"/>
          <w:szCs w:val="18"/>
          <w:color w:val="404040"/>
        </w:rPr>
        <w:t>. Except as may otherwise be provided herein, the RSUs shall vest on the first anniversary of the Grant Date, subject to Participant not having incurred a Termination of Service prior to the applicable vesting date.</w:t>
      </w:r>
    </w:p>
    <w:p>
      <w:pPr>
        <w:spacing w:after="0" w:line="62"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404040"/>
        </w:rPr>
        <w:t>Termination of Service</w:t>
      </w:r>
      <w:r>
        <w:rPr>
          <w:rFonts w:ascii="Arial" w:cs="Arial" w:eastAsia="Arial" w:hAnsi="Arial"/>
          <w:sz w:val="18"/>
          <w:szCs w:val="18"/>
          <w:color w:val="404040"/>
        </w:rPr>
        <w:t>. Except as provided in the immediately following sentence, in the event that Participant incurs a Termination of Service, any unvested RSUs shall be forfeited by Participant without consideration therefor. Notwithstanding the foregoing, in the event that Participant incurs a Termination of Service due to Participant’s death or Disability, any unvested RSUs shall accelerate and vest in full as of the date of Termination of Service.</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404040"/>
        </w:rPr>
        <w:t>Settlement</w:t>
      </w:r>
      <w:r>
        <w:rPr>
          <w:rFonts w:ascii="Arial" w:cs="Arial" w:eastAsia="Arial" w:hAnsi="Arial"/>
          <w:sz w:val="18"/>
          <w:szCs w:val="18"/>
          <w:color w:val="404040"/>
        </w:rPr>
        <w:t>. As soon as practicable after any RSUs have vested (and in any event, no later than fifteen business days immediately following the date of such vesting), such RSUs shall be settled. For each vested RSU settled pursuant to this Section 3, subject to Section 13 of the Plan (as applicable), the Company shall issue to Participant one Share.</w:t>
      </w:r>
    </w:p>
    <w:p>
      <w:pPr>
        <w:spacing w:after="0" w:line="73"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404040"/>
        </w:rPr>
        <w:t>Taxes</w:t>
      </w:r>
      <w:r>
        <w:rPr>
          <w:rFonts w:ascii="Arial" w:cs="Arial" w:eastAsia="Arial" w:hAnsi="Arial"/>
          <w:sz w:val="18"/>
          <w:szCs w:val="18"/>
          <w:color w:val="404040"/>
        </w:rPr>
        <w:t>. Participant (or, in the event of Participant’s death, any beneficiary), shall be solely responsible for any federal, state or local income or self-employment taxes that Participant incurs in connection with the receipt of the award of RSUs or the vesting of such RSUs and the Company shall have no obligation or liability with respect to the Participant’s (or, in the event of Participant’s death, any beneficiary’s) satisfaction of such taxes and shall have no withholding obligations with respect thereof.</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404040"/>
        </w:rPr>
        <w:t>No Rights as Stockholder</w:t>
      </w:r>
      <w:r>
        <w:rPr>
          <w:rFonts w:ascii="Arial" w:cs="Arial" w:eastAsia="Arial" w:hAnsi="Arial"/>
          <w:sz w:val="18"/>
          <w:szCs w:val="18"/>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404040"/>
        </w:rPr>
        <w:t>Transferability</w:t>
      </w:r>
      <w:r>
        <w:rPr>
          <w:rFonts w:ascii="Arial" w:cs="Arial" w:eastAsia="Arial" w:hAnsi="Arial"/>
          <w:sz w:val="17"/>
          <w:szCs w:val="17"/>
          <w:color w:val="404040"/>
        </w:rPr>
        <w:t>.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provided that the designation of a beneficiary shall not constitute an assignment, alienation, pledge, attachment, sale, transfer or encumbrance.</w:t>
      </w:r>
    </w:p>
    <w:p>
      <w:pPr>
        <w:spacing w:after="0" w:line="62" w:lineRule="exact"/>
        <w:rPr>
          <w:rFonts w:ascii="Arial" w:cs="Arial" w:eastAsia="Arial" w:hAnsi="Arial"/>
          <w:sz w:val="17"/>
          <w:szCs w:val="17"/>
          <w:color w:val="auto"/>
        </w:rPr>
      </w:pPr>
    </w:p>
    <w:p>
      <w:pPr>
        <w:ind w:firstLine="656"/>
        <w:spacing w:after="0" w:line="324" w:lineRule="auto"/>
        <w:tabs>
          <w:tab w:leader="none" w:pos="1431" w:val="left"/>
        </w:tabs>
        <w:numPr>
          <w:ilvl w:val="0"/>
          <w:numId w:val="26"/>
        </w:numPr>
        <w:rPr>
          <w:rFonts w:ascii="Arial" w:cs="Arial" w:eastAsia="Arial" w:hAnsi="Arial"/>
          <w:sz w:val="18"/>
          <w:szCs w:val="18"/>
          <w:color w:val="404040"/>
        </w:rPr>
      </w:pPr>
      <w:r>
        <w:rPr>
          <w:rFonts w:ascii="Arial" w:cs="Arial" w:eastAsia="Arial" w:hAnsi="Arial"/>
          <w:sz w:val="18"/>
          <w:szCs w:val="18"/>
          <w:u w:val="single" w:color="auto"/>
          <w:color w:val="404040"/>
        </w:rPr>
        <w:t>Adjustment</w:t>
      </w:r>
      <w:r>
        <w:rPr>
          <w:rFonts w:ascii="Arial" w:cs="Arial" w:eastAsia="Arial" w:hAnsi="Arial"/>
          <w:sz w:val="18"/>
          <w:szCs w:val="18"/>
          <w:color w:val="404040"/>
        </w:rPr>
        <w:t>. Upon any event described in Section 13 of the Plan occurring after the Grant Date, the adjustment provisions as provided for under Section 13 of the Plan shall apply to the RSUs.</w:t>
      </w:r>
    </w:p>
    <w:p>
      <w:pPr>
        <w:spacing w:after="0" w:line="62" w:lineRule="exact"/>
        <w:rPr>
          <w:rFonts w:ascii="Arial" w:cs="Arial" w:eastAsia="Arial" w:hAnsi="Arial"/>
          <w:sz w:val="18"/>
          <w:szCs w:val="18"/>
          <w:color w:val="404040"/>
        </w:rPr>
      </w:pPr>
    </w:p>
    <w:p>
      <w:pPr>
        <w:jc w:val="both"/>
        <w:ind w:firstLine="656"/>
        <w:spacing w:after="0" w:line="311" w:lineRule="auto"/>
        <w:tabs>
          <w:tab w:leader="none" w:pos="1431" w:val="left"/>
        </w:tabs>
        <w:numPr>
          <w:ilvl w:val="0"/>
          <w:numId w:val="26"/>
        </w:numPr>
        <w:rPr>
          <w:rFonts w:ascii="Arial" w:cs="Arial" w:eastAsia="Arial" w:hAnsi="Arial"/>
          <w:sz w:val="18"/>
          <w:szCs w:val="18"/>
          <w:color w:val="404040"/>
        </w:rPr>
      </w:pPr>
      <w:r>
        <w:rPr>
          <w:rFonts w:ascii="Arial" w:cs="Arial" w:eastAsia="Arial" w:hAnsi="Arial"/>
          <w:sz w:val="18"/>
          <w:szCs w:val="18"/>
          <w:u w:val="single" w:color="auto"/>
          <w:color w:val="404040"/>
        </w:rPr>
        <w:t>Change in Control</w:t>
      </w:r>
      <w:r>
        <w:rPr>
          <w:rFonts w:ascii="Arial" w:cs="Arial" w:eastAsia="Arial" w:hAnsi="Arial"/>
          <w:sz w:val="18"/>
          <w:szCs w:val="18"/>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10.30</w:t>
      </w:r>
    </w:p>
    <w:p>
      <w:pPr>
        <w:spacing w:after="0" w:line="283" w:lineRule="exact"/>
        <w:rPr>
          <w:sz w:val="20"/>
          <w:szCs w:val="20"/>
          <w:color w:val="auto"/>
        </w:rPr>
      </w:pPr>
    </w:p>
    <w:p>
      <w:pPr>
        <w:ind w:left="1440" w:hanging="784"/>
        <w:spacing w:after="0"/>
        <w:tabs>
          <w:tab w:leader="none" w:pos="1440" w:val="left"/>
        </w:tabs>
        <w:numPr>
          <w:ilvl w:val="0"/>
          <w:numId w:val="27"/>
        </w:numPr>
        <w:rPr>
          <w:rFonts w:ascii="Arial" w:cs="Arial" w:eastAsia="Arial" w:hAnsi="Arial"/>
          <w:sz w:val="18"/>
          <w:szCs w:val="18"/>
          <w:color w:val="404040"/>
        </w:rPr>
      </w:pPr>
      <w:r>
        <w:rPr>
          <w:rFonts w:ascii="Arial" w:cs="Arial" w:eastAsia="Arial" w:hAnsi="Arial"/>
          <w:sz w:val="18"/>
          <w:szCs w:val="18"/>
          <w:u w:val="single" w:color="auto"/>
          <w:color w:val="404040"/>
        </w:rPr>
        <w:t>Miscellaneous</w:t>
      </w:r>
      <w:r>
        <w:rPr>
          <w:rFonts w:ascii="Arial" w:cs="Arial" w:eastAsia="Arial" w:hAnsi="Arial"/>
          <w:sz w:val="18"/>
          <w:szCs w:val="18"/>
          <w:color w:val="404040"/>
        </w:rPr>
        <w:t>.</w:t>
      </w:r>
    </w:p>
    <w:p>
      <w:pPr>
        <w:spacing w:after="0" w:line="157" w:lineRule="exact"/>
        <w:rPr>
          <w:rFonts w:ascii="Arial" w:cs="Arial" w:eastAsia="Arial" w:hAnsi="Arial"/>
          <w:sz w:val="18"/>
          <w:szCs w:val="18"/>
          <w:color w:val="404040"/>
        </w:rPr>
      </w:pPr>
    </w:p>
    <w:p>
      <w:pPr>
        <w:jc w:val="both"/>
        <w:ind w:firstLine="1305"/>
        <w:spacing w:after="0" w:line="302" w:lineRule="auto"/>
        <w:tabs>
          <w:tab w:leader="none" w:pos="214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404040"/>
        </w:rPr>
        <w:t>Waiver and Amendment</w:t>
      </w:r>
      <w:r>
        <w:rPr>
          <w:rFonts w:ascii="Arial" w:cs="Arial" w:eastAsia="Arial" w:hAnsi="Arial"/>
          <w:sz w:val="18"/>
          <w:szCs w:val="18"/>
          <w:color w:val="404040"/>
        </w:rPr>
        <w:t xml:space="preserve">. The Committee may waive any conditions or rights under, or amend any terms of, this Agreement and the RSUs granted thereunder; </w:t>
      </w:r>
      <w:r>
        <w:rPr>
          <w:rFonts w:ascii="Arial" w:cs="Arial" w:eastAsia="Arial" w:hAnsi="Arial"/>
          <w:sz w:val="18"/>
          <w:szCs w:val="18"/>
          <w:u w:val="single" w:color="auto"/>
          <w:color w:val="404040"/>
        </w:rPr>
        <w:t>provided</w:t>
      </w:r>
      <w:r>
        <w:rPr>
          <w:rFonts w:ascii="Arial" w:cs="Arial" w:eastAsia="Arial" w:hAnsi="Arial"/>
          <w:sz w:val="18"/>
          <w:szCs w:val="18"/>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404040"/>
        </w:rPr>
        <w:t>Unsecured Obligation</w:t>
      </w:r>
      <w:r>
        <w:rPr>
          <w:rFonts w:ascii="Arial" w:cs="Arial" w:eastAsia="Arial" w:hAnsi="Arial"/>
          <w:sz w:val="18"/>
          <w:szCs w:val="18"/>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404040"/>
        </w:rPr>
        <w:t>Notices</w:t>
      </w:r>
      <w:r>
        <w:rPr>
          <w:rFonts w:ascii="Arial" w:cs="Arial" w:eastAsia="Arial" w:hAnsi="Arial"/>
          <w:sz w:val="18"/>
          <w:szCs w:val="18"/>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NMI Holdings, Inc.</w:t>
      </w:r>
    </w:p>
    <w:p>
      <w:pPr>
        <w:ind w:left="1960"/>
        <w:spacing w:after="0" w:line="201" w:lineRule="auto"/>
        <w:rPr>
          <w:sz w:val="20"/>
          <w:szCs w:val="20"/>
          <w:color w:val="auto"/>
        </w:rPr>
      </w:pPr>
      <w:r>
        <w:rPr>
          <w:rFonts w:ascii="Arial" w:cs="Arial" w:eastAsia="Arial" w:hAnsi="Arial"/>
          <w:sz w:val="18"/>
          <w:szCs w:val="18"/>
          <w:color w:val="404040"/>
        </w:rPr>
        <w:t>2100 Powell Street, 12</w:t>
      </w:r>
      <w:r>
        <w:rPr>
          <w:rFonts w:ascii="Arial" w:cs="Arial" w:eastAsia="Arial" w:hAnsi="Arial"/>
          <w:sz w:val="25"/>
          <w:szCs w:val="25"/>
          <w:color w:val="404040"/>
          <w:vertAlign w:val="superscript"/>
        </w:rPr>
        <w:t>th</w:t>
      </w:r>
      <w:r>
        <w:rPr>
          <w:rFonts w:ascii="Arial" w:cs="Arial" w:eastAsia="Arial" w:hAnsi="Arial"/>
          <w:sz w:val="18"/>
          <w:szCs w:val="18"/>
          <w:color w:val="404040"/>
        </w:rPr>
        <w:t xml:space="preserve"> Floor</w:t>
      </w:r>
    </w:p>
    <w:p>
      <w:pPr>
        <w:ind w:left="1960"/>
        <w:spacing w:after="0"/>
        <w:rPr>
          <w:sz w:val="20"/>
          <w:szCs w:val="20"/>
          <w:color w:val="auto"/>
        </w:rPr>
      </w:pPr>
      <w:r>
        <w:rPr>
          <w:rFonts w:ascii="Arial" w:cs="Arial" w:eastAsia="Arial" w:hAnsi="Arial"/>
          <w:sz w:val="18"/>
          <w:szCs w:val="18"/>
          <w:color w:val="404040"/>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Attention: General Counsel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if to Participant: at the address last on the records of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8" w:lineRule="exact"/>
        <w:rPr>
          <w:sz w:val="20"/>
          <w:szCs w:val="20"/>
          <w:color w:val="auto"/>
        </w:rPr>
      </w:pPr>
    </w:p>
    <w:p>
      <w:pPr>
        <w:ind w:firstLine="1305"/>
        <w:spacing w:after="0" w:line="357" w:lineRule="auto"/>
        <w:tabs>
          <w:tab w:leader="none" w:pos="215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404040"/>
        </w:rPr>
        <w:t>Severability</w:t>
      </w:r>
      <w:r>
        <w:rPr>
          <w:rFonts w:ascii="Arial" w:cs="Arial" w:eastAsia="Arial" w:hAnsi="Arial"/>
          <w:sz w:val="17"/>
          <w:szCs w:val="17"/>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404040"/>
        </w:rPr>
        <w:t>No Rights to Service</w:t>
      </w:r>
      <w:r>
        <w:rPr>
          <w:rFonts w:ascii="Arial" w:cs="Arial" w:eastAsia="Arial" w:hAnsi="Arial"/>
          <w:sz w:val="17"/>
          <w:szCs w:val="17"/>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25" w:lineRule="auto"/>
        <w:tabs>
          <w:tab w:leader="none" w:pos="212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404040"/>
        </w:rPr>
        <w:t>Beneficiary</w:t>
      </w:r>
      <w:r>
        <w:rPr>
          <w:rFonts w:ascii="Arial" w:cs="Arial" w:eastAsia="Arial" w:hAnsi="Arial"/>
          <w:sz w:val="17"/>
          <w:szCs w:val="17"/>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7"/>
          <w:szCs w:val="17"/>
          <w:u w:val="single" w:color="auto"/>
          <w:color w:val="404040"/>
        </w:rPr>
        <w:t>provided</w:t>
      </w:r>
      <w:r>
        <w:rPr>
          <w:rFonts w:ascii="Arial" w:cs="Arial" w:eastAsia="Arial" w:hAnsi="Arial"/>
          <w:sz w:val="17"/>
          <w:szCs w:val="17"/>
          <w:color w:val="404040"/>
        </w:rPr>
        <w:t xml:space="preserve">, </w:t>
      </w:r>
      <w:r>
        <w:rPr>
          <w:rFonts w:ascii="Arial" w:cs="Arial" w:eastAsia="Arial" w:hAnsi="Arial"/>
          <w:sz w:val="17"/>
          <w:szCs w:val="17"/>
          <w:u w:val="single" w:color="auto"/>
          <w:color w:val="404040"/>
        </w:rPr>
        <w:t>however</w:t>
      </w:r>
      <w:r>
        <w:rPr>
          <w:rFonts w:ascii="Arial" w:cs="Arial" w:eastAsia="Arial" w:hAnsi="Arial"/>
          <w:sz w:val="17"/>
          <w:szCs w:val="17"/>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67" w:lineRule="exact"/>
        <w:rPr>
          <w:rFonts w:ascii="Arial" w:cs="Arial" w:eastAsia="Arial" w:hAnsi="Arial"/>
          <w:sz w:val="17"/>
          <w:szCs w:val="17"/>
          <w:color w:val="auto"/>
        </w:rPr>
      </w:pPr>
    </w:p>
    <w:p>
      <w:pPr>
        <w:jc w:val="both"/>
        <w:ind w:firstLine="1305"/>
        <w:spacing w:after="0" w:line="336" w:lineRule="auto"/>
        <w:tabs>
          <w:tab w:leader="none" w:pos="215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404040"/>
        </w:rPr>
        <w:t>Section 409A</w:t>
      </w:r>
      <w:r>
        <w:rPr>
          <w:rFonts w:ascii="Arial" w:cs="Arial" w:eastAsia="Arial" w:hAnsi="Arial"/>
          <w:sz w:val="17"/>
          <w:szCs w:val="17"/>
          <w:color w:val="404040"/>
        </w:rPr>
        <w:t>.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56" w:lineRule="exact"/>
        <w:rPr>
          <w:rFonts w:ascii="Arial" w:cs="Arial" w:eastAsia="Arial" w:hAnsi="Arial"/>
          <w:sz w:val="17"/>
          <w:szCs w:val="17"/>
          <w:color w:val="auto"/>
        </w:rPr>
      </w:pPr>
    </w:p>
    <w:p>
      <w:pPr>
        <w:ind w:right="20" w:firstLine="1305"/>
        <w:spacing w:after="0" w:line="324" w:lineRule="auto"/>
        <w:tabs>
          <w:tab w:leader="none" w:pos="215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404040"/>
        </w:rPr>
        <w:t>Successors</w:t>
      </w:r>
      <w:r>
        <w:rPr>
          <w:rFonts w:ascii="Arial" w:cs="Arial" w:eastAsia="Arial" w:hAnsi="Arial"/>
          <w:sz w:val="18"/>
          <w:szCs w:val="18"/>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62" w:lineRule="exact"/>
        <w:rPr>
          <w:rFonts w:ascii="Arial" w:cs="Arial" w:eastAsia="Arial" w:hAnsi="Arial"/>
          <w:sz w:val="18"/>
          <w:szCs w:val="18"/>
          <w:color w:val="auto"/>
        </w:rPr>
      </w:pPr>
    </w:p>
    <w:p>
      <w:pPr>
        <w:ind w:firstLine="1305"/>
        <w:spacing w:after="0" w:line="357" w:lineRule="auto"/>
        <w:tabs>
          <w:tab w:leader="none" w:pos="211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404040"/>
        </w:rPr>
        <w:t>Entire Agreement</w:t>
      </w:r>
      <w:r>
        <w:rPr>
          <w:rFonts w:ascii="Arial" w:cs="Arial" w:eastAsia="Arial" w:hAnsi="Arial"/>
          <w:sz w:val="17"/>
          <w:szCs w:val="17"/>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404040"/>
        </w:rPr>
        <w:t>Bound by the Plan</w:t>
      </w:r>
      <w:r>
        <w:rPr>
          <w:rFonts w:ascii="Arial" w:cs="Arial" w:eastAsia="Arial" w:hAnsi="Arial"/>
          <w:sz w:val="18"/>
          <w:szCs w:val="18"/>
          <w:color w:val="404040"/>
        </w:rPr>
        <w:t>. By signing this Agreement, Participant acknowledges that he has received a copy of the Plan and has had an opportunity to review the Plan and agrees to be bound by all the terms and provisions of the Plan.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10.30</w:t>
      </w:r>
    </w:p>
    <w:p>
      <w:pPr>
        <w:spacing w:after="0" w:line="283" w:lineRule="exact"/>
        <w:rPr>
          <w:sz w:val="20"/>
          <w:szCs w:val="20"/>
          <w:color w:val="auto"/>
        </w:rPr>
      </w:pPr>
    </w:p>
    <w:p>
      <w:pPr>
        <w:jc w:val="both"/>
        <w:ind w:firstLine="1305"/>
        <w:spacing w:after="0" w:line="311" w:lineRule="auto"/>
        <w:tabs>
          <w:tab w:leader="none" w:pos="215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404040"/>
        </w:rPr>
        <w:t>Governing Law</w:t>
      </w:r>
      <w:r>
        <w:rPr>
          <w:rFonts w:ascii="Arial" w:cs="Arial" w:eastAsia="Arial" w:hAnsi="Arial"/>
          <w:sz w:val="18"/>
          <w:szCs w:val="18"/>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73" w:lineRule="exact"/>
        <w:rPr>
          <w:rFonts w:ascii="Arial" w:cs="Arial" w:eastAsia="Arial" w:hAnsi="Arial"/>
          <w:sz w:val="18"/>
          <w:szCs w:val="18"/>
          <w:color w:val="auto"/>
        </w:rPr>
      </w:pPr>
    </w:p>
    <w:p>
      <w:pPr>
        <w:ind w:firstLine="1305"/>
        <w:spacing w:after="0" w:line="324" w:lineRule="auto"/>
        <w:tabs>
          <w:tab w:leader="none" w:pos="2115" w:val="left"/>
        </w:tabs>
        <w:numPr>
          <w:ilvl w:val="1"/>
          <w:numId w:val="29"/>
        </w:numPr>
        <w:rPr>
          <w:rFonts w:ascii="Arial" w:cs="Arial" w:eastAsia="Arial" w:hAnsi="Arial"/>
          <w:sz w:val="18"/>
          <w:szCs w:val="18"/>
          <w:color w:val="404040"/>
        </w:rPr>
      </w:pPr>
      <w:r>
        <w:rPr>
          <w:rFonts w:ascii="Arial" w:cs="Arial" w:eastAsia="Arial" w:hAnsi="Arial"/>
          <w:sz w:val="18"/>
          <w:szCs w:val="18"/>
          <w:u w:val="single" w:color="auto"/>
          <w:color w:val="404040"/>
        </w:rPr>
        <w:t>Headings</w:t>
      </w:r>
      <w:r>
        <w:rPr>
          <w:rFonts w:ascii="Arial" w:cs="Arial" w:eastAsia="Arial" w:hAnsi="Arial"/>
          <w:sz w:val="18"/>
          <w:szCs w:val="18"/>
          <w:color w:val="404040"/>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404040"/>
        </w:rPr>
      </w:pPr>
    </w:p>
    <w:p>
      <w:pPr>
        <w:ind w:firstLine="1305"/>
        <w:spacing w:after="0" w:line="324" w:lineRule="auto"/>
        <w:tabs>
          <w:tab w:leader="none" w:pos="2205" w:val="left"/>
        </w:tabs>
        <w:numPr>
          <w:ilvl w:val="1"/>
          <w:numId w:val="29"/>
        </w:numPr>
        <w:rPr>
          <w:rFonts w:ascii="Arial" w:cs="Arial" w:eastAsia="Arial" w:hAnsi="Arial"/>
          <w:sz w:val="18"/>
          <w:szCs w:val="18"/>
          <w:color w:val="404040"/>
        </w:rPr>
      </w:pPr>
      <w:r>
        <w:rPr>
          <w:rFonts w:ascii="Arial" w:cs="Arial" w:eastAsia="Arial" w:hAnsi="Arial"/>
          <w:sz w:val="18"/>
          <w:szCs w:val="18"/>
          <w:u w:val="single" w:color="auto"/>
          <w:color w:val="404040"/>
        </w:rPr>
        <w:t>Signature in Counterparts</w:t>
      </w:r>
      <w:r>
        <w:rPr>
          <w:rFonts w:ascii="Arial" w:cs="Arial" w:eastAsia="Arial" w:hAnsi="Arial"/>
          <w:sz w:val="18"/>
          <w:szCs w:val="18"/>
          <w:color w:val="404040"/>
        </w:rPr>
        <w:t>. This Agreement may be signed in counterparts, each of which shall be an original, with the same effect as if the signatures thereto and hereto were upon the same instrument.</w:t>
      </w:r>
    </w:p>
    <w:p>
      <w:pPr>
        <w:spacing w:after="0" w:line="62" w:lineRule="exact"/>
        <w:rPr>
          <w:rFonts w:ascii="Arial" w:cs="Arial" w:eastAsia="Arial" w:hAnsi="Arial"/>
          <w:sz w:val="18"/>
          <w:szCs w:val="18"/>
          <w:color w:val="404040"/>
        </w:rPr>
      </w:pPr>
    </w:p>
    <w:p>
      <w:pPr>
        <w:jc w:val="both"/>
        <w:ind w:firstLine="656"/>
        <w:spacing w:after="0" w:line="349" w:lineRule="auto"/>
        <w:tabs>
          <w:tab w:leader="none" w:pos="152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404040"/>
        </w:rPr>
        <w:t>Compliance with Legal Requirements</w:t>
      </w:r>
      <w:r>
        <w:rPr>
          <w:rFonts w:ascii="Arial" w:cs="Arial" w:eastAsia="Arial" w:hAnsi="Arial"/>
          <w:sz w:val="16"/>
          <w:szCs w:val="16"/>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9(h)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IN WITNESS WHEREOF</w:t>
      </w:r>
      <w:r>
        <w:rPr>
          <w:rFonts w:ascii="Arial" w:cs="Arial" w:eastAsia="Arial" w:hAnsi="Arial"/>
          <w:sz w:val="18"/>
          <w:szCs w:val="18"/>
          <w:color w:val="404040"/>
        </w:rPr>
        <w:t>, the parties hereto have executed this Agreement.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NMI HOLDINGS,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By: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PARTICIPANT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04040"/>
        </w:rPr>
        <w:t>[Signature Page to Restricted Stock Unit Award Agreement (Independent Directors)]</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THIS RESTRICTED STOCK UNIT AWARD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_____ (the “</w:t>
      </w:r>
      <w:r>
        <w:rPr>
          <w:rFonts w:ascii="Arial" w:cs="Arial" w:eastAsia="Arial" w:hAnsi="Arial"/>
          <w:sz w:val="17"/>
          <w:szCs w:val="17"/>
          <w:u w:val="single" w:color="auto"/>
          <w:color w:val="auto"/>
        </w:rPr>
        <w:t>Grant Date</w:t>
      </w:r>
      <w:r>
        <w:rPr>
          <w:rFonts w:ascii="Arial" w:cs="Arial" w:eastAsia="Arial" w:hAnsi="Arial"/>
          <w:sz w:val="17"/>
          <w:szCs w:val="17"/>
          <w:color w:val="auto"/>
        </w:rPr>
        <w:t>”), is made by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 between NMI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NMI Holdings, Inc. 2012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relating to shares of the Company’s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may be granted; and</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would be in the best interests of the Company and its stockholders to grant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with respect to a number of shares of the Company’s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subject to the conditions set forth in this Agreement and the Plan.</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and the covenants of the parties contained in this Agreement,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of which is hereby acknowledged, the parties hereto, for themselves, their successors and assigns, hereby agree as follows:</w:t>
      </w:r>
    </w:p>
    <w:p>
      <w:pPr>
        <w:spacing w:after="0" w:line="207" w:lineRule="exact"/>
        <w:rPr>
          <w:sz w:val="20"/>
          <w:szCs w:val="20"/>
          <w:color w:val="auto"/>
        </w:rPr>
      </w:pPr>
    </w:p>
    <w:p>
      <w:pPr>
        <w:ind w:left="1440" w:hanging="784"/>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 Award</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an award of restricted stock units with respect to [•] Shares (the “</w:t>
      </w:r>
      <w:r>
        <w:rPr>
          <w:rFonts w:ascii="Arial" w:cs="Arial" w:eastAsia="Arial" w:hAnsi="Arial"/>
          <w:sz w:val="18"/>
          <w:szCs w:val="18"/>
          <w:u w:val="single" w:color="auto"/>
          <w:color w:val="auto"/>
        </w:rPr>
        <w:t>RSUs</w:t>
      </w:r>
      <w:r>
        <w:rPr>
          <w:rFonts w:ascii="Arial" w:cs="Arial" w:eastAsia="Arial" w:hAnsi="Arial"/>
          <w:sz w:val="18"/>
          <w:szCs w:val="18"/>
          <w:color w:val="auto"/>
        </w:rPr>
        <w:t>”) on the terms and conditions set forth in this Agreement and as otherwise provided in the Plan.</w:t>
      </w:r>
    </w:p>
    <w:p>
      <w:pPr>
        <w:spacing w:after="0" w:line="62"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29" w:lineRule="auto"/>
        <w:tabs>
          <w:tab w:leader="none" w:pos="2144" w:val="left"/>
        </w:tabs>
        <w:numPr>
          <w:ilvl w:val="1"/>
          <w:numId w:val="31"/>
        </w:numPr>
        <w:rPr>
          <w:rFonts w:ascii="Arial" w:cs="Arial" w:eastAsia="Arial" w:hAnsi="Arial"/>
          <w:sz w:val="17"/>
          <w:szCs w:val="17"/>
          <w:color w:val="auto"/>
        </w:rPr>
      </w:pPr>
      <w:r>
        <w:rPr>
          <w:rFonts w:ascii="Arial" w:cs="Arial" w:eastAsia="Arial" w:hAnsi="Arial"/>
          <w:sz w:val="17"/>
          <w:szCs w:val="17"/>
          <w:color w:val="auto"/>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Service prior to the applicable vesting date.</w:t>
      </w:r>
    </w:p>
    <w:p>
      <w:pPr>
        <w:spacing w:after="0" w:line="62" w:lineRule="exact"/>
        <w:rPr>
          <w:rFonts w:ascii="Arial" w:cs="Arial" w:eastAsia="Arial" w:hAnsi="Arial"/>
          <w:sz w:val="17"/>
          <w:szCs w:val="17"/>
          <w:color w:val="auto"/>
        </w:rPr>
      </w:pPr>
    </w:p>
    <w:p>
      <w:pPr>
        <w:jc w:val="both"/>
        <w:ind w:firstLine="1305"/>
        <w:spacing w:after="0" w:line="301"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Except as provided in the immediately following sentence, if Participant incurs a Termination of Service, any unvested RSUs shall be forfeited by Participant without consideration therefor. Notwithstanding the foregoing, if Participant incurs a Termination of Service (i) as a result of termination by the Company or its Affiliate without Cause on or after the first anniversary of the Grant Date, or (ii) due to Participant’s death or Disability, in each case, any unvested RSUs that are outstanding immediately prior to such Termination of Service and that would have vested on the next vesting date shall vest pro-rata as of the date of Participant’s Termination of Service, with the number of RSUs vesting to be determined by multiplying the number of unvested RSUs that would have vested on the next vesting date by a fraction, the numerator of which is the number of days between the prior vesting date (or Grant Date if no vesting date occurred prior to Participant’s Termination of Service) and the date of Participant’s Termination of Service and the denominator of which is 365.</w:t>
      </w:r>
    </w:p>
    <w:p>
      <w:pPr>
        <w:spacing w:after="0" w:line="84" w:lineRule="exact"/>
        <w:rPr>
          <w:rFonts w:ascii="Arial" w:cs="Arial" w:eastAsia="Arial" w:hAnsi="Arial"/>
          <w:sz w:val="18"/>
          <w:szCs w:val="18"/>
          <w:color w:val="auto"/>
        </w:rPr>
      </w:pPr>
    </w:p>
    <w:p>
      <w:pPr>
        <w:jc w:val="both"/>
        <w:ind w:firstLine="656"/>
        <w:spacing w:after="0" w:line="336" w:lineRule="auto"/>
        <w:tabs>
          <w:tab w:leader="none" w:pos="143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after any RSUs have vested (and in any event, no later than fifteen business days immediately following the date of such vesting), such RSUs shall be settled. Subject to Section 4 (pertaining to the withholding of taxes) and Section 13 of the Plan (as applicable), for each vested RSU settled pursuant to this Section 3, the Company shall issue to Participant one Share.</w:t>
      </w:r>
    </w:p>
    <w:p>
      <w:pPr>
        <w:spacing w:after="0" w:line="56" w:lineRule="exact"/>
        <w:rPr>
          <w:rFonts w:ascii="Arial" w:cs="Arial" w:eastAsia="Arial" w:hAnsi="Arial"/>
          <w:sz w:val="17"/>
          <w:szCs w:val="17"/>
          <w:color w:val="auto"/>
        </w:rPr>
      </w:pPr>
    </w:p>
    <w:p>
      <w:pPr>
        <w:ind w:left="1440" w:hanging="784"/>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a condition to delivery of the Shares in respect of vested RSUs, Participant will, pursuant to Section 12(d) of the Plan, make provisions satisfactory to the Company for payment of, any applicable taxes of any kind and other statutory obligations (including but not limited to Participant’s FICA and SDI obligations) (collectively, the “Tax Obligations”) in respect of the transfer of Shares in settlement of the RSUs. The Company shall have the power and the right to deduct or withhold from all amounts payable to Participant pursuant to the RSUs or otherwise, or require Participant to remit to the Company, an amount sufficient to satisfy the Tax Obligations which the Company, in its sole discretion, deems necessary to be withheld or remitted to</w:t>
      </w:r>
    </w:p>
    <w:p>
      <w:pPr>
        <w:sectPr>
          <w:pgSz w:w="11900" w:h="16838" w:orient="portrait"/>
          <w:cols w:equalWidth="0" w:num="1">
            <w:col w:w="11420"/>
          </w:cols>
          <w:pgMar w:left="240" w:top="121"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10.31</w:t>
      </w:r>
    </w:p>
    <w:p>
      <w:pPr>
        <w:spacing w:after="0" w:line="28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comply with the Code and/or any other applicable law, rule or regulation with respect to the RSUs and, if Participant fails to do so, the Company may otherwise refuse to issue or transfer any Shares otherwise required to be issued pursuant to this Agreement.</w:t>
      </w:r>
    </w:p>
    <w:p>
      <w:pPr>
        <w:spacing w:after="0" w:line="62" w:lineRule="exact"/>
        <w:rPr>
          <w:sz w:val="20"/>
          <w:szCs w:val="20"/>
          <w:color w:val="auto"/>
        </w:rPr>
      </w:pPr>
    </w:p>
    <w:p>
      <w:pPr>
        <w:jc w:val="both"/>
        <w:ind w:firstLine="1305"/>
        <w:spacing w:after="0" w:line="319" w:lineRule="auto"/>
        <w:tabs>
          <w:tab w:leader="none" w:pos="215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Except as provided in Section 10(c), any such Tax Obligations with regard to Participant shall be satisfied solely by retaining and instructing a registered broker(s) of the Company’s choosing to sell such number of Shares necessary to satisfy such Tax Obligations, after deduction of the broker’s commission, and the broker shall remit to the Company 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the Tax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75" w:lineRule="exact"/>
        <w:rPr>
          <w:rFonts w:ascii="Arial" w:cs="Arial" w:eastAsia="Arial" w:hAnsi="Arial"/>
          <w:sz w:val="17"/>
          <w:szCs w:val="17"/>
          <w:color w:val="auto"/>
        </w:rPr>
      </w:pPr>
    </w:p>
    <w:p>
      <w:pPr>
        <w:jc w:val="both"/>
        <w:ind w:firstLine="1305"/>
        <w:spacing w:after="0" w:line="311" w:lineRule="auto"/>
        <w:tabs>
          <w:tab w:leader="none" w:pos="21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Section 4(b) hereof, with respect to any Participant who as of the date hereof is a Section 16 officer of the Company and with respect to any Participant who becomes a Section 16 officer on or following the date hereof, any such Tax Obligations with regard to Participant shall be satisfied through the withholding of Shares otherwise issuable in connection with the vesting of such RSUs.</w:t>
      </w:r>
    </w:p>
    <w:p>
      <w:pPr>
        <w:spacing w:after="0" w:line="73"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w:t>
      </w:r>
    </w:p>
    <w:p>
      <w:pPr>
        <w:spacing w:after="0" w:line="62" w:lineRule="exact"/>
        <w:rPr>
          <w:rFonts w:ascii="Arial" w:cs="Arial" w:eastAsia="Arial" w:hAnsi="Arial"/>
          <w:sz w:val="17"/>
          <w:szCs w:val="17"/>
          <w:color w:val="auto"/>
        </w:rPr>
      </w:pPr>
    </w:p>
    <w:p>
      <w:pPr>
        <w:ind w:firstLine="656"/>
        <w:spacing w:after="0" w:line="324"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Upon any event described in Section 13 of the Plan occurring after the Grant Date, the adjustment provisions as provided for under Section 13 of the Plan shall apply to the RSUs.</w:t>
      </w:r>
    </w:p>
    <w:p>
      <w:pPr>
        <w:spacing w:after="0" w:line="62"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The Committee may waive any conditions or rights under, or amend any terms of, this Agreement and the RSUs granted thereunder; provided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Unsecured Obligation</w:t>
      </w:r>
      <w:r>
        <w:rPr>
          <w:rFonts w:ascii="Arial" w:cs="Arial" w:eastAsia="Arial" w:hAnsi="Arial"/>
          <w:sz w:val="18"/>
          <w:szCs w:val="18"/>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NMI Holdings, Inc.</w:t>
      </w:r>
    </w:p>
    <w:p>
      <w:pPr>
        <w:ind w:left="1960"/>
        <w:spacing w:after="0" w:line="201" w:lineRule="auto"/>
        <w:rPr>
          <w:sz w:val="20"/>
          <w:szCs w:val="20"/>
          <w:color w:val="auto"/>
        </w:rPr>
      </w:pPr>
      <w:r>
        <w:rPr>
          <w:rFonts w:ascii="Arial" w:cs="Arial" w:eastAsia="Arial" w:hAnsi="Arial"/>
          <w:sz w:val="18"/>
          <w:szCs w:val="18"/>
          <w:color w:val="auto"/>
        </w:rPr>
        <w:t>2100 Powell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Participant: at the address last on the records of the Company.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56" w:name="page57"/>
    <w:bookmarkEnd w:id="56"/>
    <w:p>
      <w:pPr>
        <w:ind w:left="10200"/>
        <w:spacing w:after="0"/>
        <w:rPr>
          <w:sz w:val="20"/>
          <w:szCs w:val="20"/>
          <w:color w:val="auto"/>
        </w:rPr>
      </w:pPr>
      <w:r>
        <w:rPr>
          <w:rFonts w:ascii="Arial" w:cs="Arial" w:eastAsia="Arial" w:hAnsi="Arial"/>
          <w:sz w:val="18"/>
          <w:szCs w:val="18"/>
          <w:b w:val="1"/>
          <w:bCs w:val="1"/>
          <w:color w:val="auto"/>
        </w:rPr>
        <w:t>EXHIBIT 10.31</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8" w:lineRule="exact"/>
        <w:rPr>
          <w:sz w:val="20"/>
          <w:szCs w:val="20"/>
          <w:color w:val="auto"/>
        </w:rPr>
      </w:pPr>
    </w:p>
    <w:p>
      <w:pPr>
        <w:ind w:firstLine="1305"/>
        <w:spacing w:after="0" w:line="357" w:lineRule="auto"/>
        <w:tabs>
          <w:tab w:leader="none" w:pos="215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49" w:lineRule="auto"/>
        <w:tabs>
          <w:tab w:leader="none" w:pos="2125"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the Participant’s his spouse or, if Participant is unmarried at the time of death, his or her estate.</w:t>
      </w:r>
    </w:p>
    <w:p>
      <w:pPr>
        <w:spacing w:after="0" w:line="53" w:lineRule="exact"/>
        <w:rPr>
          <w:rFonts w:ascii="Arial" w:cs="Arial" w:eastAsia="Arial" w:hAnsi="Arial"/>
          <w:sz w:val="16"/>
          <w:szCs w:val="16"/>
          <w:color w:val="auto"/>
        </w:rPr>
      </w:pPr>
    </w:p>
    <w:p>
      <w:pPr>
        <w:ind w:right="20" w:firstLine="1305"/>
        <w:spacing w:after="0" w:line="324"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62" w:lineRule="exact"/>
        <w:rPr>
          <w:rFonts w:ascii="Arial" w:cs="Arial" w:eastAsia="Arial" w:hAnsi="Arial"/>
          <w:sz w:val="18"/>
          <w:szCs w:val="18"/>
          <w:color w:val="auto"/>
        </w:rPr>
      </w:pPr>
    </w:p>
    <w:p>
      <w:pPr>
        <w:ind w:firstLine="1305"/>
        <w:spacing w:after="0" w:line="357" w:lineRule="auto"/>
        <w:tabs>
          <w:tab w:leader="none" w:pos="215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Bound by the Plan</w:t>
      </w:r>
      <w:r>
        <w:rPr>
          <w:rFonts w:ascii="Arial" w:cs="Arial" w:eastAsia="Arial" w:hAnsi="Arial"/>
          <w:sz w:val="18"/>
          <w:szCs w:val="18"/>
          <w:color w:val="auto"/>
        </w:rPr>
        <w:t>. By signing this Agreement, Participant acknowledges that he or she has received a copy of the Plan and has had an opportunity to review the Plan and agrees to be bound by all the terms and provisions of the Plan.</w:t>
      </w:r>
    </w:p>
    <w:p>
      <w:pPr>
        <w:spacing w:after="0" w:line="62" w:lineRule="exact"/>
        <w:rPr>
          <w:rFonts w:ascii="Arial" w:cs="Arial" w:eastAsia="Arial" w:hAnsi="Arial"/>
          <w:sz w:val="18"/>
          <w:szCs w:val="18"/>
          <w:color w:val="auto"/>
        </w:rPr>
      </w:pPr>
    </w:p>
    <w:p>
      <w:pPr>
        <w:jc w:val="both"/>
        <w:ind w:firstLine="1305"/>
        <w:spacing w:after="0" w:line="336" w:lineRule="auto"/>
        <w:tabs>
          <w:tab w:leader="none" w:pos="211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56" w:lineRule="exact"/>
        <w:rPr>
          <w:rFonts w:ascii="Arial" w:cs="Arial" w:eastAsia="Arial" w:hAnsi="Arial"/>
          <w:sz w:val="17"/>
          <w:szCs w:val="17"/>
          <w:color w:val="auto"/>
        </w:rPr>
      </w:pPr>
    </w:p>
    <w:p>
      <w:pPr>
        <w:jc w:val="both"/>
        <w:ind w:firstLine="1305"/>
        <w:spacing w:after="0" w:line="311"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73" w:lineRule="exact"/>
        <w:rPr>
          <w:rFonts w:ascii="Arial" w:cs="Arial" w:eastAsia="Arial" w:hAnsi="Arial"/>
          <w:sz w:val="18"/>
          <w:szCs w:val="18"/>
          <w:color w:val="auto"/>
        </w:rPr>
      </w:pPr>
    </w:p>
    <w:p>
      <w:pPr>
        <w:ind w:firstLine="1305"/>
        <w:spacing w:after="0" w:line="324" w:lineRule="auto"/>
        <w:tabs>
          <w:tab w:leader="none" w:pos="211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auto"/>
        </w:rPr>
      </w:pPr>
    </w:p>
    <w:p>
      <w:pPr>
        <w:ind w:firstLine="1305"/>
        <w:spacing w:after="0" w:line="324" w:lineRule="auto"/>
        <w:tabs>
          <w:tab w:leader="none" w:pos="220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62"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NMI HOLDINGS,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Restricted Stock Unit Award Agreement (Employees)]</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STOCK OPTION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---______ (the “</w:t>
      </w:r>
      <w:r>
        <w:rPr>
          <w:rFonts w:ascii="Arial" w:cs="Arial" w:eastAsia="Arial" w:hAnsi="Arial"/>
          <w:sz w:val="18"/>
          <w:szCs w:val="18"/>
          <w:u w:val="single" w:color="auto"/>
          <w:color w:val="auto"/>
        </w:rPr>
        <w:t>Grant Date</w:t>
      </w:r>
      <w:r>
        <w:rPr>
          <w:rFonts w:ascii="Arial" w:cs="Arial" w:eastAsia="Arial" w:hAnsi="Arial"/>
          <w:sz w:val="18"/>
          <w:szCs w:val="18"/>
          <w:color w:val="auto"/>
        </w:rPr>
        <w:t>”), is made by and between NMI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NMI Holdings, Inc. 2012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to purchase shares of the Company’s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would be in the best interests of the Company and its stockholders to grant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stock options on the terms and subject to the conditions set forth in this Agreement and the Plan.</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and in consideration of the premises and the covenants of the parties contained in this Agreement, and for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of which is hereby acknowledged, the parties hereto, for themselves, their successors and assigns, hereby agree as follows:</w:t>
      </w:r>
    </w:p>
    <w:p>
      <w:pPr>
        <w:spacing w:after="0" w:line="147"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Grant of Stock Option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 nonqualified stock option (the “</w:t>
      </w:r>
      <w:r>
        <w:rPr>
          <w:rFonts w:ascii="Arial" w:cs="Arial" w:eastAsia="Arial" w:hAnsi="Arial"/>
          <w:sz w:val="18"/>
          <w:szCs w:val="18"/>
          <w:u w:val="single" w:color="auto"/>
          <w:color w:val="auto"/>
        </w:rPr>
        <w:t>Stock Option</w:t>
      </w:r>
      <w:r>
        <w:rPr>
          <w:rFonts w:ascii="Arial" w:cs="Arial" w:eastAsia="Arial" w:hAnsi="Arial"/>
          <w:sz w:val="18"/>
          <w:szCs w:val="18"/>
          <w:color w:val="auto"/>
        </w:rPr>
        <w:t>” and any portion thereof, the “</w:t>
      </w:r>
      <w:r>
        <w:rPr>
          <w:rFonts w:ascii="Arial" w:cs="Arial" w:eastAsia="Arial" w:hAnsi="Arial"/>
          <w:sz w:val="18"/>
          <w:szCs w:val="18"/>
          <w:u w:val="single" w:color="auto"/>
          <w:color w:val="auto"/>
        </w:rPr>
        <w:t>Stock Options</w:t>
      </w:r>
      <w:r>
        <w:rPr>
          <w:rFonts w:ascii="Arial" w:cs="Arial" w:eastAsia="Arial" w:hAnsi="Arial"/>
          <w:sz w:val="18"/>
          <w:szCs w:val="18"/>
          <w:color w:val="auto"/>
        </w:rPr>
        <w:t>”) to purchase [•] shares of Common Stock (such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Stock Option; Option Price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being the price at which Participant shall be entitled to purchase the Shares upon the exercise of all or any of the Stock Options, shall be $[•] per Share (the “</w:t>
      </w:r>
      <w:r>
        <w:rPr>
          <w:rFonts w:ascii="Arial" w:cs="Arial" w:eastAsia="Arial" w:hAnsi="Arial"/>
          <w:sz w:val="18"/>
          <w:szCs w:val="18"/>
          <w:u w:val="single" w:color="auto"/>
          <w:color w:val="auto"/>
        </w:rPr>
        <w:t>Option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Payment of the Option Price</w:t>
      </w:r>
      <w:r>
        <w:rPr>
          <w:rFonts w:ascii="Arial" w:cs="Arial" w:eastAsia="Arial" w:hAnsi="Arial"/>
          <w:sz w:val="18"/>
          <w:szCs w:val="18"/>
          <w:color w:val="auto"/>
        </w:rPr>
        <w:t>. The Stock Option may be exercised only by written notice, substantially in the form provided by the Company, delivered in person or by mail in accordance with Section 10(c) hereof and accompanied by payment of the Option Price. The Option Price shall be payable (i) in cash, (ii) by way of a “net exercise” as described in Section 7(b) of the Plan or (iii) solely to the extent approved by the Committee, pursuant to any other method permitted by Section 7 of the Plan.</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may otherwise be provided herein, the Stock Option shall become vested and exercisable according to the following provisions (any Stock Options that shall have become vested and exercisable pursuant to this Section 3, the “</w:t>
      </w:r>
      <w:r>
        <w:rPr>
          <w:rFonts w:ascii="Arial" w:cs="Arial" w:eastAsia="Arial" w:hAnsi="Arial"/>
          <w:sz w:val="18"/>
          <w:szCs w:val="18"/>
          <w:u w:val="single" w:color="auto"/>
          <w:color w:val="auto"/>
        </w:rPr>
        <w:t>Vested Options</w:t>
      </w:r>
      <w:r>
        <w:rPr>
          <w:rFonts w:ascii="Arial" w:cs="Arial" w:eastAsia="Arial" w:hAnsi="Arial"/>
          <w:sz w:val="18"/>
          <w:szCs w:val="18"/>
          <w:color w:val="auto"/>
        </w:rPr>
        <w:t>”), subject to Participant’s continued employment with the Company as of any such date:</w:t>
      </w:r>
    </w:p>
    <w:p>
      <w:pPr>
        <w:spacing w:after="0" w:line="73" w:lineRule="exact"/>
        <w:rPr>
          <w:rFonts w:ascii="Arial" w:cs="Arial" w:eastAsia="Arial" w:hAnsi="Arial"/>
          <w:sz w:val="18"/>
          <w:szCs w:val="18"/>
          <w:color w:val="auto"/>
        </w:rPr>
      </w:pPr>
    </w:p>
    <w:p>
      <w:pPr>
        <w:jc w:val="both"/>
        <w:ind w:firstLine="1305"/>
        <w:spacing w:after="0" w:line="304" w:lineRule="auto"/>
        <w:tabs>
          <w:tab w:leader="none" w:pos="214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General Vesting</w:t>
      </w:r>
      <w:r>
        <w:rPr>
          <w:rFonts w:ascii="Arial" w:cs="Arial" w:eastAsia="Arial" w:hAnsi="Arial"/>
          <w:sz w:val="18"/>
          <w:szCs w:val="18"/>
          <w:color w:val="auto"/>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 of clauses (i), (ii) and (iii), subject to Participant not having incurred a Termination of Service prior to the applicable vesting date.</w:t>
      </w:r>
    </w:p>
    <w:p>
      <w:pPr>
        <w:spacing w:after="0" w:line="80" w:lineRule="exact"/>
        <w:rPr>
          <w:rFonts w:ascii="Arial" w:cs="Arial" w:eastAsia="Arial" w:hAnsi="Arial"/>
          <w:sz w:val="18"/>
          <w:szCs w:val="18"/>
          <w:color w:val="auto"/>
        </w:rPr>
      </w:pPr>
    </w:p>
    <w:p>
      <w:pPr>
        <w:jc w:val="both"/>
        <w:ind w:firstLine="1305"/>
        <w:spacing w:after="0" w:line="300" w:lineRule="auto"/>
        <w:tabs>
          <w:tab w:leader="none" w:pos="21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provided in the immediately following sentence, in the event that Participant incurs a Termination of Service, any Stock Options that have not theretofore become Vested Options (such Stock Options, the “</w:t>
      </w:r>
      <w:r>
        <w:rPr>
          <w:rFonts w:ascii="Arial" w:cs="Arial" w:eastAsia="Arial" w:hAnsi="Arial"/>
          <w:sz w:val="18"/>
          <w:szCs w:val="18"/>
          <w:u w:val="single" w:color="auto"/>
          <w:color w:val="auto"/>
        </w:rPr>
        <w:t>Unvested Options</w:t>
      </w:r>
      <w:r>
        <w:rPr>
          <w:rFonts w:ascii="Arial" w:cs="Arial" w:eastAsia="Arial" w:hAnsi="Arial"/>
          <w:sz w:val="18"/>
          <w:szCs w:val="18"/>
          <w:color w:val="auto"/>
        </w:rPr>
        <w:t>”) shall be forfeited by Participant without consideration therefor. Notwithstanding the foregoing, if Participant incurs a Termination of Service (i) as a result of termination by the Company or its Affiliate without Cause on or after the first anniversary of the Grant Date, or (ii) due to Participant’s death or Disability, in each case, any Unvested Options that are outstanding immediately prior to such Termination of Service and that would have vested on the next vesting date shall vest pro-rata as of the date of the Participant’s Termination of Service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Service) and the date of Participant’s Termination of Service and the denominator of which is 365.</w:t>
      </w:r>
    </w:p>
    <w:p>
      <w:pPr>
        <w:sectPr>
          <w:pgSz w:w="11900" w:h="16838" w:orient="portrait"/>
          <w:cols w:equalWidth="0" w:num="1">
            <w:col w:w="11420"/>
          </w:cols>
          <w:pgMar w:left="240" w:top="121" w:right="2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10.32</w:t>
      </w:r>
    </w:p>
    <w:p>
      <w:pPr>
        <w:spacing w:after="0" w:line="283" w:lineRule="exact"/>
        <w:rPr>
          <w:sz w:val="20"/>
          <w:szCs w:val="20"/>
          <w:color w:val="auto"/>
        </w:rPr>
      </w:pPr>
    </w:p>
    <w:p>
      <w:pPr>
        <w:ind w:left="1440" w:hanging="784"/>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160" w:hanging="855"/>
        <w:spacing w:after="0"/>
        <w:tabs>
          <w:tab w:leader="none" w:pos="2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Stock Option shall automatically terminate and shall become null and void, be unexercisable and be of no further force and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upon the earliest of:</w:t>
      </w:r>
    </w:p>
    <w:p>
      <w:pPr>
        <w:spacing w:after="0" w:line="130" w:lineRule="exact"/>
        <w:rPr>
          <w:rFonts w:ascii="Arial" w:cs="Arial" w:eastAsia="Arial" w:hAnsi="Arial"/>
          <w:sz w:val="16"/>
          <w:szCs w:val="16"/>
          <w:color w:val="auto"/>
        </w:rPr>
      </w:pPr>
    </w:p>
    <w:p>
      <w:pPr>
        <w:ind w:left="1960" w:hanging="49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117" w:lineRule="exact"/>
        <w:rPr>
          <w:rFonts w:ascii="Arial" w:cs="Arial" w:eastAsia="Arial" w:hAnsi="Arial"/>
          <w:sz w:val="18"/>
          <w:szCs w:val="18"/>
          <w:color w:val="auto"/>
        </w:rPr>
      </w:pPr>
    </w:p>
    <w:p>
      <w:pPr>
        <w:ind w:left="1960" w:right="20" w:hanging="493"/>
        <w:spacing w:after="0" w:line="277"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first anniversary following Participant’s Termination of Service, in the case of a Termination of Service due to death or Disability;</w:t>
      </w:r>
    </w:p>
    <w:p>
      <w:pPr>
        <w:spacing w:after="0" w:line="62" w:lineRule="exact"/>
        <w:rPr>
          <w:rFonts w:ascii="Arial" w:cs="Arial" w:eastAsia="Arial" w:hAnsi="Arial"/>
          <w:sz w:val="18"/>
          <w:szCs w:val="18"/>
          <w:color w:val="auto"/>
        </w:rPr>
      </w:pPr>
    </w:p>
    <w:p>
      <w:pPr>
        <w:ind w:left="1960" w:hanging="49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90th day following Participant’s Termination of Service in the case of a Termination of Service without Cause;</w:t>
      </w:r>
    </w:p>
    <w:p>
      <w:pPr>
        <w:spacing w:after="0" w:line="117" w:lineRule="exact"/>
        <w:rPr>
          <w:rFonts w:ascii="Arial" w:cs="Arial" w:eastAsia="Arial" w:hAnsi="Arial"/>
          <w:sz w:val="18"/>
          <w:szCs w:val="18"/>
          <w:color w:val="auto"/>
        </w:rPr>
      </w:pPr>
    </w:p>
    <w:p>
      <w:pPr>
        <w:ind w:left="1960" w:right="20" w:hanging="493"/>
        <w:spacing w:after="0" w:line="277"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30th day following Participant’s Termination of Service in the case of a Termination of Service by the Participant for any reason; and</w:t>
      </w:r>
    </w:p>
    <w:p>
      <w:pPr>
        <w:spacing w:after="0" w:line="62" w:lineRule="exact"/>
        <w:rPr>
          <w:rFonts w:ascii="Arial" w:cs="Arial" w:eastAsia="Arial" w:hAnsi="Arial"/>
          <w:sz w:val="18"/>
          <w:szCs w:val="18"/>
          <w:color w:val="auto"/>
        </w:rPr>
      </w:pPr>
    </w:p>
    <w:p>
      <w:pPr>
        <w:ind w:left="1960" w:hanging="49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day of Participant’s Termination of Service in the case of a Termination of Service for Cause.</w:t>
      </w:r>
    </w:p>
    <w:p>
      <w:pPr>
        <w:spacing w:after="0" w:line="144" w:lineRule="exact"/>
        <w:rPr>
          <w:rFonts w:ascii="Arial" w:cs="Arial" w:eastAsia="Arial" w:hAnsi="Arial"/>
          <w:sz w:val="18"/>
          <w:szCs w:val="18"/>
          <w:color w:val="auto"/>
        </w:rPr>
      </w:pPr>
    </w:p>
    <w:p>
      <w:pPr>
        <w:jc w:val="both"/>
        <w:ind w:firstLine="1305"/>
        <w:spacing w:after="0" w:line="336" w:lineRule="auto"/>
        <w:tabs>
          <w:tab w:leader="none" w:pos="2155"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Notwithstanding the provisions of Section 4(a) to the contrary, in the event of Participant’s Termination of Service for any reason (other than due to a Termination of Service for Cause) during the two-year period following a Change in Control, the Stock Option shall remain outstanding and exercisable until the earlier of (i) the tenth anniversary of the Grant Date and (ii) the fifth anniversary of such Termination of Service.</w:t>
      </w:r>
    </w:p>
    <w:p>
      <w:pPr>
        <w:spacing w:after="0" w:line="56" w:lineRule="exact"/>
        <w:rPr>
          <w:rFonts w:ascii="Arial" w:cs="Arial" w:eastAsia="Arial" w:hAnsi="Arial"/>
          <w:sz w:val="17"/>
          <w:szCs w:val="17"/>
          <w:color w:val="auto"/>
        </w:rPr>
      </w:pPr>
    </w:p>
    <w:p>
      <w:pPr>
        <w:ind w:firstLine="1305"/>
        <w:spacing w:after="0" w:line="324" w:lineRule="auto"/>
        <w:tabs>
          <w:tab w:leader="none" w:pos="21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otherwise provided in the Plan and Section 3(b) of this Agreement, upon a Termination of Service for any reason, any Unvested Options shall immediately terminate and be forfeited on the date the Termination of Service occurs.</w:t>
      </w:r>
    </w:p>
    <w:p>
      <w:pPr>
        <w:spacing w:after="0" w:line="62" w:lineRule="exact"/>
        <w:rPr>
          <w:rFonts w:ascii="Arial" w:cs="Arial" w:eastAsia="Arial" w:hAnsi="Arial"/>
          <w:sz w:val="18"/>
          <w:szCs w:val="18"/>
          <w:color w:val="auto"/>
        </w:rPr>
      </w:pPr>
    </w:p>
    <w:p>
      <w:pPr>
        <w:jc w:val="both"/>
        <w:ind w:firstLine="656"/>
        <w:spacing w:after="0" w:line="325" w:lineRule="auto"/>
        <w:tabs>
          <w:tab w:leader="none" w:pos="143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Compliance with Legal Requirements</w:t>
      </w:r>
      <w:r>
        <w:rPr>
          <w:rFonts w:ascii="Arial" w:cs="Arial" w:eastAsia="Arial" w:hAnsi="Arial"/>
          <w:sz w:val="17"/>
          <w:szCs w:val="17"/>
          <w:color w:val="auto"/>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67" w:lineRule="exact"/>
        <w:rPr>
          <w:rFonts w:ascii="Arial" w:cs="Arial" w:eastAsia="Arial" w:hAnsi="Arial"/>
          <w:sz w:val="17"/>
          <w:szCs w:val="17"/>
          <w:color w:val="auto"/>
        </w:rPr>
      </w:pPr>
    </w:p>
    <w:p>
      <w:pPr>
        <w:jc w:val="both"/>
        <w:ind w:right="20" w:firstLine="656"/>
        <w:spacing w:after="0" w:line="311"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Until such time as the Stock Options have been exercised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The Stock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designation of a beneficiary shall not constitute an assignment, alienation, pledge, attachment, sale, transfer or encumbrance.</w:t>
      </w:r>
    </w:p>
    <w:p>
      <w:pPr>
        <w:spacing w:after="0" w:line="78" w:lineRule="exact"/>
        <w:rPr>
          <w:rFonts w:ascii="Arial" w:cs="Arial" w:eastAsia="Arial" w:hAnsi="Arial"/>
          <w:sz w:val="18"/>
          <w:szCs w:val="18"/>
          <w:color w:val="auto"/>
        </w:rPr>
      </w:pPr>
    </w:p>
    <w:p>
      <w:pPr>
        <w:ind w:firstLine="656"/>
        <w:spacing w:after="0" w:line="324"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Upon any event described in Section 13 of the Plan occurring after the Grant Date, the adjustment provisions as provided for under Section 13 of the Plan shall apply to the Stock Option.</w:t>
      </w:r>
    </w:p>
    <w:p>
      <w:pPr>
        <w:spacing w:after="0" w:line="62" w:lineRule="exact"/>
        <w:rPr>
          <w:rFonts w:ascii="Arial" w:cs="Arial" w:eastAsia="Arial" w:hAnsi="Arial"/>
          <w:sz w:val="18"/>
          <w:szCs w:val="18"/>
          <w:color w:val="auto"/>
        </w:rPr>
      </w:pPr>
    </w:p>
    <w:p>
      <w:pPr>
        <w:ind w:firstLine="656"/>
        <w:spacing w:after="0" w:line="357" w:lineRule="auto"/>
        <w:tabs>
          <w:tab w:leader="none" w:pos="143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39" w:lineRule="exact"/>
        <w:rPr>
          <w:rFonts w:ascii="Arial" w:cs="Arial" w:eastAsia="Arial" w:hAnsi="Arial"/>
          <w:sz w:val="17"/>
          <w:szCs w:val="17"/>
          <w:color w:val="auto"/>
        </w:rPr>
      </w:pPr>
    </w:p>
    <w:p>
      <w:pPr>
        <w:ind w:left="1520" w:hanging="864"/>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1" w:lineRule="auto"/>
        <w:tabs>
          <w:tab w:leader="none" w:pos="21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As a condition to delivery of the Shares in respect of any Vested Options that are exercised, Participant will, pursuant to Section 12(d) of the Plan, make provisions satisfactory to the Company for payment of, any applicable taxes of any kind and other statutory obligations (including but not limited to Participant’s FICA and SDI obligations) (collectively, the “Tax Obligations”) in respect of the transfer of Shares in settlement of the exercised Vested Options. The Company shall have the power and the right to deduct or withhold from all amounts payable to Participant pursuant to the exercised Vested Options or otherwise, or require Participant to remit to the Company, an amount sufficient to satisfy the Tax Obligations which the Company, in its sole discretion, deems necessary to be withheld or remitted to comply with the Code and/or any other applicable law, rule or regulation with respect to the Vested Options and, if Participant fails to do so, the Company may otherwise refuse to issue or transfer any Shares otherwise required to be issued pursuant to this Agreement.</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provided in Section 10(c), any such Tax Obligations with regard to Participant shall be satisfied solely by retaining and instructing a registered broker(s) of the Company’s choosing to sell such number of Shares necessary to satisfy such Tax Obligations, after deduction of the broker’s commission, and the broker shall remit to the Company the cash proceeds thereof. In furtherance of the foregoing, by the execution of this Agreement, Participant hereby irrevocably</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10.32</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instructs the Company and a registered broker(s) of the Company’s choosing to sell on behalf of Participant at the “market price,” that number of Shares required to generate sufficient cash necessary in order for the Company to satisfy the Tax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81" w:lineRule="exact"/>
        <w:rPr>
          <w:sz w:val="20"/>
          <w:szCs w:val="20"/>
          <w:color w:val="auto"/>
        </w:rPr>
      </w:pPr>
    </w:p>
    <w:p>
      <w:pPr>
        <w:jc w:val="both"/>
        <w:ind w:firstLine="1305"/>
        <w:spacing w:after="0" w:line="336" w:lineRule="auto"/>
        <w:tabs>
          <w:tab w:leader="none" w:pos="2144"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Notwithstanding Section 10(b) hereof, with respect to any Participant who as of the date hereof is a Section 16 officer of the Company and with respect to any Participant who becomes a Section 16 officer on or following the date hereof, the Company may permit or require the Tax Obligations to be satisfied by withholding Shares otherwise issuable in connection with the exercise of such Vested Options.</w:t>
      </w:r>
    </w:p>
    <w:p>
      <w:pPr>
        <w:spacing w:after="0" w:line="56" w:lineRule="exact"/>
        <w:rPr>
          <w:rFonts w:ascii="Arial" w:cs="Arial" w:eastAsia="Arial" w:hAnsi="Arial"/>
          <w:sz w:val="17"/>
          <w:szCs w:val="17"/>
          <w:color w:val="auto"/>
        </w:rPr>
      </w:pPr>
    </w:p>
    <w:p>
      <w:pPr>
        <w:ind w:left="1520" w:hanging="864"/>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The Committee may waive any conditions or rights under, or amend any terms of, this Agreement and the Stock Option granted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Unsecured Obligation</w:t>
      </w:r>
      <w:r>
        <w:rPr>
          <w:rFonts w:ascii="Arial" w:cs="Arial" w:eastAsia="Arial" w:hAnsi="Arial"/>
          <w:sz w:val="18"/>
          <w:szCs w:val="18"/>
          <w:color w:val="auto"/>
        </w:rPr>
        <w:t>. This Award is unfunded, and even as to any Vested Options,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NMI Holdings, Inc.</w:t>
      </w:r>
    </w:p>
    <w:p>
      <w:pPr>
        <w:ind w:left="1960"/>
        <w:spacing w:after="0" w:line="201" w:lineRule="auto"/>
        <w:rPr>
          <w:sz w:val="20"/>
          <w:szCs w:val="20"/>
          <w:color w:val="auto"/>
        </w:rPr>
      </w:pPr>
      <w:r>
        <w:rPr>
          <w:rFonts w:ascii="Arial" w:cs="Arial" w:eastAsia="Arial" w:hAnsi="Arial"/>
          <w:sz w:val="18"/>
          <w:szCs w:val="18"/>
          <w:color w:val="auto"/>
        </w:rPr>
        <w:t>2100 Powell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Participant: at the address last on the records of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00" w:lineRule="exact"/>
        <w:rPr>
          <w:sz w:val="20"/>
          <w:szCs w:val="20"/>
          <w:color w:val="auto"/>
        </w:rPr>
      </w:pPr>
    </w:p>
    <w:p>
      <w:pPr>
        <w:ind w:firstLine="1305"/>
        <w:spacing w:after="0" w:line="357" w:lineRule="auto"/>
        <w:tabs>
          <w:tab w:leader="none" w:pos="215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49" w:lineRule="auto"/>
        <w:tabs>
          <w:tab w:leader="none" w:pos="212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the Participant’s spouse or, if Participant is unmarried at the time of death, his or her estate.</w:t>
      </w:r>
    </w:p>
    <w:p>
      <w:pPr>
        <w:spacing w:after="0" w:line="53" w:lineRule="exact"/>
        <w:rPr>
          <w:rFonts w:ascii="Arial" w:cs="Arial" w:eastAsia="Arial" w:hAnsi="Arial"/>
          <w:sz w:val="16"/>
          <w:szCs w:val="16"/>
          <w:color w:val="auto"/>
        </w:rPr>
      </w:pPr>
    </w:p>
    <w:p>
      <w:pPr>
        <w:ind w:right="20" w:firstLine="1305"/>
        <w:spacing w:after="0" w:line="324" w:lineRule="auto"/>
        <w:tabs>
          <w:tab w:leader="none" w:pos="215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ectPr>
          <w:pgSz w:w="11900" w:h="16838" w:orient="portrait"/>
          <w:cols w:equalWidth="0" w:num="1">
            <w:col w:w="11420"/>
          </w:cols>
          <w:pgMar w:left="240" w:top="121"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10.32</w:t>
      </w:r>
    </w:p>
    <w:p>
      <w:pPr>
        <w:spacing w:after="0" w:line="283" w:lineRule="exact"/>
        <w:rPr>
          <w:sz w:val="20"/>
          <w:szCs w:val="20"/>
          <w:color w:val="auto"/>
        </w:rPr>
      </w:pPr>
    </w:p>
    <w:p>
      <w:pPr>
        <w:ind w:firstLine="1305"/>
        <w:spacing w:after="0" w:line="357" w:lineRule="auto"/>
        <w:tabs>
          <w:tab w:leader="none" w:pos="215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Bound by the Plan</w:t>
      </w:r>
      <w:r>
        <w:rPr>
          <w:rFonts w:ascii="Arial" w:cs="Arial" w:eastAsia="Arial" w:hAnsi="Arial"/>
          <w:sz w:val="18"/>
          <w:szCs w:val="18"/>
          <w:color w:val="auto"/>
        </w:rPr>
        <w:t>. By signing this Agreement, Participant acknowledges that he or she has received a copy of the Plan and has had an opportunity to review the Plan and agrees to be bound by all the terms and provisions of the Plan.</w:t>
      </w:r>
    </w:p>
    <w:p>
      <w:pPr>
        <w:spacing w:after="0" w:line="62" w:lineRule="exact"/>
        <w:rPr>
          <w:rFonts w:ascii="Arial" w:cs="Arial" w:eastAsia="Arial" w:hAnsi="Arial"/>
          <w:sz w:val="18"/>
          <w:szCs w:val="18"/>
          <w:color w:val="auto"/>
        </w:rPr>
      </w:pPr>
    </w:p>
    <w:p>
      <w:pPr>
        <w:jc w:val="both"/>
        <w:ind w:firstLine="1305"/>
        <w:spacing w:after="0" w:line="364" w:lineRule="auto"/>
        <w:tabs>
          <w:tab w:leader="none" w:pos="211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It is intended that the Stock Options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40" w:lineRule="exact"/>
        <w:rPr>
          <w:rFonts w:ascii="Arial" w:cs="Arial" w:eastAsia="Arial" w:hAnsi="Arial"/>
          <w:sz w:val="16"/>
          <w:szCs w:val="16"/>
          <w:color w:val="auto"/>
        </w:rPr>
      </w:pPr>
    </w:p>
    <w:p>
      <w:pPr>
        <w:jc w:val="both"/>
        <w:ind w:firstLine="1305"/>
        <w:spacing w:after="0" w:line="311" w:lineRule="auto"/>
        <w:tabs>
          <w:tab w:leader="none" w:pos="215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73" w:lineRule="exact"/>
        <w:rPr>
          <w:rFonts w:ascii="Arial" w:cs="Arial" w:eastAsia="Arial" w:hAnsi="Arial"/>
          <w:sz w:val="18"/>
          <w:szCs w:val="18"/>
          <w:color w:val="auto"/>
        </w:rPr>
      </w:pPr>
    </w:p>
    <w:p>
      <w:pPr>
        <w:ind w:firstLine="1305"/>
        <w:spacing w:after="0" w:line="324" w:lineRule="auto"/>
        <w:tabs>
          <w:tab w:leader="none" w:pos="21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auto"/>
        </w:rPr>
      </w:pPr>
    </w:p>
    <w:p>
      <w:pPr>
        <w:ind w:firstLine="1305"/>
        <w:spacing w:after="0" w:line="324" w:lineRule="auto"/>
        <w:tabs>
          <w:tab w:leader="none" w:pos="22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Nonqualified Stock Option Agreement for Employees]</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AMENDED AND RESTATED 2014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4040"/>
        </w:rPr>
        <w:t>(FOR INDEPENDENT DIRECTORS)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404040"/>
        </w:rPr>
        <w:t xml:space="preserve">THIS RESTRICTED STOCK UNIT AWARD AGREEMENT </w:t>
      </w:r>
      <w:r>
        <w:rPr>
          <w:rFonts w:ascii="Arial" w:cs="Arial" w:eastAsia="Arial" w:hAnsi="Arial"/>
          <w:sz w:val="17"/>
          <w:szCs w:val="17"/>
          <w:color w:val="404040"/>
        </w:rPr>
        <w:t>(this “</w:t>
      </w:r>
      <w:r>
        <w:rPr>
          <w:rFonts w:ascii="Arial" w:cs="Arial" w:eastAsia="Arial" w:hAnsi="Arial"/>
          <w:sz w:val="17"/>
          <w:szCs w:val="17"/>
          <w:u w:val="single" w:color="auto"/>
          <w:color w:val="404040"/>
        </w:rPr>
        <w:t>Agreement</w:t>
      </w:r>
      <w:r>
        <w:rPr>
          <w:rFonts w:ascii="Arial" w:cs="Arial" w:eastAsia="Arial" w:hAnsi="Arial"/>
          <w:sz w:val="17"/>
          <w:szCs w:val="17"/>
          <w:color w:val="404040"/>
        </w:rPr>
        <w:t>”), dated as of [•], ________ (the “</w:t>
      </w:r>
      <w:r>
        <w:rPr>
          <w:rFonts w:ascii="Arial" w:cs="Arial" w:eastAsia="Arial" w:hAnsi="Arial"/>
          <w:sz w:val="17"/>
          <w:szCs w:val="17"/>
          <w:u w:val="single" w:color="auto"/>
          <w:color w:val="404040"/>
        </w:rPr>
        <w:t>Grant Date</w:t>
      </w:r>
      <w:r>
        <w:rPr>
          <w:rFonts w:ascii="Arial" w:cs="Arial" w:eastAsia="Arial" w:hAnsi="Arial"/>
          <w:sz w:val="17"/>
          <w:szCs w:val="17"/>
          <w:color w:val="404040"/>
        </w:rPr>
        <w:t>”), is made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404040"/>
        </w:rPr>
        <w:t>by and between NMI Holdings, Inc., a Delaware corporation (the “</w:t>
      </w:r>
      <w:r>
        <w:rPr>
          <w:rFonts w:ascii="Arial" w:cs="Arial" w:eastAsia="Arial" w:hAnsi="Arial"/>
          <w:sz w:val="18"/>
          <w:szCs w:val="18"/>
          <w:u w:val="single" w:color="auto"/>
          <w:color w:val="404040"/>
        </w:rPr>
        <w:t>Company</w:t>
      </w:r>
      <w:r>
        <w:rPr>
          <w:rFonts w:ascii="Arial" w:cs="Arial" w:eastAsia="Arial" w:hAnsi="Arial"/>
          <w:sz w:val="18"/>
          <w:szCs w:val="18"/>
          <w:color w:val="404040"/>
        </w:rPr>
        <w:t>”), and [NAME] (“</w:t>
      </w:r>
      <w:r>
        <w:rPr>
          <w:rFonts w:ascii="Arial" w:cs="Arial" w:eastAsia="Arial" w:hAnsi="Arial"/>
          <w:sz w:val="18"/>
          <w:szCs w:val="18"/>
          <w:u w:val="single" w:color="auto"/>
          <w:color w:val="404040"/>
        </w:rPr>
        <w:t>Participant</w:t>
      </w:r>
      <w:r>
        <w:rPr>
          <w:rFonts w:ascii="Arial" w:cs="Arial" w:eastAsia="Arial" w:hAnsi="Arial"/>
          <w:sz w:val="18"/>
          <w:szCs w:val="18"/>
          <w:color w:val="404040"/>
        </w:rPr>
        <w:t>”).</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404040"/>
        </w:rPr>
        <w:t>WHEREAS</w:t>
      </w:r>
      <w:r>
        <w:rPr>
          <w:rFonts w:ascii="Arial" w:cs="Arial" w:eastAsia="Arial" w:hAnsi="Arial"/>
          <w:sz w:val="17"/>
          <w:szCs w:val="17"/>
          <w:color w:val="404040"/>
        </w:rPr>
        <w:t>, the Company has adopted the NMI Holdings, Inc. Amended and Restated 2014 Omnibus Incentive Plan (the “</w:t>
      </w:r>
      <w:r>
        <w:rPr>
          <w:rFonts w:ascii="Arial" w:cs="Arial" w:eastAsia="Arial" w:hAnsi="Arial"/>
          <w:sz w:val="17"/>
          <w:szCs w:val="17"/>
          <w:u w:val="single" w:color="auto"/>
          <w:color w:val="404040"/>
        </w:rPr>
        <w:t>Plan</w:t>
      </w:r>
      <w:r>
        <w:rPr>
          <w:rFonts w:ascii="Arial" w:cs="Arial" w:eastAsia="Arial" w:hAnsi="Arial"/>
          <w:sz w:val="17"/>
          <w:szCs w:val="17"/>
          <w:color w:val="404040"/>
        </w:rPr>
        <w:t>”); and</w:t>
      </w:r>
    </w:p>
    <w:p>
      <w:pPr>
        <w:spacing w:after="0" w:line="12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404040"/>
        </w:rPr>
        <w:t>WHEREAS</w:t>
      </w:r>
      <w:r>
        <w:rPr>
          <w:rFonts w:ascii="Arial" w:cs="Arial" w:eastAsia="Arial" w:hAnsi="Arial"/>
          <w:sz w:val="18"/>
          <w:szCs w:val="18"/>
          <w:color w:val="404040"/>
        </w:rPr>
        <w:t>, the Committee has determined that it would be in the best interests of the Company and its stockholders to grant Participant</w:t>
      </w:r>
      <w:r>
        <w:rPr>
          <w:rFonts w:ascii="Arial" w:cs="Arial" w:eastAsia="Arial" w:hAnsi="Arial"/>
          <w:sz w:val="18"/>
          <w:szCs w:val="18"/>
          <w:b w:val="1"/>
          <w:bCs w:val="1"/>
          <w:color w:val="404040"/>
        </w:rPr>
        <w:t xml:space="preserve"> </w:t>
      </w:r>
      <w:r>
        <w:rPr>
          <w:rFonts w:ascii="Arial" w:cs="Arial" w:eastAsia="Arial" w:hAnsi="Arial"/>
          <w:sz w:val="18"/>
          <w:szCs w:val="18"/>
          <w:color w:val="404040"/>
        </w:rPr>
        <w:t>restricted stock units with respect to a number of shares of the Company’s Common Stock (the “</w:t>
      </w:r>
      <w:r>
        <w:rPr>
          <w:rFonts w:ascii="Arial" w:cs="Arial" w:eastAsia="Arial" w:hAnsi="Arial"/>
          <w:sz w:val="18"/>
          <w:szCs w:val="18"/>
          <w:u w:val="single" w:color="auto"/>
          <w:color w:val="404040"/>
        </w:rPr>
        <w:t>Shares</w:t>
      </w:r>
      <w:r>
        <w:rPr>
          <w:rFonts w:ascii="Arial" w:cs="Arial" w:eastAsia="Arial" w:hAnsi="Arial"/>
          <w:sz w:val="18"/>
          <w:szCs w:val="18"/>
          <w:color w:val="404040"/>
        </w:rPr>
        <w:t>”) on the terms and subject to the conditions set forth in this Agreement and the Plan.</w:t>
      </w:r>
    </w:p>
    <w:p>
      <w:pPr>
        <w:spacing w:after="0" w:line="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404040"/>
        </w:rPr>
        <w:t>NOW THEREFORE</w:t>
      </w:r>
      <w:r>
        <w:rPr>
          <w:rFonts w:ascii="Arial" w:cs="Arial" w:eastAsia="Arial" w:hAnsi="Arial"/>
          <w:sz w:val="18"/>
          <w:szCs w:val="18"/>
          <w:color w:val="404040"/>
        </w:rPr>
        <w:t>, for and in consideration of the premises and the covenants of the parties contained in this Agreement, and for other</w:t>
      </w:r>
      <w:r>
        <w:rPr>
          <w:rFonts w:ascii="Arial" w:cs="Arial" w:eastAsia="Arial" w:hAnsi="Arial"/>
          <w:sz w:val="18"/>
          <w:szCs w:val="18"/>
          <w:b w:val="1"/>
          <w:bCs w:val="1"/>
          <w:color w:val="404040"/>
        </w:rPr>
        <w:t xml:space="preserve"> </w:t>
      </w:r>
      <w:r>
        <w:rPr>
          <w:rFonts w:ascii="Arial" w:cs="Arial" w:eastAsia="Arial" w:hAnsi="Arial"/>
          <w:sz w:val="18"/>
          <w:szCs w:val="18"/>
          <w:color w:val="404040"/>
        </w:rPr>
        <w:t>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1440" w:hanging="784"/>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Grant of Restricted Stock Unit Award</w:t>
      </w:r>
      <w:r>
        <w:rPr>
          <w:rFonts w:ascii="Arial" w:cs="Arial" w:eastAsia="Arial" w:hAnsi="Arial"/>
          <w:sz w:val="18"/>
          <w:szCs w:val="18"/>
          <w:color w:val="404040"/>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404040"/>
        </w:rPr>
        <w:t>Grant</w:t>
      </w:r>
      <w:r>
        <w:rPr>
          <w:rFonts w:ascii="Arial" w:cs="Arial" w:eastAsia="Arial" w:hAnsi="Arial"/>
          <w:sz w:val="18"/>
          <w:szCs w:val="18"/>
          <w:color w:val="404040"/>
        </w:rPr>
        <w:t>. The Company hereby grants to Participant an award of restricted stock units with respect to [•] Shares (the “</w:t>
      </w:r>
      <w:r>
        <w:rPr>
          <w:rFonts w:ascii="Arial" w:cs="Arial" w:eastAsia="Arial" w:hAnsi="Arial"/>
          <w:sz w:val="18"/>
          <w:szCs w:val="18"/>
          <w:u w:val="single" w:color="auto"/>
          <w:color w:val="404040"/>
        </w:rPr>
        <w:t>RSUs</w:t>
      </w:r>
      <w:r>
        <w:rPr>
          <w:rFonts w:ascii="Arial" w:cs="Arial" w:eastAsia="Arial" w:hAnsi="Arial"/>
          <w:sz w:val="18"/>
          <w:szCs w:val="18"/>
          <w:color w:val="404040"/>
        </w:rPr>
        <w:t>”) on the terms and conditions set forth in this Agreement and as otherwise provided in the Plan.</w:t>
      </w:r>
    </w:p>
    <w:p>
      <w:pPr>
        <w:spacing w:after="0" w:line="62"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404040"/>
        </w:rPr>
        <w:t>Incorporation by Reference, Etc.</w:t>
      </w:r>
      <w:r>
        <w:rPr>
          <w:rFonts w:ascii="Arial" w:cs="Arial" w:eastAsia="Arial" w:hAnsi="Arial"/>
          <w:sz w:val="18"/>
          <w:szCs w:val="18"/>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Vesting</w:t>
      </w:r>
      <w:r>
        <w:rPr>
          <w:rFonts w:ascii="Arial" w:cs="Arial" w:eastAsia="Arial" w:hAnsi="Arial"/>
          <w:sz w:val="18"/>
          <w:szCs w:val="18"/>
          <w:color w:val="404040"/>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404040"/>
        </w:rPr>
        <w:t>General</w:t>
      </w:r>
      <w:r>
        <w:rPr>
          <w:rFonts w:ascii="Arial" w:cs="Arial" w:eastAsia="Arial" w:hAnsi="Arial"/>
          <w:sz w:val="18"/>
          <w:szCs w:val="18"/>
          <w:color w:val="404040"/>
        </w:rPr>
        <w:t>. Except as may otherwise be provided herein, the RSUs shall vest on the first anniversary of the Grant Date, subject to Participant not having incurred a Termination of Employment prior to the applicable vesting date.</w:t>
      </w:r>
    </w:p>
    <w:p>
      <w:pPr>
        <w:spacing w:after="0" w:line="62"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404040"/>
        </w:rPr>
        <w:t>Termination of Employment</w:t>
      </w:r>
      <w:r>
        <w:rPr>
          <w:rFonts w:ascii="Arial" w:cs="Arial" w:eastAsia="Arial" w:hAnsi="Arial"/>
          <w:sz w:val="18"/>
          <w:szCs w:val="18"/>
          <w:color w:val="404040"/>
        </w:rPr>
        <w:t>. Except as provided in the immediately following sentence, in the event that Participant incurs a Termination of Employment, any unvested RSUs shall be forfeited by Participant without consideration therefor. Notwithstanding the foregoing, in the event that Participant incurs a Termination of Employment due to Participant’s death or Disability, any unvested RSUs shall accelerate and vest in full as of the date of Termination of Employment.</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Settlement</w:t>
      </w:r>
      <w:r>
        <w:rPr>
          <w:rFonts w:ascii="Arial" w:cs="Arial" w:eastAsia="Arial" w:hAnsi="Arial"/>
          <w:sz w:val="18"/>
          <w:szCs w:val="18"/>
          <w:color w:val="404040"/>
        </w:rPr>
        <w:t>. As soon as practicable after any RSUs have vested (and in any event, no later than fifteen business days immediately following the date of such vesting), such RSUs shall be settled. For each vested RSU settled pursuant to this Section 3, subject to Section 3(d) of the Plan (as applicable), the Company shall issue to Participant one Share.</w:t>
      </w:r>
    </w:p>
    <w:p>
      <w:pPr>
        <w:spacing w:after="0" w:line="73"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Taxes</w:t>
      </w:r>
      <w:r>
        <w:rPr>
          <w:rFonts w:ascii="Arial" w:cs="Arial" w:eastAsia="Arial" w:hAnsi="Arial"/>
          <w:sz w:val="18"/>
          <w:szCs w:val="18"/>
          <w:color w:val="404040"/>
        </w:rPr>
        <w:t>. Participant (or, in the event of Participant’s death, any beneficiary), shall be solely responsible for any federal, state or local income or self-employment taxes that Participant incurs in connection with the receipt of the award of RSUs or the vesting of such RSUs and the Company shall have no obligation or liability with respect to the Participant’s (or, in the event of Participant’s death, any beneficiary’s) satisfaction of such taxes and shall have no withholding obligations with respect thereof.</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No Rights as Stockholder</w:t>
      </w:r>
      <w:r>
        <w:rPr>
          <w:rFonts w:ascii="Arial" w:cs="Arial" w:eastAsia="Arial" w:hAnsi="Arial"/>
          <w:sz w:val="18"/>
          <w:szCs w:val="18"/>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404040"/>
        </w:rPr>
        <w:t>Transferability</w:t>
      </w:r>
      <w:r>
        <w:rPr>
          <w:rFonts w:ascii="Arial" w:cs="Arial" w:eastAsia="Arial" w:hAnsi="Arial"/>
          <w:sz w:val="17"/>
          <w:szCs w:val="17"/>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17"/>
          <w:szCs w:val="17"/>
          <w:u w:val="single" w:color="auto"/>
          <w:color w:val="404040"/>
        </w:rPr>
        <w:t>provided</w:t>
      </w:r>
      <w:r>
        <w:rPr>
          <w:rFonts w:ascii="Arial" w:cs="Arial" w:eastAsia="Arial" w:hAnsi="Arial"/>
          <w:sz w:val="17"/>
          <w:szCs w:val="17"/>
          <w:color w:val="404040"/>
        </w:rPr>
        <w:t xml:space="preserve"> that the designation of a beneficiary shall not constitute an assignment, alienation, pledge, attachment, sale, transfer or encumbrance.</w:t>
      </w:r>
    </w:p>
    <w:p>
      <w:pPr>
        <w:spacing w:after="0" w:line="62" w:lineRule="exact"/>
        <w:rPr>
          <w:rFonts w:ascii="Arial" w:cs="Arial" w:eastAsia="Arial" w:hAnsi="Arial"/>
          <w:sz w:val="17"/>
          <w:szCs w:val="17"/>
          <w:color w:val="auto"/>
        </w:rPr>
      </w:pPr>
    </w:p>
    <w:p>
      <w:pPr>
        <w:ind w:firstLine="656"/>
        <w:spacing w:after="0" w:line="324"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Adjustment</w:t>
      </w:r>
      <w:r>
        <w:rPr>
          <w:rFonts w:ascii="Arial" w:cs="Arial" w:eastAsia="Arial" w:hAnsi="Arial"/>
          <w:sz w:val="18"/>
          <w:szCs w:val="18"/>
          <w:color w:val="404040"/>
        </w:rPr>
        <w:t>. Upon any event described in Section 3(d) of the Plan occurring after the Grant Date, the adjustment provisions as provided for under Section 3(d) of the Plan shall apply to the RSUs.</w:t>
      </w:r>
    </w:p>
    <w:p>
      <w:pPr>
        <w:spacing w:after="0" w:line="62"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404040"/>
        </w:rPr>
        <w:t>Change in Control</w:t>
      </w:r>
      <w:r>
        <w:rPr>
          <w:rFonts w:ascii="Arial" w:cs="Arial" w:eastAsia="Arial" w:hAnsi="Arial"/>
          <w:sz w:val="18"/>
          <w:szCs w:val="18"/>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10.33</w:t>
      </w:r>
    </w:p>
    <w:p>
      <w:pPr>
        <w:spacing w:after="0" w:line="283" w:lineRule="exact"/>
        <w:rPr>
          <w:sz w:val="20"/>
          <w:szCs w:val="20"/>
          <w:color w:val="auto"/>
        </w:rPr>
      </w:pPr>
    </w:p>
    <w:p>
      <w:pPr>
        <w:ind w:left="1440" w:hanging="784"/>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404040"/>
        </w:rPr>
        <w:t>Miscellaneous</w:t>
      </w:r>
      <w:r>
        <w:rPr>
          <w:rFonts w:ascii="Arial" w:cs="Arial" w:eastAsia="Arial" w:hAnsi="Arial"/>
          <w:sz w:val="18"/>
          <w:szCs w:val="18"/>
          <w:color w:val="404040"/>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404040"/>
        </w:rPr>
        <w:t>Waiver and Amendment</w:t>
      </w:r>
      <w:r>
        <w:rPr>
          <w:rFonts w:ascii="Arial" w:cs="Arial" w:eastAsia="Arial" w:hAnsi="Arial"/>
          <w:sz w:val="18"/>
          <w:szCs w:val="18"/>
          <w:color w:val="404040"/>
        </w:rPr>
        <w:t xml:space="preserve">. The Committee may waive any conditions or rights under, or amend any terms of, this Agreement and the RSUs granted thereunder; </w:t>
      </w:r>
      <w:r>
        <w:rPr>
          <w:rFonts w:ascii="Arial" w:cs="Arial" w:eastAsia="Arial" w:hAnsi="Arial"/>
          <w:sz w:val="18"/>
          <w:szCs w:val="18"/>
          <w:u w:val="single" w:color="auto"/>
          <w:color w:val="404040"/>
        </w:rPr>
        <w:t>provided</w:t>
      </w:r>
      <w:r>
        <w:rPr>
          <w:rFonts w:ascii="Arial" w:cs="Arial" w:eastAsia="Arial" w:hAnsi="Arial"/>
          <w:sz w:val="18"/>
          <w:szCs w:val="18"/>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404040"/>
        </w:rPr>
        <w:t>Unsecured Obligation</w:t>
      </w:r>
      <w:r>
        <w:rPr>
          <w:rFonts w:ascii="Arial" w:cs="Arial" w:eastAsia="Arial" w:hAnsi="Arial"/>
          <w:sz w:val="18"/>
          <w:szCs w:val="18"/>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404040"/>
        </w:rPr>
        <w:t>Notices</w:t>
      </w:r>
      <w:r>
        <w:rPr>
          <w:rFonts w:ascii="Arial" w:cs="Arial" w:eastAsia="Arial" w:hAnsi="Arial"/>
          <w:sz w:val="18"/>
          <w:szCs w:val="18"/>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if to the Company: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NMI Holdings, Inc.</w:t>
      </w:r>
    </w:p>
    <w:p>
      <w:pPr>
        <w:ind w:left="1960"/>
        <w:spacing w:after="0" w:line="201" w:lineRule="auto"/>
        <w:rPr>
          <w:sz w:val="20"/>
          <w:szCs w:val="20"/>
          <w:color w:val="auto"/>
        </w:rPr>
      </w:pPr>
      <w:r>
        <w:rPr>
          <w:rFonts w:ascii="Arial" w:cs="Arial" w:eastAsia="Arial" w:hAnsi="Arial"/>
          <w:sz w:val="18"/>
          <w:szCs w:val="18"/>
          <w:color w:val="404040"/>
        </w:rPr>
        <w:t>2100 Powell Street, 12</w:t>
      </w:r>
      <w:r>
        <w:rPr>
          <w:rFonts w:ascii="Arial" w:cs="Arial" w:eastAsia="Arial" w:hAnsi="Arial"/>
          <w:sz w:val="25"/>
          <w:szCs w:val="25"/>
          <w:color w:val="404040"/>
          <w:vertAlign w:val="superscript"/>
        </w:rPr>
        <w:t>th</w:t>
      </w:r>
      <w:r>
        <w:rPr>
          <w:rFonts w:ascii="Arial" w:cs="Arial" w:eastAsia="Arial" w:hAnsi="Arial"/>
          <w:sz w:val="18"/>
          <w:szCs w:val="18"/>
          <w:color w:val="404040"/>
        </w:rPr>
        <w:t xml:space="preserve"> Floor</w:t>
      </w:r>
    </w:p>
    <w:p>
      <w:pPr>
        <w:ind w:left="1960"/>
        <w:spacing w:after="0"/>
        <w:rPr>
          <w:sz w:val="20"/>
          <w:szCs w:val="20"/>
          <w:color w:val="auto"/>
        </w:rPr>
      </w:pPr>
      <w:r>
        <w:rPr>
          <w:rFonts w:ascii="Arial" w:cs="Arial" w:eastAsia="Arial" w:hAnsi="Arial"/>
          <w:sz w:val="18"/>
          <w:szCs w:val="18"/>
          <w:color w:val="404040"/>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Attention: General Counsel</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404040"/>
        </w:rPr>
        <w:t>if to Participant: at the address last on the records of the Company.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00" w:lineRule="exact"/>
        <w:rPr>
          <w:sz w:val="20"/>
          <w:szCs w:val="20"/>
          <w:color w:val="auto"/>
        </w:rPr>
      </w:pPr>
    </w:p>
    <w:p>
      <w:pPr>
        <w:ind w:firstLine="1305"/>
        <w:spacing w:after="0" w:line="357" w:lineRule="auto"/>
        <w:tabs>
          <w:tab w:leader="none" w:pos="215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404040"/>
        </w:rPr>
        <w:t>Severability</w:t>
      </w:r>
      <w:r>
        <w:rPr>
          <w:rFonts w:ascii="Arial" w:cs="Arial" w:eastAsia="Arial" w:hAnsi="Arial"/>
          <w:sz w:val="17"/>
          <w:szCs w:val="17"/>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404040"/>
        </w:rPr>
        <w:t>No Rights to Service</w:t>
      </w:r>
      <w:r>
        <w:rPr>
          <w:rFonts w:ascii="Arial" w:cs="Arial" w:eastAsia="Arial" w:hAnsi="Arial"/>
          <w:sz w:val="17"/>
          <w:szCs w:val="17"/>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25" w:lineRule="auto"/>
        <w:tabs>
          <w:tab w:leader="none" w:pos="212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404040"/>
        </w:rPr>
        <w:t>Beneficiary</w:t>
      </w:r>
      <w:r>
        <w:rPr>
          <w:rFonts w:ascii="Arial" w:cs="Arial" w:eastAsia="Arial" w:hAnsi="Arial"/>
          <w:sz w:val="17"/>
          <w:szCs w:val="17"/>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7"/>
          <w:szCs w:val="17"/>
          <w:u w:val="single" w:color="auto"/>
          <w:color w:val="404040"/>
        </w:rPr>
        <w:t>provided</w:t>
      </w:r>
      <w:r>
        <w:rPr>
          <w:rFonts w:ascii="Arial" w:cs="Arial" w:eastAsia="Arial" w:hAnsi="Arial"/>
          <w:sz w:val="17"/>
          <w:szCs w:val="17"/>
          <w:color w:val="404040"/>
        </w:rPr>
        <w:t xml:space="preserve">, </w:t>
      </w:r>
      <w:r>
        <w:rPr>
          <w:rFonts w:ascii="Arial" w:cs="Arial" w:eastAsia="Arial" w:hAnsi="Arial"/>
          <w:sz w:val="17"/>
          <w:szCs w:val="17"/>
          <w:u w:val="single" w:color="auto"/>
          <w:color w:val="404040"/>
        </w:rPr>
        <w:t>however</w:t>
      </w:r>
      <w:r>
        <w:rPr>
          <w:rFonts w:ascii="Arial" w:cs="Arial" w:eastAsia="Arial" w:hAnsi="Arial"/>
          <w:sz w:val="17"/>
          <w:szCs w:val="17"/>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67" w:lineRule="exact"/>
        <w:rPr>
          <w:rFonts w:ascii="Arial" w:cs="Arial" w:eastAsia="Arial" w:hAnsi="Arial"/>
          <w:sz w:val="17"/>
          <w:szCs w:val="17"/>
          <w:color w:val="auto"/>
        </w:rPr>
      </w:pPr>
    </w:p>
    <w:p>
      <w:pPr>
        <w:jc w:val="both"/>
        <w:ind w:firstLine="1305"/>
        <w:spacing w:after="0" w:line="336" w:lineRule="auto"/>
        <w:tabs>
          <w:tab w:leader="none" w:pos="215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404040"/>
        </w:rPr>
        <w:t>Section 409A</w:t>
      </w:r>
      <w:r>
        <w:rPr>
          <w:rFonts w:ascii="Arial" w:cs="Arial" w:eastAsia="Arial" w:hAnsi="Arial"/>
          <w:sz w:val="17"/>
          <w:szCs w:val="17"/>
          <w:color w:val="404040"/>
        </w:rPr>
        <w:t>.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56" w:lineRule="exact"/>
        <w:rPr>
          <w:rFonts w:ascii="Arial" w:cs="Arial" w:eastAsia="Arial" w:hAnsi="Arial"/>
          <w:sz w:val="17"/>
          <w:szCs w:val="17"/>
          <w:color w:val="auto"/>
        </w:rPr>
      </w:pPr>
    </w:p>
    <w:p>
      <w:pPr>
        <w:ind w:right="20" w:firstLine="1305"/>
        <w:spacing w:after="0" w:line="324" w:lineRule="auto"/>
        <w:tabs>
          <w:tab w:leader="none" w:pos="21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404040"/>
        </w:rPr>
        <w:t>Successors</w:t>
      </w:r>
      <w:r>
        <w:rPr>
          <w:rFonts w:ascii="Arial" w:cs="Arial" w:eastAsia="Arial" w:hAnsi="Arial"/>
          <w:sz w:val="18"/>
          <w:szCs w:val="18"/>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62" w:lineRule="exact"/>
        <w:rPr>
          <w:rFonts w:ascii="Arial" w:cs="Arial" w:eastAsia="Arial" w:hAnsi="Arial"/>
          <w:sz w:val="18"/>
          <w:szCs w:val="18"/>
          <w:color w:val="auto"/>
        </w:rPr>
      </w:pPr>
    </w:p>
    <w:p>
      <w:pPr>
        <w:ind w:firstLine="1305"/>
        <w:spacing w:after="0" w:line="357" w:lineRule="auto"/>
        <w:tabs>
          <w:tab w:leader="none" w:pos="211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404040"/>
        </w:rPr>
        <w:t>Entire Agreement</w:t>
      </w:r>
      <w:r>
        <w:rPr>
          <w:rFonts w:ascii="Arial" w:cs="Arial" w:eastAsia="Arial" w:hAnsi="Arial"/>
          <w:sz w:val="17"/>
          <w:szCs w:val="17"/>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404040"/>
        </w:rPr>
        <w:t>Bound by the Plan</w:t>
      </w:r>
      <w:r>
        <w:rPr>
          <w:rFonts w:ascii="Arial" w:cs="Arial" w:eastAsia="Arial" w:hAnsi="Arial"/>
          <w:sz w:val="18"/>
          <w:szCs w:val="18"/>
          <w:color w:val="404040"/>
        </w:rPr>
        <w:t>. By signing this Agreement, Participant acknowledges that he has received a copy of the Plan and has had an opportunity to review the Plan and agrees to be bound by all the terms and provisions of the Plan.</w:t>
      </w:r>
    </w:p>
    <w:p>
      <w:pPr>
        <w:spacing w:after="0" w:line="62" w:lineRule="exact"/>
        <w:rPr>
          <w:rFonts w:ascii="Arial" w:cs="Arial" w:eastAsia="Arial" w:hAnsi="Arial"/>
          <w:sz w:val="18"/>
          <w:szCs w:val="18"/>
          <w:color w:val="auto"/>
        </w:rPr>
      </w:pPr>
    </w:p>
    <w:p>
      <w:pPr>
        <w:jc w:val="both"/>
        <w:ind w:firstLine="1305"/>
        <w:spacing w:after="0" w:line="311" w:lineRule="auto"/>
        <w:tabs>
          <w:tab w:leader="none" w:pos="21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404040"/>
        </w:rPr>
        <w:t>Governing Law</w:t>
      </w:r>
      <w:r>
        <w:rPr>
          <w:rFonts w:ascii="Arial" w:cs="Arial" w:eastAsia="Arial" w:hAnsi="Arial"/>
          <w:sz w:val="18"/>
          <w:szCs w:val="18"/>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10.33</w:t>
      </w:r>
    </w:p>
    <w:p>
      <w:pPr>
        <w:spacing w:after="0" w:line="283" w:lineRule="exact"/>
        <w:rPr>
          <w:sz w:val="20"/>
          <w:szCs w:val="20"/>
          <w:color w:val="auto"/>
        </w:rPr>
      </w:pPr>
    </w:p>
    <w:p>
      <w:pPr>
        <w:ind w:firstLine="1305"/>
        <w:spacing w:after="0" w:line="324" w:lineRule="auto"/>
        <w:tabs>
          <w:tab w:leader="none" w:pos="211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404040"/>
        </w:rPr>
        <w:t>Headings</w:t>
      </w:r>
      <w:r>
        <w:rPr>
          <w:rFonts w:ascii="Arial" w:cs="Arial" w:eastAsia="Arial" w:hAnsi="Arial"/>
          <w:sz w:val="18"/>
          <w:szCs w:val="18"/>
          <w:color w:val="404040"/>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auto"/>
        </w:rPr>
      </w:pPr>
    </w:p>
    <w:p>
      <w:pPr>
        <w:ind w:firstLine="1305"/>
        <w:spacing w:after="0" w:line="324" w:lineRule="auto"/>
        <w:tabs>
          <w:tab w:leader="none" w:pos="220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404040"/>
        </w:rPr>
        <w:t>Signature in Counterparts</w:t>
      </w:r>
      <w:r>
        <w:rPr>
          <w:rFonts w:ascii="Arial" w:cs="Arial" w:eastAsia="Arial" w:hAnsi="Arial"/>
          <w:sz w:val="18"/>
          <w:szCs w:val="18"/>
          <w:color w:val="404040"/>
        </w:rPr>
        <w:t>. This Agreement may be signed in counterparts, each of which shall be an original, with the same effect as if the signatures thereto and hereto were upon the same instrument.</w:t>
      </w:r>
    </w:p>
    <w:p>
      <w:pPr>
        <w:spacing w:after="0" w:line="62"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404040"/>
        </w:rPr>
        <w:t>Compliance with Legal Requirements</w:t>
      </w:r>
      <w:r>
        <w:rPr>
          <w:rFonts w:ascii="Arial" w:cs="Arial" w:eastAsia="Arial" w:hAnsi="Arial"/>
          <w:sz w:val="16"/>
          <w:szCs w:val="16"/>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9(h)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IN WITNESS WHEREOF</w:t>
      </w:r>
      <w:r>
        <w:rPr>
          <w:rFonts w:ascii="Arial" w:cs="Arial" w:eastAsia="Arial" w:hAnsi="Arial"/>
          <w:sz w:val="18"/>
          <w:szCs w:val="18"/>
          <w:color w:val="404040"/>
        </w:rPr>
        <w:t>, the parties hereto have executed this Agreement.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NMI HOLDINGS,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By: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PARTICIPANT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04040"/>
        </w:rPr>
        <w:t>[Signature Page to Restricted Stock Unit Award Agreement (Independent Directors)]</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2014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THIS RESTRICTED STOCK UNIT AWARD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_____ (the “</w:t>
      </w:r>
      <w:r>
        <w:rPr>
          <w:rFonts w:ascii="Arial" w:cs="Arial" w:eastAsia="Arial" w:hAnsi="Arial"/>
          <w:sz w:val="17"/>
          <w:szCs w:val="17"/>
          <w:u w:val="single" w:color="auto"/>
          <w:color w:val="auto"/>
        </w:rPr>
        <w:t>Grant Date</w:t>
      </w:r>
      <w:r>
        <w:rPr>
          <w:rFonts w:ascii="Arial" w:cs="Arial" w:eastAsia="Arial" w:hAnsi="Arial"/>
          <w:sz w:val="17"/>
          <w:szCs w:val="17"/>
          <w:color w:val="auto"/>
        </w:rPr>
        <w:t>”), is made by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 between NMI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9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NMI Holdings, Inc. Amended and Restated 2014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restricted stock units relating to shares of the Company’s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may be granted; and</w:t>
      </w:r>
    </w:p>
    <w:p>
      <w:pPr>
        <w:spacing w:after="0" w:line="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would be in the best interests of the Company and its stockholders to grant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with respect to a number of shares of the Company’s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subject to the conditions set forth in this Agreement and the Plan.</w:t>
      </w:r>
    </w:p>
    <w:p>
      <w:pPr>
        <w:spacing w:after="0" w:line="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and the covenants of the parties contained in this Agreement,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1440" w:hanging="784"/>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 Award</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an award of restricted stock units with respect to [•] Shares (the “</w:t>
      </w:r>
      <w:r>
        <w:rPr>
          <w:rFonts w:ascii="Arial" w:cs="Arial" w:eastAsia="Arial" w:hAnsi="Arial"/>
          <w:sz w:val="18"/>
          <w:szCs w:val="18"/>
          <w:u w:val="single" w:color="auto"/>
          <w:color w:val="auto"/>
        </w:rPr>
        <w:t>RSUs</w:t>
      </w:r>
      <w:r>
        <w:rPr>
          <w:rFonts w:ascii="Arial" w:cs="Arial" w:eastAsia="Arial" w:hAnsi="Arial"/>
          <w:sz w:val="18"/>
          <w:szCs w:val="18"/>
          <w:color w:val="auto"/>
        </w:rPr>
        <w:t>”) on the terms and conditions set forth in this Agreement and as otherwise provided in the Plan.</w:t>
      </w:r>
    </w:p>
    <w:p>
      <w:pPr>
        <w:spacing w:after="0" w:line="62"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29" w:lineRule="auto"/>
        <w:tabs>
          <w:tab w:leader="none" w:pos="2144"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62" w:lineRule="exact"/>
        <w:rPr>
          <w:rFonts w:ascii="Arial" w:cs="Arial" w:eastAsia="Arial" w:hAnsi="Arial"/>
          <w:sz w:val="17"/>
          <w:szCs w:val="17"/>
          <w:color w:val="auto"/>
        </w:rPr>
      </w:pPr>
    </w:p>
    <w:p>
      <w:pPr>
        <w:jc w:val="both"/>
        <w:ind w:firstLine="1305"/>
        <w:spacing w:after="0" w:line="321" w:lineRule="auto"/>
        <w:tabs>
          <w:tab w:leader="none" w:pos="2155"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Except as provided in the immediately following sentence, in the event that Participant incurs a Termination of Employment, any unvested RSUs shall be forfeited by Participant without consideration therefor. Notwithstanding the foregoing, if Participant incurs a Termination of Employment (i) as a result of termination by the Company or its Affiliate without Cause on or after the first anniversary of the Grant Date, or (ii) due to Participant’s death or Disability, in each case, any unvested RSUs that are outstanding immediately prior to such Termination of Employment and that would have vested on the next vesting date shall vest pro-rata as of the date of Participant’s Termination of Employment, with the number of RSUs vesting to be determined by multiplying the number of unvested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69" w:lineRule="exact"/>
        <w:rPr>
          <w:rFonts w:ascii="Arial" w:cs="Arial" w:eastAsia="Arial" w:hAnsi="Arial"/>
          <w:sz w:val="17"/>
          <w:szCs w:val="17"/>
          <w:color w:val="auto"/>
        </w:rPr>
      </w:pPr>
    </w:p>
    <w:p>
      <w:pPr>
        <w:jc w:val="both"/>
        <w:ind w:firstLine="656"/>
        <w:spacing w:after="0" w:line="336" w:lineRule="auto"/>
        <w:tabs>
          <w:tab w:leader="none" w:pos="143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56" w:lineRule="exact"/>
        <w:rPr>
          <w:rFonts w:ascii="Arial" w:cs="Arial" w:eastAsia="Arial" w:hAnsi="Arial"/>
          <w:sz w:val="17"/>
          <w:szCs w:val="17"/>
          <w:color w:val="auto"/>
        </w:rPr>
      </w:pPr>
    </w:p>
    <w:p>
      <w:pPr>
        <w:ind w:left="1440" w:hanging="784"/>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22" w:lineRule="auto"/>
        <w:tabs>
          <w:tab w:leader="none" w:pos="2144" w:val="left"/>
        </w:tabs>
        <w:numPr>
          <w:ilvl w:val="1"/>
          <w:numId w:val="47"/>
        </w:numPr>
        <w:rPr>
          <w:rFonts w:ascii="Arial" w:cs="Arial" w:eastAsia="Arial" w:hAnsi="Arial"/>
          <w:sz w:val="17"/>
          <w:szCs w:val="17"/>
          <w:color w:val="auto"/>
        </w:rPr>
      </w:pPr>
      <w:r>
        <w:rPr>
          <w:rFonts w:ascii="Arial" w:cs="Arial" w:eastAsia="Arial" w:hAnsi="Arial"/>
          <w:sz w:val="17"/>
          <w:szCs w:val="17"/>
          <w:color w:val="auto"/>
        </w:rPr>
        <w:t>As a condition to delivery of the Shares in respect of vested RSUs, Participant will, pursuant to Section 15(d) of the Plan, make provisions satisfactory to the Company for payment of, any applicable taxes of any kind and other statutory obligations (including but not limited to Participant’s FICA and SDI obligations) (collectively, the “Tax Obligations”) in respect of the transfer of Shares in settlement of the RSUs. The Company shall have the power and the right to deduct or withhold from all amounts payable to Participant pursuant to the RSUs or otherwise, or require Participant to remit to the Company, an amount sufficient to satisfy the Tax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10.34</w:t>
      </w:r>
    </w:p>
    <w:p>
      <w:pPr>
        <w:spacing w:after="0" w:line="283" w:lineRule="exact"/>
        <w:rPr>
          <w:sz w:val="20"/>
          <w:szCs w:val="20"/>
          <w:color w:val="auto"/>
        </w:rPr>
      </w:pPr>
    </w:p>
    <w:p>
      <w:pPr>
        <w:jc w:val="both"/>
        <w:ind w:firstLine="1305"/>
        <w:spacing w:after="0" w:line="319" w:lineRule="auto"/>
        <w:tabs>
          <w:tab w:leader="none" w:pos="2155" w:val="left"/>
        </w:tabs>
        <w:numPr>
          <w:ilvl w:val="1"/>
          <w:numId w:val="48"/>
        </w:numPr>
        <w:rPr>
          <w:rFonts w:ascii="Arial" w:cs="Arial" w:eastAsia="Arial" w:hAnsi="Arial"/>
          <w:sz w:val="17"/>
          <w:szCs w:val="17"/>
          <w:color w:val="auto"/>
        </w:rPr>
      </w:pPr>
      <w:r>
        <w:rPr>
          <w:rFonts w:ascii="Arial" w:cs="Arial" w:eastAsia="Arial" w:hAnsi="Arial"/>
          <w:sz w:val="17"/>
          <w:szCs w:val="17"/>
          <w:color w:val="auto"/>
        </w:rPr>
        <w:t>Except as provided in Section 10(c), any such Tax Obligations with regard to Participant shall be satisfied solely by retaining and instructing a registered broker(s) of the Company’s choosing to sell such number of Shares necessary to satisfy such Tax Obligations, after deduction of the broker’s commission, and the broker shall remit to the Company 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the Tax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75" w:lineRule="exact"/>
        <w:rPr>
          <w:rFonts w:ascii="Arial" w:cs="Arial" w:eastAsia="Arial" w:hAnsi="Arial"/>
          <w:sz w:val="17"/>
          <w:szCs w:val="17"/>
          <w:color w:val="auto"/>
        </w:rPr>
      </w:pPr>
    </w:p>
    <w:p>
      <w:pPr>
        <w:jc w:val="both"/>
        <w:ind w:firstLine="1305"/>
        <w:spacing w:after="0" w:line="311" w:lineRule="auto"/>
        <w:tabs>
          <w:tab w:leader="none" w:pos="2144"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Section 4(b) hereof, with respect to any Participant who as of the date hereof is a Section 16 officer of the Company and with respect to any Participant who becomes a Section 16 officer on or following the date hereof, any such Tax Obligations with regard to Participant shall be satisfied through the withholding of Shares otherwise issuable in connection with the vesting of such RSUs.</w:t>
      </w:r>
    </w:p>
    <w:p>
      <w:pPr>
        <w:spacing w:after="0" w:line="73"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29" w:lineRule="auto"/>
        <w:tabs>
          <w:tab w:leader="none" w:pos="143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w:t>
      </w:r>
    </w:p>
    <w:p>
      <w:pPr>
        <w:spacing w:after="0" w:line="62" w:lineRule="exact"/>
        <w:rPr>
          <w:rFonts w:ascii="Arial" w:cs="Arial" w:eastAsia="Arial" w:hAnsi="Arial"/>
          <w:sz w:val="17"/>
          <w:szCs w:val="17"/>
          <w:color w:val="auto"/>
        </w:rPr>
      </w:pPr>
    </w:p>
    <w:p>
      <w:pPr>
        <w:ind w:firstLine="656"/>
        <w:spacing w:after="0" w:line="324" w:lineRule="auto"/>
        <w:tabs>
          <w:tab w:leader="none" w:pos="14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Upon any event described in Section 3(d) of the Plan occurring after the Grant Date, the adjustment provisions as provided for under Section 3(d) of the Plan shall apply to the RSUs.</w:t>
      </w:r>
    </w:p>
    <w:p>
      <w:pPr>
        <w:spacing w:after="0" w:line="62"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The Committee may waive any conditions or rights under, or amend any terms of, this Agreement and the RSUs granted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Unsecured Obligation</w:t>
      </w:r>
      <w:r>
        <w:rPr>
          <w:rFonts w:ascii="Arial" w:cs="Arial" w:eastAsia="Arial" w:hAnsi="Arial"/>
          <w:sz w:val="18"/>
          <w:szCs w:val="18"/>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NMI Holdings, Inc.</w:t>
      </w:r>
    </w:p>
    <w:p>
      <w:pPr>
        <w:ind w:left="1960"/>
        <w:spacing w:after="0" w:line="201" w:lineRule="auto"/>
        <w:rPr>
          <w:sz w:val="20"/>
          <w:szCs w:val="20"/>
          <w:color w:val="auto"/>
        </w:rPr>
      </w:pPr>
      <w:r>
        <w:rPr>
          <w:rFonts w:ascii="Arial" w:cs="Arial" w:eastAsia="Arial" w:hAnsi="Arial"/>
          <w:sz w:val="18"/>
          <w:szCs w:val="18"/>
          <w:color w:val="auto"/>
        </w:rPr>
        <w:t>2100 Powell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Participant: at the address last on the records of the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9" w:name="page70"/>
    <w:bookmarkEnd w:id="69"/>
    <w:p>
      <w:pPr>
        <w:ind w:left="10200"/>
        <w:spacing w:after="0"/>
        <w:rPr>
          <w:sz w:val="20"/>
          <w:szCs w:val="20"/>
          <w:color w:val="auto"/>
        </w:rPr>
      </w:pPr>
      <w:r>
        <w:rPr>
          <w:rFonts w:ascii="Arial" w:cs="Arial" w:eastAsia="Arial" w:hAnsi="Arial"/>
          <w:sz w:val="18"/>
          <w:szCs w:val="18"/>
          <w:b w:val="1"/>
          <w:bCs w:val="1"/>
          <w:color w:val="auto"/>
        </w:rPr>
        <w:t>EXHIBIT 10.34</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00" w:lineRule="exact"/>
        <w:rPr>
          <w:sz w:val="20"/>
          <w:szCs w:val="20"/>
          <w:color w:val="auto"/>
        </w:rPr>
      </w:pPr>
    </w:p>
    <w:p>
      <w:pPr>
        <w:ind w:firstLine="1305"/>
        <w:spacing w:after="0" w:line="357" w:lineRule="auto"/>
        <w:tabs>
          <w:tab w:leader="none" w:pos="2155"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49" w:lineRule="auto"/>
        <w:tabs>
          <w:tab w:leader="none" w:pos="212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the Participant’s spouse or, if Participant is unmarried at the time of death, his or her estate.</w:t>
      </w:r>
    </w:p>
    <w:p>
      <w:pPr>
        <w:spacing w:after="0" w:line="53" w:lineRule="exact"/>
        <w:rPr>
          <w:rFonts w:ascii="Arial" w:cs="Arial" w:eastAsia="Arial" w:hAnsi="Arial"/>
          <w:sz w:val="16"/>
          <w:szCs w:val="16"/>
          <w:color w:val="auto"/>
        </w:rPr>
      </w:pPr>
    </w:p>
    <w:p>
      <w:pPr>
        <w:ind w:right="20" w:firstLine="1305"/>
        <w:spacing w:after="0" w:line="324" w:lineRule="auto"/>
        <w:tabs>
          <w:tab w:leader="none" w:pos="215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62" w:lineRule="exact"/>
        <w:rPr>
          <w:rFonts w:ascii="Arial" w:cs="Arial" w:eastAsia="Arial" w:hAnsi="Arial"/>
          <w:sz w:val="18"/>
          <w:szCs w:val="18"/>
          <w:color w:val="auto"/>
        </w:rPr>
      </w:pPr>
    </w:p>
    <w:p>
      <w:pPr>
        <w:ind w:firstLine="1305"/>
        <w:spacing w:after="0" w:line="357" w:lineRule="auto"/>
        <w:tabs>
          <w:tab w:leader="none" w:pos="2155"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Bound by the Plan</w:t>
      </w:r>
      <w:r>
        <w:rPr>
          <w:rFonts w:ascii="Arial" w:cs="Arial" w:eastAsia="Arial" w:hAnsi="Arial"/>
          <w:sz w:val="18"/>
          <w:szCs w:val="18"/>
          <w:color w:val="auto"/>
        </w:rPr>
        <w:t>. By signing this Agreement, Participant acknowledges that he or she has received a copy of the Plan and has had an opportunity to review the Plan and agrees to be bound by all the terms and provisions of the Plan.</w:t>
      </w:r>
    </w:p>
    <w:p>
      <w:pPr>
        <w:spacing w:after="0" w:line="62" w:lineRule="exact"/>
        <w:rPr>
          <w:rFonts w:ascii="Arial" w:cs="Arial" w:eastAsia="Arial" w:hAnsi="Arial"/>
          <w:sz w:val="18"/>
          <w:szCs w:val="18"/>
          <w:color w:val="auto"/>
        </w:rPr>
      </w:pPr>
    </w:p>
    <w:p>
      <w:pPr>
        <w:jc w:val="both"/>
        <w:ind w:firstLine="1305"/>
        <w:spacing w:after="0" w:line="336" w:lineRule="auto"/>
        <w:tabs>
          <w:tab w:leader="none" w:pos="2115"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56" w:lineRule="exact"/>
        <w:rPr>
          <w:rFonts w:ascii="Arial" w:cs="Arial" w:eastAsia="Arial" w:hAnsi="Arial"/>
          <w:sz w:val="17"/>
          <w:szCs w:val="17"/>
          <w:color w:val="auto"/>
        </w:rPr>
      </w:pPr>
    </w:p>
    <w:p>
      <w:pPr>
        <w:jc w:val="both"/>
        <w:ind w:firstLine="1305"/>
        <w:spacing w:after="0" w:line="311" w:lineRule="auto"/>
        <w:tabs>
          <w:tab w:leader="none" w:pos="215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73" w:lineRule="exact"/>
        <w:rPr>
          <w:rFonts w:ascii="Arial" w:cs="Arial" w:eastAsia="Arial" w:hAnsi="Arial"/>
          <w:sz w:val="18"/>
          <w:szCs w:val="18"/>
          <w:color w:val="auto"/>
        </w:rPr>
      </w:pPr>
    </w:p>
    <w:p>
      <w:pPr>
        <w:ind w:firstLine="1305"/>
        <w:spacing w:after="0" w:line="324" w:lineRule="auto"/>
        <w:tabs>
          <w:tab w:leader="none" w:pos="211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auto"/>
        </w:rPr>
      </w:pPr>
    </w:p>
    <w:p>
      <w:pPr>
        <w:ind w:firstLine="1305"/>
        <w:spacing w:after="0" w:line="324" w:lineRule="auto"/>
        <w:tabs>
          <w:tab w:leader="none" w:pos="220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62"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10.34</w:t>
      </w:r>
    </w:p>
    <w:p>
      <w:pPr>
        <w:spacing w:after="0" w:line="252" w:lineRule="exact"/>
        <w:rPr>
          <w:sz w:val="20"/>
          <w:szCs w:val="20"/>
          <w:color w:val="auto"/>
        </w:rPr>
      </w:pPr>
    </w:p>
    <w:p>
      <w:pPr>
        <w:jc w:val="right"/>
        <w:ind w:right="57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w:t>
      </w:r>
    </w:p>
    <w:p>
      <w:pPr>
        <w:spacing w:after="0" w:line="144" w:lineRule="exact"/>
        <w:rPr>
          <w:sz w:val="20"/>
          <w:szCs w:val="20"/>
          <w:color w:val="auto"/>
        </w:rPr>
      </w:pPr>
    </w:p>
    <w:p>
      <w:pPr>
        <w:jc w:val="right"/>
        <w:ind w:right="5760"/>
        <w:spacing w:after="0"/>
        <w:rPr>
          <w:sz w:val="20"/>
          <w:szCs w:val="20"/>
          <w:color w:val="auto"/>
        </w:rPr>
      </w:pPr>
      <w:r>
        <w:rPr>
          <w:rFonts w:ascii="Arial" w:cs="Arial" w:eastAsia="Arial" w:hAnsi="Arial"/>
          <w:sz w:val="18"/>
          <w:szCs w:val="18"/>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Restricted Stock Unit Award Agreement (Employees)]</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2014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STOCK OPTION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______ (the “</w:t>
      </w:r>
      <w:r>
        <w:rPr>
          <w:rFonts w:ascii="Arial" w:cs="Arial" w:eastAsia="Arial" w:hAnsi="Arial"/>
          <w:sz w:val="17"/>
          <w:szCs w:val="17"/>
          <w:u w:val="single" w:color="auto"/>
          <w:color w:val="auto"/>
        </w:rPr>
        <w:t>Grant Date</w:t>
      </w:r>
      <w:r>
        <w:rPr>
          <w:rFonts w:ascii="Arial" w:cs="Arial" w:eastAsia="Arial" w:hAnsi="Arial"/>
          <w:sz w:val="17"/>
          <w:szCs w:val="17"/>
          <w:color w:val="auto"/>
        </w:rPr>
        <w:t>”), is made by and between NMI Holdings,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99"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adopted the NMI Holdings, Inc. Amended and Restated 2014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nonqualified stock options may be granted to purchase shares of the Company’s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w:t>
      </w:r>
    </w:p>
    <w:p>
      <w:pPr>
        <w:spacing w:after="0" w:line="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would be in the best interests of the Company and its stockholders to grant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stock options on the terms and subject to the conditions set forth in this Agreement and the Plan.</w:t>
      </w:r>
    </w:p>
    <w:p>
      <w:pPr>
        <w:spacing w:after="0" w:line="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and in consideration of the premises and the covenants of the parties contained in this Agreement, and for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of which is hereby acknowledged, the parties hereto, for themselves, their successors and assigns, hereby agree as follows:</w:t>
      </w:r>
    </w:p>
    <w:p>
      <w:pPr>
        <w:spacing w:after="0" w:line="39" w:lineRule="exact"/>
        <w:rPr>
          <w:sz w:val="20"/>
          <w:szCs w:val="20"/>
          <w:color w:val="auto"/>
        </w:rPr>
      </w:pPr>
    </w:p>
    <w:p>
      <w:pPr>
        <w:ind w:left="1440" w:hanging="784"/>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Grant of Stock Option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 nonqualified stock option (the “</w:t>
      </w:r>
      <w:r>
        <w:rPr>
          <w:rFonts w:ascii="Arial" w:cs="Arial" w:eastAsia="Arial" w:hAnsi="Arial"/>
          <w:sz w:val="18"/>
          <w:szCs w:val="18"/>
          <w:u w:val="single" w:color="auto"/>
          <w:color w:val="auto"/>
        </w:rPr>
        <w:t>Stock Option</w:t>
      </w:r>
      <w:r>
        <w:rPr>
          <w:rFonts w:ascii="Arial" w:cs="Arial" w:eastAsia="Arial" w:hAnsi="Arial"/>
          <w:sz w:val="18"/>
          <w:szCs w:val="18"/>
          <w:color w:val="auto"/>
        </w:rPr>
        <w:t>” and any portion thereof, the “</w:t>
      </w:r>
      <w:r>
        <w:rPr>
          <w:rFonts w:ascii="Arial" w:cs="Arial" w:eastAsia="Arial" w:hAnsi="Arial"/>
          <w:sz w:val="18"/>
          <w:szCs w:val="18"/>
          <w:u w:val="single" w:color="auto"/>
          <w:color w:val="auto"/>
        </w:rPr>
        <w:t>Stock Options</w:t>
      </w:r>
      <w:r>
        <w:rPr>
          <w:rFonts w:ascii="Arial" w:cs="Arial" w:eastAsia="Arial" w:hAnsi="Arial"/>
          <w:sz w:val="18"/>
          <w:szCs w:val="18"/>
          <w:color w:val="auto"/>
        </w:rPr>
        <w:t>”) to purchase [•] shares of Common Stock (such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73" w:lineRule="exact"/>
        <w:rPr>
          <w:rFonts w:ascii="Arial" w:cs="Arial" w:eastAsia="Arial" w:hAnsi="Arial"/>
          <w:sz w:val="18"/>
          <w:szCs w:val="18"/>
          <w:color w:val="auto"/>
        </w:rPr>
      </w:pPr>
    </w:p>
    <w:p>
      <w:pPr>
        <w:ind w:left="1440" w:hanging="784"/>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Stock Option; Exercise Price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1305"/>
        <w:spacing w:after="0" w:line="324" w:lineRule="auto"/>
        <w:tabs>
          <w:tab w:leader="none" w:pos="214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being the price at which Participant shall be entitled to purchase the Shares upon the exercise of all or any of the Stock Options, shall be $[•] per Share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Payment of the Exercise Price</w:t>
      </w:r>
      <w:r>
        <w:rPr>
          <w:rFonts w:ascii="Arial" w:cs="Arial" w:eastAsia="Arial" w:hAnsi="Arial"/>
          <w:sz w:val="18"/>
          <w:szCs w:val="18"/>
          <w:color w:val="auto"/>
        </w:rPr>
        <w:t>. The Stock Option may be exercised only by written notice, substantially in the form provided by the Company, delivered in person or by mail in accordance with Section 10(c) hereof and accompanied by payment of the Exercise Price. The Exercise Price shall be payable (i) in cash, (ii) by way of a “net exercise” as described in Section 5(g)(iii) of the Plan or (iii) solely to the extent approved by the Committee, pursuant to any other method permitted by Section 5(g) of the Plan.</w:t>
      </w:r>
    </w:p>
    <w:p>
      <w:pPr>
        <w:spacing w:after="0" w:line="78"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may otherwise be provided herein, the Stock Option shall become vested and exercisable according to the following provisions (any Stock Options that shall have become vested and exercisable pursuant to this Section 3, the “</w:t>
      </w:r>
      <w:r>
        <w:rPr>
          <w:rFonts w:ascii="Arial" w:cs="Arial" w:eastAsia="Arial" w:hAnsi="Arial"/>
          <w:sz w:val="18"/>
          <w:szCs w:val="18"/>
          <w:u w:val="single" w:color="auto"/>
          <w:color w:val="auto"/>
        </w:rPr>
        <w:t>Vested Options</w:t>
      </w:r>
      <w:r>
        <w:rPr>
          <w:rFonts w:ascii="Arial" w:cs="Arial" w:eastAsia="Arial" w:hAnsi="Arial"/>
          <w:sz w:val="18"/>
          <w:szCs w:val="18"/>
          <w:color w:val="auto"/>
        </w:rPr>
        <w:t>”), subject to Participant’s continued employment with the Company as of any such date:</w:t>
      </w:r>
    </w:p>
    <w:p>
      <w:pPr>
        <w:spacing w:after="0" w:line="73" w:lineRule="exact"/>
        <w:rPr>
          <w:rFonts w:ascii="Arial" w:cs="Arial" w:eastAsia="Arial" w:hAnsi="Arial"/>
          <w:sz w:val="18"/>
          <w:szCs w:val="18"/>
          <w:color w:val="auto"/>
        </w:rPr>
      </w:pPr>
    </w:p>
    <w:p>
      <w:pPr>
        <w:jc w:val="both"/>
        <w:ind w:firstLine="1305"/>
        <w:spacing w:after="0" w:line="325" w:lineRule="auto"/>
        <w:tabs>
          <w:tab w:leader="none" w:pos="2144"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General Vesting</w:t>
      </w:r>
      <w:r>
        <w:rPr>
          <w:rFonts w:ascii="Arial" w:cs="Arial" w:eastAsia="Arial" w:hAnsi="Arial"/>
          <w:sz w:val="17"/>
          <w:szCs w:val="17"/>
          <w:color w:val="auto"/>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 of clauses (i), (ii) and (iii), subject to Participant not having incurred a Termination of Employment prior to the applicable vesting date.</w:t>
      </w:r>
    </w:p>
    <w:p>
      <w:pPr>
        <w:spacing w:after="0" w:line="67" w:lineRule="exact"/>
        <w:rPr>
          <w:rFonts w:ascii="Arial" w:cs="Arial" w:eastAsia="Arial" w:hAnsi="Arial"/>
          <w:sz w:val="17"/>
          <w:szCs w:val="17"/>
          <w:color w:val="auto"/>
        </w:rPr>
      </w:pPr>
    </w:p>
    <w:p>
      <w:pPr>
        <w:jc w:val="both"/>
        <w:ind w:firstLine="1305"/>
        <w:spacing w:after="0" w:line="320" w:lineRule="auto"/>
        <w:tabs>
          <w:tab w:leader="none" w:pos="2155"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Except as provided in the immediately following sentence, in the event that Participant incurs a Termination of Employment, any Stock Options that have not theretofore become Vested Options (such Stock Options, the “</w:t>
      </w:r>
      <w:r>
        <w:rPr>
          <w:rFonts w:ascii="Arial" w:cs="Arial" w:eastAsia="Arial" w:hAnsi="Arial"/>
          <w:sz w:val="17"/>
          <w:szCs w:val="17"/>
          <w:u w:val="single" w:color="auto"/>
          <w:color w:val="auto"/>
        </w:rPr>
        <w:t>Unvested Options</w:t>
      </w:r>
      <w:r>
        <w:rPr>
          <w:rFonts w:ascii="Arial" w:cs="Arial" w:eastAsia="Arial" w:hAnsi="Arial"/>
          <w:sz w:val="17"/>
          <w:szCs w:val="17"/>
          <w:color w:val="auto"/>
        </w:rPr>
        <w:t>”) shall be forfeited by Participant without consideration therefor. Notwithstanding the foregoing, if Participant incurs a Termination of Employment (i) as a result of termination by the Company or its Affiliate without Cause on or after the first anniversary of the Grant Date, or (ii) due to Participant’s death or Disability, in each case, any Unvested Options that are outstanding immediately prior to such Termination of Employment and that would have vested on the next vesting date shall vest pro-rata as of the date of the Participant’s Termination of Employment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ectPr>
          <w:pgSz w:w="11900" w:h="16838" w:orient="portrait"/>
          <w:cols w:equalWidth="0" w:num="1">
            <w:col w:w="11420"/>
          </w:cols>
          <w:pgMar w:left="240" w:top="121"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10.35</w:t>
      </w:r>
    </w:p>
    <w:p>
      <w:pPr>
        <w:spacing w:after="0" w:line="283" w:lineRule="exact"/>
        <w:rPr>
          <w:sz w:val="20"/>
          <w:szCs w:val="20"/>
          <w:color w:val="auto"/>
        </w:rPr>
      </w:pPr>
    </w:p>
    <w:p>
      <w:pPr>
        <w:ind w:left="1440" w:hanging="784"/>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160" w:hanging="855"/>
        <w:spacing w:after="0"/>
        <w:tabs>
          <w:tab w:leader="none" w:pos="2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Stock Option shall automatically terminate and shall become null and void, be unexercisable and be of no further force and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upon the earliest of:</w:t>
      </w:r>
    </w:p>
    <w:p>
      <w:pPr>
        <w:spacing w:after="0" w:line="130" w:lineRule="exact"/>
        <w:rPr>
          <w:rFonts w:ascii="Arial" w:cs="Arial" w:eastAsia="Arial" w:hAnsi="Arial"/>
          <w:sz w:val="16"/>
          <w:szCs w:val="16"/>
          <w:color w:val="auto"/>
        </w:rPr>
      </w:pPr>
    </w:p>
    <w:p>
      <w:pPr>
        <w:ind w:left="2440" w:hanging="325"/>
        <w:spacing w:after="0"/>
        <w:tabs>
          <w:tab w:leader="none" w:pos="24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117" w:lineRule="exact"/>
        <w:rPr>
          <w:rFonts w:ascii="Arial" w:cs="Arial" w:eastAsia="Arial" w:hAnsi="Arial"/>
          <w:sz w:val="18"/>
          <w:szCs w:val="18"/>
          <w:color w:val="auto"/>
        </w:rPr>
      </w:pPr>
    </w:p>
    <w:p>
      <w:pPr>
        <w:ind w:left="2440" w:hanging="325"/>
        <w:spacing w:after="0" w:line="277" w:lineRule="auto"/>
        <w:tabs>
          <w:tab w:leader="none" w:pos="24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first anniversary following Participant’s Termination of Employment, in the case of a Termination of Employment due to death or Disability;</w:t>
      </w:r>
    </w:p>
    <w:p>
      <w:pPr>
        <w:spacing w:after="0" w:line="62" w:lineRule="exact"/>
        <w:rPr>
          <w:rFonts w:ascii="Arial" w:cs="Arial" w:eastAsia="Arial" w:hAnsi="Arial"/>
          <w:sz w:val="18"/>
          <w:szCs w:val="18"/>
          <w:color w:val="auto"/>
        </w:rPr>
      </w:pPr>
    </w:p>
    <w:p>
      <w:pPr>
        <w:ind w:left="2440" w:hanging="325"/>
        <w:spacing w:after="0"/>
        <w:tabs>
          <w:tab w:leader="none" w:pos="2440" w:val="left"/>
        </w:tabs>
        <w:numPr>
          <w:ilvl w:val="2"/>
          <w:numId w:val="53"/>
        </w:numPr>
        <w:rPr>
          <w:rFonts w:ascii="Arial" w:cs="Arial" w:eastAsia="Arial" w:hAnsi="Arial"/>
          <w:sz w:val="16"/>
          <w:szCs w:val="16"/>
          <w:color w:val="auto"/>
        </w:rPr>
      </w:pPr>
      <w:r>
        <w:rPr>
          <w:rFonts w:ascii="Arial" w:cs="Arial" w:eastAsia="Arial" w:hAnsi="Arial"/>
          <w:sz w:val="16"/>
          <w:szCs w:val="16"/>
          <w:color w:val="auto"/>
        </w:rPr>
        <w:t>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Participant’s Termination of Employment in the case of a Termination of Employment without Cause;</w:t>
      </w:r>
    </w:p>
    <w:p>
      <w:pPr>
        <w:spacing w:after="0" w:line="75" w:lineRule="exact"/>
        <w:rPr>
          <w:rFonts w:ascii="Arial" w:cs="Arial" w:eastAsia="Arial" w:hAnsi="Arial"/>
          <w:sz w:val="16"/>
          <w:szCs w:val="16"/>
          <w:color w:val="auto"/>
        </w:rPr>
      </w:pPr>
    </w:p>
    <w:p>
      <w:pPr>
        <w:ind w:left="2440" w:right="20" w:hanging="325"/>
        <w:spacing w:after="0" w:line="214" w:lineRule="auto"/>
        <w:tabs>
          <w:tab w:leader="none" w:pos="24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Participant’s Termination of Employment in the case of a Termination of Employment by the Participant for any reason; and</w:t>
      </w:r>
    </w:p>
    <w:p>
      <w:pPr>
        <w:spacing w:after="0" w:line="94" w:lineRule="exact"/>
        <w:rPr>
          <w:rFonts w:ascii="Arial" w:cs="Arial" w:eastAsia="Arial" w:hAnsi="Arial"/>
          <w:sz w:val="18"/>
          <w:szCs w:val="18"/>
          <w:color w:val="auto"/>
        </w:rPr>
      </w:pPr>
    </w:p>
    <w:p>
      <w:pPr>
        <w:ind w:left="2440" w:hanging="325"/>
        <w:spacing w:after="0"/>
        <w:tabs>
          <w:tab w:leader="none" w:pos="24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day of Participant’s Termination of Employment in the case of a Termination of Employment for Cause.</w:t>
      </w:r>
    </w:p>
    <w:p>
      <w:pPr>
        <w:spacing w:after="0" w:line="144" w:lineRule="exact"/>
        <w:rPr>
          <w:rFonts w:ascii="Arial" w:cs="Arial" w:eastAsia="Arial" w:hAnsi="Arial"/>
          <w:sz w:val="18"/>
          <w:szCs w:val="18"/>
          <w:color w:val="auto"/>
        </w:rPr>
      </w:pPr>
    </w:p>
    <w:p>
      <w:pPr>
        <w:jc w:val="both"/>
        <w:ind w:firstLine="1305"/>
        <w:spacing w:after="0" w:line="364" w:lineRule="auto"/>
        <w:tabs>
          <w:tab w:leader="none" w:pos="21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the provisions of Section 4(a) to the contrary, in the event of Participant’s Termination of Employment for any reason (other than due to a Termination of Employment for Cause) during the two-year period following a Change in Control, the Stock Option shall remain outstanding and exercisable until the earlier of (i) the tenth anniversary of the Grant Date and (ii) the fifth anniversary of such Termination of Employment.</w:t>
      </w:r>
    </w:p>
    <w:p>
      <w:pPr>
        <w:spacing w:after="0" w:line="40" w:lineRule="exact"/>
        <w:rPr>
          <w:rFonts w:ascii="Arial" w:cs="Arial" w:eastAsia="Arial" w:hAnsi="Arial"/>
          <w:sz w:val="16"/>
          <w:szCs w:val="16"/>
          <w:color w:val="auto"/>
        </w:rPr>
      </w:pPr>
    </w:p>
    <w:p>
      <w:pPr>
        <w:ind w:firstLine="1305"/>
        <w:spacing w:after="0" w:line="324" w:lineRule="auto"/>
        <w:tabs>
          <w:tab w:leader="none" w:pos="21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otherwise provided in the Plan and Section 3(b) of this Agreement, upon a Termination of Employment for any reason, any Unvested Options shall immediately terminate and be forfeited on the date the Termination of Employment occurs.</w:t>
      </w:r>
    </w:p>
    <w:p>
      <w:pPr>
        <w:spacing w:after="0" w:line="62" w:lineRule="exact"/>
        <w:rPr>
          <w:rFonts w:ascii="Arial" w:cs="Arial" w:eastAsia="Arial" w:hAnsi="Arial"/>
          <w:sz w:val="18"/>
          <w:szCs w:val="18"/>
          <w:color w:val="auto"/>
        </w:rPr>
      </w:pPr>
    </w:p>
    <w:p>
      <w:pPr>
        <w:jc w:val="both"/>
        <w:ind w:firstLine="656"/>
        <w:spacing w:after="0" w:line="325" w:lineRule="auto"/>
        <w:tabs>
          <w:tab w:leader="none" w:pos="143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Compliance with Legal Requirements</w:t>
      </w:r>
      <w:r>
        <w:rPr>
          <w:rFonts w:ascii="Arial" w:cs="Arial" w:eastAsia="Arial" w:hAnsi="Arial"/>
          <w:sz w:val="17"/>
          <w:szCs w:val="17"/>
          <w:color w:val="auto"/>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67" w:lineRule="exact"/>
        <w:rPr>
          <w:rFonts w:ascii="Arial" w:cs="Arial" w:eastAsia="Arial" w:hAnsi="Arial"/>
          <w:sz w:val="17"/>
          <w:szCs w:val="17"/>
          <w:color w:val="auto"/>
        </w:rPr>
      </w:pPr>
    </w:p>
    <w:p>
      <w:pPr>
        <w:jc w:val="both"/>
        <w:ind w:right="20" w:firstLine="656"/>
        <w:spacing w:after="0" w:line="311"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Until such time as the Stock Options have been exercised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73"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The Stock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designation of a beneficiary shall not constitute an assignment, alienation, pledge, attachment, sale, transfer or encumbrance.</w:t>
      </w:r>
    </w:p>
    <w:p>
      <w:pPr>
        <w:spacing w:after="0" w:line="78" w:lineRule="exact"/>
        <w:rPr>
          <w:rFonts w:ascii="Arial" w:cs="Arial" w:eastAsia="Arial" w:hAnsi="Arial"/>
          <w:sz w:val="18"/>
          <w:szCs w:val="18"/>
          <w:color w:val="auto"/>
        </w:rPr>
      </w:pPr>
    </w:p>
    <w:p>
      <w:pPr>
        <w:ind w:firstLine="656"/>
        <w:spacing w:after="0" w:line="324"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Upon any event described in Section 3(d) of the Plan occurring after the Grant Date, the adjustment provisions as provided for under Section 3(d) of the Plan shall apply to the Stock Option.</w:t>
      </w:r>
    </w:p>
    <w:p>
      <w:pPr>
        <w:spacing w:after="0" w:line="62" w:lineRule="exact"/>
        <w:rPr>
          <w:rFonts w:ascii="Arial" w:cs="Arial" w:eastAsia="Arial" w:hAnsi="Arial"/>
          <w:sz w:val="18"/>
          <w:szCs w:val="18"/>
          <w:color w:val="auto"/>
        </w:rPr>
      </w:pPr>
    </w:p>
    <w:p>
      <w:pPr>
        <w:ind w:firstLine="656"/>
        <w:spacing w:after="0" w:line="357" w:lineRule="auto"/>
        <w:tabs>
          <w:tab w:leader="none" w:pos="143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39" w:lineRule="exact"/>
        <w:rPr>
          <w:rFonts w:ascii="Arial" w:cs="Arial" w:eastAsia="Arial" w:hAnsi="Arial"/>
          <w:sz w:val="17"/>
          <w:szCs w:val="17"/>
          <w:color w:val="auto"/>
        </w:rPr>
      </w:pPr>
    </w:p>
    <w:p>
      <w:pPr>
        <w:ind w:left="1520" w:hanging="864"/>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1" w:lineRule="auto"/>
        <w:tabs>
          <w:tab w:leader="none" w:pos="21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As a condition to delivery of the Shares in respect of any Vested Options that are exercised, Participant will, pursuant to Section 15(d) of the Plan, make provisions satisfactory to the Company for payment of, any applicable taxes of any kind and other statutory obligations (including but not limited to Participant’s FICA and SDI obligations) (collectively the “Tax Obligations”) in respect of the transfer of Shares in settlement of the exercised Vested Options. The Company shall have the power and the right to deduct or withhold from all amounts payable to Participant pursuant to the exercised Vested Options or otherwise, or require Participant to remit to the Company, an amount sufficient to satisfy the Tax Obligations which the Company, in its sole discretion, deems necessary to be withheld or remitted to comply with the Code and/or any other applicable law, rule or regulation with respect to the Vested Options and, if Participant fails to do so, the Company may otherwise refuse to issue or transfer any Shares otherwise required to be issued pursuant to this Agreement.</w:t>
      </w:r>
    </w:p>
    <w:p>
      <w:pPr>
        <w:spacing w:after="0" w:line="84" w:lineRule="exact"/>
        <w:rPr>
          <w:rFonts w:ascii="Arial" w:cs="Arial" w:eastAsia="Arial" w:hAnsi="Arial"/>
          <w:sz w:val="18"/>
          <w:szCs w:val="18"/>
          <w:color w:val="auto"/>
        </w:rPr>
      </w:pPr>
    </w:p>
    <w:p>
      <w:pPr>
        <w:jc w:val="both"/>
        <w:ind w:firstLine="1305"/>
        <w:spacing w:after="0" w:line="311" w:lineRule="auto"/>
        <w:tabs>
          <w:tab w:leader="none" w:pos="21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provided in Section 10(c), any such Tax Obligations with regard to Participant shall be satisfied solely by retaining and instructing a registered broker(s) of the Company’s choosing to sell such number of Shares necessary to satisfy such Tax Obligations, after deduction of the broker’s commission, and the broker shall remit to the Company</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10.35</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the Tax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84" w:lineRule="exact"/>
        <w:rPr>
          <w:sz w:val="20"/>
          <w:szCs w:val="20"/>
          <w:color w:val="auto"/>
        </w:rPr>
      </w:pPr>
    </w:p>
    <w:p>
      <w:pPr>
        <w:jc w:val="both"/>
        <w:ind w:firstLine="1305"/>
        <w:spacing w:after="0" w:line="336" w:lineRule="auto"/>
        <w:tabs>
          <w:tab w:leader="none" w:pos="2144" w:val="left"/>
        </w:tabs>
        <w:numPr>
          <w:ilvl w:val="1"/>
          <w:numId w:val="54"/>
        </w:numPr>
        <w:rPr>
          <w:rFonts w:ascii="Arial" w:cs="Arial" w:eastAsia="Arial" w:hAnsi="Arial"/>
          <w:sz w:val="17"/>
          <w:szCs w:val="17"/>
          <w:color w:val="auto"/>
        </w:rPr>
      </w:pPr>
      <w:r>
        <w:rPr>
          <w:rFonts w:ascii="Arial" w:cs="Arial" w:eastAsia="Arial" w:hAnsi="Arial"/>
          <w:sz w:val="17"/>
          <w:szCs w:val="17"/>
          <w:color w:val="auto"/>
        </w:rPr>
        <w:t>Notwithstanding Section 10(b) hereof, with respect to any Participant who as of the date hereof is a Section 16 officer of the Company and with respect to any Participant who becomes a Section 16 officer on or following the date hereof, the Company may permit or require the Tax Obligations to be satisfied by withholding Shares otherwise issuable in connection with the exercise of such Vested Options.</w:t>
      </w:r>
    </w:p>
    <w:p>
      <w:pPr>
        <w:spacing w:after="0" w:line="56" w:lineRule="exact"/>
        <w:rPr>
          <w:rFonts w:ascii="Arial" w:cs="Arial" w:eastAsia="Arial" w:hAnsi="Arial"/>
          <w:sz w:val="17"/>
          <w:szCs w:val="17"/>
          <w:color w:val="auto"/>
        </w:rPr>
      </w:pPr>
    </w:p>
    <w:p>
      <w:pPr>
        <w:ind w:left="1520" w:hanging="864"/>
        <w:spacing w:after="0"/>
        <w:tabs>
          <w:tab w:leader="none" w:pos="15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The Committee may waive any conditions or rights under, or amend any terms of, this Agreement and the Stock Option granted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84"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Unsecured Obligation</w:t>
      </w:r>
      <w:r>
        <w:rPr>
          <w:rFonts w:ascii="Arial" w:cs="Arial" w:eastAsia="Arial" w:hAnsi="Arial"/>
          <w:sz w:val="18"/>
          <w:szCs w:val="18"/>
          <w:color w:val="auto"/>
        </w:rPr>
        <w:t>. This Award is unfunded, and even as to any Vested Options,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78" w:lineRule="exact"/>
        <w:rPr>
          <w:rFonts w:ascii="Arial" w:cs="Arial" w:eastAsia="Arial" w:hAnsi="Arial"/>
          <w:sz w:val="18"/>
          <w:szCs w:val="18"/>
          <w:color w:val="auto"/>
        </w:rPr>
      </w:pPr>
    </w:p>
    <w:p>
      <w:pPr>
        <w:ind w:firstLine="1305"/>
        <w:spacing w:after="0" w:line="324" w:lineRule="auto"/>
        <w:tabs>
          <w:tab w:leader="none" w:pos="214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NMI Holdings, Inc.</w:t>
      </w:r>
    </w:p>
    <w:p>
      <w:pPr>
        <w:ind w:left="1960"/>
        <w:spacing w:after="0" w:line="201" w:lineRule="auto"/>
        <w:rPr>
          <w:sz w:val="20"/>
          <w:szCs w:val="20"/>
          <w:color w:val="auto"/>
        </w:rPr>
      </w:pPr>
      <w:r>
        <w:rPr>
          <w:rFonts w:ascii="Arial" w:cs="Arial" w:eastAsia="Arial" w:hAnsi="Arial"/>
          <w:sz w:val="18"/>
          <w:szCs w:val="18"/>
          <w:color w:val="auto"/>
        </w:rPr>
        <w:t>2100 Powell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Participant: at the address last on the records of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8" w:lineRule="exact"/>
        <w:rPr>
          <w:sz w:val="20"/>
          <w:szCs w:val="20"/>
          <w:color w:val="auto"/>
        </w:rPr>
      </w:pPr>
    </w:p>
    <w:p>
      <w:pPr>
        <w:ind w:firstLine="1305"/>
        <w:spacing w:after="0" w:line="357" w:lineRule="auto"/>
        <w:tabs>
          <w:tab w:leader="none" w:pos="215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9" w:lineRule="exact"/>
        <w:rPr>
          <w:rFonts w:ascii="Arial" w:cs="Arial" w:eastAsia="Arial" w:hAnsi="Arial"/>
          <w:sz w:val="17"/>
          <w:szCs w:val="17"/>
          <w:color w:val="auto"/>
        </w:rPr>
      </w:pPr>
    </w:p>
    <w:p>
      <w:pPr>
        <w:jc w:val="both"/>
        <w:ind w:firstLine="1305"/>
        <w:spacing w:after="0" w:line="336" w:lineRule="auto"/>
        <w:tabs>
          <w:tab w:leader="none" w:pos="214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56" w:lineRule="exact"/>
        <w:rPr>
          <w:rFonts w:ascii="Arial" w:cs="Arial" w:eastAsia="Arial" w:hAnsi="Arial"/>
          <w:sz w:val="17"/>
          <w:szCs w:val="17"/>
          <w:color w:val="auto"/>
        </w:rPr>
      </w:pPr>
    </w:p>
    <w:p>
      <w:pPr>
        <w:jc w:val="both"/>
        <w:ind w:firstLine="1305"/>
        <w:spacing w:after="0" w:line="349" w:lineRule="auto"/>
        <w:tabs>
          <w:tab w:leader="none" w:pos="212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the Participant’s spouse or, if Participant is unmarried at the time of death, his or her estate.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10.35</w:t>
      </w:r>
    </w:p>
    <w:p>
      <w:pPr>
        <w:spacing w:after="0" w:line="283" w:lineRule="exact"/>
        <w:rPr>
          <w:sz w:val="20"/>
          <w:szCs w:val="20"/>
          <w:color w:val="auto"/>
        </w:rPr>
      </w:pPr>
    </w:p>
    <w:p>
      <w:pPr>
        <w:ind w:right="20" w:firstLine="1305"/>
        <w:spacing w:after="0" w:line="324" w:lineRule="auto"/>
        <w:tabs>
          <w:tab w:leader="none" w:pos="21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62" w:lineRule="exact"/>
        <w:rPr>
          <w:rFonts w:ascii="Arial" w:cs="Arial" w:eastAsia="Arial" w:hAnsi="Arial"/>
          <w:sz w:val="18"/>
          <w:szCs w:val="18"/>
          <w:color w:val="auto"/>
        </w:rPr>
      </w:pPr>
    </w:p>
    <w:p>
      <w:pPr>
        <w:ind w:firstLine="1305"/>
        <w:spacing w:after="0" w:line="357" w:lineRule="auto"/>
        <w:tabs>
          <w:tab w:leader="none" w:pos="215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39" w:lineRule="exact"/>
        <w:rPr>
          <w:rFonts w:ascii="Arial" w:cs="Arial" w:eastAsia="Arial" w:hAnsi="Arial"/>
          <w:sz w:val="17"/>
          <w:szCs w:val="17"/>
          <w:color w:val="auto"/>
        </w:rPr>
      </w:pPr>
    </w:p>
    <w:p>
      <w:pPr>
        <w:ind w:right="20" w:firstLine="1305"/>
        <w:spacing w:after="0" w:line="324" w:lineRule="auto"/>
        <w:tabs>
          <w:tab w:leader="none" w:pos="211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Bound by the Plan</w:t>
      </w:r>
      <w:r>
        <w:rPr>
          <w:rFonts w:ascii="Arial" w:cs="Arial" w:eastAsia="Arial" w:hAnsi="Arial"/>
          <w:sz w:val="18"/>
          <w:szCs w:val="18"/>
          <w:color w:val="auto"/>
        </w:rPr>
        <w:t>. By signing this Agreement, Participant acknowledges that he or she has received a copy of the Plan and has had an opportunity to review the Plan and agrees to be bound by all the terms and provisions of the Plan.</w:t>
      </w:r>
    </w:p>
    <w:p>
      <w:pPr>
        <w:spacing w:after="0" w:line="62" w:lineRule="exact"/>
        <w:rPr>
          <w:rFonts w:ascii="Arial" w:cs="Arial" w:eastAsia="Arial" w:hAnsi="Arial"/>
          <w:sz w:val="18"/>
          <w:szCs w:val="18"/>
          <w:color w:val="auto"/>
        </w:rPr>
      </w:pPr>
    </w:p>
    <w:p>
      <w:pPr>
        <w:jc w:val="both"/>
        <w:ind w:firstLine="1305"/>
        <w:spacing w:after="0" w:line="364" w:lineRule="auto"/>
        <w:tabs>
          <w:tab w:leader="none" w:pos="211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It is intended that the Stock Options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40" w:lineRule="exact"/>
        <w:rPr>
          <w:rFonts w:ascii="Arial" w:cs="Arial" w:eastAsia="Arial" w:hAnsi="Arial"/>
          <w:sz w:val="16"/>
          <w:szCs w:val="16"/>
          <w:color w:val="auto"/>
        </w:rPr>
      </w:pPr>
    </w:p>
    <w:p>
      <w:pPr>
        <w:jc w:val="both"/>
        <w:ind w:firstLine="1305"/>
        <w:spacing w:after="0" w:line="311" w:lineRule="auto"/>
        <w:tabs>
          <w:tab w:leader="none" w:pos="21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73" w:lineRule="exact"/>
        <w:rPr>
          <w:rFonts w:ascii="Arial" w:cs="Arial" w:eastAsia="Arial" w:hAnsi="Arial"/>
          <w:sz w:val="18"/>
          <w:szCs w:val="18"/>
          <w:color w:val="auto"/>
        </w:rPr>
      </w:pPr>
    </w:p>
    <w:p>
      <w:pPr>
        <w:ind w:firstLine="1305"/>
        <w:spacing w:after="0" w:line="324" w:lineRule="auto"/>
        <w:tabs>
          <w:tab w:leader="none" w:pos="211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62" w:lineRule="exact"/>
        <w:rPr>
          <w:rFonts w:ascii="Arial" w:cs="Arial" w:eastAsia="Arial" w:hAnsi="Arial"/>
          <w:sz w:val="18"/>
          <w:szCs w:val="18"/>
          <w:color w:val="auto"/>
        </w:rPr>
      </w:pPr>
    </w:p>
    <w:p>
      <w:pPr>
        <w:ind w:firstLine="1305"/>
        <w:spacing w:after="0" w:line="324" w:lineRule="auto"/>
        <w:tabs>
          <w:tab w:leader="none" w:pos="220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Nonqualified Stock Option Agreement for Employees]</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u w:val="single" w:color="auto"/>
          <w:color w:val="auto"/>
        </w:rPr>
        <w:t>May 1, 2019</w:t>
      </w:r>
      <w:r>
        <w:rPr>
          <w:sz w:val="20"/>
          <w:szCs w:val="20"/>
          <w:color w:val="auto"/>
        </w:rPr>
        <w:tab/>
      </w:r>
      <w:r>
        <w:rPr>
          <w:rFonts w:ascii="Arial" w:cs="Arial" w:eastAsia="Arial" w:hAnsi="Arial"/>
          <w:sz w:val="16"/>
          <w:szCs w:val="16"/>
          <w:color w:val="auto"/>
        </w:rPr>
        <w:t>/s/ Claudia J. Merkle___________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2019,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lowerRoman"/>
      <w:start w:val="3"/>
    </w:lvl>
  </w:abstractNum>
  <w:abstractNum w:abstractNumId="19">
    <w:nsid w:val="51EAD36B"/>
    <w:multiLevelType w:val="hybridMultilevel"/>
    <w:lvl w:ilvl="0">
      <w:lvlJc w:val="left"/>
      <w:lvlText w:val="(%1)"/>
      <w:numFmt w:val="lowerRoman"/>
      <w:start w:val="5"/>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01"/>
    </w:lvl>
    <w:lvl w:ilvl="1">
      <w:lvlJc w:val="left"/>
      <w:lvlText w:val="(%2)"/>
      <w:numFmt w:val="lowerRoman"/>
      <w:start w:val="1"/>
    </w:lvl>
    <w:lvl w:ilvl="2">
      <w:lvlJc w:val="left"/>
      <w:lvlText w:val="(%3)"/>
      <w:numFmt w:val="lowerRoman"/>
      <w:start w:val="2"/>
    </w:lvl>
  </w:abstractNum>
  <w:abstractNum w:abstractNumId="23">
    <w:nsid w:val="3855585C"/>
    <w:multiLevelType w:val="hybridMultilevel"/>
    <w:lvl w:ilvl="0">
      <w:lvlJc w:val="left"/>
      <w:lvlText w:val="~"/>
      <w:numFmt w:val="bullet"/>
      <w:start w:val="1"/>
    </w:lvl>
    <w:lvl w:ilvl="1">
      <w:lvlJc w:val="left"/>
      <w:lvlText w:val="(%2)"/>
      <w:numFmt w:val="lowerRoman"/>
      <w:start w:val="5"/>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lvl w:ilvl="1">
      <w:lvlJc w:val="left"/>
      <w:lvlText w:val="(%2)"/>
      <w:numFmt w:val="lowerLetter"/>
      <w:start w:val="1"/>
    </w:lvl>
  </w:abstractNum>
  <w:abstractNum w:abstractNumId="26">
    <w:nsid w:val="2A487CB0"/>
    <w:multiLevelType w:val="hybridMultilevel"/>
    <w:lvl w:ilvl="0">
      <w:lvlJc w:val="left"/>
      <w:lvlText w:val="%1."/>
      <w:numFmt w:val="decimal"/>
      <w:start w:val="9"/>
    </w:lvl>
    <w:lvl w:ilvl="1">
      <w:lvlJc w:val="left"/>
      <w:lvlText w:val="(%2)"/>
      <w:numFmt w:val="lowerLetter"/>
      <w:start w:val="1"/>
    </w:lvl>
  </w:abstractNum>
  <w:abstractNum w:abstractNumId="27">
    <w:nsid w:val="1D4ED43B"/>
    <w:multiLevelType w:val="hybridMultilevel"/>
    <w:lvl w:ilvl="0">
      <w:lvlJc w:val="left"/>
      <w:lvlText w:val="(%1)"/>
      <w:numFmt w:val="lowerLetter"/>
      <w:start w:val="4"/>
    </w:lvl>
  </w:abstractNum>
  <w:abstractNum w:abstractNumId="28">
    <w:nsid w:val="725A06FB"/>
    <w:multiLevelType w:val="hybridMultilevel"/>
    <w:lvl w:ilvl="0">
      <w:lvlJc w:val="left"/>
      <w:lvlText w:val="%1"/>
      <w:numFmt w:val="decimal"/>
      <w:start w:val="1"/>
    </w:lvl>
    <w:lvl w:ilvl="1">
      <w:lvlJc w:val="left"/>
      <w:lvlText w:val="(%2)"/>
      <w:numFmt w:val="lowerLetter"/>
      <w:start w:val="11"/>
    </w:lvl>
  </w:abstractNum>
  <w:abstractNum w:abstractNumId="29">
    <w:nsid w:val="2CD89A32"/>
    <w:multiLevelType w:val="hybridMultilevel"/>
    <w:lvl w:ilvl="0">
      <w:lvlJc w:val="left"/>
      <w:lvlText w:val="%1."/>
      <w:numFmt w:val="decimal"/>
      <w:start w:val="10"/>
    </w:lvl>
    <w:lvl w:ilvl="1">
      <w:lvlJc w:val="left"/>
      <w:lvlText w:val="%2"/>
      <w:numFmt w:val="lowerLetter"/>
      <w:start w:val="1"/>
    </w:lvl>
  </w:abstractNum>
  <w:abstractNum w:abstractNumId="30">
    <w:nsid w:val="57E4CCAF"/>
    <w:multiLevelType w:val="hybridMultilevel"/>
    <w:lvl w:ilvl="0">
      <w:lvlJc w:val="left"/>
      <w:lvlText w:val="%1."/>
      <w:numFmt w:val="decimal"/>
      <w:start w:val="1"/>
    </w:lvl>
    <w:lvl w:ilvl="1">
      <w:lvlJc w:val="left"/>
      <w:lvlText w:val="(%2)"/>
      <w:numFmt w:val="lowerLetter"/>
      <w:start w:val="1"/>
    </w:lvl>
  </w:abstractNum>
  <w:abstractNum w:abstractNumId="31">
    <w:nsid w:val="7A6D8D3C"/>
    <w:multiLevelType w:val="hybridMultilevel"/>
    <w:lvl w:ilvl="0">
      <w:lvlJc w:val="left"/>
      <w:lvlText w:val="%1"/>
      <w:numFmt w:val="decimal"/>
      <w:start w:val="1"/>
    </w:lvl>
    <w:lvl w:ilvl="1">
      <w:lvlJc w:val="left"/>
      <w:lvlText w:val="(%2)"/>
      <w:numFmt w:val="lowerLetter"/>
      <w:start w:val="2"/>
    </w:lvl>
  </w:abstractNum>
  <w:abstractNum w:abstractNumId="32">
    <w:nsid w:val="4B588F54"/>
    <w:multiLevelType w:val="hybridMultilevel"/>
    <w:lvl w:ilvl="0">
      <w:lvlJc w:val="left"/>
      <w:lvlText w:val="%1."/>
      <w:numFmt w:val="decimal"/>
      <w:start w:val="5"/>
    </w:lvl>
    <w:lvl w:ilvl="1">
      <w:lvlJc w:val="left"/>
      <w:lvlText w:val="(%2)"/>
      <w:numFmt w:val="lowerLetter"/>
      <w:start w:val="1"/>
    </w:lvl>
  </w:abstractNum>
  <w:abstractNum w:abstractNumId="33">
    <w:nsid w:val="542289EC"/>
    <w:multiLevelType w:val="hybridMultilevel"/>
    <w:lvl w:ilvl="0">
      <w:lvlJc w:val="left"/>
      <w:lvlText w:val="%1"/>
      <w:numFmt w:val="decimal"/>
      <w:start w:val="1"/>
    </w:lvl>
    <w:lvl w:ilvl="1">
      <w:lvlJc w:val="left"/>
      <w:lvlText w:val="(%2)"/>
      <w:numFmt w:val="lowerLetter"/>
      <w:start w:val="4"/>
    </w:lvl>
  </w:abstractNum>
  <w:abstractNum w:abstractNumId="34">
    <w:nsid w:val="6DE91B18"/>
    <w:multiLevelType w:val="hybridMultilevel"/>
    <w:lvl w:ilvl="0">
      <w:lvlJc w:val="left"/>
      <w:lvlText w:val="%1."/>
      <w:numFmt w:val="decimal"/>
      <w:start w:val="10"/>
    </w:lvl>
    <w:lvl w:ilvl="1">
      <w:lvlJc w:val="left"/>
      <w:lvlText w:val="%2"/>
      <w:numFmt w:val="lowerLetter"/>
      <w:start w:val="1"/>
    </w:lvl>
  </w:abstractNum>
  <w:abstractNum w:abstractNumId="35">
    <w:nsid w:val="38437FDB"/>
    <w:multiLevelType w:val="hybridMultilevel"/>
    <w:lvl w:ilvl="0">
      <w:lvlJc w:val="left"/>
      <w:lvlText w:val="%1."/>
      <w:numFmt w:val="decimal"/>
      <w:start w:val="1"/>
    </w:lvl>
    <w:lvl w:ilvl="1">
      <w:lvlJc w:val="left"/>
      <w:lvlText w:val="(%2)"/>
      <w:numFmt w:val="lowerLetter"/>
      <w:start w:val="1"/>
    </w:lvl>
  </w:abstractNum>
  <w:abstractNum w:abstractNumId="36">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32FFF902"/>
    <w:multiLevelType w:val="hybridMultilevel"/>
    <w:lvl w:ilvl="0">
      <w:lvlJc w:val="left"/>
      <w:lvlText w:val="%1"/>
      <w:numFmt w:val="decimal"/>
      <w:start w:val="1"/>
    </w:lvl>
    <w:lvl w:ilvl="1">
      <w:lvlJc w:val="left"/>
      <w:lvlText w:val="(%2)"/>
      <w:numFmt w:val="lowerLetter"/>
      <w:start w:val="3"/>
    </w:lvl>
  </w:abstractNum>
  <w:abstractNum w:abstractNumId="38">
    <w:nsid w:val="684A481A"/>
    <w:multiLevelType w:val="hybridMultilevel"/>
    <w:lvl w:ilvl="0">
      <w:lvlJc w:val="left"/>
      <w:lvlText w:val="%1."/>
      <w:numFmt w:val="decimal"/>
      <w:start w:val="11"/>
    </w:lvl>
    <w:lvl w:ilvl="1">
      <w:lvlJc w:val="left"/>
      <w:lvlText w:val="(%2)"/>
      <w:numFmt w:val="lowerLetter"/>
      <w:start w:val="1"/>
    </w:lvl>
  </w:abstractNum>
  <w:abstractNum w:abstractNumId="39">
    <w:nsid w:val="579478FE"/>
    <w:multiLevelType w:val="hybridMultilevel"/>
    <w:lvl w:ilvl="0">
      <w:lvlJc w:val="left"/>
      <w:lvlText w:val="(%1)"/>
      <w:numFmt w:val="lowerLetter"/>
      <w:start w:val="4"/>
    </w:lvl>
  </w:abstractNum>
  <w:abstractNum w:abstractNumId="40">
    <w:nsid w:val="749ABB43"/>
    <w:multiLevelType w:val="hybridMultilevel"/>
    <w:lvl w:ilvl="0">
      <w:lvlJc w:val="left"/>
      <w:lvlText w:val="(%1)"/>
      <w:numFmt w:val="lowerLetter"/>
      <w:start w:val="8"/>
    </w:lvl>
  </w:abstractNum>
  <w:abstractNum w:abstractNumId="41">
    <w:nsid w:val="3DC240FB"/>
    <w:multiLevelType w:val="hybridMultilevel"/>
    <w:lvl w:ilvl="0">
      <w:lvlJc w:val="left"/>
      <w:lvlText w:val="%1."/>
      <w:numFmt w:val="decimal"/>
      <w:start w:val="1"/>
    </w:lvl>
    <w:lvl w:ilvl="1">
      <w:lvlJc w:val="left"/>
      <w:lvlText w:val="(%2)"/>
      <w:numFmt w:val="lowerLetter"/>
      <w:start w:val="1"/>
    </w:lvl>
  </w:abstractNum>
  <w:abstractNum w:abstractNumId="42">
    <w:nsid w:val="1BA026FA"/>
    <w:multiLevelType w:val="hybridMultilevel"/>
    <w:lvl w:ilvl="0">
      <w:lvlJc w:val="left"/>
      <w:lvlText w:val="%1."/>
      <w:numFmt w:val="decimal"/>
      <w:start w:val="9"/>
    </w:lvl>
    <w:lvl w:ilvl="1">
      <w:lvlJc w:val="left"/>
      <w:lvlText w:val="(%2)"/>
      <w:numFmt w:val="lowerLetter"/>
      <w:start w:val="1"/>
    </w:lvl>
  </w:abstractNum>
  <w:abstractNum w:abstractNumId="43">
    <w:nsid w:val="79A1DEAA"/>
    <w:multiLevelType w:val="hybridMultilevel"/>
    <w:lvl w:ilvl="0">
      <w:lvlJc w:val="left"/>
      <w:lvlText w:val="(%1)"/>
      <w:numFmt w:val="lowerLetter"/>
      <w:start w:val="4"/>
    </w:lvl>
  </w:abstractNum>
  <w:abstractNum w:abstractNumId="44">
    <w:nsid w:val="75C6C33A"/>
    <w:multiLevelType w:val="hybridMultilevel"/>
    <w:lvl w:ilvl="0">
      <w:lvlJc w:val="left"/>
      <w:lvlText w:val="%1"/>
      <w:numFmt w:val="decimal"/>
      <w:start w:val="1"/>
    </w:lvl>
    <w:lvl w:ilvl="1">
      <w:lvlJc w:val="left"/>
      <w:lvlText w:val="(%2)"/>
      <w:numFmt w:val="lowerLetter"/>
      <w:start w:val="12"/>
    </w:lvl>
  </w:abstractNum>
  <w:abstractNum w:abstractNumId="45">
    <w:nsid w:val="12E685FB"/>
    <w:multiLevelType w:val="hybridMultilevel"/>
    <w:lvl w:ilvl="0">
      <w:lvlJc w:val="left"/>
      <w:lvlText w:val="%1."/>
      <w:numFmt w:val="decimal"/>
      <w:start w:val="10"/>
    </w:lvl>
    <w:lvl w:ilvl="1">
      <w:lvlJc w:val="left"/>
      <w:lvlText w:val="%2"/>
      <w:numFmt w:val="lowerLetter"/>
      <w:start w:val="1"/>
    </w:lvl>
  </w:abstractNum>
  <w:abstractNum w:abstractNumId="46">
    <w:nsid w:val="70C6A529"/>
    <w:multiLevelType w:val="hybridMultilevel"/>
    <w:lvl w:ilvl="0">
      <w:lvlJc w:val="left"/>
      <w:lvlText w:val="%1."/>
      <w:numFmt w:val="decimal"/>
      <w:start w:val="1"/>
    </w:lvl>
    <w:lvl w:ilvl="1">
      <w:lvlJc w:val="left"/>
      <w:lvlText w:val="(%2)"/>
      <w:numFmt w:val="lowerLetter"/>
      <w:start w:val="1"/>
    </w:lvl>
  </w:abstractNum>
  <w:abstractNum w:abstractNumId="47">
    <w:nsid w:val="520EEDD1"/>
    <w:multiLevelType w:val="hybridMultilevel"/>
    <w:lvl w:ilvl="0">
      <w:lvlJc w:val="left"/>
      <w:lvlText w:val="%1"/>
      <w:numFmt w:val="decimal"/>
      <w:start w:val="1"/>
    </w:lvl>
    <w:lvl w:ilvl="1">
      <w:lvlJc w:val="left"/>
      <w:lvlText w:val="(%2)"/>
      <w:numFmt w:val="lowerLetter"/>
      <w:start w:val="2"/>
    </w:lvl>
  </w:abstractNum>
  <w:abstractNum w:abstractNumId="48">
    <w:nsid w:val="374A3FE6"/>
    <w:multiLevelType w:val="hybridMultilevel"/>
    <w:lvl w:ilvl="0">
      <w:lvlJc w:val="left"/>
      <w:lvlText w:val="%1."/>
      <w:numFmt w:val="decimal"/>
      <w:start w:val="5"/>
    </w:lvl>
    <w:lvl w:ilvl="1">
      <w:lvlJc w:val="left"/>
      <w:lvlText w:val="(%2)"/>
      <w:numFmt w:val="lowerLetter"/>
      <w:start w:val="1"/>
    </w:lvl>
  </w:abstractNum>
  <w:abstractNum w:abstractNumId="49">
    <w:nsid w:val="4F4EF005"/>
    <w:multiLevelType w:val="hybridMultilevel"/>
    <w:lvl w:ilvl="0">
      <w:lvlJc w:val="left"/>
      <w:lvlText w:val="%1"/>
      <w:numFmt w:val="decimal"/>
      <w:start w:val="1"/>
    </w:lvl>
    <w:lvl w:ilvl="1">
      <w:lvlJc w:val="left"/>
      <w:lvlText w:val="(%2)"/>
      <w:numFmt w:val="lowerLetter"/>
      <w:start w:val="4"/>
    </w:lvl>
  </w:abstractNum>
  <w:abstractNum w:abstractNumId="50">
    <w:nsid w:val="23F9C13C"/>
    <w:multiLevelType w:val="hybridMultilevel"/>
    <w:lvl w:ilvl="0">
      <w:lvlJc w:val="left"/>
      <w:lvlText w:val="%1."/>
      <w:numFmt w:val="decimal"/>
      <w:start w:val="10"/>
    </w:lvl>
    <w:lvl w:ilvl="1">
      <w:lvlJc w:val="left"/>
      <w:lvlText w:val="%2"/>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39386575"/>
    <w:multiLevelType w:val="hybridMultilevel"/>
    <w:lvl w:ilvl="0">
      <w:lvlJc w:val="left"/>
      <w:lvlText w:val="%1"/>
      <w:numFmt w:val="decimal"/>
      <w:start w:val="1"/>
    </w:lvl>
    <w:lvl w:ilvl="1">
      <w:lvlJc w:val="left"/>
      <w:lvlText w:val="(%2)"/>
      <w:numFmt w:val="lowerLetter"/>
      <w:start w:val="3"/>
    </w:lvl>
  </w:abstractNum>
  <w:abstractNum w:abstractNumId="54">
    <w:nsid w:val="1CF10FD8"/>
    <w:multiLevelType w:val="hybridMultilevel"/>
    <w:lvl w:ilvl="0">
      <w:lvlJc w:val="left"/>
      <w:lvlText w:val="%1."/>
      <w:numFmt w:val="decimal"/>
      <w:start w:val="11"/>
    </w:lvl>
    <w:lvl w:ilvl="1">
      <w:lvlJc w:val="left"/>
      <w:lvlText w:val="(%2)"/>
      <w:numFmt w:val="lowerLetter"/>
      <w:start w:val="1"/>
    </w:lvl>
  </w:abstractNum>
  <w:abstractNum w:abstractNumId="55">
    <w:nsid w:val="180115BE"/>
    <w:multiLevelType w:val="hybridMultilevel"/>
    <w:lvl w:ilvl="0">
      <w:lvlJc w:val="left"/>
      <w:lvlText w:val="(%1)"/>
      <w:numFmt w:val="lowerLetter"/>
      <w:start w:val="4"/>
    </w:lvl>
  </w:abstractNum>
  <w:abstractNum w:abstractNumId="56">
    <w:nsid w:val="235BA861"/>
    <w:multiLevelType w:val="hybridMultilevel"/>
    <w:lvl w:ilvl="0">
      <w:lvlJc w:val="left"/>
      <w:lvlText w:val="(%1)"/>
      <w:numFmt w:val="lowerLetter"/>
      <w:start w:val="7"/>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52" Type="http://schemas.openxmlformats.org/officeDocument/2006/relationships/image" Target="media/image5.png"/><Relationship Id="rId53" Type="http://schemas.openxmlformats.org/officeDocument/2006/relationships/image" Target="media/image6.png"/><Relationship Id="rId54" Type="http://schemas.openxmlformats.org/officeDocument/2006/relationships/image" Target="media/image7.png"/><Relationship Id="rId12" Type="http://schemas.openxmlformats.org/officeDocument/2006/relationships/hyperlink" Target="http://www.sec.gov/Archives/edgar/data/1547903/000154790313000020/a21macstockpurchaseagreeme.htm" TargetMode="External"/><Relationship Id="rId13" Type="http://schemas.openxmlformats.org/officeDocument/2006/relationships/hyperlink" Target="http://www.sec.gov/Archives/edgar/data/1547903/000154790313000020/a22amendmenttomacpurhcasea.htm" TargetMode="External"/><Relationship Id="rId14" Type="http://schemas.openxmlformats.org/officeDocument/2006/relationships/hyperlink" Target="http://www.sec.gov/Archives/edgar/data/1547903/000154790313000020/a31secondamendedandrestate.htm" TargetMode="External"/><Relationship Id="rId15" Type="http://schemas.openxmlformats.org/officeDocument/2006/relationships/hyperlink" Target="http://www.sec.gov/Archives/edgar/data/1547903/000154790314000152/exhibit31december92014.htm" TargetMode="External"/><Relationship Id="rId16" Type="http://schemas.openxmlformats.org/officeDocument/2006/relationships/hyperlink" Target="http://www.sec.gov/Archives/edgar/data/1547903/000154790313000020/a41specimenclassacommonsto.htm" TargetMode="External"/><Relationship Id="rId17" Type="http://schemas.openxmlformats.org/officeDocument/2006/relationships/hyperlink" Target="http://www.sec.gov/Archives/edgar/data/1547903/000154790313000020/a42registrationrightsagree.htm" TargetMode="External"/><Relationship Id="rId18" Type="http://schemas.openxmlformats.org/officeDocument/2006/relationships/hyperlink" Target="http://www.sec.gov/Archives/edgar/data/1547903/000154790313000020/a43registrationrightsagree.htm" TargetMode="External"/><Relationship Id="rId19" Type="http://schemas.openxmlformats.org/officeDocument/2006/relationships/hyperlink" Target="http://www.sec.gov/Archives/edgar/data/1547903/000154790313000020/a44registrationrightsagree.htm" TargetMode="External"/><Relationship Id="rId20" Type="http://schemas.openxmlformats.org/officeDocument/2006/relationships/hyperlink" Target="http://www.sec.gov/Archives/edgar/data/1547903/000154790313000020/a45warrantno1fbrcapitalmar.htm" TargetMode="External"/><Relationship Id="rId21" Type="http://schemas.openxmlformats.org/officeDocument/2006/relationships/hyperlink" Target="http://www.sec.gov/Archives/edgar/data/1547903/000154790313000020/a46warrantno2macfinancial4.htm" TargetMode="External"/><Relationship Id="rId22" Type="http://schemas.openxmlformats.org/officeDocument/2006/relationships/hyperlink" Target="http://www.sec.gov/Archives/edgar/data/1547903/000154790313000020/a101nmiholdingsinc2012stoc.htm" TargetMode="External"/><Relationship Id="rId23" Type="http://schemas.openxmlformats.org/officeDocument/2006/relationships/hyperlink" Target="http://www.sec.gov/Archives/edgar/data/1547903/000154790313000020/a103formofnmiholdingsinc20.htm" TargetMode="External"/><Relationship Id="rId24" Type="http://schemas.openxmlformats.org/officeDocument/2006/relationships/hyperlink" Target="http://www.sec.gov/Archives/edgar/data/1547903/000154790313000020/a105formofnonqualifiedstoc.htm" TargetMode="External"/><Relationship Id="rId25" Type="http://schemas.openxmlformats.org/officeDocument/2006/relationships/hyperlink" Target="http://www.sec.gov/Archives/edgar/data/1547903/000154790313000020/a106formofnonqualifiedstoc.htm" TargetMode="External"/><Relationship Id="rId26" Type="http://schemas.openxmlformats.org/officeDocument/2006/relationships/hyperlink" Target="http://www.sec.gov/Archives/edgar/data/1547903/000154790313000020/a107formofnonqualifiedstoc.htm" TargetMode="External"/><Relationship Id="rId27" Type="http://schemas.openxmlformats.org/officeDocument/2006/relationships/hyperlink" Target="http://www.sec.gov/Archives/edgar/data/1547903/000154790317000032/exhibit108-2012stockincent.htm" TargetMode="External"/><Relationship Id="rId28" Type="http://schemas.openxmlformats.org/officeDocument/2006/relationships/hyperlink" Target="http://www.sec.gov/Archives/edgar/data/1547903/000154790317000032/exhibit109-2012stockincent.htm" TargetMode="External"/><Relationship Id="rId29" Type="http://schemas.openxmlformats.org/officeDocument/2006/relationships/hyperlink" Target="http://www.sec.gov/Archives/edgar/data/1547903/000154790315000172/a20151223shusteremployment.htm" TargetMode="External"/><Relationship Id="rId30" Type="http://schemas.openxmlformats.org/officeDocument/2006/relationships/hyperlink" Target="http://www.sec.gov/Archives/edgar/data/1547903/000154790316000230/exhibit1010leatherberrybil.htm" TargetMode="External"/><Relationship Id="rId31" Type="http://schemas.openxmlformats.org/officeDocument/2006/relationships/hyperlink" Target="http://www.sec.gov/Archives/edgar/data/1547903/000154790317000003/exhibit101offerletterdated.htm" TargetMode="External"/><Relationship Id="rId32" Type="http://schemas.openxmlformats.org/officeDocument/2006/relationships/hyperlink" Target="http://www.sec.gov/Archives/edgar/data/1547903/000154790314000146/exhibit101november252014.htm" TargetMode="External"/><Relationship Id="rId33" Type="http://schemas.openxmlformats.org/officeDocument/2006/relationships/hyperlink" Target="http://www.sec.gov/Archives/edgar/data/1547903/000154790313000020/a1014commitmentletterforbu.htm" TargetMode="External"/><Relationship Id="rId34" Type="http://schemas.openxmlformats.org/officeDocument/2006/relationships/hyperlink" Target="http://www.sec.gov/Archives/edgar/data/1547903/000154790315000142/nmihexhibit41tlb.htm" TargetMode="External"/><Relationship Id="rId35" Type="http://schemas.openxmlformats.org/officeDocument/2006/relationships/hyperlink" Target="http://www.sec.gov/Archives/edgar/data/1547903/000154790317000005/exhibit101tlaandannex.htm" TargetMode="External"/><Relationship Id="rId36" Type="http://schemas.openxmlformats.org/officeDocument/2006/relationships/hyperlink" Target="http://www.sec.gov/Archives/edgar/data/1547903/000154790317000115/exhibit101amendmentno2.htm" TargetMode="External"/><Relationship Id="rId37" Type="http://schemas.openxmlformats.org/officeDocument/2006/relationships/hyperlink" Target="http://www.sec.gov/Archives/edgar/data/1547903/000154790318000088/exhibit41-creditagreement.htm" TargetMode="External"/><Relationship Id="rId38" Type="http://schemas.openxmlformats.org/officeDocument/2006/relationships/hyperlink" Target="http://www.sec.gov/Archives/edgar/data/1547903/000154790317000043/nmihproxy2017.htm" TargetMode="External"/><Relationship Id="rId39" Type="http://schemas.openxmlformats.org/officeDocument/2006/relationships/hyperlink" Target="http://www.sec.gov/Archives/edgar/data/1547903/000154790317000100/ex1019rsuceo.htm" TargetMode="External"/><Relationship Id="rId40" Type="http://schemas.openxmlformats.org/officeDocument/2006/relationships/hyperlink" Target="http://www.sec.gov/Archives/edgar/data/1547903/000154790317000100/ex1020rsueo.htm" TargetMode="External"/><Relationship Id="rId41" Type="http://schemas.openxmlformats.org/officeDocument/2006/relationships/hyperlink" Target="http://www.sec.gov/Archives/edgar/data/1547903/000154790317000100/ex1021rsuee.htm" TargetMode="External"/><Relationship Id="rId42" Type="http://schemas.openxmlformats.org/officeDocument/2006/relationships/hyperlink" Target="http://www.sec.gov/Archives/edgar/data/1547903/000154790317000100/ex1022rsuindependentdirect.htm" TargetMode="External"/><Relationship Id="rId43" Type="http://schemas.openxmlformats.org/officeDocument/2006/relationships/hyperlink" Target="http://www.sec.gov/Archives/edgar/data/1547903/000154790317000100/ex1023nqsceo.htm" TargetMode="External"/><Relationship Id="rId44" Type="http://schemas.openxmlformats.org/officeDocument/2006/relationships/hyperlink" Target="http://www.sec.gov/Archives/edgar/data/1547903/000154790317000100/ex1024nqseoee.htm" TargetMode="External"/><Relationship Id="rId45" Type="http://schemas.openxmlformats.org/officeDocument/2006/relationships/hyperlink" Target="http://www.sec.gov/Archives/edgar/data/1547903/000154790317000032/exhibit1026-2014omnibusinc.htm" TargetMode="External"/><Relationship Id="rId46" Type="http://schemas.openxmlformats.org/officeDocument/2006/relationships/hyperlink" Target="http://www.sec.gov/Archives/edgar/data/1547903/000154790316000185/ex101severancebenefitplan.htm" TargetMode="External"/><Relationship Id="rId47" Type="http://schemas.openxmlformats.org/officeDocument/2006/relationships/hyperlink" Target="http://www.sec.gov/Archives/edgar/data/1547903/000154790318000133/exhibit1030arcicsbp.htm" TargetMode="External"/><Relationship Id="rId48" Type="http://schemas.openxmlformats.org/officeDocument/2006/relationships/hyperlink" Target="http://www.sec.gov/Archives/edgar/data/1547903/000154790317000035/exhibit102.htm" TargetMode="External"/><Relationship Id="rId49" Type="http://schemas.openxmlformats.org/officeDocument/2006/relationships/hyperlink" Target="http://www.sec.gov/Archives/edgar/data/1547903/000154790318000137/exhibit101shuster.htm" TargetMode="External"/><Relationship Id="rId50" Type="http://schemas.openxmlformats.org/officeDocument/2006/relationships/hyperlink" Target="http://www.sec.gov/Archives/edgar/data/1547903/000154790318000137/exhibit102merkle.htm" TargetMode="External"/><Relationship Id="rId51"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2019-12-28T13:18:33Z</dcterms:created>
  <dcterms:modified xsi:type="dcterms:W3CDTF">2019-12-28T13:18:33Z</dcterms:modified>
</cp:coreProperties>
</file>