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14,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NMI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443" w:type="dxa"/>
        <w:jc w:val="center"/>
        <w:tblInd w:w="0" w:type="dxa"/>
        <w:tblLayout w:type="fixed"/>
        <w:tblCellMar>
          <w:top w:w="28" w:type="dxa"/>
          <w:left w:w="28" w:type="dxa"/>
          <w:bottom w:w="28" w:type="dxa"/>
          <w:right w:w="28" w:type="dxa"/>
        </w:tblCellMar>
      </w:tblPr>
      <w:tblGrid>
        <w:gridCol w:w="885"/>
        <w:gridCol w:w="775"/>
        <w:gridCol w:w="785"/>
        <w:gridCol w:w="423"/>
        <w:gridCol w:w="423"/>
        <w:gridCol w:w="428"/>
        <w:gridCol w:w="503"/>
        <w:gridCol w:w="503"/>
        <w:gridCol w:w="718"/>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001-36174</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 of Incorporation)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2100 Powell Street, 12th Floor, Emeryville, CA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94608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Exchange Act of 1934 (§ 240.12b-2 of this chapter). </w:t>
      </w:r>
    </w:p>
    <w:tbl>
      <w:tblPr>
        <w:tblW w:w="3678" w:type="dxa"/>
        <w:jc w:val="center"/>
        <w:tblInd w:w="0" w:type="dxa"/>
        <w:tblLayout w:type="fixed"/>
        <w:tblCellMar>
          <w:top w:w="28" w:type="dxa"/>
          <w:left w:w="28" w:type="dxa"/>
          <w:bottom w:w="28" w:type="dxa"/>
          <w:right w:w="28" w:type="dxa"/>
        </w:tblCellMar>
      </w:tblPr>
      <w:tblGrid>
        <w:gridCol w:w="843"/>
        <w:gridCol w:w="738"/>
        <w:gridCol w:w="744"/>
        <w:gridCol w:w="109"/>
        <w:gridCol w:w="109"/>
        <w:gridCol w:w="109"/>
        <w:gridCol w:w="109"/>
        <w:gridCol w:w="109"/>
        <w:gridCol w:w="109"/>
        <w:gridCol w:w="109"/>
        <w:gridCol w:w="109"/>
        <w:gridCol w:w="109"/>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Annual Meeting of Stockholders was held on May 14, 2026. On March 16, 2026, the record date for the Annual Meeting, 76,156,368 shares of the Company’s common stock were outstanding and entitled to vote, of which [90.64]% were present for purposes of establishing a quorum. At that meeting, stockholders took the actions below with respect to the proposals described in the Proxy.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following directors were elected:</w:t>
      </w:r>
    </w:p>
    <w:tbl>
      <w:tblPr>
        <w:tblW w:w="6121" w:type="dxa"/>
        <w:jc w:val="left"/>
        <w:tblInd w:w="0" w:type="dxa"/>
        <w:tblLayout w:type="fixed"/>
        <w:tblCellMar>
          <w:top w:w="28" w:type="dxa"/>
          <w:left w:w="28" w:type="dxa"/>
          <w:bottom w:w="28" w:type="dxa"/>
          <w:right w:w="28" w:type="dxa"/>
        </w:tblCellMar>
      </w:tblPr>
      <w:tblGrid>
        <w:gridCol w:w="689"/>
        <w:gridCol w:w="607"/>
        <w:gridCol w:w="609"/>
        <w:gridCol w:w="344"/>
        <w:gridCol w:w="344"/>
        <w:gridCol w:w="348"/>
        <w:gridCol w:w="370"/>
        <w:gridCol w:w="370"/>
        <w:gridCol w:w="371"/>
        <w:gridCol w:w="605"/>
        <w:gridCol w:w="605"/>
        <w:gridCol w:w="859"/>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Bradley M. Shuster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61,754,474</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4,395,149</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Adam S. Pollitzer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65,051,120</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1,098,503</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Renu Agrawal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66,044,494</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105,129</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Embler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62,465,460</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3,684,163</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C. Erickson</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65,662,907</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486,716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Priya Huskins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60,176,850</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5,972,773</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Lynn S. McCreary</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64,538,632</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1,610,991</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Montgomery</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62,838,065</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3,311,558</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L. Scheid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62,201,774</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3,947,849</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bl>
    <w:p>
      <w:pPr>
        <w:pStyle w:val="TextBody"/>
        <w:bidi w:val="0"/>
        <w:spacing w:before="180" w:after="283"/>
        <w:jc w:val="both"/>
        <w:rPr/>
      </w:pPr>
      <w:r>
        <w:rPr/>
      </w:r>
    </w:p>
    <w:p>
      <w:pPr>
        <w:pStyle w:val="TextBody"/>
        <w:bidi w:val="0"/>
        <w:spacing w:lineRule="auto" w:line="288" w:before="2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advisory vote to approve our executive compensation was approved by the following vote:</w:t>
      </w:r>
    </w:p>
    <w:tbl>
      <w:tblPr>
        <w:tblW w:w="4982" w:type="dxa"/>
        <w:jc w:val="left"/>
        <w:tblInd w:w="0" w:type="dxa"/>
        <w:tblLayout w:type="fixed"/>
        <w:tblCellMar>
          <w:top w:w="28" w:type="dxa"/>
          <w:left w:w="28" w:type="dxa"/>
          <w:bottom w:w="28" w:type="dxa"/>
          <w:right w:w="28" w:type="dxa"/>
        </w:tblCellMar>
      </w:tblPr>
      <w:tblGrid>
        <w:gridCol w:w="379"/>
        <w:gridCol w:w="334"/>
        <w:gridCol w:w="338"/>
        <w:gridCol w:w="310"/>
        <w:gridCol w:w="310"/>
        <w:gridCol w:w="311"/>
        <w:gridCol w:w="310"/>
        <w:gridCol w:w="310"/>
        <w:gridCol w:w="311"/>
        <w:gridCol w:w="605"/>
        <w:gridCol w:w="605"/>
        <w:gridCol w:w="85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61,053,212</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4,928,264</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168,147</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2,913,966</w:t>
            </w:r>
          </w:p>
        </w:tc>
      </w:tr>
    </w:tbl>
    <w:p>
      <w:pPr>
        <w:pStyle w:val="TextBody"/>
        <w:bidi w:val="0"/>
        <w:spacing w:before="0" w:after="0"/>
        <w:jc w:val="both"/>
        <w:rPr/>
      </w:pPr>
      <w:r>
        <w:rPr/>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ratification of the appointment of BDO USA, LLP as the Company's independent registered public accounting firm for the year ending December 31, 2026 was approved by the following vote:</w:t>
      </w:r>
    </w:p>
    <w:tbl>
      <w:tblPr>
        <w:tblW w:w="3285" w:type="dxa"/>
        <w:jc w:val="left"/>
        <w:tblInd w:w="0" w:type="dxa"/>
        <w:tblLayout w:type="fixed"/>
        <w:tblCellMar>
          <w:top w:w="28" w:type="dxa"/>
          <w:left w:w="28" w:type="dxa"/>
          <w:bottom w:w="28" w:type="dxa"/>
          <w:right w:w="28" w:type="dxa"/>
        </w:tblCellMar>
      </w:tblPr>
      <w:tblGrid>
        <w:gridCol w:w="379"/>
        <w:gridCol w:w="334"/>
        <w:gridCol w:w="338"/>
        <w:gridCol w:w="310"/>
        <w:gridCol w:w="310"/>
        <w:gridCol w:w="311"/>
        <w:gridCol w:w="310"/>
        <w:gridCol w:w="310"/>
        <w:gridCol w:w="311"/>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68,517,000</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536,950</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NMI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before="0" w:after="0"/>
        <w:jc w:val="left"/>
        <w:rPr/>
      </w:pPr>
      <w:r>
        <w:rPr/>
      </w:r>
    </w:p>
    <w:tbl>
      <w:tblPr>
        <w:tblW w:w="5098" w:type="dxa"/>
        <w:jc w:val="right"/>
        <w:tblInd w:w="0" w:type="dxa"/>
        <w:tblLayout w:type="fixed"/>
        <w:tblCellMar>
          <w:top w:w="28" w:type="dxa"/>
          <w:left w:w="28" w:type="dxa"/>
          <w:bottom w:w="28" w:type="dxa"/>
          <w:right w:w="28" w:type="dxa"/>
        </w:tblCellMar>
      </w:tblPr>
      <w:tblGrid>
        <w:gridCol w:w="629"/>
        <w:gridCol w:w="554"/>
        <w:gridCol w:w="557"/>
        <w:gridCol w:w="134"/>
        <w:gridCol w:w="134"/>
        <w:gridCol w:w="136"/>
        <w:gridCol w:w="864"/>
        <w:gridCol w:w="864"/>
        <w:gridCol w:w="122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J. Leatherberry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Leatherberry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EVP, Chief Administrative Officer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&amp;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860"/>
        <w:jc w:val="left"/>
        <w:rPr/>
      </w:pPr>
      <w:r>
        <w:rPr/>
      </w:r>
    </w:p>
    <w:p>
      <w:pPr>
        <w:pStyle w:val="TextBody"/>
        <w:bidi w:val="0"/>
        <w:spacing w:lineRule="auto" w:line="288" w:before="0" w:after="120"/>
        <w:jc w:val="center"/>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551</Words>
  <Characters>3123</Characters>
  <CharactersWithSpaces>3611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