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00" w:hanging="42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59" w:lineRule="exact"/>
        <w:rPr>
          <w:sz w:val="24"/>
          <w:szCs w:val="24"/>
          <w:color w:val="auto"/>
        </w:rPr>
      </w:pPr>
    </w:p>
    <w:p>
      <w:pPr>
        <w:ind w:left="700"/>
        <w:spacing w:after="0"/>
        <w:tabs>
          <w:tab w:leader="none" w:pos="596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b w:val="1"/>
          <w:bCs w:val="1"/>
          <w:color w:val="auto"/>
        </w:rPr>
        <w:t>March 31, 2020</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59" w:lineRule="exact"/>
        <w:rPr>
          <w:sz w:val="24"/>
          <w:szCs w:val="24"/>
          <w:color w:val="auto"/>
        </w:rPr>
      </w:pPr>
    </w:p>
    <w:p>
      <w:pPr>
        <w:ind w:left="660" w:right="1900" w:hanging="416"/>
        <w:spacing w:after="0" w:line="340"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6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spacing w:after="0"/>
              <w:rPr>
                <w:sz w:val="20"/>
                <w:szCs w:val="20"/>
                <w:color w:val="auto"/>
              </w:rPr>
            </w:pPr>
          </w:p>
        </w:tc>
        <w:tc>
          <w:tcPr>
            <w:tcW w:w="4540" w:type="dxa"/>
            <w:vAlign w:val="bottom"/>
            <w:gridSpan w:val="2"/>
          </w:tcPr>
          <w:p>
            <w:pPr>
              <w:jc w:val="right"/>
              <w:ind w:right="2636"/>
              <w:spacing w:after="0"/>
              <w:rPr>
                <w:sz w:val="20"/>
                <w:szCs w:val="20"/>
                <w:color w:val="auto"/>
              </w:rPr>
            </w:pPr>
            <w:r>
              <w:rPr>
                <w:rFonts w:ascii="Arial" w:cs="Arial" w:eastAsia="Arial" w:hAnsi="Arial"/>
                <w:sz w:val="18"/>
                <w:szCs w:val="18"/>
                <w:b w:val="1"/>
                <w:bCs w:val="1"/>
                <w:color w:val="auto"/>
              </w:rPr>
              <w:t>45-4914248</w:t>
            </w:r>
          </w:p>
        </w:tc>
      </w:tr>
      <w:tr>
        <w:trPr>
          <w:trHeight w:val="218"/>
        </w:trPr>
        <w:tc>
          <w:tcPr>
            <w:tcW w:w="436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60" w:type="dxa"/>
            <w:vAlign w:val="bottom"/>
          </w:tcPr>
          <w:p>
            <w:pPr>
              <w:spacing w:after="0"/>
              <w:rPr>
                <w:sz w:val="18"/>
                <w:szCs w:val="18"/>
                <w:color w:val="auto"/>
              </w:rPr>
            </w:pPr>
          </w:p>
        </w:tc>
        <w:tc>
          <w:tcPr>
            <w:tcW w:w="4540" w:type="dxa"/>
            <w:vAlign w:val="bottom"/>
            <w:gridSpan w:val="2"/>
          </w:tcPr>
          <w:p>
            <w:pPr>
              <w:jc w:val="center"/>
              <w:ind w:right="169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63"/>
        </w:trPr>
        <w:tc>
          <w:tcPr>
            <w:tcW w:w="2480" w:type="dxa"/>
            <w:vAlign w:val="bottom"/>
          </w:tcPr>
          <w:p>
            <w:pPr>
              <w:ind w:left="860"/>
              <w:spacing w:after="0"/>
              <w:rPr>
                <w:sz w:val="20"/>
                <w:szCs w:val="20"/>
                <w:color w:val="auto"/>
              </w:rPr>
            </w:pPr>
            <w:r>
              <w:rPr>
                <w:rFonts w:ascii="Arial" w:cs="Arial" w:eastAsia="Arial" w:hAnsi="Arial"/>
                <w:sz w:val="18"/>
                <w:szCs w:val="18"/>
                <w:b w:val="1"/>
                <w:bCs w:val="1"/>
                <w:color w:val="auto"/>
              </w:rPr>
              <w:t>2100 Powell Street</w:t>
            </w: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Emeryville , CA</w:t>
            </w:r>
          </w:p>
        </w:tc>
        <w:tc>
          <w:tcPr>
            <w:tcW w:w="2360" w:type="dxa"/>
            <w:vAlign w:val="bottom"/>
          </w:tcPr>
          <w:p>
            <w:pPr>
              <w:spacing w:after="0"/>
              <w:rPr>
                <w:sz w:val="24"/>
                <w:szCs w:val="24"/>
                <w:color w:val="auto"/>
              </w:rPr>
            </w:pPr>
          </w:p>
        </w:tc>
        <w:tc>
          <w:tcPr>
            <w:tcW w:w="4540" w:type="dxa"/>
            <w:vAlign w:val="bottom"/>
            <w:gridSpan w:val="2"/>
          </w:tcPr>
          <w:p>
            <w:pPr>
              <w:jc w:val="right"/>
              <w:ind w:right="2856"/>
              <w:spacing w:after="0"/>
              <w:rPr>
                <w:sz w:val="20"/>
                <w:szCs w:val="20"/>
                <w:color w:val="auto"/>
              </w:rPr>
            </w:pPr>
            <w:r>
              <w:rPr>
                <w:rFonts w:ascii="Arial" w:cs="Arial" w:eastAsia="Arial" w:hAnsi="Arial"/>
                <w:sz w:val="18"/>
                <w:szCs w:val="18"/>
                <w:b w:val="1"/>
                <w:bCs w:val="1"/>
                <w:color w:val="auto"/>
              </w:rPr>
              <w:t>94608</w:t>
            </w:r>
          </w:p>
        </w:tc>
      </w:tr>
      <w:tr>
        <w:trPr>
          <w:trHeight w:val="217"/>
        </w:trPr>
        <w:tc>
          <w:tcPr>
            <w:tcW w:w="436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tcPr>
          <w:p>
            <w:pPr>
              <w:jc w:val="center"/>
              <w:ind w:right="2136"/>
              <w:spacing w:after="0"/>
              <w:rPr>
                <w:sz w:val="20"/>
                <w:szCs w:val="20"/>
                <w:color w:val="auto"/>
              </w:rPr>
            </w:pPr>
            <w:r>
              <w:rPr>
                <w:rFonts w:ascii="Arial" w:cs="Arial" w:eastAsia="Arial" w:hAnsi="Arial"/>
                <w:sz w:val="14"/>
                <w:szCs w:val="14"/>
                <w:b w:val="1"/>
                <w:bCs w:val="1"/>
                <w:color w:val="auto"/>
                <w:w w:val="98"/>
              </w:rPr>
              <w:t>(Zip Code)</w:t>
            </w:r>
          </w:p>
        </w:tc>
      </w:tr>
      <w:tr>
        <w:trPr>
          <w:trHeight w:val="556"/>
        </w:trPr>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6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(855) 530-6642</w:t>
            </w:r>
          </w:p>
        </w:tc>
        <w:tc>
          <w:tcPr>
            <w:tcW w:w="4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86"/>
        </w:trPr>
        <w:tc>
          <w:tcPr>
            <w:tcW w:w="2480" w:type="dxa"/>
            <w:vAlign w:val="bottom"/>
          </w:tcPr>
          <w:p>
            <w:pPr>
              <w:spacing w:after="0"/>
              <w:rPr>
                <w:sz w:val="16"/>
                <w:szCs w:val="16"/>
                <w:color w:val="auto"/>
              </w:rPr>
            </w:pPr>
          </w:p>
        </w:tc>
        <w:tc>
          <w:tcPr>
            <w:tcW w:w="8780" w:type="dxa"/>
            <w:vAlign w:val="bottom"/>
            <w:gridSpan w:val="4"/>
          </w:tcPr>
          <w:p>
            <w:pPr>
              <w:jc w:val="center"/>
              <w:ind w:right="241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2480" w:type="dxa"/>
            <w:vAlign w:val="bottom"/>
          </w:tcPr>
          <w:p>
            <w:pPr>
              <w:spacing w:after="0"/>
              <w:rPr>
                <w:sz w:val="24"/>
                <w:szCs w:val="24"/>
                <w:color w:val="auto"/>
              </w:rPr>
            </w:pPr>
          </w:p>
        </w:tc>
        <w:tc>
          <w:tcPr>
            <w:tcW w:w="8780" w:type="dxa"/>
            <w:vAlign w:val="bottom"/>
            <w:gridSpan w:val="4"/>
          </w:tcPr>
          <w:p>
            <w:pPr>
              <w:jc w:val="center"/>
              <w:ind w:right="2396"/>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4360" w:type="dxa"/>
            <w:vAlign w:val="bottom"/>
            <w:tcBorders>
              <w:bottom w:val="single" w:sz="8" w:color="auto"/>
            </w:tcBorders>
            <w:gridSpan w:val="2"/>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r>
      <w:tr>
        <w:trPr>
          <w:trHeight w:val="237"/>
        </w:trPr>
        <w:tc>
          <w:tcPr>
            <w:tcW w:w="43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360" w:type="dxa"/>
            <w:vAlign w:val="bottom"/>
          </w:tcPr>
          <w:p>
            <w:pPr>
              <w:jc w:val="center"/>
              <w:ind w:left="310"/>
              <w:spacing w:after="0"/>
              <w:rPr>
                <w:sz w:val="20"/>
                <w:szCs w:val="20"/>
                <w:color w:val="auto"/>
              </w:rPr>
            </w:pPr>
            <w:r>
              <w:rPr>
                <w:rFonts w:ascii="Arial" w:cs="Arial" w:eastAsia="Arial" w:hAnsi="Arial"/>
                <w:sz w:val="18"/>
                <w:szCs w:val="18"/>
                <w:color w:val="auto"/>
                <w:w w:val="92"/>
              </w:rPr>
              <w:t>Trading Symbol(s)</w:t>
            </w:r>
          </w:p>
        </w:tc>
        <w:tc>
          <w:tcPr>
            <w:tcW w:w="4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3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37"/>
        </w:trPr>
        <w:tc>
          <w:tcPr>
            <w:tcW w:w="43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360" w:type="dxa"/>
            <w:vAlign w:val="bottom"/>
          </w:tcPr>
          <w:p>
            <w:pPr>
              <w:jc w:val="center"/>
              <w:ind w:left="310"/>
              <w:spacing w:after="0"/>
              <w:rPr>
                <w:sz w:val="20"/>
                <w:szCs w:val="20"/>
                <w:color w:val="auto"/>
              </w:rPr>
            </w:pPr>
            <w:r>
              <w:rPr>
                <w:rFonts w:ascii="Arial" w:cs="Arial" w:eastAsia="Arial" w:hAnsi="Arial"/>
                <w:sz w:val="18"/>
                <w:szCs w:val="18"/>
                <w:color w:val="auto"/>
              </w:rPr>
              <w:t>NMIH</w:t>
            </w:r>
          </w:p>
        </w:tc>
        <w:tc>
          <w:tcPr>
            <w:tcW w:w="4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2480" w:type="dxa"/>
            <w:vAlign w:val="bottom"/>
            <w:tcBorders>
              <w:left w:val="single" w:sz="8" w:color="auto"/>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6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May 4, 2020 was 68,874,476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00" w:type="dxa"/>
            <w:vAlign w:val="bottom"/>
          </w:tcPr>
          <w:p>
            <w:pPr>
              <w:ind w:left="268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243"/>
        </w:trPr>
        <w:tc>
          <w:tcPr>
            <w:tcW w:w="1980" w:type="dxa"/>
            <w:vAlign w:val="bottom"/>
            <w:gridSpan w:val="2"/>
          </w:tcPr>
          <w:p>
            <w:pPr>
              <w:spacing w:after="0"/>
              <w:rPr>
                <w:sz w:val="21"/>
                <w:szCs w:val="21"/>
                <w:color w:val="auto"/>
              </w:rPr>
            </w:pPr>
          </w:p>
        </w:tc>
        <w:tc>
          <w:tcPr>
            <w:tcW w:w="73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30"/>
        </w:trPr>
        <w:tc>
          <w:tcPr>
            <w:tcW w:w="9280" w:type="dxa"/>
            <w:vAlign w:val="bottom"/>
            <w:gridSpan w:val="3"/>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Cautionary Note Regarding Forward Looking Statements</w:t>
              </w:r>
            </w:hyperlink>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1080" w:type="dxa"/>
            <w:vAlign w:val="bottom"/>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tc>
        <w:tc>
          <w:tcPr>
            <w:tcW w:w="9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9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70"/>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w:t>
            </w:r>
          </w:p>
        </w:tc>
        <w:tc>
          <w:tcPr>
            <w:tcW w:w="8200" w:type="dxa"/>
            <w:vAlign w:val="bottom"/>
            <w:gridSpan w:val="2"/>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2.</w:t>
            </w:r>
          </w:p>
        </w:tc>
        <w:tc>
          <w:tcPr>
            <w:tcW w:w="8200" w:type="dxa"/>
            <w:vAlign w:val="bottom"/>
            <w:gridSpan w:val="2"/>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r>
      <w:tr>
        <w:trPr>
          <w:trHeight w:val="270"/>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3.</w:t>
            </w:r>
          </w:p>
        </w:tc>
        <w:tc>
          <w:tcPr>
            <w:tcW w:w="8200" w:type="dxa"/>
            <w:vAlign w:val="bottom"/>
            <w:gridSpan w:val="2"/>
            <w:shd w:val="clear" w:color="auto" w:fill="CCEEFF"/>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4.</w:t>
            </w:r>
          </w:p>
        </w:tc>
        <w:tc>
          <w:tcPr>
            <w:tcW w:w="8200" w:type="dxa"/>
            <w:vAlign w:val="bottom"/>
            <w:gridSpan w:val="2"/>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Controls and Procedures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r>
        <w:trPr>
          <w:trHeight w:val="229"/>
        </w:trPr>
        <w:tc>
          <w:tcPr>
            <w:tcW w:w="108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55">
              <w:r>
                <w:rPr>
                  <w:rFonts w:ascii="Arial" w:cs="Arial" w:eastAsia="Arial" w:hAnsi="Arial"/>
                  <w:sz w:val="18"/>
                  <w:szCs w:val="18"/>
                  <w:b w:val="1"/>
                  <w:bCs w:val="1"/>
                  <w:u w:val="single" w:color="auto"/>
                  <w:color w:val="0000FF"/>
                </w:rPr>
                <w:t>PART II</w:t>
              </w:r>
            </w:hyperlink>
          </w:p>
        </w:tc>
        <w:tc>
          <w:tcPr>
            <w:tcW w:w="90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1.</w:t>
            </w:r>
          </w:p>
        </w:tc>
        <w:tc>
          <w:tcPr>
            <w:tcW w:w="8200" w:type="dxa"/>
            <w:vAlign w:val="bottom"/>
            <w:gridSpan w:val="2"/>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Legal Proceedings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70"/>
        </w:trPr>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1A.</w:t>
            </w:r>
          </w:p>
        </w:tc>
        <w:tc>
          <w:tcPr>
            <w:tcW w:w="900" w:type="dxa"/>
            <w:vAlign w:val="bottom"/>
            <w:shd w:val="clear" w:color="auto" w:fill="CCEEFF"/>
          </w:tcPr>
          <w:p>
            <w:pPr>
              <w:spacing w:after="0"/>
              <w:rPr>
                <w:rFonts w:ascii="Arial" w:cs="Arial" w:eastAsia="Arial" w:hAnsi="Arial"/>
                <w:sz w:val="18"/>
                <w:szCs w:val="18"/>
                <w:u w:val="single" w:color="auto"/>
                <w:color w:val="0000FF"/>
                <w:w w:val="87"/>
                <w:shd w:val="clear" w:color="auto" w:fill="CCEEFF"/>
              </w:rPr>
            </w:pPr>
            <w:hyperlink w:anchor="page56">
              <w:r>
                <w:rPr>
                  <w:rFonts w:ascii="Arial" w:cs="Arial" w:eastAsia="Arial" w:hAnsi="Arial"/>
                  <w:sz w:val="18"/>
                  <w:szCs w:val="18"/>
                  <w:u w:val="single" w:color="auto"/>
                  <w:color w:val="0000FF"/>
                  <w:w w:val="87"/>
                  <w:shd w:val="clear" w:color="auto" w:fill="CCEEFF"/>
                </w:rPr>
                <w:t>Risk Factors</w:t>
              </w:r>
            </w:hyperlink>
          </w:p>
        </w:tc>
        <w:tc>
          <w:tcPr>
            <w:tcW w:w="7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70"/>
        </w:trPr>
        <w:tc>
          <w:tcPr>
            <w:tcW w:w="1080" w:type="dxa"/>
            <w:vAlign w:val="bottom"/>
          </w:tcPr>
          <w:p>
            <w:pPr>
              <w:ind w:left="120"/>
              <w:spacing w:after="0"/>
              <w:rPr>
                <w:sz w:val="20"/>
                <w:szCs w:val="20"/>
                <w:color w:val="auto"/>
              </w:rPr>
            </w:pPr>
            <w:r>
              <w:rPr>
                <w:rFonts w:ascii="Arial" w:cs="Arial" w:eastAsia="Arial" w:hAnsi="Arial"/>
                <w:sz w:val="18"/>
                <w:szCs w:val="18"/>
                <w:color w:val="auto"/>
              </w:rPr>
              <w:t>Item 6.</w:t>
            </w:r>
          </w:p>
        </w:tc>
        <w:tc>
          <w:tcPr>
            <w:tcW w:w="8200" w:type="dxa"/>
            <w:vAlign w:val="bottom"/>
            <w:gridSpan w:val="2"/>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Exhibits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230"/>
        </w:trPr>
        <w:tc>
          <w:tcPr>
            <w:tcW w:w="108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61">
              <w:r>
                <w:rPr>
                  <w:rFonts w:ascii="Arial" w:cs="Arial" w:eastAsia="Arial" w:hAnsi="Arial"/>
                  <w:sz w:val="18"/>
                  <w:szCs w:val="18"/>
                  <w:b w:val="1"/>
                  <w:bCs w:val="1"/>
                  <w:u w:val="single" w:color="auto"/>
                  <w:color w:val="0000FF"/>
                </w:rPr>
                <w:t>Signatures</w:t>
              </w:r>
            </w:hyperlink>
          </w:p>
        </w:tc>
        <w:tc>
          <w:tcPr>
            <w:tcW w:w="90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0" w:lineRule="exact"/>
        <w:rPr>
          <w:sz w:val="20"/>
          <w:szCs w:val="20"/>
          <w:color w:val="auto"/>
        </w:rPr>
      </w:pPr>
    </w:p>
    <w:p>
      <w:pPr>
        <w:jc w:val="both"/>
        <w:ind w:left="980" w:hanging="324"/>
        <w:spacing w:after="0" w:line="24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existing competitors, including other private mortgage insurers and government mortgage insurers like the Federal Housing Administration (FHA), the U.S. Department of Agriculture's Rural Housing Service (USDA) and the Veterans Affairs (VA) (collectively, government MIs), and potential market entry by new competitors or consolidation of existing competitors;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jc w:val="both"/>
        <w:ind w:left="980" w:hanging="324"/>
        <w:spacing w:after="0" w:line="31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adoption of new or changes to existing laws and regulations that impact our business or financial condition directly or the mortgage insurance industry generally or their enforcement and implementation by regulators, including any action by the Consumer Financial Protection Bureau to address the planned expiration of the "QM Patch" under the Dodd-Frank Act Ability to Repay/Qualified Mortgage rule;</w:t>
      </w:r>
    </w:p>
    <w:p>
      <w:pPr>
        <w:spacing w:after="0" w:line="40"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2019 (2019 10-K), as subsequently updated in other reports we file from time to time with the U.S. Securities and Exchange Commission (SEC).</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March 31, 2020 (Unaudited) and December 31, 2019</w:t>
            </w:r>
          </w:p>
        </w:tc>
        <w:tc>
          <w:tcPr>
            <w:tcW w:w="20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5">
              <w:r>
                <w:rPr>
                  <w:rFonts w:ascii="Arial" w:cs="Arial" w:eastAsia="Arial" w:hAnsi="Arial"/>
                  <w:sz w:val="18"/>
                  <w:szCs w:val="18"/>
                  <w:u w:val="single" w:color="auto"/>
                  <w:color w:val="0000FF"/>
                  <w:shd w:val="clear" w:color="auto" w:fill="CCEEFF"/>
                </w:rPr>
                <w:t>6</w:t>
              </w:r>
            </w:hyperlink>
          </w:p>
        </w:tc>
      </w:tr>
      <w:tr>
        <w:trPr>
          <w:trHeight w:val="229"/>
        </w:trPr>
        <w:tc>
          <w:tcPr>
            <w:tcW w:w="11040" w:type="dxa"/>
            <w:vAlign w:val="bottom"/>
          </w:tcPr>
          <w:p>
            <w:pPr>
              <w:ind w:left="20"/>
              <w:spacing w:after="0"/>
              <w:rPr>
                <w:sz w:val="20"/>
                <w:szCs w:val="20"/>
                <w:color w:val="auto"/>
              </w:rPr>
            </w:pPr>
            <w:r>
              <w:rPr>
                <w:rFonts w:ascii="Arial" w:cs="Arial" w:eastAsia="Arial" w:hAnsi="Arial"/>
                <w:sz w:val="18"/>
                <w:szCs w:val="18"/>
                <w:color w:val="auto"/>
                <w:w w:val="97"/>
              </w:rPr>
              <w:t>Condensed Consolidated Statements of Operations and Comprehensive Income (Loss) for the three months ended March 31, 2020 and 2019</w:t>
            </w:r>
          </w:p>
        </w:tc>
        <w:tc>
          <w:tcPr>
            <w:tcW w:w="200" w:type="dxa"/>
            <w:vAlign w:val="bottom"/>
          </w:tcPr>
          <w:p>
            <w:pPr>
              <w:spacing w:after="0"/>
              <w:rPr>
                <w:sz w:val="19"/>
                <w:szCs w:val="19"/>
                <w:color w:val="auto"/>
              </w:rPr>
            </w:pPr>
          </w:p>
        </w:tc>
      </w:tr>
      <w:tr>
        <w:trPr>
          <w:trHeight w:val="257"/>
        </w:trPr>
        <w:tc>
          <w:tcPr>
            <w:tcW w:w="1104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70"/>
        </w:trPr>
        <w:tc>
          <w:tcPr>
            <w:tcW w:w="11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Condensed Consolidated Statements of Changes in Shareholders' Equity for the three months ended March 31, 2020 and 2019 (Unaudited)</w:t>
            </w:r>
          </w:p>
        </w:tc>
        <w:tc>
          <w:tcPr>
            <w:tcW w:w="20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7">
              <w:r>
                <w:rPr>
                  <w:rFonts w:ascii="Arial" w:cs="Arial" w:eastAsia="Arial" w:hAnsi="Arial"/>
                  <w:sz w:val="18"/>
                  <w:szCs w:val="18"/>
                  <w:u w:val="single" w:color="auto"/>
                  <w:color w:val="0000FF"/>
                  <w:shd w:val="clear" w:color="auto" w:fill="CCEEFF"/>
                </w:rPr>
                <w:t>8</w:t>
              </w:r>
            </w:hyperlink>
          </w:p>
        </w:tc>
      </w:tr>
      <w:tr>
        <w:trPr>
          <w:trHeight w:val="270"/>
        </w:trPr>
        <w:tc>
          <w:tcPr>
            <w:tcW w:w="11040" w:type="dxa"/>
            <w:vAlign w:val="bottom"/>
          </w:tcPr>
          <w:p>
            <w:pPr>
              <w:ind w:left="20"/>
              <w:spacing w:after="0"/>
              <w:rPr>
                <w:sz w:val="20"/>
                <w:szCs w:val="20"/>
                <w:color w:val="auto"/>
              </w:rPr>
            </w:pPr>
            <w:r>
              <w:rPr>
                <w:rFonts w:ascii="Arial" w:cs="Arial" w:eastAsia="Arial" w:hAnsi="Arial"/>
                <w:sz w:val="18"/>
                <w:szCs w:val="18"/>
                <w:color w:val="auto"/>
              </w:rPr>
              <w:t>Condensed Consolidated Statements of Cash Flows for the three months ended March 31, 2020 and 2019 (Unaudited)</w:t>
            </w:r>
          </w:p>
        </w:tc>
        <w:tc>
          <w:tcPr>
            <w:tcW w:w="2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70"/>
        </w:trPr>
        <w:tc>
          <w:tcPr>
            <w:tcW w:w="1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Condensed Consolidated Financial Statements (Unaudited)</w:t>
            </w:r>
          </w:p>
        </w:tc>
        <w:tc>
          <w:tcPr>
            <w:tcW w:w="200" w:type="dxa"/>
            <w:vAlign w:val="bottom"/>
            <w:shd w:val="clear" w:color="auto" w:fill="CCEEFF"/>
          </w:tcPr>
          <w:p>
            <w:pPr>
              <w:jc w:val="right"/>
              <w:spacing w:after="0"/>
              <w:rPr>
                <w:rFonts w:ascii="Arial" w:cs="Arial" w:eastAsia="Arial" w:hAnsi="Arial"/>
                <w:sz w:val="18"/>
                <w:szCs w:val="18"/>
                <w:u w:val="single" w:color="auto"/>
                <w:color w:val="0000FF"/>
                <w:w w:val="79"/>
                <w:shd w:val="clear" w:color="auto" w:fill="CCEEFF"/>
              </w:rPr>
            </w:pPr>
            <w:hyperlink w:anchor="page9">
              <w:r>
                <w:rPr>
                  <w:rFonts w:ascii="Arial" w:cs="Arial" w:eastAsia="Arial" w:hAnsi="Arial"/>
                  <w:sz w:val="18"/>
                  <w:szCs w:val="18"/>
                  <w:u w:val="single" w:color="auto"/>
                  <w:color w:val="0000FF"/>
                  <w:w w:val="79"/>
                  <w:shd w:val="clear" w:color="auto" w:fill="CCEEFF"/>
                </w:rPr>
                <w:t>10</w:t>
              </w:r>
            </w:hyperlink>
          </w:p>
        </w:tc>
      </w:tr>
      <w:tr>
        <w:trPr>
          <w:trHeight w:val="1242"/>
        </w:trPr>
        <w:tc>
          <w:tcPr>
            <w:tcW w:w="11040" w:type="dxa"/>
            <w:vAlign w:val="bottom"/>
          </w:tcPr>
          <w:p>
            <w:pPr>
              <w:ind w:left="5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r>
      <w:tr>
        <w:trPr>
          <w:trHeight w:val="115"/>
        </w:trPr>
        <w:tc>
          <w:tcPr>
            <w:tcW w:w="1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2019</w:t>
            </w:r>
          </w:p>
        </w:tc>
      </w:tr>
      <w:tr>
        <w:trPr>
          <w:trHeight w:val="251"/>
        </w:trPr>
        <w:tc>
          <w:tcPr>
            <w:tcW w:w="7680" w:type="dxa"/>
            <w:vAlign w:val="bottom"/>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3320" w:type="dxa"/>
            <w:vAlign w:val="bottom"/>
            <w:gridSpan w:val="4"/>
          </w:tcPr>
          <w:p>
            <w:pPr>
              <w:jc w:val="right"/>
              <w:ind w:right="61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Fixed maturities, available-for-sale, at fair value (amortized cost of $1,059,143 and $1,113,779 as of</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7"/>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March 31, 2020 and December 31, 2019,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1,070,072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1,140,940</w:t>
            </w: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w w:val="92"/>
              </w:rPr>
              <w:t>Cash and cash equivalents (including restricted cash of $2,505 and $2,662 as of March 31, 2020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December 31, 2019, respectively)</w:t>
            </w:r>
          </w:p>
        </w:tc>
        <w:tc>
          <w:tcPr>
            <w:tcW w:w="24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109,821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41,089</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46,085</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6,831</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3,512</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62,634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59,972</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26,096</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3,634</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reinsurance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15,488</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44,085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21,171</w:t>
            </w: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1,387,827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145,521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145,764</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136,642</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20,745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39,904</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23,752</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14,310</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7,641</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Deferred tax liability, net</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66,831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56,360</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10,025</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412,937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434,398</w:t>
            </w: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w w:val="96"/>
              </w:rPr>
              <w:t>Common stock - class A shares, $0.01 par value; 68,873,540 and 68,358,074 shares issued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outstanding as of March 31, 2020 and December 31, 2019, respectively (250,000,000 shares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authorized)</w:t>
            </w:r>
          </w:p>
        </w:tc>
        <w:tc>
          <w:tcPr>
            <w:tcW w:w="24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684</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706,021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707,003</w:t>
            </w: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net of tax</w:t>
            </w:r>
          </w:p>
        </w:tc>
        <w:tc>
          <w:tcPr>
            <w:tcW w:w="24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17,288</w:t>
            </w: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263,716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205,445</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974,890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930,420</w:t>
            </w: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1,387,827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6"/>
        </w:trPr>
        <w:tc>
          <w:tcPr>
            <w:tcW w:w="7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51"/>
        </w:trPr>
        <w:tc>
          <w:tcPr>
            <w:tcW w:w="7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3020" w:type="dxa"/>
            <w:vAlign w:val="bottom"/>
            <w:gridSpan w:val="4"/>
          </w:tcPr>
          <w:p>
            <w:pPr>
              <w:jc w:val="right"/>
              <w:ind w:right="371"/>
              <w:spacing w:after="0"/>
              <w:rPr>
                <w:sz w:val="20"/>
                <w:szCs w:val="20"/>
                <w:color w:val="auto"/>
              </w:rPr>
            </w:pPr>
            <w:r>
              <w:rPr>
                <w:rFonts w:ascii="Arial" w:cs="Arial" w:eastAsia="Arial" w:hAnsi="Arial"/>
                <w:sz w:val="14"/>
                <w:szCs w:val="14"/>
                <w:i w:val="1"/>
                <w:iCs w:val="1"/>
                <w:color w:val="auto"/>
                <w:w w:val="98"/>
              </w:rPr>
              <w:t>(In Thousands, except for per share data)</w:t>
            </w:r>
          </w:p>
        </w:tc>
      </w:tr>
      <w:tr>
        <w:trPr>
          <w:trHeight w:val="256"/>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98,717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73,868</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7,383</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realized investment losses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42</w:t>
            </w: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107,649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81,106</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2,743</w:t>
            </w:r>
          </w:p>
        </w:tc>
      </w:tr>
      <w:tr>
        <w:trPr>
          <w:trHeight w:val="270"/>
        </w:trPr>
        <w:tc>
          <w:tcPr>
            <w:tcW w:w="794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32,277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30,800</w:t>
            </w:r>
          </w:p>
        </w:tc>
      </w:tr>
      <w:tr>
        <w:trPr>
          <w:trHeight w:val="27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3,061</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loss from change in fair value of warrant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5,479</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35,493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42,132</w:t>
            </w:r>
          </w:p>
        </w:tc>
      </w:tr>
      <w:tr>
        <w:trPr>
          <w:trHeight w:val="27"/>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72,156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38,974</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6,075</w:t>
            </w: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58,271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32,899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0.49</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0.48</w:t>
            </w:r>
          </w:p>
        </w:tc>
      </w:tr>
      <w:tr>
        <w:trPr>
          <w:trHeight w:val="203"/>
        </w:trPr>
        <w:tc>
          <w:tcPr>
            <w:tcW w:w="7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68,563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66,692</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68,996</w:t>
            </w:r>
          </w:p>
        </w:tc>
      </w:tr>
      <w:tr>
        <w:trPr>
          <w:trHeight w:val="203"/>
        </w:trPr>
        <w:tc>
          <w:tcPr>
            <w:tcW w:w="7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32,899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Unrealized (losses) gains in accumulated other comprehensive income, net of tax (benefit) expense of</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($3,424) and $3,953 for the quarters ended March 31, 2020 and 2019,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14,868</w:t>
            </w: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w w:val="95"/>
              </w:rPr>
              <w:t>Reclassification adjustment for realized losses included in net income, net of tax (benefit) of ($15)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($39) for the quarters ended March 31, 2020 and 2019, respectively</w:t>
            </w:r>
          </w:p>
        </w:tc>
        <w:tc>
          <w:tcPr>
            <w:tcW w:w="280" w:type="dxa"/>
            <w:vAlign w:val="bottom"/>
          </w:tcPr>
          <w:p>
            <w:pPr>
              <w:spacing w:after="0"/>
              <w:rPr>
                <w:sz w:val="20"/>
                <w:szCs w:val="20"/>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148</w:t>
            </w: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15,016</w:t>
            </w:r>
          </w:p>
        </w:tc>
      </w:tr>
      <w:tr>
        <w:trPr>
          <w:trHeight w:val="264"/>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45,447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47,915</w:t>
            </w: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 xml:space="preserve">Certain </w:t>
      </w:r>
      <w:r>
        <w:rPr>
          <w:rFonts w:ascii="Arial" w:cs="Arial" w:eastAsia="Arial" w:hAnsi="Arial"/>
          <w:sz w:val="11"/>
          <w:szCs w:val="11"/>
          <w:color w:val="auto"/>
        </w:rPr>
        <w:t>"Underwriting and operating expenses" have been reclassified as "Service expenses" in prior periods.</w:t>
      </w:r>
    </w:p>
    <w:p>
      <w:pPr>
        <w:spacing w:after="0" w:line="71"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30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Common Stock - Class A</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right"/>
              <w:ind w:right="155"/>
              <w:spacing w:after="0" w:line="126"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4"/>
                <w:szCs w:val="4"/>
                <w:color w:val="auto"/>
              </w:rPr>
            </w:pPr>
          </w:p>
        </w:tc>
        <w:tc>
          <w:tcPr>
            <w:tcW w:w="1140" w:type="dxa"/>
            <w:vAlign w:val="bottom"/>
            <w:vMerge w:val="restart"/>
          </w:tcPr>
          <w:p>
            <w:pPr>
              <w:jc w:val="right"/>
              <w:ind w:right="74"/>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900" w:type="dxa"/>
            <w:vAlign w:val="bottom"/>
            <w:vMerge w:val="restart"/>
          </w:tcPr>
          <w:p>
            <w:pPr>
              <w:jc w:val="right"/>
              <w:ind w:right="154"/>
              <w:spacing w:after="0" w:line="126" w:lineRule="exact"/>
              <w:rPr>
                <w:sz w:val="20"/>
                <w:szCs w:val="20"/>
                <w:color w:val="auto"/>
              </w:rPr>
            </w:pPr>
            <w:r>
              <w:rPr>
                <w:rFonts w:ascii="Arial" w:cs="Arial" w:eastAsia="Arial" w:hAnsi="Arial"/>
                <w:sz w:val="14"/>
                <w:szCs w:val="14"/>
                <w:b w:val="1"/>
                <w:bCs w:val="1"/>
                <w:color w:val="auto"/>
              </w:rPr>
              <w:t>Retained</w:t>
            </w: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40" w:type="dxa"/>
            <w:vAlign w:val="bottom"/>
          </w:tcPr>
          <w:p>
            <w:pPr>
              <w:spacing w:after="0"/>
              <w:rPr>
                <w:sz w:val="4"/>
                <w:szCs w:val="4"/>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4"/>
                <w:szCs w:val="4"/>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Paid-in Capital</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Income (Loss)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68,358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707,003</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205,445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Common stock: class A shares issued related to</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class A shares issued under stock</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2,552</w:t>
            </w:r>
          </w:p>
        </w:tc>
        <w:tc>
          <w:tcPr>
            <w:tcW w:w="1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unrealized investment gains/losses, net of</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of $3,409</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(12,824)</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58,271</w:t>
            </w:r>
          </w:p>
        </w:tc>
        <w:tc>
          <w:tcPr>
            <w:tcW w:w="3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68,874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706,021</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974,890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right="20" w:hanging="332"/>
        <w:spacing w:after="0" w:line="273" w:lineRule="auto"/>
        <w:tabs>
          <w:tab w:leader="none" w:pos="124"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March 31, 2020, we issued 6,474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3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Accumulated Other</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right"/>
              <w:ind w:right="155"/>
              <w:spacing w:after="0" w:line="126"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4"/>
                <w:szCs w:val="4"/>
                <w:color w:val="auto"/>
              </w:rPr>
            </w:pPr>
          </w:p>
        </w:tc>
        <w:tc>
          <w:tcPr>
            <w:tcW w:w="1140" w:type="dxa"/>
            <w:vAlign w:val="bottom"/>
            <w:vMerge w:val="restart"/>
          </w:tcPr>
          <w:p>
            <w:pPr>
              <w:jc w:val="right"/>
              <w:ind w:right="74"/>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40" w:type="dxa"/>
            <w:vAlign w:val="bottom"/>
          </w:tcPr>
          <w:p>
            <w:pPr>
              <w:spacing w:after="0"/>
              <w:rPr>
                <w:sz w:val="4"/>
                <w:szCs w:val="4"/>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4"/>
                <w:szCs w:val="4"/>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Retained Earnings</w:t>
            </w:r>
          </w:p>
        </w:tc>
        <w:tc>
          <w:tcPr>
            <w:tcW w:w="280" w:type="dxa"/>
            <w:vAlign w:val="bottom"/>
          </w:tcPr>
          <w:p>
            <w:pPr>
              <w:spacing w:after="0"/>
              <w:rPr>
                <w:sz w:val="4"/>
                <w:szCs w:val="4"/>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Paid-in Capital</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Income (Loss)</w:t>
            </w: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3"/>
          </w:tcPr>
          <w:p>
            <w:pPr>
              <w:jc w:val="right"/>
              <w:ind w:right="674"/>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682,181</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(14,832)</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33,488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Common stock: class A shares issued related to</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class A shares issued under stock</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2,981</w:t>
            </w:r>
          </w:p>
        </w:tc>
        <w:tc>
          <w:tcPr>
            <w:tcW w:w="2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unrealized investment gains/losses, net of</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of $3,992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15,016</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32,899</w:t>
            </w: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684,635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184</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66,387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751,881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73" w:lineRule="auto"/>
        <w:tabs>
          <w:tab w:leader="none" w:pos="124"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three months ended March 31, 2019, we issued 39,195 common shares with a par value of $0.01 in connection with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58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5"/>
        </w:trPr>
        <w:tc>
          <w:tcPr>
            <w:tcW w:w="76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37"/>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1020" w:type="dxa"/>
            <w:vAlign w:val="bottom"/>
          </w:tcPr>
          <w:p>
            <w:pPr>
              <w:spacing w:after="0"/>
              <w:rPr>
                <w:sz w:val="20"/>
                <w:szCs w:val="20"/>
                <w:color w:val="auto"/>
              </w:rPr>
            </w:pPr>
          </w:p>
        </w:tc>
        <w:tc>
          <w:tcPr>
            <w:tcW w:w="1380" w:type="dxa"/>
            <w:vAlign w:val="bottom"/>
            <w:gridSpan w:val="3"/>
          </w:tcPr>
          <w:p>
            <w:pPr>
              <w:jc w:val="right"/>
              <w:ind w:right="95"/>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0"/>
                <w:szCs w:val="20"/>
                <w:color w:val="auto"/>
              </w:rPr>
            </w:pPr>
          </w:p>
        </w:tc>
      </w:tr>
      <w:tr>
        <w:trPr>
          <w:trHeight w:val="243"/>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58,271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32,899</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realized investment losses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187</w:t>
            </w:r>
          </w:p>
        </w:tc>
      </w:tr>
      <w:tr>
        <w:trPr>
          <w:trHeight w:val="226"/>
        </w:trPr>
        <w:tc>
          <w:tcPr>
            <w:tcW w:w="7660" w:type="dxa"/>
            <w:vAlign w:val="bottom"/>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(5,959)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5,479</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2,441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2,103</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1020" w:type="dxa"/>
            <w:vAlign w:val="bottom"/>
          </w:tcPr>
          <w:p>
            <w:pPr>
              <w:spacing w:after="0"/>
              <w:rPr>
                <w:sz w:val="19"/>
                <w:szCs w:val="19"/>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314</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248</w:t>
            </w:r>
          </w:p>
        </w:tc>
      </w:tr>
      <w:tr>
        <w:trPr>
          <w:trHeight w:val="226"/>
        </w:trPr>
        <w:tc>
          <w:tcPr>
            <w:tcW w:w="766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020" w:type="dxa"/>
            <w:vAlign w:val="bottom"/>
          </w:tcPr>
          <w:p>
            <w:pPr>
              <w:spacing w:after="0"/>
              <w:rPr>
                <w:sz w:val="19"/>
                <w:szCs w:val="19"/>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13,880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6,038</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2,552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2,981</w:t>
            </w: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Premiums receivable</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(2,472)</w:t>
            </w:r>
          </w:p>
        </w:tc>
      </w:tr>
      <w:tr>
        <w:trPr>
          <w:trHeight w:val="226"/>
        </w:trPr>
        <w:tc>
          <w:tcPr>
            <w:tcW w:w="7660" w:type="dxa"/>
            <w:vAlign w:val="bottom"/>
          </w:tcPr>
          <w:p>
            <w:pPr>
              <w:ind w:left="340"/>
              <w:spacing w:after="0"/>
              <w:rPr>
                <w:sz w:val="20"/>
                <w:szCs w:val="20"/>
                <w:color w:val="auto"/>
              </w:rPr>
            </w:pPr>
            <w:r>
              <w:rPr>
                <w:rFonts w:ascii="Arial" w:cs="Arial" w:eastAsia="Arial" w:hAnsi="Arial"/>
                <w:sz w:val="17"/>
                <w:szCs w:val="17"/>
                <w:color w:val="auto"/>
              </w:rPr>
              <w:t>Accrued investment income</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(859)</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Prepaid expenses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(1,407)</w:t>
            </w:r>
          </w:p>
        </w:tc>
      </w:tr>
      <w:tr>
        <w:trPr>
          <w:trHeight w:val="225"/>
        </w:trPr>
        <w:tc>
          <w:tcPr>
            <w:tcW w:w="7660" w:type="dxa"/>
            <w:vAlign w:val="bottom"/>
          </w:tcPr>
          <w:p>
            <w:pPr>
              <w:ind w:left="340"/>
              <w:spacing w:after="0"/>
              <w:rPr>
                <w:sz w:val="20"/>
                <w:szCs w:val="20"/>
                <w:color w:val="auto"/>
              </w:rPr>
            </w:pPr>
            <w:r>
              <w:rPr>
                <w:rFonts w:ascii="Arial" w:cs="Arial" w:eastAsia="Arial" w:hAnsi="Arial"/>
                <w:sz w:val="17"/>
                <w:szCs w:val="17"/>
                <w:color w:val="auto"/>
              </w:rPr>
              <w:t>Deferred policy acquisition costs, net</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(2,662)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(1,980)</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191</w:t>
            </w:r>
          </w:p>
        </w:tc>
      </w:tr>
      <w:tr>
        <w:trPr>
          <w:trHeight w:val="226"/>
        </w:trPr>
        <w:tc>
          <w:tcPr>
            <w:tcW w:w="7660" w:type="dxa"/>
            <w:vAlign w:val="bottom"/>
          </w:tcPr>
          <w:p>
            <w:pPr>
              <w:ind w:left="340"/>
              <w:spacing w:after="0"/>
              <w:rPr>
                <w:sz w:val="20"/>
                <w:szCs w:val="20"/>
                <w:color w:val="auto"/>
              </w:rPr>
            </w:pPr>
            <w:r>
              <w:rPr>
                <w:rFonts w:ascii="Arial" w:cs="Arial" w:eastAsia="Arial" w:hAnsi="Arial"/>
                <w:sz w:val="17"/>
                <w:szCs w:val="17"/>
                <w:color w:val="auto"/>
              </w:rPr>
              <w:t>Unearned premiums</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(9,734)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(4,568)</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Reserve for insurance claims and claim expenses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5,727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2,726</w:t>
            </w:r>
          </w:p>
        </w:tc>
      </w:tr>
      <w:tr>
        <w:trPr>
          <w:trHeight w:val="226"/>
        </w:trPr>
        <w:tc>
          <w:tcPr>
            <w:tcW w:w="7660" w:type="dxa"/>
            <w:vAlign w:val="bottom"/>
          </w:tcPr>
          <w:p>
            <w:pPr>
              <w:ind w:left="340"/>
              <w:spacing w:after="0"/>
              <w:rPr>
                <w:sz w:val="20"/>
                <w:szCs w:val="20"/>
                <w:color w:val="auto"/>
              </w:rPr>
            </w:pPr>
            <w:r>
              <w:rPr>
                <w:rFonts w:ascii="Arial" w:cs="Arial" w:eastAsia="Arial" w:hAnsi="Arial"/>
                <w:sz w:val="17"/>
                <w:szCs w:val="17"/>
                <w:color w:val="auto"/>
              </w:rPr>
              <w:t>Reinsurance balances, net</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(148)</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1"/>
              </w:rPr>
              <w:t>(14,078)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(13,453)</w:t>
            </w:r>
          </w:p>
        </w:tc>
      </w:tr>
      <w:tr>
        <w:trPr>
          <w:trHeight w:val="219"/>
        </w:trPr>
        <w:tc>
          <w:tcPr>
            <w:tcW w:w="766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47,852</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28,279</w:t>
            </w:r>
          </w:p>
        </w:tc>
      </w:tr>
      <w:tr>
        <w:trPr>
          <w:trHeight w:val="31"/>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Purchase of short-term investments</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w w:val="91"/>
              </w:rPr>
              <w:t>(41,872)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(47,994)</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Purchase of fixed-maturity investments, available-for-sale</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1"/>
              </w:rPr>
              <w:t>(58,427)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(72,586)</w:t>
            </w:r>
          </w:p>
        </w:tc>
      </w:tr>
      <w:tr>
        <w:trPr>
          <w:trHeight w:val="243"/>
        </w:trPr>
        <w:tc>
          <w:tcPr>
            <w:tcW w:w="7660" w:type="dxa"/>
            <w:vAlign w:val="bottom"/>
          </w:tcPr>
          <w:p>
            <w:pPr>
              <w:ind w:left="120"/>
              <w:spacing w:after="0"/>
              <w:rPr>
                <w:sz w:val="20"/>
                <w:szCs w:val="20"/>
                <w:color w:val="auto"/>
              </w:rPr>
            </w:pPr>
            <w:r>
              <w:rPr>
                <w:rFonts w:ascii="Arial" w:cs="Arial" w:eastAsia="Arial" w:hAnsi="Arial"/>
                <w:sz w:val="17"/>
                <w:szCs w:val="17"/>
                <w:color w:val="auto"/>
              </w:rPr>
              <w:t>Proceeds from maturity of short-term investments</w:t>
            </w:r>
          </w:p>
        </w:tc>
        <w:tc>
          <w:tcPr>
            <w:tcW w:w="102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81,207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81,311</w:t>
            </w:r>
          </w:p>
        </w:tc>
      </w:tr>
      <w:tr>
        <w:trPr>
          <w:trHeight w:val="27"/>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46,368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29,043</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Software and equipment</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(1,751)</w:t>
            </w:r>
          </w:p>
        </w:tc>
      </w:tr>
      <w:tr>
        <w:trPr>
          <w:trHeight w:val="31"/>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25,783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(11,977)</w:t>
            </w:r>
          </w:p>
        </w:tc>
      </w:tr>
      <w:tr>
        <w:trPr>
          <w:trHeight w:val="205"/>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0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3,367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11,017</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Taxes paid related to net share settlement of equity awards</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(7,117)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(12,477)</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Repayments of term loan</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(375)</w:t>
            </w:r>
          </w:p>
        </w:tc>
      </w:tr>
      <w:tr>
        <w:trPr>
          <w:trHeight w:val="225"/>
        </w:trPr>
        <w:tc>
          <w:tcPr>
            <w:tcW w:w="7660" w:type="dxa"/>
            <w:vAlign w:val="bottom"/>
          </w:tcPr>
          <w:p>
            <w:pPr>
              <w:ind w:left="120"/>
              <w:spacing w:after="0"/>
              <w:rPr>
                <w:sz w:val="20"/>
                <w:szCs w:val="20"/>
                <w:color w:val="auto"/>
              </w:rPr>
            </w:pPr>
            <w:r>
              <w:rPr>
                <w:rFonts w:ascii="Arial" w:cs="Arial" w:eastAsia="Arial" w:hAnsi="Arial"/>
                <w:sz w:val="17"/>
                <w:szCs w:val="17"/>
                <w:color w:val="auto"/>
              </w:rPr>
              <w:t>Payments of debt issuance/modification costs</w:t>
            </w:r>
          </w:p>
        </w:tc>
        <w:tc>
          <w:tcPr>
            <w:tcW w:w="102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(1,835)</w:t>
            </w:r>
          </w:p>
        </w:tc>
      </w:tr>
      <w:tr>
        <w:trPr>
          <w:trHeight w:val="75"/>
        </w:trPr>
        <w:tc>
          <w:tcPr>
            <w:tcW w:w="766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68,732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14,467</w:t>
            </w:r>
          </w:p>
        </w:tc>
      </w:tr>
      <w:tr>
        <w:trPr>
          <w:trHeight w:val="225"/>
        </w:trPr>
        <w:tc>
          <w:tcPr>
            <w:tcW w:w="76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020" w:type="dxa"/>
            <w:vAlign w:val="bottom"/>
          </w:tcPr>
          <w:p>
            <w:pPr>
              <w:spacing w:after="0"/>
              <w:rPr>
                <w:sz w:val="19"/>
                <w:szCs w:val="19"/>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41,089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25,294</w:t>
            </w:r>
          </w:p>
        </w:tc>
      </w:tr>
      <w:tr>
        <w:trPr>
          <w:trHeight w:val="31"/>
        </w:trPr>
        <w:tc>
          <w:tcPr>
            <w:tcW w:w="7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7"/>
              </w:rPr>
              <w:t>109,821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39,761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3"/>
        </w:trPr>
        <w:tc>
          <w:tcPr>
            <w:tcW w:w="7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5"/>
        </w:trPr>
        <w:tc>
          <w:tcPr>
            <w:tcW w:w="7660" w:type="dxa"/>
            <w:vAlign w:val="bottom"/>
          </w:tcPr>
          <w:p>
            <w:pPr>
              <w:ind w:left="220"/>
              <w:spacing w:after="0"/>
              <w:rPr>
                <w:sz w:val="20"/>
                <w:szCs w:val="20"/>
                <w:color w:val="auto"/>
              </w:rPr>
            </w:pPr>
            <w:r>
              <w:rPr>
                <w:rFonts w:ascii="Arial" w:cs="Arial" w:eastAsia="Arial" w:hAnsi="Arial"/>
                <w:sz w:val="17"/>
                <w:szCs w:val="17"/>
                <w:color w:val="auto"/>
              </w:rPr>
              <w:t>Interest paid</w:t>
            </w:r>
          </w:p>
        </w:tc>
        <w:tc>
          <w:tcPr>
            <w:tcW w:w="1020" w:type="dxa"/>
            <w:vAlign w:val="bottom"/>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2,403</w:t>
            </w:r>
          </w:p>
        </w:tc>
        <w:tc>
          <w:tcPr>
            <w:tcW w:w="10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2,617</w:t>
            </w:r>
          </w:p>
        </w:tc>
      </w:tr>
      <w:tr>
        <w:trPr>
          <w:trHeight w:val="31"/>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refunded</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209</w:t>
            </w:r>
          </w:p>
        </w:tc>
      </w:tr>
      <w:tr>
        <w:trPr>
          <w:trHeight w:val="31"/>
        </w:trPr>
        <w:tc>
          <w:tcPr>
            <w:tcW w:w="7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365"/>
        <w:spacing w:after="0" w:line="263"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wholly-owned subsidiary, NMI Services, Inc. (NMIS), through which we offer outsourced loan review services to mortgage loan originators.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74"/>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2019, included in our 2019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current period presentation. The results of operations for the interim period may not be indicative of the results that may be expected for the full year ending December 31, 2020.</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375"/>
        <w:spacing w:after="0" w:line="26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2 - Summary of Accounting Principles</w:t>
      </w:r>
      <w:r>
        <w:rPr>
          <w:rFonts w:ascii="Arial" w:cs="Arial" w:eastAsia="Arial" w:hAnsi="Arial"/>
          <w:sz w:val="18"/>
          <w:szCs w:val="18"/>
          <w:color w:val="auto"/>
        </w:rPr>
        <w:t>" of our 2019 10-K, other than as noted in "</w:t>
      </w:r>
      <w:r>
        <w:rPr>
          <w:rFonts w:ascii="Arial" w:cs="Arial" w:eastAsia="Arial" w:hAnsi="Arial"/>
          <w:sz w:val="18"/>
          <w:szCs w:val="18"/>
          <w:i w:val="1"/>
          <w:iCs w:val="1"/>
          <w:color w:val="auto"/>
        </w:rPr>
        <w:t>Investments,</w:t>
      </w:r>
      <w:r>
        <w:rPr>
          <w:rFonts w:ascii="Arial" w:cs="Arial" w:eastAsia="Arial" w:hAnsi="Arial"/>
          <w:sz w:val="18"/>
          <w:szCs w:val="18"/>
          <w:color w:val="auto"/>
        </w:rPr>
        <w:t>" "</w:t>
      </w:r>
      <w:r>
        <w:rPr>
          <w:rFonts w:ascii="Arial" w:cs="Arial" w:eastAsia="Arial" w:hAnsi="Arial"/>
          <w:sz w:val="18"/>
          <w:szCs w:val="18"/>
          <w:i w:val="1"/>
          <w:iCs w:val="1"/>
          <w:color w:val="auto"/>
        </w:rPr>
        <w:t>Premium Receivables,</w:t>
      </w:r>
      <w:r>
        <w:rPr>
          <w:rFonts w:ascii="Arial" w:cs="Arial" w:eastAsia="Arial" w:hAnsi="Arial"/>
          <w:sz w:val="18"/>
          <w:szCs w:val="18"/>
          <w:color w:val="auto"/>
        </w:rPr>
        <w:t>" "</w:t>
      </w:r>
      <w:r>
        <w:rPr>
          <w:rFonts w:ascii="Arial" w:cs="Arial" w:eastAsia="Arial" w:hAnsi="Arial"/>
          <w:sz w:val="18"/>
          <w:szCs w:val="18"/>
          <w:i w:val="1"/>
          <w:iCs w:val="1"/>
          <w:color w:val="auto"/>
        </w:rPr>
        <w:t>Reinsurance</w:t>
      </w:r>
      <w:r>
        <w:rPr>
          <w:rFonts w:ascii="Arial" w:cs="Arial" w:eastAsia="Arial" w:hAnsi="Arial"/>
          <w:sz w:val="18"/>
          <w:szCs w:val="18"/>
          <w:color w:val="auto"/>
        </w:rPr>
        <w:t>" and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evaluate our investments each quarter to determine whether declines in fair value are below amortized cost. For any impaired debt security we evaluate if we either intend to sell the security or it is more likely than not that we will be required to sell the security before recovery. If our intent is to sell a security and its fair value is below amortized cost, the securities amortized cost basis is written down to fair value and a loss is recognized in earnings.</w:t>
      </w:r>
    </w:p>
    <w:p>
      <w:pPr>
        <w:spacing w:after="0" w:line="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available for sale debt securities that do not meet the aforementioned criteria, we evaluate whether the decline in fair value has resulted from credit losses or other factors. In making this assessment, we consider several factors including, but not limited to:</w:t>
      </w:r>
    </w:p>
    <w:p>
      <w:pPr>
        <w:spacing w:after="0" w:line="116"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of the decline in fair value;</w:t>
      </w:r>
    </w:p>
    <w:p>
      <w:pPr>
        <w:spacing w:after="0" w:line="171"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71"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71"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and</w:t>
      </w:r>
    </w:p>
    <w:p>
      <w:pPr>
        <w:spacing w:after="0" w:line="171"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the allowance for credit losses is recognized in other comprehensive income.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allowance for credit losses are recorded as provision for (or reversal of) credit loss expense. Losses are charged against the allowance for credit losses when management believes the uncollectibility of a security is met.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elected to present accrued interest receivable separately from available for sale securities on the consolidated balance sheet in "</w:t>
      </w:r>
      <w:r>
        <w:rPr>
          <w:rFonts w:ascii="Arial" w:cs="Arial" w:eastAsia="Arial" w:hAnsi="Arial"/>
          <w:sz w:val="18"/>
          <w:szCs w:val="18"/>
          <w:i w:val="1"/>
          <w:iCs w:val="1"/>
          <w:color w:val="auto"/>
        </w:rPr>
        <w:t>Accrued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Income.</w:t>
      </w:r>
      <w:r>
        <w:rPr>
          <w:rFonts w:ascii="Arial" w:cs="Arial" w:eastAsia="Arial" w:hAnsi="Arial"/>
          <w:sz w:val="18"/>
          <w:szCs w:val="18"/>
          <w:color w:val="auto"/>
        </w:rPr>
        <w:t>" Accrued interest receivable was $7.2 million as of March 31, 2020 relating almost entirely to available for sale debt securities.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also elected not to measure an allowance for credit losses for accrued interest receivable on available for sale securities. For all classes of available for sale securities, the accrual of interest is discontinued when the contractual payment of principal or interest has become 90 days past due and write-off of accrued interest receivable is recognized by reversing interest income. We did not write off any accrued interest receivable during the three months ended March 31, 2020.</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Premiums receivable consists of premiums due on our mortgage insurance policies. If a mortgage insurance premium is unpaid for more than 120 days, the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and the short-term duration of the related receivables an allowance for credit loss was not required at March 31,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6"/>
          <w:szCs w:val="16"/>
          <w:color w:val="auto"/>
        </w:rPr>
        <w:t>NMIC has entered into quota share reinsurance treaties effective September 1, 2016 (the 2016 QSR Transaction) and January 1, 2018 (the 2018 QSR Transaction), which we refer to collectively as the QSR Transactions. Under the QSR Transactions, we cede a portion of claims and claim expense reserves to our reinsurers, and account for such ceded reserves as reinsurance recoverables in "Other Assets" on the consolidated balance sheets and as reductions to claims expenses on the consolidated statements of operations. The company actively manages and monitors its credit risk associated with its reinsurance recoverables and recognizes an allowance for credit losses based on losses expected to arise over the life of the asset.</w:t>
      </w:r>
    </w:p>
    <w:p>
      <w:pPr>
        <w:spacing w:after="0" w:line="1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it relates to its QSR transactions, each of the third-party reinsurance providers has an insurer financial strength rating of A- or better by Standard &amp; Poor's Rating Service (S&amp;P), A.M. Best Company, Inc. (A.M.Best) or both. 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balances are further supported by trust accounts established and maintained by each reinsurer in accordance with the private mortgage insurer eligibility requirements (PMIERs) funding requirements for risk ceded to non-affiliates. The reinsurance recoverable on loss reserves related to our QSR Transactions was $6.2 million as of March 31, 2020 and an allowance for credit losses was not required.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June 2016, the Financial Accounting Standard Board (FASB) issued Accounting Standards Update (ASU) 2016-13, </w:t>
      </w:r>
      <w:r>
        <w:rPr>
          <w:rFonts w:ascii="Arial" w:cs="Arial" w:eastAsia="Arial" w:hAnsi="Arial"/>
          <w:sz w:val="16"/>
          <w:szCs w:val="16"/>
          <w:i w:val="1"/>
          <w:iCs w:val="1"/>
          <w:color w:val="auto"/>
        </w:rPr>
        <w:t xml:space="preserve">Financial Instruments-Credit Losses (Topic 326) </w:t>
      </w:r>
      <w:r>
        <w:rPr>
          <w:rFonts w:ascii="Arial" w:cs="Arial" w:eastAsia="Arial" w:hAnsi="Arial"/>
          <w:sz w:val="16"/>
          <w:szCs w:val="16"/>
          <w:color w:val="auto"/>
        </w:rPr>
        <w:t>and subsequently issued amendments to the initial guidance: ASU 2019-04,</w:t>
      </w:r>
      <w:r>
        <w:rPr>
          <w:rFonts w:ascii="Arial" w:cs="Arial" w:eastAsia="Arial" w:hAnsi="Arial"/>
          <w:sz w:val="16"/>
          <w:szCs w:val="16"/>
          <w:i w:val="1"/>
          <w:iCs w:val="1"/>
          <w:color w:val="auto"/>
        </w:rPr>
        <w:t xml:space="preserve"> Codification Improvements to Topic 326</w:t>
      </w:r>
      <w:r>
        <w:rPr>
          <w:rFonts w:ascii="Arial" w:cs="Arial" w:eastAsia="Arial" w:hAnsi="Arial"/>
          <w:sz w:val="16"/>
          <w:szCs w:val="16"/>
          <w:color w:val="auto"/>
        </w:rPr>
        <w:t>,</w:t>
      </w:r>
      <w:r>
        <w:rPr>
          <w:rFonts w:ascii="Arial" w:cs="Arial" w:eastAsia="Arial" w:hAnsi="Arial"/>
          <w:sz w:val="16"/>
          <w:szCs w:val="16"/>
          <w:i w:val="1"/>
          <w:iCs w:val="1"/>
          <w:color w:val="auto"/>
        </w:rPr>
        <w:t xml:space="preserve"> Financial Instruments-Credit Losses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and Topic 825,</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ASU 2019-05,</w:t>
      </w:r>
      <w:r>
        <w:rPr>
          <w:rFonts w:ascii="Arial" w:cs="Arial" w:eastAsia="Arial" w:hAnsi="Arial"/>
          <w:sz w:val="16"/>
          <w:szCs w:val="16"/>
          <w:i w:val="1"/>
          <w:iCs w:val="1"/>
          <w:color w:val="auto"/>
        </w:rPr>
        <w:t xml:space="preserve"> Financial Instruments-Credit Losses: Targeted Transition Relief</w:t>
      </w:r>
      <w:r>
        <w:rPr>
          <w:rFonts w:ascii="Arial" w:cs="Arial" w:eastAsia="Arial" w:hAnsi="Arial"/>
          <w:sz w:val="16"/>
          <w:szCs w:val="16"/>
          <w:color w:val="auto"/>
        </w:rPr>
        <w:t>, and ASU 2019-11, C</w:t>
      </w:r>
      <w:r>
        <w:rPr>
          <w:rFonts w:ascii="Arial" w:cs="Arial" w:eastAsia="Arial" w:hAnsi="Arial"/>
          <w:sz w:val="16"/>
          <w:szCs w:val="16"/>
          <w:i w:val="1"/>
          <w:iCs w:val="1"/>
          <w:color w:val="auto"/>
        </w:rPr>
        <w:t>odification Improvements to Topic 326, Financial Instruments-Credit Losses</w:t>
      </w:r>
      <w:r>
        <w:rPr>
          <w:rFonts w:ascii="Arial" w:cs="Arial" w:eastAsia="Arial" w:hAnsi="Arial"/>
          <w:sz w:val="16"/>
          <w:szCs w:val="16"/>
          <w:color w:val="auto"/>
        </w:rPr>
        <w:t>. These updates will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companies to measure and establish reserves for lifetime expected credit losses on many financial assets held at a given reporting date. Under the guidance, the methodology for measuring lifetime credit losses shifts from an incurred loss model, whereby losses are only recognized once probable and estimable, to a current expected credit loss (CECL) model, whereby losses are recognized upfront based on a future economic forecast. Credit losses relating to available-for-sale fixed maturity securities are recorded through an allowance for credit losses, rather than a write-down of the asset as was required, with the amount of the allowance limited to the amount by which fair value is less than amortized cost. The length of time an available-for sale fixed maturity security has been held in an unrealized loss position will no longer impact its credit loss determination. We adopted these updates on January 1, 2020. Adoption of the updated standards did not have a material impact on our consolidated financial statements, and had no impact on our accounting for insurance claims and claim expenses as these items are not in scope of the guidance.</w:t>
      </w:r>
    </w:p>
    <w:p>
      <w:pPr>
        <w:spacing w:after="0" w:line="1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update modifies the fair value measurement disclosure requirements of ASC 820. We adopted this ASU on January 1, 2020 and determined it did not have a material impact on our consolidated financial statements.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This update applies to cloud computing arrangements structured as service contracts, and provides companies 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guidance on the criteria for capitalizing implementation, set-up and other up-front costs incurred in association with these arrangements. We adopted this ASU on January 1, 2020 and applied it on a prospective basis for eligible costs incurred after the effective date. The adoption of this ASU did not have a material impact on our consolidated financial statements.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FASB subsequently issued ASU 2019-09 in November 2019, which amended the effective date for this standard. The standard will now take effect for public business entities for fiscal years, and interim periods within those fiscal years, beginning after December 15, 2021. We are currently evaluating the impact the adoption of this ASU will have, if any, on our consolidated financial statements.</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November 2019, the FASB issued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This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 goodwill and allocating taxes to members of a consolidated group.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This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in 2021. The ASU includes optional expedients and exceptions for applying GAAP to contracts, hedging relationships and other transactions affected by reference rate reform if certain criteria are met. The standard is effective immediately through December 31, 2022 for all entities that have contracts, hedging relationships, and other transactions that reference LIBOR or another reference rate expected to be discontinued because of reference rate reform. We are currently evaluating the impact the adoption of this ASU would have, if any, to our contract modifications that are affected by the discontinuation of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549"/>
        <w:spacing w:after="0" w:line="241"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earnings based on specific identification of securities sold or any impairment that has been recorded through the allowance for credit losses. If our intent is to sell a security and its fair value is below amortized cost, the security's amortized cost basis is written down to fair value and a loss is recognized in earnings.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4"/>
              <w:spacing w:after="0"/>
              <w:rPr>
                <w:sz w:val="20"/>
                <w:szCs w:val="20"/>
                <w:color w:val="auto"/>
              </w:rPr>
            </w:pPr>
            <w:r>
              <w:rPr>
                <w:rFonts w:ascii="Arial" w:cs="Arial" w:eastAsia="Arial" w:hAnsi="Arial"/>
                <w:sz w:val="14"/>
                <w:szCs w:val="14"/>
                <w:b w:val="1"/>
                <w:bCs w:val="1"/>
                <w:color w:val="auto"/>
              </w:rPr>
              <w:t>Fair</w:t>
            </w:r>
          </w:p>
        </w:tc>
      </w:tr>
      <w:tr>
        <w:trPr>
          <w:trHeight w:val="195"/>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Value</w:t>
            </w: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48,207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51,726</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196,750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199,935</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628,834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18,272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640,448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180,514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173,107</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1,054,305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26,048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1,065,216</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4,856</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1,059,143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26,066</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(15,137)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1,070,072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4"/>
              <w:spacing w:after="0"/>
              <w:rPr>
                <w:sz w:val="20"/>
                <w:szCs w:val="20"/>
                <w:color w:val="auto"/>
              </w:rPr>
            </w:pPr>
            <w:r>
              <w:rPr>
                <w:rFonts w:ascii="Arial" w:cs="Arial" w:eastAsia="Arial" w:hAnsi="Arial"/>
                <w:sz w:val="14"/>
                <w:szCs w:val="14"/>
                <w:b w:val="1"/>
                <w:bCs w:val="1"/>
                <w:color w:val="auto"/>
              </w:rPr>
              <w:t>Fair</w:t>
            </w:r>
          </w:p>
        </w:tc>
      </w:tr>
      <w:tr>
        <w:trPr>
          <w:trHeight w:val="196"/>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Value</w:t>
            </w: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48,203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48,929</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189,530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190,216</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661,719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23,373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684,881</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170,153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172,642</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1,069,605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28,481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1,096,668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44,174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44,272</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1,113,779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28,579</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1,140,940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own any mortgage-backed securities in our asset-backed securities portfolio at March 31, 2020 or December 31,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breakdown of the fair value of our corporate debt securities by issuer industry group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2020</w:t>
            </w:r>
          </w:p>
        </w:tc>
        <w:tc>
          <w:tcPr>
            <w:tcW w:w="17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26</w:t>
            </w:r>
          </w:p>
        </w:tc>
      </w:tr>
      <w:tr>
        <w:trPr>
          <w:trHeight w:val="27"/>
        </w:trPr>
        <w:tc>
          <w:tcPr>
            <w:tcW w:w="7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1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Utilities</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9</w:t>
            </w:r>
          </w:p>
        </w:tc>
      </w:tr>
      <w:tr>
        <w:trPr>
          <w:trHeight w:val="27"/>
        </w:trPr>
        <w:tc>
          <w:tcPr>
            <w:tcW w:w="7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7"/>
        </w:trPr>
        <w:tc>
          <w:tcPr>
            <w:tcW w:w="7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r>
      <w:tr>
        <w:trPr>
          <w:trHeight w:val="270"/>
        </w:trPr>
        <w:tc>
          <w:tcPr>
            <w:tcW w:w="764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and December 31, 2019, approximately $5.7 million and $5.5 million, respectively,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The amortized cost and fair values of available-for-sale securities as of March 31, 2020 and December 31, 2019,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83,740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83,736</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408,063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415,419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373,220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383,838</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13,606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180,514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173,107</w:t>
            </w:r>
          </w:p>
        </w:tc>
        <w:tc>
          <w:tcPr>
            <w:tcW w:w="0" w:type="dxa"/>
            <w:vAlign w:val="bottom"/>
          </w:tcPr>
          <w:p>
            <w:pPr>
              <w:spacing w:after="0"/>
              <w:rPr>
                <w:sz w:val="1"/>
                <w:szCs w:val="1"/>
                <w:color w:val="auto"/>
              </w:rPr>
            </w:pP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1,059,143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1,070,072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138,776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139,113</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406,986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417,208</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380,737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394,180</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17,127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170,153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1,113,779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We evaluate our investments each quarter to determine whether declines in fair value are below amortized costs. As of March 31, 2020, the investment portfolio had gross unrealized losses of $15.1 million, of which $0.1 million had been in an unrealized loss position for a period of 12 months or greater. For any impaired security we evaluate if we either intend to sell the security or it is more likely than not that we will be required to sell the security before recovery of its amortized cost. If either of the criteria regarding intent or requirement to sell is met, the security's amortized cost basis is written down to fair value through earnings. For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securities by a rating agency, and any adverse condition specifically related to the security, among other factors. If this assessment indicates that a credit loss exists, and an allowance for credit losses is recorded. Any impairment that has not been recorded through an allowance for credit loss is recognized in other comprehensive income. The following table summarizes the investment portfolio in an unrealized loss position for which an allowance is not recorded, aggregated by major security type and length of time in a continuous unrealized loss position: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145"/>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3"/>
                <w:szCs w:val="13"/>
                <w:color w:val="auto"/>
              </w:rPr>
            </w:pPr>
          </w:p>
        </w:tc>
        <w:tc>
          <w:tcPr>
            <w:tcW w:w="94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3"/>
                <w:szCs w:val="13"/>
                <w:color w:val="auto"/>
              </w:rPr>
            </w:pPr>
          </w:p>
        </w:tc>
        <w:tc>
          <w:tcPr>
            <w:tcW w:w="94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w:t>
            </w:r>
          </w:p>
        </w:tc>
        <w:tc>
          <w:tcPr>
            <w:tcW w:w="96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8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U.S. government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46,936</w:t>
            </w: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46,936</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178,776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182,070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133,997</w:t>
            </w: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(7,745)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2,934</w:t>
            </w: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44"/>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136,931</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(7,811)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359,709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(15,043)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(15,137)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4"/>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105"/>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4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4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w:t>
            </w:r>
          </w:p>
        </w:tc>
        <w:tc>
          <w:tcPr>
            <w:tcW w:w="160" w:type="dxa"/>
            <w:vAlign w:val="bottom"/>
          </w:tcPr>
          <w:p>
            <w:pPr>
              <w:spacing w:after="0"/>
              <w:rPr>
                <w:sz w:val="13"/>
                <w:szCs w:val="13"/>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3"/>
                <w:szCs w:val="13"/>
                <w:color w:val="auto"/>
              </w:rPr>
            </w:pPr>
          </w:p>
        </w:tc>
        <w:tc>
          <w:tcPr>
            <w:tcW w:w="8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U.S. government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92,844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4"/>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93,843</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19,236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4"/>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22,224</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441"/>
              <w:spacing w:after="0"/>
              <w:rPr>
                <w:sz w:val="20"/>
                <w:szCs w:val="20"/>
                <w:color w:val="auto"/>
              </w:rPr>
            </w:pPr>
            <w:r>
              <w:rPr>
                <w:rFonts w:ascii="Arial" w:cs="Arial" w:eastAsia="Arial" w:hAnsi="Arial"/>
                <w:sz w:val="18"/>
                <w:szCs w:val="18"/>
                <w:color w:val="auto"/>
                <w:w w:val="99"/>
              </w:rPr>
              <w:t>14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of credit losses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March 31, 2020, we did not recognize an allowance of credit losses on our investment portfolio. The increase in securities in an unrealized loss position as of March 31, 2020 can be attributed to a widening of credit spreads and surging demand for liquidity across the broader debt markets, partially offset by interest rate movements since the purchase date. We evaluated the securities in an unrealized loss position as of March 31, 2020 and assessed the credit ratings and any ratings changes as well as any adverse conditions specifically related to the security. Based on our estimate of the amount and timing of cash flows to be collected we expect to recover the amortized cost basis of these securities.</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2019, we recognized a $0.4 million other than temporarily impaired (OTTI) loss in earnings related to the planned sale of a security in a loss position in April 2019. There were no credit losses recognized in earnings for which a portion of an OTTI loss was recognized in accumulated other comprehensive income (loss) for the three months ended March 31, 2019.</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1"/>
              </w:rPr>
              <w:t>(In Thousands)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0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8,349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Investment expenses</w:t>
            </w: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60" w:type="dxa"/>
            <w:vAlign w:val="bottom"/>
            <w:tcBorders>
              <w:bottom w:val="single" w:sz="8" w:color="auto"/>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8,104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components of net realized investment gains (losses):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0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Gross realized investment losses</w:t>
            </w: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(losses)</w:t>
            </w:r>
          </w:p>
        </w:tc>
        <w:tc>
          <w:tcPr>
            <w:tcW w:w="10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460"/>
        <w:spacing w:after="0" w:line="263"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firstLine="383"/>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423"/>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Using</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3"/>
                <w:szCs w:val="13"/>
                <w:color w:val="auto"/>
              </w:rPr>
            </w:pPr>
          </w:p>
        </w:tc>
        <w:tc>
          <w:tcPr>
            <w:tcW w:w="14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March 31, 2020</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51,726</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51,726</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199,935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199,935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640,448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640,448</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173,107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173,107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114,677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114,677</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166,403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1,013,490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1,179,893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Using</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3"/>
                <w:szCs w:val="13"/>
                <w:color w:val="auto"/>
              </w:rPr>
            </w:pPr>
          </w:p>
        </w:tc>
        <w:tc>
          <w:tcPr>
            <w:tcW w:w="14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190,216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684,881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172,642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85,361</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1,047,739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1,182,029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7,641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42"/>
        <w:spacing w:after="0" w:line="277" w:lineRule="auto"/>
        <w:rPr>
          <w:sz w:val="20"/>
          <w:szCs w:val="20"/>
          <w:color w:val="auto"/>
        </w:rPr>
      </w:pPr>
      <w:r>
        <w:rPr>
          <w:rFonts w:ascii="Arial" w:cs="Arial" w:eastAsia="Arial" w:hAnsi="Arial"/>
          <w:sz w:val="18"/>
          <w:szCs w:val="18"/>
          <w:color w:val="auto"/>
        </w:rPr>
        <w:t>There were no transfers between Level 2 and Level 3 of the fair value hierarchy during the three months ended March 31, 2020, or the year ended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The following is a roll-forward of Level 3 liabilities measured at fair value:</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4"/>
          </w:tcPr>
          <w:p>
            <w:pPr>
              <w:jc w:val="right"/>
              <w:ind w:right="310"/>
              <w:spacing w:after="0"/>
              <w:rPr>
                <w:sz w:val="20"/>
                <w:szCs w:val="20"/>
                <w:color w:val="auto"/>
              </w:rPr>
            </w:pPr>
            <w:r>
              <w:rPr>
                <w:rFonts w:ascii="Arial" w:cs="Arial" w:eastAsia="Arial" w:hAnsi="Arial"/>
                <w:sz w:val="18"/>
                <w:szCs w:val="18"/>
                <w:color w:val="auto"/>
                <w:w w:val="93"/>
              </w:rPr>
              <w:t>For the three months ended March 31,</w:t>
            </w:r>
          </w:p>
        </w:tc>
      </w:tr>
      <w:tr>
        <w:trPr>
          <w:trHeight w:val="27"/>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2019</w:t>
            </w:r>
          </w:p>
        </w:tc>
      </w:tr>
      <w:tr>
        <w:trPr>
          <w:trHeight w:val="27"/>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7,296</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 included in earnings</w:t>
            </w: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(5,959)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5,479</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 on warrant exercise</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63"/>
        </w:trPr>
        <w:tc>
          <w:tcPr>
            <w:tcW w:w="7680" w:type="dxa"/>
            <w:vAlign w:val="bottom"/>
          </w:tcPr>
          <w:p>
            <w:pPr>
              <w:ind w:left="20"/>
              <w:spacing w:after="0"/>
              <w:rPr>
                <w:sz w:val="20"/>
                <w:szCs w:val="20"/>
                <w:color w:val="auto"/>
              </w:rPr>
            </w:pPr>
            <w:r>
              <w:rPr>
                <w:rFonts w:ascii="Arial" w:cs="Arial" w:eastAsia="Arial" w:hAnsi="Arial"/>
                <w:sz w:val="18"/>
                <w:szCs w:val="18"/>
                <w:color w:val="auto"/>
              </w:rPr>
              <w:t>Balance, March 31</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11,831</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 March 31,</w:t>
            </w:r>
          </w:p>
        </w:tc>
        <w:tc>
          <w:tcPr>
            <w:tcW w:w="124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price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7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25.87</w:t>
            </w:r>
          </w:p>
        </w:tc>
      </w:tr>
      <w:tr>
        <w:trPr>
          <w:trHeight w:val="270"/>
        </w:trPr>
        <w:tc>
          <w:tcPr>
            <w:tcW w:w="77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2.21 - 2.31%</w:t>
            </w: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420" w:type="dxa"/>
            <w:vAlign w:val="bottom"/>
            <w:shd w:val="clear" w:color="auto" w:fill="CCEEFF"/>
          </w:tcPr>
          <w:p>
            <w:pPr>
              <w:spacing w:after="0"/>
              <w:rPr>
                <w:sz w:val="23"/>
                <w:szCs w:val="23"/>
                <w:color w:val="auto"/>
              </w:rPr>
            </w:pPr>
          </w:p>
        </w:tc>
        <w:tc>
          <w:tcPr>
            <w:tcW w:w="18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2.06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1.67 - 3.06 years</w:t>
            </w:r>
          </w:p>
        </w:tc>
      </w:tr>
      <w:tr>
        <w:trPr>
          <w:trHeight w:val="270"/>
        </w:trPr>
        <w:tc>
          <w:tcPr>
            <w:tcW w:w="7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42.3 - 45.7%</w:t>
            </w: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7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changes in fair value of the warrant liability for the three months ended March 31, 2020 and 2019 are primarily attributable to changes in the price of our common stock and exercises of outstanding warrants during the respective periods, with additional impact related to changes in other Black-Scholes model inputs.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24, 2018, we entered into a credit agreement (2018 Credit Agreement), which provides for (i) a $150 million five-year senior secured term loan facility (2018 Term Loan) that matures on May 24, 2023; and (ii) a $85 million three-year secured revolving credit facility (2018 Revolving Credit Facility) that, prior to amendment as discussed below, would have matured on May 24, 2021. Proceeds from the 2018 Term Loan were used to repay in full the outstanding amount due under our $150 million amended term loan (2015 Term Loan) due on November 10, 2019, and to pay fees and expenses incurred in connection with the 2018 Credit Agreement. On March 20, 2020, we amended the 2018 Revolving Credit Facility (2020 Revolving Credit Facility), increasing the borrowing capacity under the facility to $100 million, extending the maturity date from May 24, 2021 to February 22, 2023, and reducing the interest cost related to both undrawn commitments and drawn borrowings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under the facility.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2018 Term Loan bears interest at the LIBOR, as defined in the 2018 Credit Agreement and subject to a 1.00% floor, plus an annual margin rate of 4.75%, representing an all-in rate of 5.75% as of March 31, 2020, payable monthly based on our current interest period election. Quarterly principal payments of $0.4 million are also required. As of March 31, 2020, the outstanding principal balance of the 2018 Term Loan was $147.4 million.</w:t>
      </w:r>
    </w:p>
    <w:p>
      <w:pPr>
        <w:spacing w:after="0" w:line="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for the 2018 Term Loan includes interest and the amortization of issuance costs, an original issue discount and capitalized modification costs related to the 2015 Term Loan. For the three months ended March 31, 2020, we recorded $2.5 million of interest expense. Remaining unamortized issuance costs and original issue discount were $1.9 million as of March 31, 2020 and are being amortized to interest expense using the effective interest method over the contractual life of the 2018 Term Loan.</w:t>
      </w:r>
    </w:p>
    <w:p>
      <w:pPr>
        <w:spacing w:after="0" w:line="133" w:lineRule="exact"/>
        <w:rPr>
          <w:sz w:val="20"/>
          <w:szCs w:val="20"/>
          <w:color w:val="auto"/>
        </w:rPr>
      </w:pPr>
    </w:p>
    <w:p>
      <w:pPr>
        <w:jc w:val="both"/>
        <w:ind w:firstLine="407"/>
        <w:spacing w:after="0" w:line="263"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March 31, 2020.</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principal payments due under the 2018 Term Loan as of March 31, 2020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jc w:val="right"/>
              <w:ind w:right="574"/>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1,125</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860" w:type="dxa"/>
            <w:vAlign w:val="bottom"/>
          </w:tcPr>
          <w:p>
            <w:pPr>
              <w:jc w:val="right"/>
              <w:ind w:right="74"/>
              <w:spacing w:after="0"/>
              <w:rPr>
                <w:sz w:val="20"/>
                <w:szCs w:val="20"/>
                <w:color w:val="auto"/>
              </w:rPr>
            </w:pPr>
            <w:r>
              <w:rPr>
                <w:rFonts w:ascii="Arial" w:cs="Arial" w:eastAsia="Arial" w:hAnsi="Arial"/>
                <w:sz w:val="18"/>
                <w:szCs w:val="18"/>
                <w:color w:val="auto"/>
              </w:rPr>
              <w:t>1,500</w:t>
            </w:r>
          </w:p>
        </w:tc>
      </w:tr>
      <w:tr>
        <w:trPr>
          <w:trHeight w:val="27"/>
        </w:trPr>
        <w:tc>
          <w:tcPr>
            <w:tcW w:w="9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1,500</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860" w:type="dxa"/>
            <w:vAlign w:val="bottom"/>
          </w:tcPr>
          <w:p>
            <w:pPr>
              <w:jc w:val="right"/>
              <w:ind w:right="74"/>
              <w:spacing w:after="0"/>
              <w:rPr>
                <w:sz w:val="20"/>
                <w:szCs w:val="20"/>
                <w:color w:val="auto"/>
              </w:rPr>
            </w:pPr>
            <w:r>
              <w:rPr>
                <w:rFonts w:ascii="Arial" w:cs="Arial" w:eastAsia="Arial" w:hAnsi="Arial"/>
                <w:sz w:val="18"/>
                <w:szCs w:val="18"/>
                <w:color w:val="auto"/>
              </w:rPr>
              <w:t>143,250</w:t>
            </w:r>
          </w:p>
        </w:tc>
      </w:tr>
      <w:tr>
        <w:trPr>
          <w:trHeight w:val="27"/>
        </w:trPr>
        <w:tc>
          <w:tcPr>
            <w:tcW w:w="9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147,375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2020 Revolving Credit Facility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2020 Revolving Credit Facility accrue interest at a variable rate equal to, at our discretion, based on the applicable corporate credit rating at the time, (i) a base rate (as defined in the 2018 Credit Agreement, subject to a floor of 1.00% per annum) plus a margin of 0.375% to 1.875% per annum, which is reduced from a margin of 1.00% to 2.50% prior to the amendment, or (ii) the Eurodollar Rate (subject to a floor of 0.00% per annum) plus a margin of 1.375% to 2.875% per annum, which is reduced from a margin of 2.00% to 3.50% prior to the amendment. As of March 31, 2020, no borrowings had been made under the 2020 Revolving Credit Facility.</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2020 Revolving Credit Facility, we are required to pay a quarterly commitment fee on the average daily undrawn amount, which ranges from 0.175% to 0.525%, reduced from ranges of 0.30% to 0.60% prior to the amendment, based on the applicable corporate credit rating at the time. As of March 31, 2020, the applicable commitment fee was 0.35%. For the three months ended March 31, 2020, we recorded $0.1 million of commitment fees in interest expense.</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incurred issuance costs of $0.8 million in connection with the 2020 Revolving Credit Facility, which together with the remaining issuance cost of $0.6 million prior to the amendment, are amortized through interest expense over the extent contractual life of the 2020 Revolving Credit Facility, on a straight-line basis. For the three months ended March 31, 2020, we recognized $0.1 million of interest expense from the amortization of deferred issuance costs. At March 31, 2020, remaining deferred issuance costs were $1.4 million, net of accumulated amortization.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covenants under the 2020 Revolving Credit Facility, including (but not limited to) the following: a maximum debt-to-total capitalization ratio of 35%, a minimum liquidity requirement, compliance with the PMIERs financial requirements (subject to any Fannie Mae and Freddie Mac (collectively, the GSEs) approved waivers), and minimum consolidated net worth and statutory capital requirements (respectively, as defined therein). We were in compliance with all covenants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7"/>
          <w:szCs w:val="17"/>
          <w:color w:val="auto"/>
        </w:rPr>
        <w:t>We enter into third-party reinsurance transactions to actively manage our risk, ensure compliance with PMIERs, state regulatory and other applicable capital requirements,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8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4"/>
          </w:tcPr>
          <w:p>
            <w:pPr>
              <w:jc w:val="right"/>
              <w:ind w:right="95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20"/>
              <w:spacing w:after="0"/>
              <w:rPr>
                <w:sz w:val="20"/>
                <w:szCs w:val="20"/>
                <w:color w:val="auto"/>
              </w:rPr>
            </w:pPr>
            <w:r>
              <w:rPr>
                <w:rFonts w:ascii="Arial" w:cs="Arial" w:eastAsia="Arial" w:hAnsi="Arial"/>
                <w:sz w:val="18"/>
                <w:szCs w:val="18"/>
                <w:color w:val="auto"/>
              </w:rPr>
              <w:t>Direct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103,453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81,730</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(12,082)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(9,807)</w:t>
            </w:r>
          </w:p>
        </w:tc>
      </w:tr>
      <w:tr>
        <w:trPr>
          <w:trHeight w:val="264"/>
        </w:trPr>
        <w:tc>
          <w:tcPr>
            <w:tcW w:w="8200" w:type="dxa"/>
            <w:vAlign w:val="bottom"/>
          </w:tcPr>
          <w:p>
            <w:pPr>
              <w:ind w:left="120"/>
              <w:spacing w:after="0"/>
              <w:rPr>
                <w:sz w:val="20"/>
                <w:szCs w:val="20"/>
                <w:color w:val="auto"/>
              </w:rPr>
            </w:pPr>
            <w:r>
              <w:rPr>
                <w:rFonts w:ascii="Arial" w:cs="Arial" w:eastAsia="Arial" w:hAnsi="Arial"/>
                <w:sz w:val="18"/>
                <w:szCs w:val="18"/>
                <w:color w:val="auto"/>
              </w:rPr>
              <w:t>Net premiums written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91,371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71,923</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113,187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86,298</w:t>
            </w:r>
          </w:p>
        </w:tc>
      </w:tr>
      <w:tr>
        <w:trPr>
          <w:trHeight w:val="27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(14,470)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(12,430)</w:t>
            </w:r>
          </w:p>
        </w:tc>
      </w:tr>
      <w:tr>
        <w:trPr>
          <w:trHeight w:val="288"/>
        </w:trPr>
        <w:tc>
          <w:tcPr>
            <w:tcW w:w="8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premiums earned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98,717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73,868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entered into excess-of-loss reinsurance agreements with Oaktown Re Ltd., Oaktown Re II Ltd. and Oaktown Re III Ltd. (special purpose reinsurance entities collectively referred to as the Oaktown Re Vehicles) effective May 2, 2017, July 25, 2018 and July 30, 2019, respectively.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8" w:lineRule="exact"/>
        <w:rPr>
          <w:sz w:val="20"/>
          <w:szCs w:val="20"/>
          <w:color w:val="auto"/>
        </w:rPr>
      </w:pPr>
    </w:p>
    <w:p>
      <w:pPr>
        <w:jc w:val="both"/>
        <w:ind w:right="20" w:firstLine="450"/>
        <w:spacing w:after="0" w:line="311"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10 year period as the underlying insured mortgages are amortized or repaid, and/or the mortgage insurance coverage is canceled. The respective outstanding reinsurance coverage amounts stop amortizing if certain credit enhancement or delinquency thresholds, as defined in each agreement, are triggered.</w:t>
      </w:r>
    </w:p>
    <w:p>
      <w:pPr>
        <w:spacing w:after="0" w:line="9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amount for anticipated operating expenses (capped at $300 thousand per year to Oaktown Re Ltd. and $250 thousand per year to Oaktown Re II, Ltd. and Oaktown Re III, Ltd.). NMIC ceded aggregate premiums to the Oaktown Re Vehicles of $3.9 million and $3.0 million during the three months ended March 31, 2020 and three months ended March 31, 2019, respectively.</w:t>
      </w:r>
    </w:p>
    <w:p>
      <w:pPr>
        <w:spacing w:after="0" w:line="133"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months ended March 31, 2020 and 2019, as the aggregate first layer risk retention was not exhausted for each applicable agreement during such periods.</w:t>
      </w:r>
    </w:p>
    <w:p>
      <w:pPr>
        <w:spacing w:after="0" w:line="130"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10 years from the inception date of each reinsurance agreement. We refer to NMIC's reinsurance agreements with and the insurance-linked note issuances by Oaktown Re Ltd., Oaktown Re II, Ltd.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Oaktown Re III, Ltd. individually as the 2017 ILN Transaction, 2018 ILN Transaction and 2019 ILN Transaction, and collectively as the ILN Transactions.</w:t>
      </w:r>
    </w:p>
    <w:p>
      <w:pPr>
        <w:spacing w:after="0" w:line="19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First Layer</w:t>
            </w:r>
          </w:p>
        </w:tc>
        <w:tc>
          <w:tcPr>
            <w:tcW w:w="120" w:type="dxa"/>
            <w:vAlign w:val="bottom"/>
          </w:tcPr>
          <w:p>
            <w:pPr>
              <w:spacing w:after="0"/>
              <w:rPr>
                <w:sz w:val="14"/>
                <w:szCs w:val="14"/>
                <w:color w:val="auto"/>
              </w:rPr>
            </w:pPr>
          </w:p>
        </w:tc>
        <w:tc>
          <w:tcPr>
            <w:tcW w:w="1140" w:type="dxa"/>
            <w:vAlign w:val="bottom"/>
          </w:tcPr>
          <w:p>
            <w:pPr>
              <w:jc w:val="right"/>
              <w:ind w:right="139"/>
              <w:spacing w:after="0"/>
              <w:rPr>
                <w:sz w:val="20"/>
                <w:szCs w:val="20"/>
                <w:color w:val="auto"/>
              </w:rPr>
            </w:pPr>
            <w:r>
              <w:rPr>
                <w:rFonts w:ascii="Arial" w:cs="Arial" w:eastAsia="Arial" w:hAnsi="Arial"/>
                <w:sz w:val="14"/>
                <w:szCs w:val="14"/>
                <w:b w:val="1"/>
                <w:bCs w:val="1"/>
                <w:color w:val="auto"/>
              </w:rPr>
              <w:t>Current First</w:t>
            </w:r>
          </w:p>
        </w:tc>
        <w:tc>
          <w:tcPr>
            <w:tcW w:w="0" w:type="dxa"/>
            <w:vAlign w:val="bottom"/>
          </w:tcPr>
          <w:p>
            <w:pPr>
              <w:spacing w:after="0"/>
              <w:rPr>
                <w:sz w:val="1"/>
                <w:szCs w:val="1"/>
                <w:color w:val="auto"/>
              </w:rPr>
            </w:pPr>
          </w:p>
        </w:tc>
      </w:tr>
      <w:tr>
        <w:trPr>
          <w:trHeight w:val="148"/>
        </w:trPr>
        <w:tc>
          <w:tcPr>
            <w:tcW w:w="2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120" w:type="dxa"/>
            <w:vAlign w:val="bottom"/>
            <w:vMerge w:val="restart"/>
          </w:tcPr>
          <w:p>
            <w:pPr>
              <w:spacing w:after="0"/>
              <w:rPr>
                <w:sz w:val="12"/>
                <w:szCs w:val="12"/>
                <w:color w:val="auto"/>
              </w:rPr>
            </w:pPr>
          </w:p>
        </w:tc>
        <w:tc>
          <w:tcPr>
            <w:tcW w:w="2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98"/>
        </w:trPr>
        <w:tc>
          <w:tcPr>
            <w:tcW w:w="2000" w:type="dxa"/>
            <w:vAlign w:val="bottom"/>
            <w:tcBorders>
              <w:bottom w:val="single" w:sz="8" w:color="CCEEFF"/>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Retained Loss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May 2, 2017</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211,320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46,990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126,793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122,810</w:t>
            </w: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2018</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174,340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125,312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124,311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259,047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123,424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2018 ILN Transaction and the 2019 ILN Transaction, we are required to maintain a certain level of restricted funds in premium deposit accounts with Bank of New York Mellon until the respective notes have been redeemed in full. "Cash and cash equivalents" on our condensed consolidated balance sheet includes restricted amounts of $2.5 million as of March 31, 2020. We are not required to deposit additional funds into the premium deposit accounts in the future and the restricted balances required under these transactions will decrease over time as the outstanding principal balances of the respective insurance-linked notes decline.</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A.M.Best or both.</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reassuming the related risk.</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reassuming the related risk.</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NMIC may terminate either or both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7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gridSpan w:val="3"/>
          </w:tcPr>
          <w:p>
            <w:pPr>
              <w:jc w:val="right"/>
              <w:ind w:right="111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4,843,715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4,534,353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2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(23,011)</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(21,468)</w:t>
            </w: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1,532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220" w:type="dxa"/>
            <w:vAlign w:val="bottom"/>
          </w:tcPr>
          <w:p>
            <w:pPr>
              <w:spacing w:after="0"/>
              <w:rPr>
                <w:sz w:val="21"/>
                <w:szCs w:val="21"/>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4,513</w:t>
            </w:r>
          </w:p>
        </w:tc>
        <w:tc>
          <w:tcPr>
            <w:tcW w:w="3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4,206</w:t>
            </w: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12,413</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12,061</w:t>
            </w:r>
          </w:p>
        </w:tc>
      </w:tr>
      <w:tr>
        <w:trPr>
          <w:trHeight w:val="27"/>
        </w:trPr>
        <w:tc>
          <w:tcPr>
            <w:tcW w:w="7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90"/>
        <w:spacing w:after="0" w:line="273" w:lineRule="auto"/>
        <w:rPr>
          <w:sz w:val="20"/>
          <w:szCs w:val="20"/>
          <w:color w:val="auto"/>
        </w:rPr>
      </w:pPr>
      <w:r>
        <w:rPr>
          <w:rFonts w:ascii="Arial" w:cs="Arial" w:eastAsia="Arial" w:hAnsi="Arial"/>
          <w:sz w:val="17"/>
          <w:szCs w:val="17"/>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and 2018 QSR Transaction generally remain below 60% and 61%, respectively, as measured annually. Ceded claims and claim expenses under each of the QSR Transactions reduce the respective profit commission received by NMIC on a dollar-for-dollar basis.</w:t>
      </w:r>
    </w:p>
    <w:p>
      <w:pPr>
        <w:spacing w:after="0" w:line="124" w:lineRule="exact"/>
        <w:rPr>
          <w:sz w:val="20"/>
          <w:szCs w:val="20"/>
          <w:color w:val="auto"/>
        </w:rPr>
      </w:pPr>
    </w:p>
    <w:p>
      <w:pPr>
        <w:jc w:val="both"/>
        <w:ind w:firstLine="516"/>
        <w:spacing w:after="0" w:line="275"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$3.1 million as of March 31, 2020.</w:t>
      </w:r>
    </w:p>
    <w:p>
      <w:pPr>
        <w:spacing w:after="0" w:line="122" w:lineRule="exact"/>
        <w:rPr>
          <w:sz w:val="20"/>
          <w:szCs w:val="20"/>
          <w:color w:val="auto"/>
        </w:rPr>
      </w:pPr>
    </w:p>
    <w:p>
      <w:pPr>
        <w:jc w:val="both"/>
        <w:ind w:firstLine="499"/>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$3.1 million as of March 31,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503"/>
        <w:spacing w:after="0" w:line="271" w:lineRule="auto"/>
        <w:rPr>
          <w:sz w:val="20"/>
          <w:szCs w:val="20"/>
          <w:color w:val="auto"/>
        </w:rPr>
      </w:pPr>
      <w:r>
        <w:rPr>
          <w:rFonts w:ascii="Arial" w:cs="Arial" w:eastAsia="Arial" w:hAnsi="Arial"/>
          <w:sz w:val="17"/>
          <w:szCs w:val="17"/>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 reported (IBNR) reserves. We also establish claim expense reserves, which represent the estimated cost of the claim administration process, including legal and other fees, as well as other general expenses of administering the claims settlement process. As of March 31, 2020, we had reserves for insurance claims and claim expenses of $29.5 million for 1,449 primary loans in default. During the three months ended March 31, 2020, we paid 34 claims totaling $1.5 million of claims and claims expense, including 31 claims covered under the QSR Transactions representing $0.3 million of ceded claims and claim expenses.</w:t>
      </w:r>
    </w:p>
    <w:p>
      <w:pPr>
        <w:spacing w:after="0" w:line="124"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March 31, 2020, 46 loans in the pool were past due by 60 days or more. These 46 loans represented approximately $3.0 million of RIF. Due to the size of the remaining deductible, the low level of notices of defaults (NODs) reported on loans in the pool through March 31, 2020 and the expected severity (all loans in the pool have loan-to-value (LTV) ratios under 80%), we did not establish any case or IBNR reserves for pool risk at March 31, 2020. In connection with the settlement of pool claims, we applied $0.9 million to the pool deductible through March 31, 2020. At March 31, 2020, the remaining pool deductible was $9.5 million. We have not paid any pool claims to date. 100% of our pool RIF is reinsured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a reconciliation of the beginning and ending reserve balances for primary insurance claims and claim expenses:</w:t>
      </w:r>
    </w:p>
    <w:p>
      <w:pPr>
        <w:spacing w:after="0" w:line="240"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23495</wp:posOffset>
            </wp:positionV>
            <wp:extent cx="22631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Beginning balance, net of reinsurance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 claims incurred: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Claims and claim expenses incurred: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700"/>
        <w:spacing w:after="0"/>
        <w:tabs>
          <w:tab w:leader="none" w:pos="25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2263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spacing w:after="0"/>
        <w:tabs>
          <w:tab w:leader="none" w:pos="1040" w:val="left"/>
          <w:tab w:leader="none" w:pos="1820" w:val="left"/>
          <w:tab w:leader="none" w:pos="2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23,752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12,811</w:t>
      </w:r>
    </w:p>
    <w:p>
      <w:pPr>
        <w:spacing w:after="0" w:line="63" w:lineRule="exact"/>
        <w:rPr>
          <w:sz w:val="20"/>
          <w:szCs w:val="20"/>
          <w:color w:val="auto"/>
        </w:rPr>
      </w:pPr>
    </w:p>
    <w:p>
      <w:pPr>
        <w:jc w:val="both"/>
        <w:ind w:left="1080"/>
        <w:spacing w:after="0"/>
        <w:tabs>
          <w:tab w:leader="none" w:pos="2880" w:val="left"/>
        </w:tabs>
        <w:rPr>
          <w:sz w:val="20"/>
          <w:szCs w:val="20"/>
          <w:color w:val="auto"/>
        </w:rPr>
      </w:pPr>
      <w:r>
        <w:rPr>
          <w:rFonts w:ascii="Arial" w:cs="Arial" w:eastAsia="Arial" w:hAnsi="Arial"/>
          <w:sz w:val="18"/>
          <w:szCs w:val="18"/>
          <w:color w:val="auto"/>
        </w:rPr>
        <w:t>(4,939)</w:t>
      </w:r>
      <w:r>
        <w:rPr>
          <w:sz w:val="20"/>
          <w:szCs w:val="20"/>
          <w:color w:val="auto"/>
        </w:rPr>
        <w:tab/>
      </w:r>
      <w:r>
        <w:rPr>
          <w:rFonts w:ascii="Arial" w:cs="Arial" w:eastAsia="Arial" w:hAnsi="Arial"/>
          <w:sz w:val="18"/>
          <w:szCs w:val="18"/>
          <w:color w:val="auto"/>
        </w:rPr>
        <w:t>(3,001)</w:t>
      </w:r>
    </w:p>
    <w:p>
      <w:pPr>
        <w:spacing w:after="0" w:line="77" w:lineRule="exact"/>
        <w:rPr>
          <w:sz w:val="20"/>
          <w:szCs w:val="20"/>
          <w:color w:val="auto"/>
        </w:rPr>
      </w:pPr>
    </w:p>
    <w:p>
      <w:pPr>
        <w:ind w:left="1060"/>
        <w:spacing w:after="0"/>
        <w:tabs>
          <w:tab w:leader="none" w:pos="2960" w:val="left"/>
        </w:tabs>
        <w:rPr>
          <w:sz w:val="20"/>
          <w:szCs w:val="20"/>
          <w:color w:val="auto"/>
        </w:rPr>
      </w:pPr>
      <w:r>
        <w:rPr>
          <w:rFonts w:ascii="Arial" w:cs="Arial" w:eastAsia="Arial" w:hAnsi="Arial"/>
          <w:sz w:val="18"/>
          <w:szCs w:val="18"/>
          <w:color w:val="auto"/>
        </w:rPr>
        <w:t>18,813</w:t>
      </w:r>
      <w:r>
        <w:rPr>
          <w:sz w:val="20"/>
          <w:szCs w:val="20"/>
          <w:color w:val="auto"/>
        </w:rPr>
        <w:tab/>
      </w:r>
      <w:r>
        <w:rPr>
          <w:rFonts w:ascii="Arial" w:cs="Arial" w:eastAsia="Arial" w:hAnsi="Arial"/>
          <w:sz w:val="18"/>
          <w:szCs w:val="18"/>
          <w:color w:val="auto"/>
        </w:rPr>
        <w:t>9,810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2263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6980" w:space="720"/>
            <w:col w:w="3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7,558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3,909</w:t>
            </w:r>
          </w:p>
        </w:tc>
      </w:tr>
      <w:tr>
        <w:trPr>
          <w:trHeight w:val="270"/>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(1,166)</w:t>
            </w: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incurred</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5,697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2,743</w:t>
            </w:r>
          </w:p>
        </w:tc>
      </w:tr>
      <w:tr>
        <w:trPr>
          <w:trHeight w:val="128"/>
        </w:trPr>
        <w:tc>
          <w:tcPr>
            <w:tcW w:w="76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694</w:t>
            </w: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paid</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w:t>
            </w:r>
          </w:p>
        </w:tc>
      </w:tr>
      <w:tr>
        <w:trPr>
          <w:trHeight w:val="88"/>
        </w:trPr>
        <w:tc>
          <w:tcPr>
            <w:tcW w:w="76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11,859</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6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6,193</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3,678</w:t>
            </w: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29,479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15,537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00" w:right="20" w:hanging="492"/>
        <w:spacing w:after="0" w:line="250" w:lineRule="auto"/>
        <w:tabs>
          <w:tab w:leader="none" w:pos="183" w:val="left"/>
        </w:tabs>
        <w:numPr>
          <w:ilvl w:val="0"/>
          <w:numId w:val="10"/>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ind w:left="500" w:right="20" w:hanging="492"/>
        <w:spacing w:after="0" w:line="241" w:lineRule="auto"/>
        <w:tabs>
          <w:tab w:leader="none" w:pos="146" w:val="left"/>
        </w:tabs>
        <w:numPr>
          <w:ilvl w:val="0"/>
          <w:numId w:val="10"/>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w:t>
      </w: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and is presented net of reinsurance. The amount of claims incurred relating to current year NODs represents the estimated amount of claims and claim expenses to be ultimately paid on such loans in default. We recognized $1.9 million and $1.2 million of favorable prior year development during the three months ended March 31, 2020 and 2019,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$19.9 million related to prior year defaults remained as of March 31, 2020.</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 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6"/>
        </w:trPr>
        <w:tc>
          <w:tcPr>
            <w:tcW w:w="79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196"/>
        </w:trPr>
        <w:tc>
          <w:tcPr>
            <w:tcW w:w="7940" w:type="dxa"/>
            <w:vAlign w:val="bottom"/>
          </w:tcPr>
          <w:p>
            <w:pPr>
              <w:spacing w:after="0"/>
              <w:rPr>
                <w:sz w:val="17"/>
                <w:szCs w:val="17"/>
                <w:color w:val="auto"/>
              </w:rPr>
            </w:pPr>
          </w:p>
        </w:tc>
        <w:tc>
          <w:tcPr>
            <w:tcW w:w="3300" w:type="dxa"/>
            <w:vAlign w:val="bottom"/>
            <w:gridSpan w:val="5"/>
          </w:tcPr>
          <w:p>
            <w:pPr>
              <w:jc w:val="right"/>
              <w:ind w:right="372"/>
              <w:spacing w:after="0"/>
              <w:rPr>
                <w:sz w:val="20"/>
                <w:szCs w:val="20"/>
                <w:color w:val="auto"/>
              </w:rPr>
            </w:pPr>
            <w:r>
              <w:rPr>
                <w:rFonts w:ascii="Arial" w:cs="Arial" w:eastAsia="Arial" w:hAnsi="Arial"/>
                <w:sz w:val="14"/>
                <w:szCs w:val="14"/>
                <w:i w:val="1"/>
                <w:iCs w:val="1"/>
                <w:color w:val="auto"/>
              </w:rPr>
              <w:t>(In Thousands, except for per share data)</w:t>
            </w:r>
          </w:p>
        </w:tc>
      </w:tr>
      <w:tr>
        <w:trPr>
          <w:trHeight w:val="25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58,271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32,899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68,563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66,692</w:t>
            </w:r>
          </w:p>
        </w:tc>
      </w:tr>
      <w:tr>
        <w:trPr>
          <w:trHeight w:val="27"/>
        </w:trPr>
        <w:tc>
          <w:tcPr>
            <w:tcW w:w="7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58,271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32,899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(5,959)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52,312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32,899</w:t>
            </w:r>
          </w:p>
        </w:tc>
      </w:tr>
      <w:tr>
        <w:trPr>
          <w:trHeight w:val="257"/>
        </w:trPr>
        <w:tc>
          <w:tcPr>
            <w:tcW w:w="7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68,563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66,692</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Dilutive effect of issuable shares</w:t>
            </w:r>
          </w:p>
        </w:tc>
        <w:tc>
          <w:tcPr>
            <w:tcW w:w="9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2,304</w:t>
            </w:r>
          </w:p>
        </w:tc>
      </w:tr>
      <w:tr>
        <w:trPr>
          <w:trHeight w:val="27"/>
        </w:trPr>
        <w:tc>
          <w:tcPr>
            <w:tcW w:w="7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70,401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68,996</w:t>
            </w:r>
          </w:p>
        </w:tc>
      </w:tr>
      <w:tr>
        <w:trPr>
          <w:trHeight w:val="257"/>
        </w:trPr>
        <w:tc>
          <w:tcPr>
            <w:tcW w:w="79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754</w:t>
            </w:r>
          </w:p>
        </w:tc>
      </w:tr>
      <w:tr>
        <w:trPr>
          <w:trHeight w:val="27"/>
        </w:trPr>
        <w:tc>
          <w:tcPr>
            <w:tcW w:w="7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419"/>
        <w:spacing w:after="0" w:line="342" w:lineRule="auto"/>
        <w:rPr>
          <w:sz w:val="20"/>
          <w:szCs w:val="20"/>
          <w:color w:val="auto"/>
        </w:rPr>
      </w:pPr>
      <w:r>
        <w:rPr>
          <w:rFonts w:ascii="Arial" w:cs="Arial" w:eastAsia="Arial" w:hAnsi="Arial"/>
          <w:sz w:val="16"/>
          <w:szCs w:val="16"/>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nine thousand warrants were exercised resulting in the issuance of six thousand shares of common stock. Upon exercise, we reclassified approximately $0.2 million of warrant fair value from warrant liability to additional paid-in capital, of which $8 thousand related to changes in fair value during the three months ended March 31, 2020.</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2019, 67 thousand warrants were exercised resulting in the issuance of 39 thousand shares of common stock. Upon exercise, we reclassified approximately $0.9 million of warrant fair value from warrant liability to additional paid-in capital, of which $0.3 million related to changes in fair value during the three months ended March 31, 2019.</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19.2% for the three months ended March 31, 2020 compared to 15.6% for the three months ended March 31, 2019.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2020 represents a change in our net deferred tax liability. As of March 31, 2020, we held $7.6 million of tax and loss bonds in "Other assets" in our condensed consolidated balance sheet.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Regulatory Information</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Statutory Requirements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3"/>
              </w:rPr>
              <w:t>For the three months ended March 31,</w:t>
            </w:r>
          </w:p>
        </w:tc>
      </w:tr>
      <w:tr>
        <w:trPr>
          <w:trHeight w:val="196"/>
        </w:trPr>
        <w:tc>
          <w:tcPr>
            <w:tcW w:w="7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196"/>
        </w:trPr>
        <w:tc>
          <w:tcPr>
            <w:tcW w:w="7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jc w:val="center"/>
              <w:ind w:left="744"/>
              <w:spacing w:after="0"/>
              <w:rPr>
                <w:sz w:val="20"/>
                <w:szCs w:val="20"/>
                <w:color w:val="auto"/>
              </w:rPr>
            </w:pPr>
            <w:r>
              <w:rPr>
                <w:rFonts w:ascii="Arial" w:cs="Arial" w:eastAsia="Arial" w:hAnsi="Arial"/>
                <w:sz w:val="14"/>
                <w:szCs w:val="14"/>
                <w:i w:val="1"/>
                <w:iCs w:val="1"/>
                <w:color w:val="auto"/>
                <w:w w:val="93"/>
              </w:rPr>
              <w:t>(In Thousands)</w:t>
            </w:r>
          </w:p>
        </w:tc>
        <w:tc>
          <w:tcPr>
            <w:tcW w:w="1140" w:type="dxa"/>
            <w:vAlign w:val="bottom"/>
          </w:tcPr>
          <w:p>
            <w:pPr>
              <w:spacing w:after="0"/>
              <w:rPr>
                <w:sz w:val="17"/>
                <w:szCs w:val="17"/>
                <w:color w:val="auto"/>
              </w:rPr>
            </w:pPr>
          </w:p>
        </w:tc>
      </w:tr>
      <w:tr>
        <w:trPr>
          <w:trHeight w:val="24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gain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7,691</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(927)</w:t>
            </w:r>
          </w:p>
        </w:tc>
      </w:tr>
      <w:tr>
        <w:trPr>
          <w:trHeight w:val="27"/>
        </w:trPr>
        <w:tc>
          <w:tcPr>
            <w:tcW w:w="7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NMIC and Re One's combined statutory surplus, contingency reserve and risk-to-capital (RTC) ratio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r>
      <w:tr>
        <w:trPr>
          <w:trHeight w:val="196"/>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3"/>
          </w:tcPr>
          <w:p>
            <w:pPr>
              <w:jc w:val="right"/>
              <w:ind w:right="1215"/>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457,790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449,602</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Contingency reserve</w:t>
            </w:r>
          </w:p>
        </w:tc>
        <w:tc>
          <w:tcPr>
            <w:tcW w:w="240" w:type="dxa"/>
            <w:vAlign w:val="bottom"/>
          </w:tcPr>
          <w:p>
            <w:pPr>
              <w:spacing w:after="0"/>
              <w:rPr>
                <w:sz w:val="21"/>
                <w:szCs w:val="21"/>
                <w:color w:val="auto"/>
              </w:rPr>
            </w:pPr>
          </w:p>
        </w:tc>
        <w:tc>
          <w:tcPr>
            <w:tcW w:w="1500" w:type="dxa"/>
            <w:vAlign w:val="bottom"/>
          </w:tcPr>
          <w:p>
            <w:pPr>
              <w:jc w:val="right"/>
              <w:ind w:right="137"/>
              <w:spacing w:after="0"/>
              <w:rPr>
                <w:sz w:val="20"/>
                <w:szCs w:val="20"/>
                <w:color w:val="auto"/>
              </w:rPr>
            </w:pPr>
            <w:r>
              <w:rPr>
                <w:rFonts w:ascii="Arial" w:cs="Arial" w:eastAsia="Arial" w:hAnsi="Arial"/>
                <w:sz w:val="18"/>
                <w:szCs w:val="18"/>
                <w:color w:val="auto"/>
              </w:rPr>
              <w:t>588,418</w:t>
            </w:r>
          </w:p>
        </w:tc>
        <w:tc>
          <w:tcPr>
            <w:tcW w:w="22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531,825</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RTC ratio</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bl>
    <w:p>
      <w:pPr>
        <w:spacing w:after="0" w:line="148" w:lineRule="exact"/>
        <w:rPr>
          <w:sz w:val="20"/>
          <w:szCs w:val="20"/>
          <w:color w:val="auto"/>
        </w:rPr>
      </w:pPr>
    </w:p>
    <w:p>
      <w:pPr>
        <w:jc w:val="both"/>
        <w:ind w:firstLine="688"/>
        <w:spacing w:after="0" w:line="257"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NMIC and Re One are subject to certain capital and dividend rules and regulations prescribed by jurisdictions in which they are authorized to operate and the GSEs. NMIC and Re One have never paid dividends to NMIH. NMIC and Re One have the capacity to pay aggregate ordinary dividends of $16.1 million to NMIH during the 12-month period ending December 31, 2020.</w:t>
      </w:r>
    </w:p>
    <w:p>
      <w:pPr>
        <w:spacing w:after="0" w:line="200" w:lineRule="exact"/>
        <w:rPr>
          <w:sz w:val="20"/>
          <w:szCs w:val="20"/>
          <w:color w:val="auto"/>
        </w:rPr>
      </w:pPr>
    </w:p>
    <w:p>
      <w:pPr>
        <w:spacing w:after="0" w:line="335" w:lineRule="exact"/>
        <w:rPr>
          <w:sz w:val="20"/>
          <w:szCs w:val="20"/>
          <w:color w:val="auto"/>
        </w:rPr>
      </w:pPr>
    </w:p>
    <w:p>
      <w:pPr>
        <w:ind w:left="660" w:right="3840" w:hanging="652"/>
        <w:spacing w:after="0" w:line="440" w:lineRule="auto"/>
        <w:tabs>
          <w:tab w:leader="none" w:pos="2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COVID-19 Developments and Coronavirus Aid, Relief, and Economic Security (CARES) Act </w:t>
      </w:r>
      <w:r>
        <w:rPr>
          <w:rFonts w:ascii="Arial" w:cs="Arial" w:eastAsia="Arial" w:hAnsi="Arial"/>
          <w:sz w:val="18"/>
          <w:szCs w:val="18"/>
          <w:i w:val="1"/>
          <w:iCs w:val="1"/>
          <w:color w:val="auto"/>
        </w:rPr>
        <w:t>COVID-19 Developments</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30, 2020, the World Health Organization (WHO) declared the outbreak of a novel coronavirus strain (COVID-19) a global health emergency and characterized the 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In the weeks following the outbreak, non-essential businesses across the U.S. have been shuttered and capital markets have experienced a significant spike in volatility and sell-off in valuations. A record number of Americans have been furloughed or laid-off, and unemployment claims have increased dramatically.</w:t>
      </w:r>
    </w:p>
    <w:p>
      <w:pPr>
        <w:spacing w:after="0" w:line="1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global dislocation caused by COVID-19 is unprecedented and, while there is broad hope for a medical advance that relieves the crisis and provides for a quick return to normalized activity, it is not known how long the dislocation will persist. In response to the COVID-19 outbreak and continuing uncertainties, we activated our business continuity program to ensure our employees were safe and able to continue serving our customers and their borrowers without interruption. We expect the COVID-19 outbreak will have a direct effect on the U.S. housing market, with existing homeowners facing challenges related to COVID-19, and the volume and timing of future housing transactions negatively impacted as potential sellers re-evaluate or postpone planned sales (housing supply) and potential buyers reassess their ability and willingness to purchase homes (demand). We are currently assessing the potential impact the COVID-19 outbreak will have on the U.S economy and housing market, the mortgage insurance market, and our business performance and financial position, including our new business production, defaults and claims experience and investment portfolio returns, of which the ultimate outcome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CARES Act</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2020, the President signed into law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currently are eligible but have not taken advantage of the payroll protection program, emergency grants and business loans under the CARES Act. We will continue to monitor the impact that the CARES Act may have on our business, financial condition and results of operations.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On March 20, 2020, we amended the 2018 Revolving Credit Facility (2020 Revolving Credit Facility), increasing its size from $85 million to $100 million, expanding our lender group, extending its maturity to February 2023 and reducing its cost. Subsequent to the close of the quarter, we secured a further amendment to our 2020 Revolving Credit Facility to permit us to issue up to $400 million of senior debt alongside the facility, and we secured expanded approval from the Wisconsin OCI to allocate incremental holding company interest expenses to NMIC should we choose to pursue additional debt financing opportunities and downstream proceeds to support our operating businesses.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2019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2019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2020, we had master policies with 1,501 customers, including national and regional mortgage banks, money center banks, credit unions, community banks, builder-owned mortgage lenders, internet-sourced lenders and other non-bank lenders. As of March 31, 2020, we had $101.0 billion of total insurance-in-force (IIF), including primary IIF of $98.5 billion, and gross RIF of $25.3 billion, including primary RIF of $25.2 billion.</w:t>
      </w:r>
    </w:p>
    <w:p>
      <w:pPr>
        <w:spacing w:after="0" w:line="1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March 31, 2020, we had 327 full- and part-time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0" w:lineRule="exact"/>
        <w:rPr>
          <w:sz w:val="20"/>
          <w:szCs w:val="20"/>
          <w:color w:val="auto"/>
        </w:rPr>
      </w:pPr>
    </w:p>
    <w:p>
      <w:pPr>
        <w:jc w:val="both"/>
        <w:ind w:firstLine="373"/>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Developments</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30, 2020, the WHO declared the outbreak of COVID-19 a global health emergency and characterized the outbreak as a global pandemic on March 11, 2020. In an effort to stem contagion and control the COVID-19 pandemic,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In the weeks following the outbreak, non-essential businesses across the U.S. have been shuttered and capital markets have experienced a significant spike in volatility and sell-off in valuations. A record number of Americans have been furloughed or laid-off, and unemployment claims have increased dramatically.</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global dislocation caused by COVID-19 is unprecedented and, while there is broad hope for a medical advance that relieves the crisis and provides for a quick return to normalized activity, it is not known how long the dislocation will persist. In response to the COVID-19 outbreak and continuing uncertainties, we activated our business continuity program to ensure our employees were safe and able to continue serving our customers and their borrowers without interruption. We have also sought to broadly assess the potential impact the COVID-19 outbreak will have on the U.S. economy and housing market, and the implications for the mortgage insurance market, and our business performance and financial position.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the U.S. Housing Market and Mortgage Insurance Industry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the COVID-19 outbreak will have a direct effect on the U.S. housing market, with existing homeowners facing challenges related to COVID-19, and the volume and timing of future housing transactions negatively impacted as potential sellers re-evaluate or postpone planned sales (housing supply) and potential buyers reassess their ability and willingness to purchase homes (demand). The market may be further constrained as transactions between committed buyers and sellers encounter operational challenges, such as delayed title searches due to the closure of local government offices.</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market (like all others) where valuation is driven by supply/demand dynamics, this dislocation has the potential to impact housing prices. While it is too early for us to estimate the magnitude of any potential housing price decline (either nationally or in local markets), we have looked to the 2008 Financial Crisis as a point of comparison. In the wake of the 2008 Financial Crisis, national home price indices declined by approximately 30% from their pre-crisis peaks and remained severely dislocated for several years, causing significant stress for homeowners, lenders, mortgage insurers and the broader economy. We observe several differences in the current environment as compared to that in the period leading up to and through the 2008 Financial Crisis that we believe may lessen the relative housing price dislocation experienced in the aftermath of the COVID-19 outbreak, including:</w:t>
      </w:r>
    </w:p>
    <w:p>
      <w:pPr>
        <w:spacing w:after="0" w:line="110" w:lineRule="exact"/>
        <w:rPr>
          <w:sz w:val="20"/>
          <w:szCs w:val="20"/>
          <w:color w:val="auto"/>
        </w:rPr>
      </w:pPr>
    </w:p>
    <w:p>
      <w:pPr>
        <w:ind w:left="1300" w:right="20" w:hanging="644"/>
        <w:spacing w:after="0" w:line="342"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69" w:lineRule="exact"/>
        <w:rPr>
          <w:rFonts w:ascii="Arial" w:cs="Arial" w:eastAsia="Arial" w:hAnsi="Arial"/>
          <w:sz w:val="16"/>
          <w:szCs w:val="16"/>
          <w:color w:val="auto"/>
        </w:rPr>
      </w:pPr>
    </w:p>
    <w:p>
      <w:pPr>
        <w:ind w:left="1300" w:hanging="644"/>
        <w:spacing w:after="0" w:line="277" w:lineRule="auto"/>
        <w:tabs>
          <w:tab w:leader="none" w:pos="9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lower concentration of higher risk loan structures, such as negative amortizing, interest-only or short-termed option adjusted-rate mortgages being originated and outstanding in the current market;</w:t>
      </w:r>
    </w:p>
    <w:p>
      <w:pPr>
        <w:spacing w:after="0" w:line="116" w:lineRule="exact"/>
        <w:rPr>
          <w:rFonts w:ascii="Arial" w:cs="Arial" w:eastAsia="Arial" w:hAnsi="Arial"/>
          <w:sz w:val="18"/>
          <w:szCs w:val="18"/>
          <w:color w:val="auto"/>
        </w:rPr>
      </w:pPr>
    </w:p>
    <w:p>
      <w:pPr>
        <w:ind w:left="1300" w:hanging="644"/>
        <w:spacing w:after="0" w:line="263" w:lineRule="auto"/>
        <w:tabs>
          <w:tab w:leader="none" w:pos="9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129" w:lineRule="exact"/>
        <w:rPr>
          <w:rFonts w:ascii="Arial" w:cs="Arial" w:eastAsia="Arial" w:hAnsi="Arial"/>
          <w:sz w:val="18"/>
          <w:szCs w:val="18"/>
          <w:color w:val="auto"/>
        </w:rPr>
      </w:pPr>
    </w:p>
    <w:p>
      <w:pPr>
        <w:ind w:left="1300" w:hanging="644"/>
        <w:spacing w:after="0" w:line="263" w:lineRule="auto"/>
        <w:tabs>
          <w:tab w:leader="none" w:pos="9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immediate application by politicians,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129" w:lineRule="exact"/>
        <w:rPr>
          <w:rFonts w:ascii="Arial" w:cs="Arial" w:eastAsia="Arial" w:hAnsi="Arial"/>
          <w:sz w:val="18"/>
          <w:szCs w:val="18"/>
          <w:color w:val="auto"/>
        </w:rPr>
      </w:pPr>
    </w:p>
    <w:p>
      <w:pPr>
        <w:ind w:left="1300" w:hanging="644"/>
        <w:spacing w:after="0" w:line="263" w:lineRule="auto"/>
        <w:tabs>
          <w:tab w:leader="none" w:pos="9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broader and equally immediate application of a massive amount of fiscal and monetary stimulus by the federal government under the CARES Act and across a range of other programs designed to assist unemployed individuals and distressed businesses, as well as support the smooth functioning of various capital and risk markets.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perceive the house price environment in the period leading up to the current COVID-crisis to be anchored by more balanced market fundamentals than that in the period leading up to the 2008 Financial Crisis. We believe the 2008 Financial Crisis was directly precipitated by irresponsible behavior in the housing market in which home prices were driven to unsustainable heights (a so called “bubble”). We see a causal link between the housing market and the 2008 Financial Crisis that we do not see in the COVID-19 outbreak, and we believe this will further lessen the relative housing price dislocation experienced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jc w:val="both"/>
        <w:ind w:firstLine="648"/>
        <w:spacing w:after="0" w:line="275" w:lineRule="auto"/>
        <w:rPr>
          <w:sz w:val="20"/>
          <w:szCs w:val="20"/>
          <w:color w:val="auto"/>
        </w:rPr>
      </w:pPr>
      <w:r>
        <w:rPr>
          <w:rFonts w:ascii="Arial" w:cs="Arial" w:eastAsia="Arial" w:hAnsi="Arial"/>
          <w:sz w:val="17"/>
          <w:szCs w:val="17"/>
          <w:color w:val="auto"/>
        </w:rPr>
        <w:t>Notwithstanding the relative differences we observe in the current environment as compared to the 2008 Financial Crisis, we do expect that housing prices will be impacted by the COVID-19 outbreak. We also expect the mix of purchase and refinancing mortgage originations will shift in the near-term due to the current pandemic. We anticipate that purchase mortgage origination volume will be lower in the aftermath of the COVID-19 outbreak than it otherwise would have been as buyers and sellers postpone or more broadly reassess current and future transactions, while we expect refinancing origination volume will increase significantly as declining mortgage rates create refinancing opportunities for existing borrowers.</w:t>
      </w:r>
    </w:p>
    <w:p>
      <w:pPr>
        <w:spacing w:after="0" w:line="1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Historically, U.S. mortgage insurance industry penetration of the purchase origination market has been meaningfully higher than the refinancing origination market, as new home buyers have generally required a greater degree of down payment support, while refinancing borrowers have typically benefited from increasing equity in their existing homes. In recent periods, however, mortgage insurance industry penetration of the refinancing market has increased significantly and the composition of industry new insurance written (NIW) volume between purchase and refinancing loans has shifted. Refinancing originations accounted for approximately 30% of total mortgage insurance industry NIW volume for the quarter-ended December 31, 2019, compared to approximately 6% for the quarter-ended December 31, 2018. We expect this trend to continue in the near-term as purchase origination volume slows and refinancing origination volume increases, particularly as those borrowers who capitalize on the emerging refinancing opportunity may not have significant equity in their homes (either because they are refinancing so soon after closing on a new home purchase or because of a decline in the appraised value of their property) and may need to rely on mortgage insurance support to complete their transactions.</w:t>
      </w:r>
    </w:p>
    <w:p>
      <w:pPr>
        <w:spacing w:after="0" w:line="11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this context, we expect to see a decline in total U.S. mortgage insurance industry NIW volume in the near-term, with the impact of declining purchase origination volume partially offset by a dramatic increase in, and increasing mortgage insurance penetration of, refinancing origination volume.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NMI's Business Performance and Financial Position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327 employees at March 31, 2020, including 173 who typically work at our corporate headquarters in Emeryville, CA and 154 who typically work from home in locations across the country. In response to the COVID-19 outbreak, we activated our business continuity program and instituted additional work-from-home practices for our 173 Emeryville-based staff. We have transitioned our operations seamlessly and continue to positively engage with customers on a remote basis. Our IT environment, underwriting capabilities, policy servicing platform and risk architecture have continued without interruption, and our internal control environment and internal controls over financial reporting are unchanged. We have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Business Production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that the volume, composition, credit profile and pricing of our new business production will change due to the COVID-19 crisis.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NIW has expanded significantly in past periods, driven by growth in the overall mortgage insurance market and the success we have had further developing our customer franchise. During the three-year period between January 1, 2017 and December 31, 2019, we activated 340 new lenders, growing our franchise by over 45%, and successfully deepened our engagement with many existing customers. In the same period, total U.S. mortgage insurance NIW volume increased by 19% annually - peaking at $384 billion for the year-ended December 31, 2019. Notwithstanding our recent gains and the customer success we have achieved, we expect that our new business volume will decline in the near-term along with the broader decline we anticipate in total U.S. mortgage insurance industry NIW volume.</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broadly defined underwriting standards and loan-level eligibility criteria that are designed to limit our exposure to higher risk loans, and have used Rate GPS to actively shape the mix of our new business production and insured portfolio by, among other risk factors, borrower FICO score, debt-to-income (DTI) ratio and LTV ratio. At March 31, 2020, the weighted average FICO score of our IIF was 751 and we had a 4% mix of below 680 FICO score risk. Similarly, at March 31, 2020, the weighted average LTV ratio (at origination) of our insured portfolio was 91.9% and we had a 10% mix of 97% LTV risk. In the weeks since the outbreak of COVID-19, we have adopted changes to our underwriting guidelines, including changes to our loan documentation requirements, our asset reserve requirements, our employment verification process and our income continuance determinations, that we expect will further strengthen the credit risk profile of our new business production.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We set our premium rates based on a broad range of individual and market variables, including property type, type of loan product, borrower credit characteristics, and lender profile. Given the significant economic dislocation caused thus far by the COVID-19 outbreak, and the uncertain duration and ultimate global impact of this crisis, we have taken action to increase the premium rates we charge on all new business production, in accordance with our filed rates and applicable rating rules. We expect the pricing changes we have instituted will increase the rate received on NIW volume in future periods and further enhance the credit mix of our new business production.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Delinquency Trends and Claims Expense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had 1,449 NODs in our primary insured portfolio as of March 31, 2020, which represented a 0.38% delinquency rate against our 376,852 total policies in-force. Given the recency of the COVID-19 outbreak, most borrowers (even those immediately impacted by the crisis) have not defaulted on their mortgages (</w:t>
      </w:r>
      <w:r>
        <w:rPr>
          <w:rFonts w:ascii="Arial" w:cs="Arial" w:eastAsia="Arial" w:hAnsi="Arial"/>
          <w:sz w:val="17"/>
          <w:szCs w:val="17"/>
          <w:i w:val="1"/>
          <w:iCs w:val="1"/>
          <w:color w:val="auto"/>
        </w:rPr>
        <w:t>i.e.</w:t>
      </w:r>
      <w:r>
        <w:rPr>
          <w:rFonts w:ascii="Arial" w:cs="Arial" w:eastAsia="Arial" w:hAnsi="Arial"/>
          <w:sz w:val="17"/>
          <w:szCs w:val="17"/>
          <w:color w:val="auto"/>
        </w:rPr>
        <w:t>, missed two or more payments as due). We expect that we will see a significant increase in our default population going forward as borrowers face challenges related to COVID-19 and access the forbearance program for federally backed loans codified under the CARES Act or other programs made available by private lenders. As of April 30, 2020, our default population had increased to 1,610, which represented a 0.43% delinquency rate. We are not yet able to forecast the ultimate level of forbearance-driven delinquencies we will receive or the timing in which they will develop. While early, we have observed a correlation between the risk profile of the underlying borrowers and the incidence of forbearance in the data received through April 30, 2020. Borrowers with weaker credit profiles appear to be accessing forbearance programs with notably higher frequency. This trend is further supported by the forbearance data being reported by Black Knight McDash, which indicates that a meaningfully higher concentration of mortgages insured by the FHA and VA are in forbearance status compared to the loans purchased by the GSEs. Mortgages insured by the FHA and VA are generally of meaningfully lower credit quality than those purchased by the GSEs. We are monitoring this trend with particular focus given the high-quality credit profile of our insured portfolio.</w:t>
      </w:r>
    </w:p>
    <w:p>
      <w:pPr>
        <w:spacing w:after="0" w:line="1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establish reserves for claims and allocated claim expenses when we are notified that a borrower is in default (</w:t>
      </w:r>
      <w:r>
        <w:rPr>
          <w:rFonts w:ascii="Arial" w:cs="Arial" w:eastAsia="Arial" w:hAnsi="Arial"/>
          <w:sz w:val="16"/>
          <w:szCs w:val="16"/>
          <w:i w:val="1"/>
          <w:iCs w:val="1"/>
          <w:color w:val="auto"/>
        </w:rPr>
        <w:t>i.e.</w:t>
      </w:r>
      <w:r>
        <w:rPr>
          <w:rFonts w:ascii="Arial" w:cs="Arial" w:eastAsia="Arial" w:hAnsi="Arial"/>
          <w:sz w:val="16"/>
          <w:szCs w:val="16"/>
          <w:color w:val="auto"/>
        </w:rPr>
        <w:t>, has missed two or more mortgage payments). As our default population grows in future periods, we expect to establish increasing reserves and incur additional claims expense. The size of the reserve we establish for each defaulted loan (and by extension our aggregate reserve and claims expense) will reflect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Our reserve setting process in future periods will consider this dynamic along with our expectations for house prices (and current views of general resiliency), interest rates and unemployment rates.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Capital Position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approved mortgage insurer and Wisconsin-domiciled carrier, we are required to satisfy financial and/or capitalization requirements stipulated by each of the GSEs and the Wisconsin OCI.</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financial requirements stipulated by the GSEs are outlined in the PMIERs. Under the PMIERs, we must maintain available assets that are equal to or exceed a minimum risk-based required asset amount, subject to a minimum floor of $400 million. At March 31, 2020, we reported $1,070 million available assets against $912 million risk-based required assets for a $157 million of “excess” funding position.</w:t>
      </w:r>
    </w:p>
    <w:p>
      <w:pPr>
        <w:spacing w:after="0" w:line="1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The PMIERs charge on non-performing loans that enter delinquent status up to 30 days prior and 90 days after a FEMA-declared Major Disaster is adjusted by a 30% multiplier (inversely, a 70% haircut). FEMA has made a Major Disaster Declaration in all 50 states in response to the COVID-19 pandemic. As such, the PMIERs risk-based required asset charge for all newly delinquent loans nationwide (including those that go delinquent under a federal or private forbearance program) will be reduced by 70%.</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PMIERs minimum risk-based required asset amount is also adjusted for our reinsurance transactions (as approved by the GSEs). Under our quota share reinsurance treaties, we receive credit for the PMIERs risk-based required asset amount 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delinquency lockout triggers. In the event delinquencies exceed 4% of ceded RIF, the ILN notes stop amortizing and the cash held in trust is secured for our benefit. As the underlying RIF continues to run-off, this has the effect of increasing the overcollateralization within, and excess PMIERs capacity provided by, each ILN structure.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the level of overcollateralization of each of our ILN structures at March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Borders>
              <w:bottom w:val="single" w:sz="8" w:color="A6A6A6"/>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values in thousands)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2017 ILN Transaction</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2018 ILN Transaction</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2019 ILN Transaction</w:t>
            </w:r>
          </w:p>
        </w:tc>
      </w:tr>
      <w:tr>
        <w:trPr>
          <w:trHeight w:val="241"/>
        </w:trPr>
        <w:tc>
          <w:tcPr>
            <w:tcW w:w="5320" w:type="dxa"/>
            <w:vAlign w:val="bottom"/>
          </w:tcPr>
          <w:p>
            <w:pPr>
              <w:ind w:left="20"/>
              <w:spacing w:after="0"/>
              <w:rPr>
                <w:sz w:val="20"/>
                <w:szCs w:val="20"/>
                <w:color w:val="auto"/>
              </w:rPr>
            </w:pPr>
            <w:r>
              <w:rPr>
                <w:rFonts w:ascii="Arial" w:cs="Arial" w:eastAsia="Arial" w:hAnsi="Arial"/>
                <w:sz w:val="18"/>
                <w:szCs w:val="18"/>
                <w:color w:val="auto"/>
              </w:rPr>
              <w:t>Ceded RIF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3,087,267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3,853,559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5,044,194</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95"/>
        </w:trPr>
        <w:tc>
          <w:tcPr>
            <w:tcW w:w="5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Current First Layer Retained Loss</w:t>
            </w:r>
          </w:p>
        </w:tc>
        <w:tc>
          <w:tcPr>
            <w:tcW w:w="260" w:type="dxa"/>
            <w:vAlign w:val="bottom"/>
          </w:tcPr>
          <w:p>
            <w:pPr>
              <w:spacing w:after="0"/>
              <w:rPr>
                <w:sz w:val="21"/>
                <w:szCs w:val="21"/>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122,810</w:t>
            </w:r>
          </w:p>
        </w:tc>
        <w:tc>
          <w:tcPr>
            <w:tcW w:w="220" w:type="dxa"/>
            <w:vAlign w:val="bottom"/>
          </w:tcPr>
          <w:p>
            <w:pPr>
              <w:spacing w:after="0"/>
              <w:rPr>
                <w:sz w:val="21"/>
                <w:szCs w:val="21"/>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124,311</w:t>
            </w:r>
          </w:p>
        </w:tc>
        <w:tc>
          <w:tcPr>
            <w:tcW w:w="26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123,424</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Reinsurance Coverage</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46,990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174,340</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259,047</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Eligible Coverage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169,800</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298,651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382,471</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Subordinated Coverage</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148"/>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PMIERs Charge on Ceded RIF</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Overcollateralization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19,522</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43,192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35,138</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48"/>
        </w:trPr>
        <w:tc>
          <w:tcPr>
            <w:tcW w:w="5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Delinquency Trigger</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320" w:type="dxa"/>
            <w:vAlign w:val="bottom"/>
            <w:tcBorders>
              <w:bottom w:val="single" w:sz="8" w:color="A6A6A6"/>
            </w:tcBorders>
          </w:tcPr>
          <w:p>
            <w:pPr>
              <w:spacing w:after="0"/>
              <w:rPr>
                <w:sz w:val="2"/>
                <w:szCs w:val="2"/>
                <w:color w:val="auto"/>
              </w:rPr>
            </w:pPr>
          </w:p>
        </w:tc>
        <w:tc>
          <w:tcPr>
            <w:tcW w:w="260" w:type="dxa"/>
            <w:vAlign w:val="bottom"/>
            <w:tcBorders>
              <w:bottom w:val="single" w:sz="8" w:color="A6A6A6"/>
            </w:tcBorders>
          </w:tcPr>
          <w:p>
            <w:pPr>
              <w:spacing w:after="0"/>
              <w:rPr>
                <w:sz w:val="2"/>
                <w:szCs w:val="2"/>
                <w:color w:val="auto"/>
              </w:rPr>
            </w:pPr>
          </w:p>
        </w:tc>
        <w:tc>
          <w:tcPr>
            <w:tcW w:w="1740" w:type="dxa"/>
            <w:vAlign w:val="bottom"/>
            <w:tcBorders>
              <w:bottom w:val="single" w:sz="8" w:color="A6A6A6"/>
            </w:tcBorders>
          </w:tcPr>
          <w:p>
            <w:pPr>
              <w:spacing w:after="0"/>
              <w:rPr>
                <w:sz w:val="2"/>
                <w:szCs w:val="2"/>
                <w:color w:val="auto"/>
              </w:rPr>
            </w:pPr>
          </w:p>
        </w:tc>
        <w:tc>
          <w:tcPr>
            <w:tcW w:w="220" w:type="dxa"/>
            <w:vAlign w:val="bottom"/>
            <w:tcBorders>
              <w:bottom w:val="single" w:sz="8" w:color="A6A6A6"/>
            </w:tcBorders>
          </w:tcPr>
          <w:p>
            <w:pPr>
              <w:spacing w:after="0"/>
              <w:rPr>
                <w:sz w:val="2"/>
                <w:szCs w:val="2"/>
                <w:color w:val="auto"/>
              </w:rPr>
            </w:pPr>
          </w:p>
        </w:tc>
        <w:tc>
          <w:tcPr>
            <w:tcW w:w="1680" w:type="dxa"/>
            <w:vAlign w:val="bottom"/>
            <w:tcBorders>
              <w:bottom w:val="single" w:sz="8" w:color="A6A6A6"/>
            </w:tcBorders>
          </w:tcPr>
          <w:p>
            <w:pPr>
              <w:spacing w:after="0"/>
              <w:rPr>
                <w:sz w:val="2"/>
                <w:szCs w:val="2"/>
                <w:color w:val="auto"/>
              </w:rPr>
            </w:pPr>
          </w:p>
        </w:tc>
        <w:tc>
          <w:tcPr>
            <w:tcW w:w="260" w:type="dxa"/>
            <w:vAlign w:val="bottom"/>
            <w:tcBorders>
              <w:bottom w:val="single" w:sz="8" w:color="A6A6A6"/>
            </w:tcBorders>
          </w:tcPr>
          <w:p>
            <w:pPr>
              <w:spacing w:after="0"/>
              <w:rPr>
                <w:sz w:val="2"/>
                <w:szCs w:val="2"/>
                <w:color w:val="auto"/>
              </w:rPr>
            </w:pPr>
          </w:p>
        </w:tc>
        <w:tc>
          <w:tcPr>
            <w:tcW w:w="1760" w:type="dxa"/>
            <w:vAlign w:val="bottom"/>
            <w:tcBorders>
              <w:bottom w:val="single" w:sz="8" w:color="A6A6A6"/>
            </w:tcBorders>
          </w:tcPr>
          <w:p>
            <w:pPr>
              <w:spacing w:after="0"/>
              <w:rPr>
                <w:sz w:val="2"/>
                <w:szCs w:val="2"/>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2020, we had an aggregate $98 million of overcollateralization available across our three ILN transactions to absorb an increase in the PMIERs risk-based required asset amount on ceded RIF. Assuming the 4% "delinquency lockout trigger" is activated in each deal and our underlying RIF continues to run-off at the same rate as it did during the month ended March 31, 2020, we estimate that our total overcollateralization would increase by up to $70 million per quarter.</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forbearance-driven default rates on our in-force portfolio materially exceed the current forbearance rates noted by Black Knight McDash for each of the GSEs and FHA/VA, given our $157 million excess available asset position at March 31, 2020, the nationwide applicability of the 70% FEMA-disaster haircut on newly delinquent policies, the increasing PMIERs relief automatically provided under each of our quota share and ILN treaties, and our expectation for declining new business funding requirements (with lower NIW volume coming through at incrementally higher credit quality).</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NMIC is also subject to state regulatory minimum capital requirements based on its RIF. Formulations of this minimum capital vary by state, however, the most common measure allows for a maximum ratio of RIF to statutory capital (commonly referred to as “risk-to-capital” or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 and we expect this to remain the case in the aftermath of the COVID-19 outbreak.</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evaluate our liquidity position at both a holding company (NMIH) and primary operating subsidiary (NMIC) level. As of March 31, 2020, we had $1.2 billion of consolidated cash and investments, including $44 million of cash and investments at NMIH.</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has refreshed its approval of the debt service agreement providing for the additional reimbursement by NMIC of interest expense due under our amended and upsized 2020 Revolving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8"/>
          <w:szCs w:val="18"/>
          <w:color w:val="auto"/>
        </w:rPr>
        <w:t>Credit Facility. The Wisconsin OCI has also provided for the allocation of incremental holding company interest expenses to NMIC should we choose to pursue additional debt financing opportunities.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also has access to $100 million of undrawn revolving credit capacity under the 2020 Revolving Credit Facility and $16.1 million of aggregate ordinary course dividend capacity available from NMIC and Re One without the prior approval of the Wisconsin OCI. Amounts drawn under the 2020 Revolving Credit Facility are available as directed for NMIH needs or may be down-streamed to support the requirements of our operating subsidiaries if we so decide. See Item 1, "</w:t>
      </w:r>
      <w:r>
        <w:rPr>
          <w:rFonts w:ascii="Arial" w:cs="Arial" w:eastAsia="Arial" w:hAnsi="Arial"/>
          <w:sz w:val="17"/>
          <w:szCs w:val="17"/>
          <w:i w:val="1"/>
          <w:iCs w:val="1"/>
          <w:color w:val="auto"/>
        </w:rPr>
        <w:t>Financial Statements - Notes to Condensed Consolidated Financial Statements - Note 4, Debt</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2020, NMIC had $1.1 billion of cash and investments, including $76 million of cash and equivalents. NMIC's principal liquidity demands include funds for the payment of</w:t>
      </w:r>
    </w:p>
    <w:p>
      <w:pPr>
        <w:spacing w:after="0" w:line="2" w:lineRule="exact"/>
        <w:rPr>
          <w:sz w:val="20"/>
          <w:szCs w:val="20"/>
          <w:color w:val="auto"/>
        </w:rPr>
      </w:pPr>
    </w:p>
    <w:p>
      <w:pPr>
        <w:jc w:val="both"/>
        <w:ind w:firstLine="8"/>
        <w:spacing w:after="0" w:line="251" w:lineRule="auto"/>
        <w:tabs>
          <w:tab w:leader="none" w:pos="2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reimbursable holding company expenses, (ii) premiums ceded under our reinsurance transactions, and (iii) claims payments. NMIC's cash inflow is generally significantly in excess of its cash outflow in any given period. During the twelve-month period ended March 31, 2020, NMIC generated $216 million of cash flow from operations and received an additional $252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8"/>
          <w:szCs w:val="18"/>
          <w:i w:val="1"/>
          <w:iCs w:val="1"/>
          <w:color w:val="auto"/>
        </w:rPr>
        <w:t>i.e.</w:t>
      </w:r>
      <w:r>
        <w:rPr>
          <w:rFonts w:ascii="Arial" w:cs="Arial" w:eastAsia="Arial" w:hAnsi="Arial"/>
          <w:sz w:val="18"/>
          <w:szCs w:val="18"/>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pay meaningful cash claims in the near-term.</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paid to NMIC on monthly policies are generally collected and remitted by loan servicers. We have noted the broad discussion about the liquidity challenges loan servicers may themselves face in the event of widespread borrower utilization of forbearance programs. We do not currently believe that loan servicer liquidity issues will have a material impact on NMIC's premium receipts or liquidity profile. Loan servicers are contractually obligated to advance mortgage insurance premiums in a timely manner, even if the underlying borrowers fail to remit their monthly mortgage payments. We believe the GSEs are considering options to continue remitting premiums to us (and other mortgage insurers) on delinquent loans in the event a loan servicer fails to fulfill its obligation, including directly advancing such mortgage insurance premiums and/or moving the servicing obligation to a more adequately funded loan servicer with the capacity to continue making premium payments.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portfolio</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March 31, 2020, we had $1.1 billion of invested assets and $110 million of cash and equivalents. Our investment strategy equally prioritizes capital preservation alongside income generation, and we have a long-established investment policy that sets conservative limits for asset types, industry sectors, single issuers and instrument credit ratings. At March 31, 2020, our investment portfolio was comprised of 100% fixed income assets with 100% of our holdings rated investment grade and our portfolio having an average rating of "A+." At March 31, 2020, our portfolio was highly liquid and highly diversified with no Level 3 asset positions and no single issuer concentration greater than 1.5%. Despite the severe sell-off generally seen across the capital markets, our investment portfolio was in a $11 million aggregate unrealized gain position at quarter end. We may experience future fluctuation in the value of our investment holdings, but did not record any allowance for credit losses in the portfolio in the quarter-ended March 31, 2020, as we expect to recover the amortized cost basis of all securities held.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pre-tax book yield on our investment portfolio was 3.0% for the three months ended March 31, 2020. We calculate book yield as annualized net investment income divided by the average amortized cost of the investment portfolio. Given the current interest rate environment and our focus on high-grade assets, the yield we are capturing on new investments is below that of the total portfolio. We expect our total portfolio yield will migrate down over time if this dynamic holds.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monitor the impact that the CARES Act may have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461"/>
        <w:spacing w:after="0" w:line="269"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NIW;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2020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repaid earlier than expected, our profitability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us and reducing our incurred claims in accordance with the terms of the reinsurance agreement. In addition, reinsurers typically pay ceding commissions as part of quota share transactions, which offset our acquisition and underwriting expenses. Certain quota share agreements include profit commissions that are earned based on loss performance and serve to reduce ceded premiums. Under an excess-of-loss agreement, typically we are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September 1, 2016, NMIC entered into the 2016 QSR Transaction with a syndicate of third-party reinsurers. 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NMIC entered into the 2018 QSR Transaction with a syndicate of third-party reinsurers. Under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terms of the QSR Transactions, NMIC may elect to selectively terminate its engagement with individual reinsurers on a run-off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reinsurers continue providing coverage on all risk ceded prior to the termination date, with no new cessions going forward) or cut-off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has secured aggregate excess-of-loss reinsurance coverage on defined portfolios of mortgage insurance policies written during discrete periods through a series of mortgage insurance-linked note offerings by the Oaktown Re Vehicles.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The respective reinsurance coverage amounts provided by the Oaktown Re Vehicles generally decrease from the inception of each agreement over a 10-year period as the underlying insured mortgages are amortized or repaid, and/or the mortgage insurance coverage is canceled. The respective outstanding reinsurance coverage amounts stop amortizing if certain credit enhancement or delinquency thresholds, as defined in each agreement are triggered, referred to as a lock-out feature.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a lock-out trigger is breached, the respective ILN notes stop amortizing and the assets held in trust are frozen for our benefit while the underlying risk continues to run-off.</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Initial First Layer</w:t>
            </w:r>
          </w:p>
        </w:tc>
        <w:tc>
          <w:tcPr>
            <w:tcW w:w="140" w:type="dxa"/>
            <w:vAlign w:val="bottom"/>
          </w:tcPr>
          <w:p>
            <w:pPr>
              <w:spacing w:after="0"/>
              <w:rPr>
                <w:sz w:val="14"/>
                <w:szCs w:val="14"/>
                <w:color w:val="auto"/>
              </w:rPr>
            </w:pPr>
          </w:p>
        </w:tc>
        <w:tc>
          <w:tcPr>
            <w:tcW w:w="1140" w:type="dxa"/>
            <w:vAlign w:val="bottom"/>
          </w:tcPr>
          <w:p>
            <w:pPr>
              <w:jc w:val="right"/>
              <w:ind w:right="139"/>
              <w:spacing w:after="0"/>
              <w:rPr>
                <w:sz w:val="20"/>
                <w:szCs w:val="20"/>
                <w:color w:val="auto"/>
              </w:rPr>
            </w:pPr>
            <w:r>
              <w:rPr>
                <w:rFonts w:ascii="Arial" w:cs="Arial" w:eastAsia="Arial" w:hAnsi="Arial"/>
                <w:sz w:val="14"/>
                <w:szCs w:val="14"/>
                <w:b w:val="1"/>
                <w:bCs w:val="1"/>
                <w:color w:val="auto"/>
              </w:rPr>
              <w:t>Current First</w:t>
            </w:r>
          </w:p>
        </w:tc>
        <w:tc>
          <w:tcPr>
            <w:tcW w:w="0" w:type="dxa"/>
            <w:vAlign w:val="bottom"/>
          </w:tcPr>
          <w:p>
            <w:pPr>
              <w:spacing w:after="0"/>
              <w:rPr>
                <w:sz w:val="1"/>
                <w:szCs w:val="1"/>
                <w:color w:val="auto"/>
              </w:rPr>
            </w:pPr>
          </w:p>
        </w:tc>
      </w:tr>
      <w:tr>
        <w:trPr>
          <w:trHeight w:val="148"/>
        </w:trPr>
        <w:tc>
          <w:tcPr>
            <w:tcW w:w="2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Inception Date</w:t>
            </w:r>
          </w:p>
        </w:tc>
        <w:tc>
          <w:tcPr>
            <w:tcW w:w="120" w:type="dxa"/>
            <w:vAlign w:val="bottom"/>
            <w:vMerge w:val="restart"/>
          </w:tcPr>
          <w:p>
            <w:pPr>
              <w:spacing w:after="0"/>
              <w:rPr>
                <w:sz w:val="12"/>
                <w:szCs w:val="12"/>
                <w:color w:val="auto"/>
              </w:rPr>
            </w:pPr>
          </w:p>
        </w:tc>
        <w:tc>
          <w:tcPr>
            <w:tcW w:w="2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98"/>
        </w:trPr>
        <w:tc>
          <w:tcPr>
            <w:tcW w:w="202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Retained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 2017</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211,320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46,990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126,793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122,810</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25, 2018</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174,340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124,311</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30, 2019</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259,047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w w:val="95"/>
              </w:rPr>
              <w:t>As of and for the three months ended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6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6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NIW</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IIF</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NIW</w:t>
            </w:r>
          </w:p>
        </w:tc>
      </w:tr>
      <w:tr>
        <w:trPr>
          <w:trHeight w:val="196"/>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81,347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8"/>
              </w:rPr>
              <w:t>55,995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6,211</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Single</w:t>
            </w:r>
          </w:p>
        </w:tc>
        <w:tc>
          <w:tcPr>
            <w:tcW w:w="22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17,147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17,239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702</w:t>
            </w:r>
          </w:p>
        </w:tc>
      </w:tr>
      <w:tr>
        <w:trPr>
          <w:trHeight w:val="27"/>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98,494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8"/>
              </w:rPr>
              <w:t>73,234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6,913</w:t>
            </w:r>
          </w:p>
        </w:tc>
      </w:tr>
      <w:tr>
        <w:trPr>
          <w:trHeight w:val="108"/>
        </w:trPr>
        <w:tc>
          <w:tcPr>
            <w:tcW w:w="6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6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100,981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11,297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98"/>
              </w:rPr>
              <w:t>76,072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6,913</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75"/>
        <w:spacing w:after="0" w:line="259" w:lineRule="auto"/>
        <w:rPr>
          <w:sz w:val="20"/>
          <w:szCs w:val="20"/>
          <w:color w:val="auto"/>
        </w:rPr>
      </w:pPr>
      <w:r>
        <w:rPr>
          <w:rFonts w:ascii="Arial" w:cs="Arial" w:eastAsia="Arial" w:hAnsi="Arial"/>
          <w:sz w:val="18"/>
          <w:szCs w:val="18"/>
          <w:color w:val="auto"/>
        </w:rPr>
        <w:t>For the three months ended March 31, 2020, primary NIW increased 63% compared to the three months ended March 31, 2019, primarily due to growth in our monthly policy production tied to increased penetration of existing customer accounts, new customer account activations and a larger mortgage insurance market. The increase also contributed to the growth in single premium policy production. For the three months ended March 31, 2020, monthly primary NIW increased 68% compared to the three months ended March 31, 2019.</w:t>
      </w:r>
    </w:p>
    <w:p>
      <w:pPr>
        <w:spacing w:after="0" w:line="133"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For the three months ended March 31, 2020, monthly premium polices accounted for 93% of our NIW. As of March 31, 2020, monthly premium policies accounted for 83% of our primary IIF, as compared to 76% at March 31, 2019. We expect the break-down of monthly premium policies and single premium policies (which we refer to as "mix") in our primary IIF will continue to trend toward an increased monthly mix over time given the composition of our NIW.</w:t>
      </w:r>
    </w:p>
    <w:p>
      <w:pPr>
        <w:spacing w:after="0" w:line="133"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8"/>
          <w:szCs w:val="18"/>
          <w:color w:val="auto"/>
        </w:rPr>
        <w:t>Total IIF increased 33% as of March 31, 2020 compared to March 31, 2019, primarily due to the NIW generated between such measurement dates, partially offset by the run-off of our in-force policies. Our persistency rate decreased to 71.7% at March 31, 2020 from 87.2% at March 31, 2019, reflecting the impact of increased refinancing activity tied to record low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8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March 31, 2019</w:t>
            </w:r>
          </w:p>
        </w:tc>
      </w:tr>
      <w:tr>
        <w:trPr>
          <w:trHeight w:val="196"/>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3"/>
          </w:tcPr>
          <w:p>
            <w:pPr>
              <w:jc w:val="right"/>
              <w:ind w:right="81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91,371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71,923</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spacing w:after="0"/>
              <w:rPr>
                <w:sz w:val="21"/>
                <w:szCs w:val="21"/>
                <w:color w:val="auto"/>
              </w:rPr>
            </w:pPr>
          </w:p>
        </w:tc>
        <w:tc>
          <w:tcPr>
            <w:tcW w:w="1120" w:type="dxa"/>
            <w:vAlign w:val="bottom"/>
          </w:tcPr>
          <w:p>
            <w:pPr>
              <w:jc w:val="right"/>
              <w:ind w:right="61"/>
              <w:spacing w:after="0"/>
              <w:rPr>
                <w:sz w:val="20"/>
                <w:szCs w:val="20"/>
                <w:color w:val="auto"/>
              </w:rPr>
            </w:pPr>
            <w:r>
              <w:rPr>
                <w:rFonts w:ascii="Arial" w:cs="Arial" w:eastAsia="Arial" w:hAnsi="Arial"/>
                <w:sz w:val="18"/>
                <w:szCs w:val="18"/>
                <w:color w:val="auto"/>
              </w:rPr>
              <w:t>98,717</w:t>
            </w:r>
          </w:p>
        </w:tc>
        <w:tc>
          <w:tcPr>
            <w:tcW w:w="2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73,868</w:t>
            </w:r>
          </w:p>
        </w:tc>
      </w:tr>
    </w:tbl>
    <w:p>
      <w:pPr>
        <w:spacing w:after="0" w:line="175" w:lineRule="exact"/>
        <w:rPr>
          <w:sz w:val="20"/>
          <w:szCs w:val="20"/>
          <w:color w:val="auto"/>
        </w:rPr>
      </w:pPr>
    </w:p>
    <w:p>
      <w:pPr>
        <w:jc w:val="both"/>
        <w:ind w:firstLine="439"/>
        <w:spacing w:after="0" w:line="275" w:lineRule="auto"/>
        <w:rPr>
          <w:sz w:val="20"/>
          <w:szCs w:val="20"/>
          <w:color w:val="auto"/>
        </w:rPr>
      </w:pPr>
      <w:r>
        <w:rPr>
          <w:rFonts w:ascii="Arial" w:cs="Arial" w:eastAsia="Arial" w:hAnsi="Arial"/>
          <w:sz w:val="17"/>
          <w:szCs w:val="17"/>
          <w:color w:val="auto"/>
        </w:rPr>
        <w:t>For the three months ended March 31, 2020, net premiums written and earned increased 27% and 34%, respectively, compared to the three months ended March 31, 2019. The increases in net premiums written and earned are primarily due to the growth of our IIF and increased monthly policy production, partially offset by increased cessions under the QSR Transactions tied to the growth of our direct premium volume and the inception of the 2019 ILN Transaction. Net premiums earned grew at an accelerated pace compared to net premiums written due to the amortization of unearned premiums and earnings on single premium policy cancellations, partially offset by new single premium policy originations.</w:t>
      </w:r>
    </w:p>
    <w:p>
      <w:pPr>
        <w:spacing w:after="0" w:line="122"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Pool premiums written and earned for the three months ended March 31, 2020 and 2019, were $0.7 million and $0.8 million before giving effect to the 2016 QSR Transaction, under which all of our written and earned pool premiums have been ceded. A portion of our ceded pool premiums earned are recouped through profit commission under the 2016 QSR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gridSpan w:val="6"/>
          </w:tcPr>
          <w:p>
            <w:pPr>
              <w:jc w:val="right"/>
              <w:ind w:right="691"/>
              <w:spacing w:after="0"/>
              <w:rPr>
                <w:sz w:val="20"/>
                <w:szCs w:val="20"/>
                <w:color w:val="auto"/>
              </w:rPr>
            </w:pPr>
            <w:r>
              <w:rPr>
                <w:rFonts w:ascii="Arial" w:cs="Arial" w:eastAsia="Arial" w:hAnsi="Arial"/>
                <w:sz w:val="14"/>
                <w:szCs w:val="14"/>
                <w:b w:val="1"/>
                <w:bCs w:val="1"/>
                <w:color w:val="auto"/>
              </w:rPr>
              <w:t>As of and for the three months ended</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8"/>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March 31, 2020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 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 2019</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auto"/>
            </w:tcBorders>
          </w:tcPr>
          <w:p>
            <w:pPr>
              <w:spacing w:after="0"/>
              <w:rPr>
                <w:sz w:val="18"/>
                <w:szCs w:val="18"/>
                <w:color w:val="auto"/>
              </w:rPr>
            </w:pPr>
          </w:p>
        </w:tc>
      </w:tr>
      <w:tr>
        <w:trPr>
          <w:trHeight w:val="19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i w:val="1"/>
                <w:iCs w:val="1"/>
                <w:color w:val="auto"/>
              </w:rPr>
              <w:t>($ Values In Millions)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3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380" w:type="dxa"/>
            <w:vAlign w:val="bottom"/>
          </w:tcPr>
          <w:p>
            <w:pPr>
              <w:spacing w:after="0"/>
              <w:rPr>
                <w:sz w:val="21"/>
                <w:szCs w:val="21"/>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92 %</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91 %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8 %</w:t>
            </w:r>
          </w:p>
        </w:tc>
        <w:tc>
          <w:tcPr>
            <w:tcW w:w="1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21"/>
                <w:szCs w:val="21"/>
                <w:color w:val="auto"/>
              </w:rPr>
            </w:pP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3,082</w:t>
            </w:r>
          </w:p>
        </w:tc>
        <w:tc>
          <w:tcPr>
            <w:tcW w:w="26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98,494</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94,754</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81,708</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73,234</w:t>
            </w:r>
          </w:p>
        </w:tc>
        <w:tc>
          <w:tcPr>
            <w:tcW w:w="180" w:type="dxa"/>
            <w:vAlign w:val="bottom"/>
            <w:shd w:val="clear" w:color="auto" w:fill="CCEEFF"/>
          </w:tcPr>
          <w:p>
            <w:pPr>
              <w:spacing w:after="0"/>
              <w:rPr>
                <w:sz w:val="23"/>
                <w:szCs w:val="23"/>
                <w:color w:val="auto"/>
              </w:rPr>
            </w:pPr>
          </w:p>
        </w:tc>
      </w:tr>
      <w:tr>
        <w:trPr>
          <w:trHeight w:val="243"/>
        </w:trPr>
        <w:tc>
          <w:tcPr>
            <w:tcW w:w="400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3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380" w:type="dxa"/>
            <w:vAlign w:val="bottom"/>
          </w:tcPr>
          <w:p>
            <w:pPr>
              <w:spacing w:after="0"/>
              <w:rPr>
                <w:sz w:val="21"/>
                <w:szCs w:val="21"/>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80 %</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78 %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20 %</w:t>
            </w:r>
          </w:p>
        </w:tc>
        <w:tc>
          <w:tcPr>
            <w:tcW w:w="1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Risk-in-force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25,192</w:t>
            </w:r>
          </w:p>
        </w:tc>
        <w:tc>
          <w:tcPr>
            <w:tcW w:w="220" w:type="dxa"/>
            <w:vAlign w:val="bottom"/>
          </w:tcPr>
          <w:p>
            <w:pPr>
              <w:spacing w:after="0"/>
              <w:rPr>
                <w:sz w:val="23"/>
                <w:szCs w:val="23"/>
                <w:color w:val="auto"/>
              </w:rPr>
            </w:pP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24,173</w:t>
            </w:r>
          </w:p>
        </w:tc>
        <w:tc>
          <w:tcPr>
            <w:tcW w:w="260" w:type="dxa"/>
            <w:vAlign w:val="bottom"/>
          </w:tcPr>
          <w:p>
            <w:pPr>
              <w:spacing w:after="0"/>
              <w:rPr>
                <w:sz w:val="23"/>
                <w:szCs w:val="23"/>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22,810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20,661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18,373</w:t>
            </w: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376,852</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366,039</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350,395</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324,876</w:t>
            </w: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297,232</w:t>
            </w:r>
          </w:p>
        </w:tc>
        <w:tc>
          <w:tcPr>
            <w:tcW w:w="180" w:type="dxa"/>
            <w:vAlign w:val="bottom"/>
            <w:shd w:val="clear" w:color="auto" w:fill="CCEEFF"/>
          </w:tcPr>
          <w:p>
            <w:pPr>
              <w:spacing w:after="0"/>
              <w:rPr>
                <w:sz w:val="23"/>
                <w:szCs w:val="23"/>
                <w:color w:val="auto"/>
              </w:rPr>
            </w:pP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0.261</w:t>
            </w:r>
          </w:p>
        </w:tc>
        <w:tc>
          <w:tcPr>
            <w:tcW w:w="220" w:type="dxa"/>
            <w:vAlign w:val="bottom"/>
          </w:tcPr>
          <w:p>
            <w:pPr>
              <w:spacing w:after="0"/>
              <w:rPr>
                <w:sz w:val="23"/>
                <w:szCs w:val="23"/>
                <w:color w:val="auto"/>
              </w:rPr>
            </w:pP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0.259</w:t>
            </w:r>
          </w:p>
        </w:tc>
        <w:tc>
          <w:tcPr>
            <w:tcW w:w="260" w:type="dxa"/>
            <w:vAlign w:val="bottom"/>
          </w:tcPr>
          <w:p>
            <w:pPr>
              <w:spacing w:after="0"/>
              <w:rPr>
                <w:sz w:val="23"/>
                <w:szCs w:val="23"/>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0.256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0.246</w:t>
            </w: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Percentage of loans in default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3"/>
                <w:szCs w:val="23"/>
                <w:color w:val="auto"/>
              </w:rPr>
            </w:pP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3"/>
                <w:szCs w:val="23"/>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3"/>
                <w:szCs w:val="23"/>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3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0.43 %</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0.43 %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352"/>
        </w:trPr>
        <w:tc>
          <w:tcPr>
            <w:tcW w:w="400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3"/>
                <w:szCs w:val="23"/>
                <w:color w:val="auto"/>
                <w:vertAlign w:val="superscript"/>
              </w:rPr>
              <w:t>(5)</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61" w:lineRule="exact"/>
        <w:rPr>
          <w:sz w:val="20"/>
          <w:szCs w:val="20"/>
          <w:color w:val="auto"/>
        </w:rPr>
      </w:pPr>
    </w:p>
    <w:p>
      <w:pPr>
        <w:ind w:left="380" w:hanging="129"/>
        <w:spacing w:after="0"/>
        <w:tabs>
          <w:tab w:leader="none" w:pos="380" w:val="left"/>
        </w:tabs>
        <w:numPr>
          <w:ilvl w:val="0"/>
          <w:numId w:val="15"/>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380" w:hanging="129"/>
        <w:spacing w:after="0"/>
        <w:tabs>
          <w:tab w:leader="none" w:pos="38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end of period RIF divided by end of period IIF.</w:t>
      </w:r>
    </w:p>
    <w:p>
      <w:pPr>
        <w:spacing w:after="0" w:line="1" w:lineRule="exact"/>
        <w:rPr>
          <w:rFonts w:ascii="Arial" w:cs="Arial" w:eastAsia="Arial" w:hAnsi="Arial"/>
          <w:sz w:val="9"/>
          <w:szCs w:val="9"/>
          <w:color w:val="auto"/>
        </w:rPr>
      </w:pPr>
    </w:p>
    <w:p>
      <w:pPr>
        <w:ind w:left="380" w:hanging="129"/>
        <w:spacing w:after="0"/>
        <w:tabs>
          <w:tab w:leader="none" w:pos="38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net premiums earned divided by average primary IIF for the period, annualized.</w:t>
      </w:r>
    </w:p>
    <w:p>
      <w:pPr>
        <w:spacing w:after="0" w:line="1" w:lineRule="exact"/>
        <w:rPr>
          <w:rFonts w:ascii="Arial" w:cs="Arial" w:eastAsia="Arial" w:hAnsi="Arial"/>
          <w:sz w:val="9"/>
          <w:szCs w:val="9"/>
          <w:color w:val="auto"/>
        </w:rPr>
      </w:pPr>
    </w:p>
    <w:p>
      <w:pPr>
        <w:ind w:left="380" w:hanging="129"/>
        <w:spacing w:after="0"/>
        <w:tabs>
          <w:tab w:leader="none" w:pos="380" w:val="left"/>
        </w:tabs>
        <w:numPr>
          <w:ilvl w:val="0"/>
          <w:numId w:val="15"/>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 given 12-month period.</w:t>
      </w:r>
    </w:p>
    <w:p>
      <w:pPr>
        <w:spacing w:after="0" w:line="1" w:lineRule="exact"/>
        <w:rPr>
          <w:rFonts w:ascii="Arial" w:cs="Arial" w:eastAsia="Arial" w:hAnsi="Arial"/>
          <w:sz w:val="9"/>
          <w:szCs w:val="9"/>
          <w:color w:val="auto"/>
        </w:rPr>
      </w:pPr>
    </w:p>
    <w:p>
      <w:pPr>
        <w:ind w:left="380" w:hanging="129"/>
        <w:spacing w:after="0"/>
        <w:tabs>
          <w:tab w:leader="none" w:pos="380" w:val="left"/>
        </w:tabs>
        <w:numPr>
          <w:ilvl w:val="0"/>
          <w:numId w:val="15"/>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 given three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ind w:left="3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96"/>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March 31, 2019</w:t>
            </w:r>
          </w:p>
        </w:tc>
      </w:tr>
      <w:tr>
        <w:trPr>
          <w:trHeight w:val="196"/>
        </w:trPr>
        <w:tc>
          <w:tcPr>
            <w:tcW w:w="8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4"/>
          </w:tcPr>
          <w:p>
            <w:pPr>
              <w:jc w:val="center"/>
              <w:ind w:right="54"/>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94,754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68,551</w:t>
            </w: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NIW</w:t>
            </w:r>
          </w:p>
        </w:tc>
        <w:tc>
          <w:tcPr>
            <w:tcW w:w="140" w:type="dxa"/>
            <w:vAlign w:val="bottom"/>
          </w:tcPr>
          <w:p>
            <w:pPr>
              <w:spacing w:after="0"/>
              <w:rPr>
                <w:sz w:val="21"/>
                <w:szCs w:val="21"/>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rPr>
              <w:t>11,297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6,913</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(2,230)</w:t>
            </w: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98,494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73,234</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2019</w:t>
            </w:r>
          </w:p>
        </w:tc>
        <w:tc>
          <w:tcPr>
            <w:tcW w:w="960" w:type="dxa"/>
            <w:vAlign w:val="bottom"/>
            <w:tcBorders>
              <w:bottom w:val="single" w:sz="8" w:color="auto"/>
            </w:tcBorders>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RIF</w:t>
            </w: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196"/>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11,236</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90"/>
              </w:rPr>
              <w:t>39,485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1,789</w:t>
            </w: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17,545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25,609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6,492</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2017</w:t>
            </w:r>
          </w:p>
        </w:tc>
        <w:tc>
          <w:tcPr>
            <w:tcW w:w="10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90"/>
              </w:rPr>
              <w:t>13,656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18,353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4,514</w:t>
            </w: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10,962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3,652</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2015 and before</w:t>
            </w:r>
          </w:p>
        </w:tc>
        <w:tc>
          <w:tcPr>
            <w:tcW w:w="10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1,926</w:t>
            </w:r>
          </w:p>
        </w:tc>
      </w:tr>
      <w:tr>
        <w:trPr>
          <w:trHeight w:val="27"/>
        </w:trPr>
        <w:tc>
          <w:tcPr>
            <w:tcW w:w="4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98,494</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25,192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73,234</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18,373</w:t>
            </w:r>
          </w:p>
        </w:tc>
      </w:tr>
      <w:tr>
        <w:trPr>
          <w:trHeight w:val="20"/>
        </w:trPr>
        <w:tc>
          <w:tcPr>
            <w:tcW w:w="4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8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6" w:name="page37"/>
    <w:bookmarkEnd w:id="36"/>
    <w:p>
      <w:pPr>
        <w:ind w:firstLine="370"/>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jc w:val="center"/>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3,057</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1,224</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1,044</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792</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553</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&lt;=679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243</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6,913</w:t>
            </w:r>
          </w:p>
        </w:tc>
      </w:tr>
      <w:tr>
        <w:trPr>
          <w:trHeight w:val="263"/>
        </w:trPr>
        <w:tc>
          <w:tcPr>
            <w:tcW w:w="790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749</w:t>
            </w:r>
          </w:p>
        </w:tc>
      </w:tr>
      <w:tr>
        <w:trPr>
          <w:trHeight w:val="21"/>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784"/>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693"/>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7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March 31, 2019</w:t>
            </w: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jc w:val="center"/>
              <w:ind w:right="113"/>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721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569</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56"/>
              <w:spacing w:after="0"/>
              <w:rPr>
                <w:sz w:val="20"/>
                <w:szCs w:val="20"/>
                <w:color w:val="auto"/>
              </w:rPr>
            </w:pPr>
            <w:r>
              <w:rPr>
                <w:rFonts w:ascii="Arial" w:cs="Arial" w:eastAsia="Arial" w:hAnsi="Arial"/>
                <w:sz w:val="18"/>
                <w:szCs w:val="18"/>
                <w:color w:val="auto"/>
              </w:rPr>
              <w:t>5,009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3,424</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4,082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2,241</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85.00% and below</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56"/>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679</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11,297</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6,913</w:t>
            </w:r>
          </w:p>
        </w:tc>
      </w:tr>
      <w:tr>
        <w:trPr>
          <w:trHeight w:val="263"/>
        </w:trPr>
        <w:tc>
          <w:tcPr>
            <w:tcW w:w="790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92.2 %</w:t>
            </w:r>
          </w:p>
        </w:tc>
      </w:tr>
      <w:tr>
        <w:trPr>
          <w:trHeight w:val="21"/>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784"/>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center"/>
              <w:ind w:right="93"/>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jc w:val="center"/>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6,383</w:t>
            </w:r>
          </w:p>
        </w:tc>
      </w:tr>
      <w:tr>
        <w:trPr>
          <w:trHeight w:val="270"/>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Refinance </w:t>
            </w:r>
            <w:r>
              <w:rPr>
                <w:rFonts w:ascii="Arial" w:cs="Arial" w:eastAsia="Arial" w:hAnsi="Arial"/>
                <w:sz w:val="23"/>
                <w:szCs w:val="23"/>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530</w:t>
            </w:r>
          </w:p>
        </w:tc>
      </w:tr>
      <w:tr>
        <w:trPr>
          <w:trHeight w:val="28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6,913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amount of cash-out refinance loans insured in our portfolio was de minimis for the periods presented</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15"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7"/>
          <w:szCs w:val="17"/>
          <w:color w:val="auto"/>
        </w:rPr>
        <w:t>The tables below present our total primary IIF and RIF by FICO and LTV and total primary RIF by loan type as of the dates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March 31, 2020</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March 31, 2019</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gridSpan w:val="4"/>
          </w:tcPr>
          <w:p>
            <w:pPr>
              <w:jc w:val="right"/>
              <w:ind w:right="10"/>
              <w:spacing w:after="0"/>
              <w:rPr>
                <w:sz w:val="20"/>
                <w:szCs w:val="20"/>
                <w:color w:val="auto"/>
              </w:rPr>
            </w:pPr>
            <w:r>
              <w:rPr>
                <w:rFonts w:ascii="Arial" w:cs="Arial" w:eastAsia="Arial" w:hAnsi="Arial"/>
                <w:sz w:val="14"/>
                <w:szCs w:val="14"/>
                <w:i w:val="1"/>
                <w:iCs w:val="1"/>
                <w:color w:val="auto"/>
              </w:rPr>
              <w:t>($ Values In Millions)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47,340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33,902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12,160</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14,002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8,122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5,435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&lt;=679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32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98,494</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73,234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1"/>
        </w:trPr>
        <w:tc>
          <w:tcPr>
            <w:tcW w:w="48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 average FICO</w:t>
            </w:r>
          </w:p>
        </w:tc>
        <w:tc>
          <w:tcPr>
            <w:tcW w:w="4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84"/>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March 31, 2020</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March 31, 2019</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gridSpan w:val="4"/>
          </w:tcPr>
          <w:p>
            <w:pPr>
              <w:jc w:val="right"/>
              <w:ind w:right="10"/>
              <w:spacing w:after="0"/>
              <w:rPr>
                <w:sz w:val="20"/>
                <w:szCs w:val="20"/>
                <w:color w:val="auto"/>
              </w:rPr>
            </w:pPr>
            <w:r>
              <w:rPr>
                <w:rFonts w:ascii="Arial" w:cs="Arial" w:eastAsia="Arial" w:hAnsi="Arial"/>
                <w:sz w:val="14"/>
                <w:szCs w:val="14"/>
                <w:i w:val="1"/>
                <w:iCs w:val="1"/>
                <w:color w:val="auto"/>
              </w:rPr>
              <w:t>($ Values In Millions)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12,076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8,506</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&lt;=679 </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23"/>
                <w:szCs w:val="23"/>
                <w:color w:val="auto"/>
              </w:rPr>
            </w:pPr>
          </w:p>
        </w:tc>
      </w:tr>
      <w:tr>
        <w:trPr>
          <w:trHeight w:val="32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25,192</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18,373</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8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 average FICO</w:t>
            </w:r>
          </w:p>
        </w:tc>
        <w:tc>
          <w:tcPr>
            <w:tcW w:w="4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749</w:t>
            </w:r>
          </w:p>
        </w:tc>
        <w:tc>
          <w:tcPr>
            <w:tcW w:w="12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r>
      <w:tr>
        <w:trPr>
          <w:trHeight w:val="21"/>
        </w:trPr>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There were no loans with a FICO &lt;=620 insured in our portfolio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31, 2019</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jc w:val="center"/>
              <w:ind w:right="2853"/>
              <w:spacing w:after="0"/>
              <w:rPr>
                <w:sz w:val="20"/>
                <w:szCs w:val="20"/>
                <w:color w:val="auto"/>
              </w:rPr>
            </w:pPr>
            <w:r>
              <w:rPr>
                <w:rFonts w:ascii="Arial" w:cs="Arial" w:eastAsia="Arial" w:hAnsi="Arial"/>
                <w:sz w:val="18"/>
                <w:szCs w:val="18"/>
                <w:color w:val="auto"/>
                <w:w w:val="87"/>
              </w:rPr>
              <w:t>95.01% and above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8,838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7,204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700" w:type="dxa"/>
            <w:vAlign w:val="bottom"/>
          </w:tcPr>
          <w:p>
            <w:pPr>
              <w:jc w:val="center"/>
              <w:ind w:right="2853"/>
              <w:spacing w:after="0"/>
              <w:rPr>
                <w:sz w:val="20"/>
                <w:szCs w:val="20"/>
                <w:color w:val="auto"/>
              </w:rPr>
            </w:pPr>
            <w:r>
              <w:rPr>
                <w:rFonts w:ascii="Arial" w:cs="Arial" w:eastAsia="Arial" w:hAnsi="Arial"/>
                <w:sz w:val="18"/>
                <w:szCs w:val="18"/>
                <w:color w:val="auto"/>
                <w:w w:val="89"/>
              </w:rPr>
              <w:t>90.01% to 95.00%</w:t>
            </w:r>
          </w:p>
        </w:tc>
        <w:tc>
          <w:tcPr>
            <w:tcW w:w="46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46,318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jc w:val="center"/>
              <w:ind w:right="2853"/>
              <w:spacing w:after="0"/>
              <w:rPr>
                <w:sz w:val="20"/>
                <w:szCs w:val="20"/>
                <w:color w:val="auto"/>
              </w:rPr>
            </w:pPr>
            <w:r>
              <w:rPr>
                <w:rFonts w:ascii="Arial" w:cs="Arial" w:eastAsia="Arial" w:hAnsi="Arial"/>
                <w:sz w:val="18"/>
                <w:szCs w:val="18"/>
                <w:color w:val="auto"/>
                <w:w w:val="89"/>
              </w:rPr>
              <w:t>85.01% to 90.00%</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31,729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22,208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jc w:val="center"/>
              <w:ind w:right="2833"/>
              <w:spacing w:after="0"/>
              <w:rPr>
                <w:sz w:val="20"/>
                <w:szCs w:val="20"/>
                <w:color w:val="auto"/>
              </w:rPr>
            </w:pPr>
            <w:r>
              <w:rPr>
                <w:rFonts w:ascii="Arial" w:cs="Arial" w:eastAsia="Arial" w:hAnsi="Arial"/>
                <w:sz w:val="18"/>
                <w:szCs w:val="18"/>
                <w:color w:val="auto"/>
                <w:w w:val="90"/>
              </w:rPr>
              <w:t>85.00% and below</w:t>
            </w:r>
          </w:p>
        </w:tc>
        <w:tc>
          <w:tcPr>
            <w:tcW w:w="46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11,609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32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98,494</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73,234</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tcBorders>
              <w:top w:val="single" w:sz="8" w:color="CCEEFF"/>
            </w:tcBorders>
          </w:tcPr>
          <w:p>
            <w:pPr>
              <w:jc w:val="center"/>
              <w:ind w:right="2893"/>
              <w:spacing w:after="0"/>
              <w:rPr>
                <w:sz w:val="20"/>
                <w:szCs w:val="20"/>
                <w:color w:val="auto"/>
              </w:rPr>
            </w:pPr>
            <w:r>
              <w:rPr>
                <w:rFonts w:ascii="Arial" w:cs="Arial" w:eastAsia="Arial" w:hAnsi="Arial"/>
                <w:sz w:val="18"/>
                <w:szCs w:val="18"/>
                <w:color w:val="auto"/>
                <w:w w:val="91"/>
              </w:rPr>
              <w:t>Weighted average LTV</w:t>
            </w:r>
          </w:p>
        </w:tc>
        <w:tc>
          <w:tcPr>
            <w:tcW w:w="4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91.9 %</w:t>
            </w: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91.9 %</w:t>
            </w:r>
          </w:p>
        </w:tc>
        <w:tc>
          <w:tcPr>
            <w:tcW w:w="100" w:type="dxa"/>
            <w:vAlign w:val="bottom"/>
            <w:tcBorders>
              <w:top w:val="single" w:sz="8" w:color="CCEEFF"/>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8"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 2020</w:t>
            </w: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right"/>
              <w:ind w:right="832"/>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46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13,587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7,767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85.00% and below</w:t>
            </w:r>
          </w:p>
        </w:tc>
        <w:tc>
          <w:tcPr>
            <w:tcW w:w="46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2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25,192</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18,373</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4"/>
                <w:szCs w:val="24"/>
                <w:color w:val="auto"/>
              </w:rPr>
            </w:pPr>
          </w:p>
        </w:tc>
      </w:tr>
      <w:tr>
        <w:trPr>
          <w:trHeight w:val="231"/>
        </w:trPr>
        <w:tc>
          <w:tcPr>
            <w:tcW w:w="4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 average LTV</w:t>
            </w:r>
          </w:p>
        </w:tc>
        <w:tc>
          <w:tcPr>
            <w:tcW w:w="4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92.7 %</w:t>
            </w: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92.7 %</w:t>
            </w:r>
          </w:p>
        </w:tc>
        <w:tc>
          <w:tcPr>
            <w:tcW w:w="100" w:type="dxa"/>
            <w:vAlign w:val="bottom"/>
            <w:tcBorders>
              <w:top w:val="single" w:sz="8" w:color="CCEEFF"/>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4"/>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March 31, 2020</w:t>
            </w:r>
          </w:p>
        </w:tc>
        <w:tc>
          <w:tcPr>
            <w:tcW w:w="1320" w:type="dxa"/>
            <w:vAlign w:val="bottom"/>
          </w:tcPr>
          <w:p>
            <w:pPr>
              <w:jc w:val="right"/>
              <w:ind w:right="92"/>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4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Fixed</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0" w:type="dxa"/>
            <w:vAlign w:val="bottom"/>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Adjustable rate mortgages</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Five years and longer</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4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4"/>
                <w:szCs w:val="24"/>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170"/>
        <w:spacing w:after="0"/>
        <w:tabs>
          <w:tab w:leader="none" w:pos="34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There were no interest-only mortgages insured in our portfolio for the periods presented.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March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March 31, 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1"/>
                <w:szCs w:val="11"/>
                <w:color w:val="auto"/>
              </w:rPr>
            </w:pPr>
          </w:p>
        </w:tc>
        <w:tc>
          <w:tcPr>
            <w:tcW w:w="8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4"/>
              </w:rPr>
              <w:t>Remaining</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 Remaining</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 of</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Incurred Loss</w:t>
            </w: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8"/>
              </w:rPr>
              <w:t>Ratio</w:t>
            </w:r>
          </w:p>
        </w:tc>
        <w:tc>
          <w:tcPr>
            <w:tcW w:w="11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restart"/>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Insurance</w:t>
            </w:r>
          </w:p>
        </w:tc>
        <w:tc>
          <w:tcPr>
            <w:tcW w:w="98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w w:val="94"/>
              </w:rPr>
              <w:t>Insurance in</w:t>
            </w:r>
          </w:p>
        </w:tc>
        <w:tc>
          <w:tcPr>
            <w:tcW w:w="940" w:type="dxa"/>
            <w:vAlign w:val="bottom"/>
            <w:vMerge w:val="restart"/>
          </w:tcPr>
          <w:p>
            <w:pPr>
              <w:jc w:val="center"/>
              <w:ind w:left="175"/>
              <w:spacing w:after="0" w:line="158" w:lineRule="exact"/>
              <w:rPr>
                <w:sz w:val="20"/>
                <w:szCs w:val="20"/>
                <w:color w:val="auto"/>
              </w:rPr>
            </w:pPr>
            <w:r>
              <w:rPr>
                <w:rFonts w:ascii="Arial" w:cs="Arial" w:eastAsia="Arial" w:hAnsi="Arial"/>
                <w:sz w:val="14"/>
                <w:szCs w:val="14"/>
                <w:b w:val="1"/>
                <w:bCs w:val="1"/>
                <w:color w:val="auto"/>
                <w:w w:val="97"/>
              </w:rPr>
              <w:t>of Original</w:t>
            </w:r>
          </w:p>
        </w:tc>
        <w:tc>
          <w:tcPr>
            <w:tcW w:w="280" w:type="dxa"/>
            <w:vAlign w:val="bottom"/>
          </w:tcPr>
          <w:p>
            <w:pPr>
              <w:spacing w:after="0"/>
              <w:rPr>
                <w:sz w:val="6"/>
                <w:szCs w:val="6"/>
                <w:color w:val="auto"/>
              </w:rPr>
            </w:pPr>
          </w:p>
        </w:tc>
        <w:tc>
          <w:tcPr>
            <w:tcW w:w="110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Policies Ever in</w:t>
            </w:r>
          </w:p>
        </w:tc>
        <w:tc>
          <w:tcPr>
            <w:tcW w:w="11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Policies in</w:t>
            </w:r>
          </w:p>
        </w:tc>
        <w:tc>
          <w:tcPr>
            <w:tcW w:w="8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Loans in</w:t>
            </w:r>
          </w:p>
        </w:tc>
        <w:tc>
          <w:tcPr>
            <w:tcW w:w="78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Claims</w:t>
            </w:r>
          </w:p>
        </w:tc>
        <w:tc>
          <w:tcPr>
            <w:tcW w:w="108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95"/>
              </w:rPr>
              <w:t>(Inception to</w:t>
            </w:r>
          </w:p>
        </w:tc>
        <w:tc>
          <w:tcPr>
            <w:tcW w:w="1140" w:type="dxa"/>
            <w:vAlign w:val="bottom"/>
            <w:vMerge w:val="restart"/>
          </w:tcPr>
          <w:p>
            <w:pPr>
              <w:jc w:val="right"/>
              <w:ind w:right="154"/>
              <w:spacing w:after="0" w:line="158" w:lineRule="exact"/>
              <w:rPr>
                <w:sz w:val="20"/>
                <w:szCs w:val="20"/>
                <w:color w:val="auto"/>
              </w:rPr>
            </w:pPr>
            <w:r>
              <w:rPr>
                <w:rFonts w:ascii="Arial" w:cs="Arial" w:eastAsia="Arial" w:hAnsi="Arial"/>
                <w:sz w:val="14"/>
                <w:szCs w:val="14"/>
                <w:b w:val="1"/>
                <w:bCs w:val="1"/>
                <w:color w:val="auto"/>
              </w:rPr>
              <w:t>Cumulative</w:t>
            </w: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5"/>
              </w:rPr>
              <w:t>Default Rate</w:t>
            </w:r>
          </w:p>
        </w:tc>
        <w:tc>
          <w:tcPr>
            <w:tcW w:w="0" w:type="dxa"/>
            <w:vAlign w:val="bottom"/>
          </w:tcPr>
          <w:p>
            <w:pPr>
              <w:spacing w:after="0"/>
              <w:rPr>
                <w:sz w:val="1"/>
                <w:szCs w:val="1"/>
                <w:color w:val="auto"/>
              </w:rPr>
            </w:pPr>
          </w:p>
        </w:tc>
      </w:tr>
      <w:tr>
        <w:trPr>
          <w:trHeight w:val="55"/>
        </w:trPr>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Book year</w:t>
            </w: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Pr>
          <w:p>
            <w:pPr>
              <w:spacing w:after="0"/>
              <w:rPr>
                <w:sz w:val="4"/>
                <w:szCs w:val="4"/>
                <w:color w:val="auto"/>
              </w:rPr>
            </w:pPr>
          </w:p>
        </w:tc>
        <w:tc>
          <w:tcPr>
            <w:tcW w:w="8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9"/>
              </w:rPr>
              <w:t>Force</w:t>
            </w:r>
          </w:p>
        </w:tc>
        <w:tc>
          <w:tcPr>
            <w:tcW w:w="940" w:type="dxa"/>
            <w:vAlign w:val="bottom"/>
            <w:vMerge w:val="restart"/>
          </w:tcPr>
          <w:p>
            <w:pPr>
              <w:jc w:val="center"/>
              <w:ind w:left="195"/>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Pr>
          <w:p>
            <w:pPr>
              <w:spacing w:after="0"/>
              <w:rPr>
                <w:sz w:val="4"/>
                <w:szCs w:val="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Force</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Paid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Date) </w:t>
            </w:r>
            <w:r>
              <w:rPr>
                <w:rFonts w:ascii="Arial" w:cs="Arial" w:eastAsia="Arial" w:hAnsi="Arial"/>
                <w:sz w:val="9"/>
                <w:szCs w:val="9"/>
                <w:b w:val="1"/>
                <w:bCs w:val="1"/>
                <w:color w:val="auto"/>
                <w:w w:val="96"/>
              </w:rPr>
              <w:t>(1)</w:t>
            </w:r>
          </w:p>
        </w:tc>
        <w:tc>
          <w:tcPr>
            <w:tcW w:w="11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9"/>
                <w:szCs w:val="9"/>
                <w:b w:val="1"/>
                <w:bCs w:val="1"/>
                <w:color w:val="auto"/>
              </w:rPr>
              <w:t>(2)</w:t>
            </w: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7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11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gridSpan w:val="2"/>
            <w:vMerge w:val="continue"/>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ind w:left="40"/>
              <w:spacing w:after="0"/>
              <w:rPr>
                <w:sz w:val="20"/>
                <w:szCs w:val="20"/>
                <w:color w:val="auto"/>
              </w:rPr>
            </w:pPr>
            <w:r>
              <w:rPr>
                <w:rFonts w:ascii="Arial" w:cs="Arial" w:eastAsia="Arial" w:hAnsi="Arial"/>
                <w:sz w:val="14"/>
                <w:szCs w:val="14"/>
                <w:i w:val="1"/>
                <w:iCs w:val="1"/>
                <w:color w:val="auto"/>
              </w:rPr>
              <w:t>($ Values 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12 %</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0.2 %</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747</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22 %</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4.1 %</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0.6 %</w:t>
            </w: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4,843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52,548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23,277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3.0 %</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10,962</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47,687</w:t>
            </w:r>
          </w:p>
        </w:tc>
        <w:tc>
          <w:tcPr>
            <w:tcW w:w="12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2.4 %</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0.4 %</w:t>
            </w:r>
          </w:p>
        </w:tc>
        <w:tc>
          <w:tcPr>
            <w:tcW w:w="9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13,656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85,897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59,356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3.4 %</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17,545</w:t>
            </w: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104,043</w:t>
            </w:r>
          </w:p>
        </w:tc>
        <w:tc>
          <w:tcPr>
            <w:tcW w:w="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73,620</w:t>
            </w:r>
          </w:p>
        </w:tc>
        <w:tc>
          <w:tcPr>
            <w:tcW w:w="12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4.6 %</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0.4 %</w:t>
            </w:r>
          </w:p>
        </w:tc>
        <w:tc>
          <w:tcPr>
            <w:tcW w:w="92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39,485</w:t>
            </w:r>
          </w:p>
        </w:tc>
        <w:tc>
          <w:tcPr>
            <w:tcW w:w="1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87 %</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148,423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133,291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2.3 %</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11,297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11,236</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99 %</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35,581</w:t>
            </w:r>
          </w:p>
        </w:tc>
        <w:tc>
          <w:tcPr>
            <w:tcW w:w="1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35,425</w:t>
            </w:r>
          </w:p>
        </w:tc>
        <w:tc>
          <w:tcPr>
            <w:tcW w:w="1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142,537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98,494</w:t>
            </w:r>
          </w:p>
        </w:tc>
        <w:tc>
          <w:tcPr>
            <w:tcW w:w="9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525,559</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376,852</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Calculated as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62" w:right="4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March 31, 2020, our RIF continues, although declining, to be relatively more concentrated in California, primarily as a result of the size of the California mortgage market relative to the rest of the country and the location and timing of our acquisition of new customers. The distribution of our primary RIF as of March 31, 2020 is not necessarily representative of the geographic distribution we expect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1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7"/>
                <w:szCs w:val="17"/>
                <w:color w:val="auto"/>
              </w:rPr>
            </w:pPr>
          </w:p>
        </w:tc>
      </w:tr>
      <w:tr>
        <w:trPr>
          <w:trHeight w:val="24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Texas</w:t>
            </w: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Virginia</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Arizona</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Colorado</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Maryland</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represent estimated future payments on newly defaulted insured loans and any change in our claim estimates for previously existing defaults. Claims and claim expenses are generally affected by a variety of factors, including the macroeconomic environment, national and regional unemployment trends, changes in housing values, borrower risk characteristics, LTV ratios and other loan level risk attributes, the size and type of loans insured, and the percentage of coverage on insured loans.</w:t>
      </w:r>
    </w:p>
    <w:p>
      <w:pPr>
        <w:spacing w:after="0" w:line="13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Reserves for claims and allocated claim expenses are established for reported mortgage loan defaults, which we refer to as case reserves, when we are notified that a borrower has missed two or more mortgage payments (</w:t>
      </w:r>
      <w:r>
        <w:rPr>
          <w:rFonts w:ascii="Arial" w:cs="Arial" w:eastAsia="Arial" w:hAnsi="Arial"/>
          <w:sz w:val="16"/>
          <w:szCs w:val="16"/>
          <w:i w:val="1"/>
          <w:iCs w:val="1"/>
          <w:color w:val="auto"/>
        </w:rPr>
        <w:t>i.e.</w:t>
      </w:r>
      <w:r>
        <w:rPr>
          <w:rFonts w:ascii="Arial" w:cs="Arial" w:eastAsia="Arial" w:hAnsi="Arial"/>
          <w:sz w:val="16"/>
          <w:szCs w:val="16"/>
          <w:color w:val="auto"/>
        </w:rPr>
        <w:t>, an NOD). We also make estimates of IBNR defaults, which are defaults that have been incurred but have not been reported by loan servicers, based on historical reporting trends, and establish IBNR reserves for those defaults. We also establish reserves for unallocated claim expenses not associated with a specific claim. Claim expenses consist of the estimated cost of the claim administration process, including legal and other fees as well as other general expenses of administering the claim settlement process.</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claims under the ILN Transactions unless losses exceed the respective retained coverage layers. Reserves are not established for future claims on insured loans which are not currently in default.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42" w:lineRule="exact"/>
        <w:rPr>
          <w:sz w:val="20"/>
          <w:szCs w:val="20"/>
          <w:color w:val="auto"/>
        </w:rPr>
      </w:pPr>
    </w:p>
    <w:p>
      <w:pPr>
        <w:jc w:val="both"/>
        <w:ind w:firstLine="688"/>
        <w:spacing w:after="0" w:line="259" w:lineRule="auto"/>
        <w:rPr>
          <w:sz w:val="20"/>
          <w:szCs w:val="20"/>
          <w:color w:val="auto"/>
        </w:rPr>
      </w:pPr>
      <w:r>
        <w:rPr>
          <w:rFonts w:ascii="Arial" w:cs="Arial" w:eastAsia="Arial" w:hAnsi="Arial"/>
          <w:sz w:val="18"/>
          <w:szCs w:val="18"/>
          <w:color w:val="auto"/>
        </w:rPr>
        <w:t>Based on our experience and industry data, we believe that claims incidence for mortgage insurance is generally highest in the third through sixth years after loan origination. As of March 31, 2020, approximately 81% of our primary IIF related to business written since March 31, 2017. Although the claims experience on our IIF to date has been modest, we expect incurred claims to increase as a greater amount of our existing insured portfolio reaches its anticipated period of highest claim frequency.</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concentrations, among others), as well as the risk profile of new business we write in the future. In addition, claims experience will be affected by macroeconomic factors such as housing prices, interest rates, unemployment rates and other events, such as natural disasters.</w:t>
      </w:r>
    </w:p>
    <w:p>
      <w:pPr>
        <w:spacing w:after="0" w:line="200" w:lineRule="exact"/>
        <w:rPr>
          <w:sz w:val="20"/>
          <w:szCs w:val="20"/>
          <w:color w:val="auto"/>
        </w:rPr>
      </w:pPr>
    </w:p>
    <w:p>
      <w:pPr>
        <w:spacing w:after="0" w:line="3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 expenses.</w:t>
      </w:r>
    </w:p>
    <w:p>
      <w:pPr>
        <w:spacing w:after="0" w:line="228"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23495</wp:posOffset>
            </wp:positionV>
            <wp:extent cx="17659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08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3"/>
          <w:szCs w:val="13"/>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23495</wp:posOffset>
            </wp:positionV>
            <wp:extent cx="1765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9" w:lineRule="exact"/>
        <w:rPr>
          <w:sz w:val="20"/>
          <w:szCs w:val="20"/>
          <w:color w:val="auto"/>
        </w:rPr>
      </w:pPr>
    </w:p>
    <w:p>
      <w:pPr>
        <w:ind w:left="94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Beginning balance, net of reinsurance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 claims incurred: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Claims and claim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claims and claim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claims paid: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Claims and claim expenses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p>
      <w:pPr>
        <w:ind w:left="480"/>
        <w:spacing w:after="0" w:line="212" w:lineRule="auto"/>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640" w:val="left"/>
          <w:tab w:leader="none" w:pos="142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23,752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12,811</w:t>
      </w:r>
    </w:p>
    <w:p>
      <w:pPr>
        <w:spacing w:after="0" w:line="63" w:lineRule="exact"/>
        <w:rPr>
          <w:sz w:val="20"/>
          <w:szCs w:val="20"/>
          <w:color w:val="auto"/>
        </w:rPr>
      </w:pPr>
    </w:p>
    <w:p>
      <w:pPr>
        <w:jc w:val="both"/>
        <w:ind w:left="680"/>
        <w:spacing w:after="0"/>
        <w:tabs>
          <w:tab w:leader="none" w:pos="2100" w:val="left"/>
        </w:tabs>
        <w:rPr>
          <w:sz w:val="20"/>
          <w:szCs w:val="20"/>
          <w:color w:val="auto"/>
        </w:rPr>
      </w:pPr>
      <w:r>
        <w:rPr>
          <w:rFonts w:ascii="Arial" w:cs="Arial" w:eastAsia="Arial" w:hAnsi="Arial"/>
          <w:sz w:val="18"/>
          <w:szCs w:val="18"/>
          <w:color w:val="auto"/>
        </w:rPr>
        <w:t>(4,939)</w:t>
      </w:r>
      <w:r>
        <w:rPr>
          <w:sz w:val="20"/>
          <w:szCs w:val="20"/>
          <w:color w:val="auto"/>
        </w:rPr>
        <w:tab/>
      </w:r>
      <w:r>
        <w:rPr>
          <w:rFonts w:ascii="Arial" w:cs="Arial" w:eastAsia="Arial" w:hAnsi="Arial"/>
          <w:sz w:val="18"/>
          <w:szCs w:val="18"/>
          <w:color w:val="auto"/>
        </w:rPr>
        <w:t>(3,001)</w:t>
      </w:r>
    </w:p>
    <w:p>
      <w:pPr>
        <w:spacing w:after="0" w:line="7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18,813</w:t>
      </w:r>
      <w:r>
        <w:rPr>
          <w:sz w:val="20"/>
          <w:szCs w:val="20"/>
          <w:color w:val="auto"/>
        </w:rPr>
        <w:tab/>
      </w:r>
      <w:r>
        <w:rPr>
          <w:rFonts w:ascii="Arial" w:cs="Arial" w:eastAsia="Arial" w:hAnsi="Arial"/>
          <w:sz w:val="18"/>
          <w:szCs w:val="18"/>
          <w:color w:val="auto"/>
        </w:rPr>
        <w:t>9,810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18"/>
          <w:szCs w:val="18"/>
          <w:color w:val="auto"/>
        </w:rPr>
        <w:t>7,558</w:t>
      </w:r>
      <w:r>
        <w:rPr>
          <w:sz w:val="20"/>
          <w:szCs w:val="20"/>
          <w:color w:val="auto"/>
        </w:rPr>
        <w:tab/>
      </w:r>
      <w:r>
        <w:rPr>
          <w:rFonts w:ascii="Arial" w:cs="Arial" w:eastAsia="Arial" w:hAnsi="Arial"/>
          <w:sz w:val="18"/>
          <w:szCs w:val="18"/>
          <w:color w:val="auto"/>
        </w:rPr>
        <w:t>3,909</w:t>
      </w:r>
    </w:p>
    <w:p>
      <w:pPr>
        <w:spacing w:after="0" w:line="63" w:lineRule="exact"/>
        <w:rPr>
          <w:sz w:val="20"/>
          <w:szCs w:val="20"/>
          <w:color w:val="auto"/>
        </w:rPr>
      </w:pPr>
    </w:p>
    <w:p>
      <w:pPr>
        <w:jc w:val="both"/>
        <w:ind w:left="680"/>
        <w:spacing w:after="0"/>
        <w:tabs>
          <w:tab w:leader="none" w:pos="2100" w:val="left"/>
        </w:tabs>
        <w:rPr>
          <w:sz w:val="20"/>
          <w:szCs w:val="20"/>
          <w:color w:val="auto"/>
        </w:rPr>
      </w:pPr>
      <w:r>
        <w:rPr>
          <w:rFonts w:ascii="Arial" w:cs="Arial" w:eastAsia="Arial" w:hAnsi="Arial"/>
          <w:sz w:val="18"/>
          <w:szCs w:val="18"/>
          <w:color w:val="auto"/>
        </w:rPr>
        <w:t>(1,861)</w:t>
      </w:r>
      <w:r>
        <w:rPr>
          <w:sz w:val="20"/>
          <w:szCs w:val="20"/>
          <w:color w:val="auto"/>
        </w:rPr>
        <w:tab/>
      </w:r>
      <w:r>
        <w:rPr>
          <w:rFonts w:ascii="Arial" w:cs="Arial" w:eastAsia="Arial" w:hAnsi="Arial"/>
          <w:sz w:val="18"/>
          <w:szCs w:val="18"/>
          <w:color w:val="auto"/>
        </w:rPr>
        <w:t>(1,166)</w:t>
      </w:r>
    </w:p>
    <w:p>
      <w:pPr>
        <w:spacing w:after="0" w:line="77"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18"/>
          <w:szCs w:val="18"/>
          <w:color w:val="auto"/>
        </w:rPr>
        <w:t>5,697</w:t>
      </w:r>
      <w:r>
        <w:rPr>
          <w:sz w:val="20"/>
          <w:szCs w:val="20"/>
          <w:color w:val="auto"/>
        </w:rPr>
        <w:tab/>
      </w:r>
      <w:r>
        <w:rPr>
          <w:rFonts w:ascii="Arial" w:cs="Arial" w:eastAsia="Arial" w:hAnsi="Arial"/>
          <w:sz w:val="18"/>
          <w:szCs w:val="18"/>
          <w:color w:val="auto"/>
        </w:rPr>
        <w:t>2,743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659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760"/>
        <w:spacing w:after="0"/>
        <w:tabs>
          <w:tab w:leader="none" w:pos="2320"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8"/>
          <w:szCs w:val="18"/>
          <w:color w:val="auto"/>
        </w:rPr>
        <w:t>694</w:t>
      </w:r>
    </w:p>
    <w:p>
      <w:pPr>
        <w:spacing w:after="0" w:line="49" w:lineRule="exact"/>
        <w:rPr>
          <w:sz w:val="20"/>
          <w:szCs w:val="20"/>
          <w:color w:val="auto"/>
        </w:rPr>
      </w:pPr>
    </w:p>
    <w:p>
      <w:pPr>
        <w:sectPr>
          <w:pgSz w:w="11900" w:h="16838" w:orient="portrait"/>
          <w:cols w:equalWidth="0" w:num="2">
            <w:col w:w="7760" w:space="720"/>
            <w:col w:w="2760"/>
          </w:cols>
          <w:pgMar w:left="320" w:top="1016"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8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paid</w:t>
            </w: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w:t>
            </w:r>
          </w:p>
        </w:tc>
      </w:tr>
      <w:tr>
        <w:trPr>
          <w:trHeight w:val="250"/>
        </w:trPr>
        <w:tc>
          <w:tcPr>
            <w:tcW w:w="84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6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23,286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11,859</w:t>
            </w:r>
          </w:p>
        </w:tc>
      </w:tr>
      <w:tr>
        <w:trPr>
          <w:trHeight w:val="26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6,193</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3,678</w:t>
            </w:r>
          </w:p>
        </w:tc>
      </w:tr>
      <w:tr>
        <w:trPr>
          <w:trHeight w:val="28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29,479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15,537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20" w:hanging="332"/>
        <w:spacing w:after="0" w:line="250" w:lineRule="auto"/>
        <w:tabs>
          <w:tab w:leader="none" w:pos="162" w:val="left"/>
        </w:tabs>
        <w:numPr>
          <w:ilvl w:val="0"/>
          <w:numId w:val="20"/>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included in "Other assets" on the condensed consolidated balance sheets. See Item 1, "</w:t>
      </w:r>
      <w:r>
        <w:rPr>
          <w:rFonts w:ascii="Arial" w:cs="Arial" w:eastAsia="Arial" w:hAnsi="Arial"/>
          <w:sz w:val="14"/>
          <w:szCs w:val="14"/>
          <w:i w:val="1"/>
          <w:iCs w:val="1"/>
          <w:color w:val="auto"/>
        </w:rPr>
        <w:t>Financial Statements - 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Condensed Consolidated Financial Statements - Note 5, Reinsurance</w:t>
      </w:r>
      <w:r>
        <w:rPr>
          <w:rFonts w:ascii="Arial" w:cs="Arial" w:eastAsia="Arial" w:hAnsi="Arial"/>
          <w:sz w:val="14"/>
          <w:szCs w:val="14"/>
          <w:color w:val="auto"/>
        </w:rPr>
        <w:t>" for additional information.</w:t>
      </w:r>
    </w:p>
    <w:p>
      <w:pPr>
        <w:ind w:left="340" w:hanging="332"/>
        <w:spacing w:after="0" w:line="241" w:lineRule="auto"/>
        <w:tabs>
          <w:tab w:leader="none" w:pos="148" w:val="left"/>
        </w:tabs>
        <w:numPr>
          <w:ilvl w:val="0"/>
          <w:numId w:val="20"/>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200" w:lineRule="exact"/>
        <w:rPr>
          <w:sz w:val="20"/>
          <w:szCs w:val="20"/>
          <w:color w:val="auto"/>
        </w:rPr>
      </w:pPr>
    </w:p>
    <w:p>
      <w:pPr>
        <w:spacing w:after="0" w:line="210" w:lineRule="exact"/>
        <w:rPr>
          <w:sz w:val="20"/>
          <w:szCs w:val="20"/>
          <w:color w:val="auto"/>
        </w:rPr>
      </w:pPr>
    </w:p>
    <w:p>
      <w:pPr>
        <w:jc w:val="both"/>
        <w:ind w:firstLine="461"/>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We perform an ongoing analysis of recent loss development trends and may increase or decrease our original estimates as we gather additional information about individual defaults and claims and continue to observe and analyze loss development trends in our portfolio, including factors affected by the recent COVID-19 developments. Gross reserves of $19.9 million related to prior year defaults remained as of March 31,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41" w:name="page42"/>
    <w:bookmarkEnd w:id="41"/>
    <w:p>
      <w:pPr>
        <w:ind w:left="3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For the three months ended</w:t>
            </w:r>
          </w:p>
        </w:tc>
      </w:tr>
      <w:tr>
        <w:trPr>
          <w:trHeight w:val="196"/>
        </w:trPr>
        <w:tc>
          <w:tcPr>
            <w:tcW w:w="848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2020</w:t>
            </w: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3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877</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574</w:t>
            </w:r>
          </w:p>
        </w:tc>
      </w:tr>
      <w:tr>
        <w:trPr>
          <w:trHeight w:val="27"/>
        </w:trPr>
        <w:tc>
          <w:tcPr>
            <w:tcW w:w="8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8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denied</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3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940</w:t>
            </w:r>
          </w:p>
        </w:tc>
      </w:tr>
      <w:tr>
        <w:trPr>
          <w:trHeight w:val="27"/>
        </w:trPr>
        <w:tc>
          <w:tcPr>
            <w:tcW w:w="84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increase in the ending default inventory at March 31, 2020 compared to March 31, 2019, primarily relates to an increase in new defaults tied to the growth in the number of policies in force and the aging of our earlier book years. Our total policies in force were 376,852 and 297,232 for the three months ended March 31, 2020 and March 31, 2019, respectively. The increase in new defaults was partially offset by cure activity on our beginning NOD population.</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7"/>
          <w:szCs w:val="17"/>
          <w:color w:val="auto"/>
        </w:rPr>
        <w:t>Total amount paid for claims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amount paid per claim</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59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2019</w:t>
            </w:r>
          </w:p>
        </w:tc>
      </w:tr>
      <w:tr>
        <w:trPr>
          <w:trHeight w:val="190"/>
        </w:trPr>
        <w:tc>
          <w:tcPr>
            <w:tcW w:w="160" w:type="dxa"/>
            <w:vAlign w:val="bottom"/>
          </w:tcPr>
          <w:p>
            <w:pPr>
              <w:spacing w:after="0"/>
              <w:rPr>
                <w:sz w:val="16"/>
                <w:szCs w:val="16"/>
                <w:color w:val="auto"/>
              </w:rPr>
            </w:pPr>
          </w:p>
        </w:tc>
        <w:tc>
          <w:tcPr>
            <w:tcW w:w="2760" w:type="dxa"/>
            <w:vAlign w:val="bottom"/>
            <w:gridSpan w:val="3"/>
          </w:tcPr>
          <w:p>
            <w:pPr>
              <w:jc w:val="right"/>
              <w:ind w:right="894"/>
              <w:spacing w:after="0"/>
              <w:rPr>
                <w:sz w:val="20"/>
                <w:szCs w:val="20"/>
                <w:color w:val="auto"/>
              </w:rPr>
            </w:pPr>
            <w:r>
              <w:rPr>
                <w:rFonts w:ascii="Arial" w:cs="Arial" w:eastAsia="Arial" w:hAnsi="Arial"/>
                <w:sz w:val="14"/>
                <w:szCs w:val="14"/>
                <w:i w:val="1"/>
                <w:iCs w:val="1"/>
                <w:color w:val="auto"/>
              </w:rPr>
              <w:t>($ In Thousands)</w:t>
            </w:r>
          </w:p>
        </w:tc>
      </w:tr>
      <w:tr>
        <w:trPr>
          <w:trHeight w:val="255"/>
        </w:trPr>
        <w:tc>
          <w:tcPr>
            <w:tcW w:w="160" w:type="dxa"/>
            <w:vAlign w:val="bottom"/>
          </w:tcPr>
          <w:p>
            <w:pPr>
              <w:spacing w:after="0"/>
              <w:rPr>
                <w:sz w:val="22"/>
                <w:szCs w:val="22"/>
                <w:color w:val="auto"/>
              </w:rPr>
            </w:pPr>
          </w:p>
        </w:tc>
        <w:tc>
          <w:tcPr>
            <w:tcW w:w="1300" w:type="dxa"/>
            <w:vAlign w:val="bottom"/>
          </w:tcPr>
          <w:p>
            <w:pPr>
              <w:jc w:val="right"/>
              <w:ind w:right="196"/>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2"/>
                <w:szCs w:val="22"/>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37</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96"/>
              <w:spacing w:after="0"/>
              <w:rPr>
                <w:sz w:val="20"/>
                <w:szCs w:val="20"/>
                <w:color w:val="auto"/>
              </w:rPr>
            </w:pPr>
            <w:r>
              <w:rPr>
                <w:rFonts w:ascii="Arial" w:cs="Arial" w:eastAsia="Arial" w:hAnsi="Arial"/>
                <w:sz w:val="18"/>
                <w:szCs w:val="18"/>
                <w:color w:val="auto"/>
              </w:rPr>
              <w:t>1,503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926</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96"/>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25</w:t>
            </w:r>
          </w:p>
        </w:tc>
      </w:tr>
      <w:tr>
        <w:trPr>
          <w:trHeight w:val="270"/>
        </w:trPr>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83 %</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-668020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-325120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7600" w:space="720"/>
            <w:col w:w="2920"/>
          </w:cols>
          <w:pgMar w:left="320" w:top="1016" w:right="339" w:bottom="1440" w:gutter="0" w:footer="0" w:header="0"/>
          <w:type w:val="continuous"/>
        </w:sect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3"/>
          <w:szCs w:val="13"/>
          <w:color w:val="auto"/>
        </w:rPr>
        <w:t>Count includes one claim settled without payment for the three months ended March 31, 2020, and three claims settled without payment for the three months ended March 31, 2019.</w:t>
      </w:r>
    </w:p>
    <w:p>
      <w:pPr>
        <w:spacing w:after="0" w:line="24" w:lineRule="exact"/>
        <w:rPr>
          <w:rFonts w:ascii="Arial" w:cs="Arial" w:eastAsia="Arial" w:hAnsi="Arial"/>
          <w:sz w:val="9"/>
          <w:szCs w:val="9"/>
          <w:color w:val="auto"/>
        </w:rPr>
      </w:pPr>
    </w:p>
    <w:p>
      <w:pPr>
        <w:ind w:left="340" w:hanging="332"/>
        <w:spacing w:after="0" w:line="255" w:lineRule="auto"/>
        <w:tabs>
          <w:tab w:leader="none" w:pos="164" w:val="left"/>
        </w:tabs>
        <w:numPr>
          <w:ilvl w:val="0"/>
          <w:numId w:val="21"/>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17" w:lineRule="exact"/>
        <w:rPr>
          <w:sz w:val="20"/>
          <w:szCs w:val="20"/>
          <w:color w:val="auto"/>
        </w:rPr>
      </w:pPr>
    </w:p>
    <w:p>
      <w:pPr>
        <w:jc w:val="both"/>
        <w:ind w:firstLine="363"/>
        <w:spacing w:after="0" w:line="279" w:lineRule="auto"/>
        <w:rPr>
          <w:sz w:val="20"/>
          <w:szCs w:val="20"/>
          <w:color w:val="auto"/>
        </w:rPr>
      </w:pPr>
      <w:r>
        <w:rPr>
          <w:rFonts w:ascii="Arial" w:cs="Arial" w:eastAsia="Arial" w:hAnsi="Arial"/>
          <w:sz w:val="17"/>
          <w:szCs w:val="17"/>
          <w:color w:val="auto"/>
        </w:rPr>
        <w:t>The number of claims paid for the three months ended March 31, 2020 decreased compared to the three months ended March 31, 2019, primarily due to the timing of when claims were received and paid in respect to respective period end. Our claims severity for the three months ended March 31, 2020 was 83%, compared to 64% for the three months ended March 31, 2019. The increase in claims severity for the three months ended March 31, 2020 can be attributed to fewer claims settled with zero payment compared to the three months ended March 31, 2019.</w:t>
      </w:r>
    </w:p>
    <w:p>
      <w:pPr>
        <w:spacing w:after="0" w:line="117" w:lineRule="exact"/>
        <w:rPr>
          <w:sz w:val="20"/>
          <w:szCs w:val="20"/>
          <w:color w:val="auto"/>
        </w:rPr>
      </w:pPr>
    </w:p>
    <w:p>
      <w:pPr>
        <w:jc w:val="both"/>
        <w:ind w:firstLine="430"/>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March 31, 2020</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5"/>
              </w:rPr>
              <w:t>As of March 31, 2019</w:t>
            </w:r>
          </w:p>
        </w:tc>
      </w:tr>
      <w:tr>
        <w:trPr>
          <w:trHeight w:val="196"/>
        </w:trPr>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7"/>
                <w:szCs w:val="17"/>
                <w:color w:val="auto"/>
              </w:rPr>
            </w:pPr>
          </w:p>
        </w:tc>
      </w:tr>
      <w:tr>
        <w:trPr>
          <w:trHeight w:val="27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w:t>
            </w:r>
          </w:p>
        </w:tc>
      </w:tr>
      <w:tr>
        <w:trPr>
          <w:trHeight w:val="27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IBNR</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r>
      <w:tr>
        <w:trPr>
          <w:trHeight w:val="20"/>
        </w:trPr>
        <w:tc>
          <w:tcPr>
            <w:tcW w:w="6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236" w:lineRule="exact"/>
        <w:rPr>
          <w:sz w:val="20"/>
          <w:szCs w:val="20"/>
          <w:color w:val="auto"/>
        </w:rPr>
      </w:pPr>
    </w:p>
    <w:p>
      <w:pPr>
        <w:ind w:firstLine="394"/>
        <w:spacing w:after="0" w:line="277" w:lineRule="auto"/>
        <w:rPr>
          <w:sz w:val="20"/>
          <w:szCs w:val="20"/>
          <w:color w:val="auto"/>
        </w:rPr>
      </w:pPr>
      <w:r>
        <w:rPr>
          <w:rFonts w:ascii="Arial" w:cs="Arial" w:eastAsia="Arial" w:hAnsi="Arial"/>
          <w:sz w:val="18"/>
          <w:szCs w:val="18"/>
          <w:color w:val="auto"/>
        </w:rPr>
        <w:t>The average reserve per default at March 31, 2020 increased from March 31, 2019, primarily tied to an increase in claim rates resulting from updates to key assumptions as a result of COVID-19 and the aging our NOD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42" w:name="page43"/>
    <w:bookmarkEnd w:id="42"/>
    <w:p>
      <w:pPr>
        <w:ind w:left="3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88"/>
        <w:spacing w:after="0" w:line="296"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07" w:lineRule="exact"/>
        <w:rPr>
          <w:sz w:val="20"/>
          <w:szCs w:val="20"/>
          <w:color w:val="auto"/>
        </w:rPr>
      </w:pPr>
    </w:p>
    <w:p>
      <w:pPr>
        <w:jc w:val="both"/>
        <w:ind w:firstLine="688"/>
        <w:spacing w:after="0" w:line="255"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w:t>
      </w:r>
      <w:r>
        <w:rPr>
          <w:rFonts w:ascii="Arial" w:cs="Arial" w:eastAsia="Arial" w:hAnsi="Arial"/>
          <w:sz w:val="19"/>
          <w:szCs w:val="19"/>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pool insurance policy.</w:t>
      </w:r>
    </w:p>
    <w:p>
      <w:pPr>
        <w:spacing w:after="0" w:line="136"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2020 that NMIC was in full compliance with the PMIERs as of December 31, 2019.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58"/>
        <w:spacing w:after="0" w:line="277"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As of</w:t>
            </w:r>
          </w:p>
        </w:tc>
        <w:tc>
          <w:tcPr>
            <w:tcW w:w="1460" w:type="dxa"/>
            <w:vAlign w:val="bottom"/>
            <w:tcBorders>
              <w:bottom w:val="single" w:sz="8" w:color="auto"/>
            </w:tcBorders>
          </w:tcPr>
          <w:p>
            <w:pPr>
              <w:spacing w:after="0"/>
              <w:rPr>
                <w:sz w:val="16"/>
                <w:szCs w:val="16"/>
                <w:color w:val="auto"/>
              </w:rPr>
            </w:pPr>
          </w:p>
        </w:tc>
      </w:tr>
      <w:tr>
        <w:trPr>
          <w:trHeight w:val="196"/>
        </w:trPr>
        <w:tc>
          <w:tcPr>
            <w:tcW w:w="7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March 31, 2020</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gridSpan w:val="3"/>
          </w:tcPr>
          <w:p>
            <w:pPr>
              <w:jc w:val="right"/>
              <w:ind w:right="123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1,069,695</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817,758</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912,321</w:t>
            </w:r>
          </w:p>
        </w:tc>
        <w:tc>
          <w:tcPr>
            <w:tcW w:w="480" w:type="dxa"/>
            <w:vAlign w:val="bottom"/>
          </w:tcPr>
          <w:p>
            <w:pPr>
              <w:spacing w:after="0"/>
              <w:rPr>
                <w:sz w:val="21"/>
                <w:szCs w:val="21"/>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607,325</w:t>
            </w: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$1,070 million at March 31, 2020, compared to $818 million at March 31, 2019. The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of $252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was primarily driven by our positive cash flow from operations in the intervening periods.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increase in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was due to the growth of our gross RIF, partially offset by the increased cession of risk under our third-party reinsurance agreements.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further increased in 2020 as a result of the termination of our engagement with and the recapture of previously ceded primary RIF from one reinsurer under the 2016 QSR Transaction effective April 1, 2019.</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July 2017, the U.K. Financial Conduct Authority announced that it intends to stop persuading or compelling banks to submit LIBOR rates after</w:t>
      </w:r>
    </w:p>
    <w:p>
      <w:pPr>
        <w:spacing w:after="0" w:line="7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2021, which is expected to render these widely used reference rates unavailable or unreliable. We have exposure to LIBOR-based financial instruments, such as LIBOR-based securities held in our investment portfolio. The 2018 Term Loan, 2020 Revolving Credit Facility, and premiums paid on our ILN Transactions are also LIBOR-based. We are in the process of reviewing our LIBOR-based contracts that extend beyond 2021 and transitioning to a set of</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alternative reference rates. We will continue to monitor, assess and plan for the phase out of LIBOR; however, we currently do not know the impact it will have to our operations or financial results.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GSE-imposed asset requirements, NMIC is subject to state regulatory minimum capital requirements based on its RIF. While formulations of this minimum capital may vary by jurisdiction, the most common measure allows for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maximum permitted RTC ratio of 25:1.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NMIC's performing primary RIF, net of reinsurance, was approximately $17.9 billion. NMIC ceded 100% of its pool RIF pursuant to the 2016 QSR Transaction. Based on NMIC's total statutory capital of $1.0 billion (including contingency reserves) as of March 31, 2020, NMIC's RTC ratio was 17.7:1. Re One had total statutory capital of $36 million as of March 31, 2020, and a RTC ratio of 1.3:1. We continuously monitor our compliance with state capital requirements.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October 2019, Moody's Investors Service (Moody's) upgraded its financial strength rating of NMIC from "Baa3" to "Baa2" and upgraded its rating of NMIH's $150 million senior secured 2018 Term Loan and 2018 Revolving Credit Facility from </w:t>
      </w:r>
      <w:r>
        <w:rPr>
          <w:rFonts w:ascii="Arial" w:cs="Arial" w:eastAsia="Arial" w:hAnsi="Arial"/>
          <w:sz w:val="18"/>
          <w:szCs w:val="18"/>
          <w:i w:val="1"/>
          <w:iCs w:val="1"/>
          <w:color w:val="auto"/>
        </w:rPr>
        <w:t>"</w:t>
      </w:r>
      <w:r>
        <w:rPr>
          <w:rFonts w:ascii="Arial" w:cs="Arial" w:eastAsia="Arial" w:hAnsi="Arial"/>
          <w:sz w:val="18"/>
          <w:szCs w:val="18"/>
          <w:color w:val="auto"/>
        </w:rPr>
        <w:t>Ba3</w:t>
      </w:r>
      <w:r>
        <w:rPr>
          <w:rFonts w:ascii="Arial" w:cs="Arial" w:eastAsia="Arial" w:hAnsi="Arial"/>
          <w:sz w:val="18"/>
          <w:szCs w:val="18"/>
          <w:i w:val="1"/>
          <w:iCs w:val="1"/>
          <w:color w:val="auto"/>
        </w:rPr>
        <w:t>"</w:t>
      </w:r>
      <w:r>
        <w:rPr>
          <w:rFonts w:ascii="Arial" w:cs="Arial" w:eastAsia="Arial" w:hAnsi="Arial"/>
          <w:sz w:val="18"/>
          <w:szCs w:val="18"/>
          <w:color w:val="auto"/>
        </w:rPr>
        <w:t xml:space="preserve"> to </w:t>
      </w:r>
      <w:r>
        <w:rPr>
          <w:rFonts w:ascii="Arial" w:cs="Arial" w:eastAsia="Arial" w:hAnsi="Arial"/>
          <w:sz w:val="18"/>
          <w:szCs w:val="18"/>
          <w:i w:val="1"/>
          <w:iCs w:val="1"/>
          <w:color w:val="auto"/>
        </w:rPr>
        <w:t>"</w:t>
      </w:r>
      <w:r>
        <w:rPr>
          <w:rFonts w:ascii="Arial" w:cs="Arial" w:eastAsia="Arial" w:hAnsi="Arial"/>
          <w:sz w:val="18"/>
          <w:szCs w:val="18"/>
          <w:color w:val="auto"/>
        </w:rPr>
        <w:t>Ba2</w:t>
      </w:r>
      <w:r>
        <w:rPr>
          <w:rFonts w:ascii="Arial" w:cs="Arial" w:eastAsia="Arial" w:hAnsi="Arial"/>
          <w:sz w:val="18"/>
          <w:szCs w:val="18"/>
          <w:i w:val="1"/>
          <w:iCs w:val="1"/>
          <w:color w:val="auto"/>
        </w:rPr>
        <w:t>".</w:t>
      </w:r>
      <w:r>
        <w:rPr>
          <w:rFonts w:ascii="Arial" w:cs="Arial" w:eastAsia="Arial" w:hAnsi="Arial"/>
          <w:sz w:val="18"/>
          <w:szCs w:val="18"/>
          <w:color w:val="auto"/>
        </w:rPr>
        <w:t xml:space="preserve"> The outlook for Moody's ratings is stable. In June 2019, S&amp;P upgraded its financial strength and long-term counter-party credit ratings of NMIC from </w:t>
      </w:r>
      <w:r>
        <w:rPr>
          <w:rFonts w:ascii="Arial" w:cs="Arial" w:eastAsia="Arial" w:hAnsi="Arial"/>
          <w:sz w:val="18"/>
          <w:szCs w:val="18"/>
          <w:i w:val="1"/>
          <w:iCs w:val="1"/>
          <w:color w:val="auto"/>
        </w:rPr>
        <w:t>"</w:t>
      </w:r>
      <w:r>
        <w:rPr>
          <w:rFonts w:ascii="Arial" w:cs="Arial" w:eastAsia="Arial" w:hAnsi="Arial"/>
          <w:sz w:val="18"/>
          <w:szCs w:val="18"/>
          <w:color w:val="auto"/>
        </w:rPr>
        <w:t>BBB-</w:t>
      </w:r>
      <w:r>
        <w:rPr>
          <w:rFonts w:ascii="Arial" w:cs="Arial" w:eastAsia="Arial" w:hAnsi="Arial"/>
          <w:sz w:val="18"/>
          <w:szCs w:val="18"/>
          <w:i w:val="1"/>
          <w:iCs w:val="1"/>
          <w:color w:val="auto"/>
        </w:rPr>
        <w:t>"</w:t>
      </w:r>
      <w:r>
        <w:rPr>
          <w:rFonts w:ascii="Arial" w:cs="Arial" w:eastAsia="Arial" w:hAnsi="Arial"/>
          <w:sz w:val="18"/>
          <w:szCs w:val="18"/>
          <w:color w:val="auto"/>
        </w:rPr>
        <w:t xml:space="preserve"> to </w:t>
      </w:r>
      <w:r>
        <w:rPr>
          <w:rFonts w:ascii="Arial" w:cs="Arial" w:eastAsia="Arial" w:hAnsi="Arial"/>
          <w:sz w:val="18"/>
          <w:szCs w:val="18"/>
          <w:i w:val="1"/>
          <w:iCs w:val="1"/>
          <w:color w:val="auto"/>
        </w:rPr>
        <w:t>"</w:t>
      </w:r>
      <w:r>
        <w:rPr>
          <w:rFonts w:ascii="Arial" w:cs="Arial" w:eastAsia="Arial" w:hAnsi="Arial"/>
          <w:sz w:val="18"/>
          <w:szCs w:val="18"/>
          <w:color w:val="auto"/>
        </w:rPr>
        <w:t>BBB" and upgraded its long-term counter-party credit rating of NMIH from "BB-" to "BB". In March 2020, the S&amp;P updated its outlook from stable to negative for the mortgage insurance sector, including NMIH.</w:t>
      </w: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Information and Technology Support Function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March 31, 2020, we entered into a services agreement to outsource our IT support and expertise functions to Tata Consultancy Services (TCS). The agreement provides for TCS to provide critical IT services over a seven-year period including such functions as application development and support, infrastructure support, information security, transition and transformation. We expect this engagement will allow us to continue our strategy to provide innovative development and IT optimization, as the business and industry continues to evolve, while realizing cost efficiencies by leveraging TCS's resources and operating model. As a result of this agreement, the majority of our IT employees will become employees of TCS during the second quarter of 2020, with guaranteed continued employment for a 12-month period effective from the date of transition. If we were to terminate the services agreement with TCS at any point before that 12-month period has expired, we would be obligated to rehire the affected employees for the remainder of their guaranteed employment period. In addition, the agreement provides that we may terminate it at any time with 120 days' notice, subject to our payment of a termination fee as specified in the agreement.</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We expect the private MI market to remain competitive, with pressure for industry participants to maintain or grow their market share.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GSE demand,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2780" w:type="dxa"/>
            <w:vAlign w:val="bottom"/>
            <w:gridSpan w:val="7"/>
            <w:shd w:val="clear" w:color="auto" w:fill="CCEEFF"/>
          </w:tcPr>
          <w:p>
            <w:pPr>
              <w:jc w:val="right"/>
              <w:ind w:right="372"/>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98,717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73,868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8"/>
                <w:szCs w:val="18"/>
                <w:color w:val="auto"/>
              </w:rPr>
              <w:t>Net realized investment losses</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107,649</w:t>
            </w:r>
          </w:p>
        </w:tc>
        <w:tc>
          <w:tcPr>
            <w:tcW w:w="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81,106</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8"/>
                <w:szCs w:val="18"/>
                <w:color w:val="auto"/>
              </w:rPr>
              <w:t>Insurance claims and claim expenses</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32,277</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20"/>
              <w:spacing w:after="0"/>
              <w:rPr>
                <w:sz w:val="20"/>
                <w:szCs w:val="20"/>
                <w:color w:val="auto"/>
              </w:rPr>
            </w:pPr>
            <w:r>
              <w:rPr>
                <w:rFonts w:ascii="Arial" w:cs="Arial" w:eastAsia="Arial" w:hAnsi="Arial"/>
                <w:sz w:val="18"/>
                <w:szCs w:val="18"/>
                <w:color w:val="auto"/>
              </w:rPr>
              <w:t>Service expenses</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8"/>
                <w:szCs w:val="18"/>
                <w:color w:val="auto"/>
              </w:rPr>
              <w:t>(Gain) loss from change in fair value of warrant liability</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35,493</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13,885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7500" w:type="dxa"/>
            <w:vAlign w:val="bottom"/>
            <w:vMerge w:val="restart"/>
          </w:tcPr>
          <w:p>
            <w:pPr>
              <w:ind w:left="20"/>
              <w:spacing w:after="0"/>
              <w:rPr>
                <w:sz w:val="20"/>
                <w:szCs w:val="20"/>
                <w:color w:val="auto"/>
              </w:rPr>
            </w:pPr>
            <w:r>
              <w:rPr>
                <w:rFonts w:ascii="Arial" w:cs="Arial" w:eastAsia="Arial" w:hAnsi="Arial"/>
                <w:sz w:val="18"/>
                <w:szCs w:val="18"/>
                <w:color w:val="auto"/>
              </w:rPr>
              <w:t>Earnings per share - Diluted</w:t>
            </w: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0.74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75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auto"/>
              </w:rPr>
              <w:t>Loss ratio</w:t>
            </w:r>
            <w:r>
              <w:rPr>
                <w:rFonts w:ascii="Arial" w:cs="Arial" w:eastAsia="Arial" w:hAnsi="Arial"/>
                <w:sz w:val="23"/>
                <w:szCs w:val="23"/>
                <w:color w:val="auto"/>
                <w:vertAlign w:val="superscript"/>
              </w:rPr>
              <w:t>(3)</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18"/>
        </w:trPr>
        <w:tc>
          <w:tcPr>
            <w:tcW w:w="75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952"/>
              <w:spacing w:after="0"/>
              <w:rPr>
                <w:sz w:val="20"/>
                <w:szCs w:val="20"/>
                <w:color w:val="auto"/>
              </w:rPr>
            </w:pPr>
            <w:r>
              <w:rPr>
                <w:rFonts w:ascii="Arial" w:cs="Arial" w:eastAsia="Arial" w:hAnsi="Arial"/>
                <w:sz w:val="14"/>
                <w:szCs w:val="14"/>
                <w:b w:val="1"/>
                <w:bCs w:val="1"/>
                <w:color w:val="auto"/>
              </w:rPr>
              <w:t>The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9"/>
                <w:szCs w:val="9"/>
                <w:b w:val="1"/>
                <w:bCs w:val="1"/>
                <w:color w:val="auto"/>
              </w:rPr>
              <w:t>(5)</w:t>
            </w:r>
          </w:p>
        </w:tc>
        <w:tc>
          <w:tcPr>
            <w:tcW w:w="280" w:type="dxa"/>
            <w:vAlign w:val="bottom"/>
            <w:shd w:val="clear" w:color="auto" w:fill="CCEEFF"/>
          </w:tcPr>
          <w:p>
            <w:pPr>
              <w:spacing w:after="0"/>
              <w:rPr>
                <w:sz w:val="17"/>
                <w:szCs w:val="17"/>
                <w:color w:val="auto"/>
              </w:rPr>
            </w:pPr>
          </w:p>
        </w:tc>
        <w:tc>
          <w:tcPr>
            <w:tcW w:w="162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Adjusted income before tax</w:t>
            </w:r>
          </w:p>
        </w:tc>
        <w:tc>
          <w:tcPr>
            <w:tcW w:w="7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66,743</w:t>
            </w:r>
          </w:p>
        </w:tc>
        <w:tc>
          <w:tcPr>
            <w:tcW w:w="12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44,640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52,743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4"/>
          <w:szCs w:val="14"/>
          <w:color w:val="auto"/>
        </w:rPr>
        <w:t>Certain "Underwriting and operating expenses" have been reclassified as "Service expenses" in prior periods.</w:t>
      </w:r>
    </w:p>
    <w:p>
      <w:pPr>
        <w:spacing w:after="0" w:line="13" w:lineRule="exact"/>
        <w:rPr>
          <w:rFonts w:ascii="Arial" w:cs="Arial" w:eastAsia="Arial" w:hAnsi="Arial"/>
          <w:sz w:val="9"/>
          <w:szCs w:val="9"/>
          <w:color w:val="auto"/>
        </w:rPr>
      </w:pPr>
    </w:p>
    <w:p>
      <w:pPr>
        <w:ind w:left="340" w:hanging="332"/>
        <w:spacing w:after="0" w:line="241" w:lineRule="auto"/>
        <w:tabs>
          <w:tab w:leader="none" w:pos="148" w:val="left"/>
        </w:tabs>
        <w:numPr>
          <w:ilvl w:val="0"/>
          <w:numId w:val="23"/>
        </w:numPr>
        <w:rPr>
          <w:rFonts w:ascii="Arial" w:cs="Arial" w:eastAsia="Arial" w:hAnsi="Arial"/>
          <w:sz w:val="9"/>
          <w:szCs w:val="9"/>
          <w:color w:val="auto"/>
        </w:rPr>
      </w:pPr>
      <w:r>
        <w:rPr>
          <w:rFonts w:ascii="Arial" w:cs="Arial" w:eastAsia="Arial" w:hAnsi="Arial"/>
          <w:sz w:val="14"/>
          <w:szCs w:val="14"/>
          <w:color w:val="auto"/>
        </w:rPr>
        <w:t>Diluted net income for the quarter ended March 31, 2020 excludes the impact of the warrant fair value change as it was anti-dilutive. For March 31, 2019, diluted net income equals reported net income as the impact of the warrant fair value change was dilutive.</w:t>
      </w:r>
    </w:p>
    <w:p>
      <w:pPr>
        <w:ind w:left="160" w:hanging="152"/>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 expenses by net premiums earned.</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4"/>
          <w:szCs w:val="14"/>
          <w:color w:val="auto"/>
        </w:rPr>
        <w:t>Expense ratio is calculated by dividing underwriting and operating expenses by net premiums earned.</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See "</w:t>
      </w:r>
      <w:r>
        <w:rPr>
          <w:rFonts w:ascii="Arial" w:cs="Arial" w:eastAsia="Arial" w:hAnsi="Arial"/>
          <w:sz w:val="14"/>
          <w:szCs w:val="14"/>
          <w:i w:val="1"/>
          <w:iCs w:val="1"/>
          <w:color w:val="auto"/>
        </w:rPr>
        <w:t>Explanation and Reconciliation of Our Use of Non-GAAP Financial Measures</w:t>
      </w:r>
      <w:r>
        <w:rPr>
          <w:rFonts w:ascii="Arial" w:cs="Arial" w:eastAsia="Arial" w:hAnsi="Arial"/>
          <w:sz w:val="14"/>
          <w:szCs w:val="14"/>
          <w:color w:val="auto"/>
        </w:rPr>
        <w:t>," below.</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Net premiums earned were $98.7 million and $73.9 million for the three months ended March 31, 2020 and March 31, 2019, respectively. Net premiums earned increased $24.8 million or 34% three months ended March 31, 2020 primarily due to the growth of our IIF, a rise in monthly policy production and higher single premium policy cancellations, partially offset by incremental cessions under the QSR Transactions tied to the growth of our direct premium volume and the inception of the 2019 ILN Transaction.</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45" w:name="page46"/>
    <w:bookmarkEnd w:id="45"/>
    <w:p>
      <w:pPr>
        <w:jc w:val="both"/>
        <w:ind w:firstLine="388"/>
        <w:spacing w:after="0" w:line="277" w:lineRule="auto"/>
        <w:rPr>
          <w:sz w:val="20"/>
          <w:szCs w:val="20"/>
          <w:color w:val="auto"/>
        </w:rPr>
      </w:pPr>
      <w:r>
        <w:rPr>
          <w:rFonts w:ascii="Arial" w:cs="Arial" w:eastAsia="Arial" w:hAnsi="Arial"/>
          <w:sz w:val="18"/>
          <w:szCs w:val="18"/>
          <w:color w:val="auto"/>
        </w:rPr>
        <w:t>Net investment income was $8.1 million and $7.4 million for the three months ended March 31, 2020 and March 31, 2019, respectively. The increase was driven by an increase in the size of our total investment portfolio.</w:t>
      </w:r>
    </w:p>
    <w:p>
      <w:pPr>
        <w:spacing w:after="0" w:line="116" w:lineRule="exact"/>
        <w:rPr>
          <w:sz w:val="20"/>
          <w:szCs w:val="20"/>
          <w:color w:val="auto"/>
        </w:rPr>
      </w:pPr>
    </w:p>
    <w:p>
      <w:pPr>
        <w:jc w:val="both"/>
        <w:ind w:firstLine="453"/>
        <w:spacing w:after="0" w:line="301" w:lineRule="auto"/>
        <w:rPr>
          <w:sz w:val="20"/>
          <w:szCs w:val="20"/>
          <w:color w:val="auto"/>
        </w:rPr>
      </w:pPr>
      <w:r>
        <w:rPr>
          <w:rFonts w:ascii="Arial" w:cs="Arial" w:eastAsia="Arial" w:hAnsi="Arial"/>
          <w:sz w:val="16"/>
          <w:szCs w:val="16"/>
          <w:color w:val="auto"/>
        </w:rPr>
        <w:t>Other revenues were $0.9 million and $42 thousand for the three months ended March 31, 2020 and March 31, 2019, respectively. Other revenues represent underwriting fee revenue from our subsidiary, NMIS, which provides outsourced loan review services to mortgage loan originators. The growth in other revenues for the three months ended relates to an increase in NMIS' outsourced loan review volume. Amounts recognized in other revenues generally correspond with amounts incurred as service expenses for outsourced loan review activities in the same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Insurance claims and claim expenses increased $3.0 million for the three months ended March 31, 2020, compared to the three months ended March 31, 2019 primarily due to an increase in new defaults tied to the growth in the number of policies in force and the aging of our earlier book years, and an increase in our average reserve per default primarily due to an increase in claim rates resulting from updates to certain assumptions as a result of COVID-19 and the aging of our NOD population. This was partially offset by cure activity on the beginning NOD population.</w:t>
      </w:r>
    </w:p>
    <w:p>
      <w:pPr>
        <w:spacing w:after="0" w:line="103" w:lineRule="exact"/>
        <w:rPr>
          <w:sz w:val="20"/>
          <w:szCs w:val="20"/>
          <w:color w:val="auto"/>
        </w:rPr>
      </w:pPr>
    </w:p>
    <w:p>
      <w:pPr>
        <w:jc w:val="both"/>
        <w:ind w:firstLine="420"/>
        <w:spacing w:after="0" w:line="259" w:lineRule="auto"/>
        <w:rPr>
          <w:sz w:val="20"/>
          <w:szCs w:val="20"/>
          <w:color w:val="auto"/>
        </w:rPr>
      </w:pPr>
      <w:r>
        <w:rPr>
          <w:rFonts w:ascii="Arial" w:cs="Arial" w:eastAsia="Arial" w:hAnsi="Arial"/>
          <w:sz w:val="18"/>
          <w:szCs w:val="18"/>
          <w:color w:val="auto"/>
        </w:rPr>
        <w:t>Underwriting and operating expenses increased $1.5 million or 5% for the three months ended March 31, 2020 compared to the three months ended March 31, 2019. The increase relates to an increase in underwriting and operating expenses associated with the growth in policy volume, as well as increased headcount to support the growth of our business. We incurred $0.5 million of underwriting and operating expenses during the three months ended March 31, 2020 related to capital market transaction costs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Service expenses were $0.7 million and $49 thousand for the three months ended March 31, 2020 and March 31, 2019, respectively. Service expenses represent third-party costs incurred by NMIS in connection with the services it provides. The growth in service expenses for the quarter ended March 31, 2020 relates to an increase in NMIS' outsourced loan review volume. Amounts incurred as service expenses generally correspond with amounts recognized in other revenues in the same periods.</w:t>
      </w:r>
    </w:p>
    <w:p>
      <w:pPr>
        <w:spacing w:after="0" w:line="133" w:lineRule="exact"/>
        <w:rPr>
          <w:sz w:val="20"/>
          <w:szCs w:val="20"/>
          <w:color w:val="auto"/>
        </w:rPr>
      </w:pPr>
    </w:p>
    <w:p>
      <w:pPr>
        <w:jc w:val="both"/>
        <w:ind w:firstLine="414"/>
        <w:spacing w:after="0" w:line="286" w:lineRule="auto"/>
        <w:rPr>
          <w:sz w:val="20"/>
          <w:szCs w:val="20"/>
          <w:color w:val="auto"/>
        </w:rPr>
      </w:pPr>
      <w:r>
        <w:rPr>
          <w:rFonts w:ascii="Arial" w:cs="Arial" w:eastAsia="Arial" w:hAnsi="Arial"/>
          <w:sz w:val="17"/>
          <w:szCs w:val="17"/>
          <w:color w:val="auto"/>
        </w:rPr>
        <w:t>Interest expense was $2.7 million for the three months ended March 31, 2020 compared to $3.1 million for the three months ended March 31, 2019. Interest expense for the three months ended March 31, 2020 benefited from a lower LIBOR indexed to the 2018 term loan compared to the three months ended March 31, 2019. See Item 1, "</w:t>
      </w:r>
      <w:r>
        <w:rPr>
          <w:rFonts w:ascii="Arial" w:cs="Arial" w:eastAsia="Arial" w:hAnsi="Arial"/>
          <w:sz w:val="17"/>
          <w:szCs w:val="17"/>
          <w:i w:val="1"/>
          <w:iCs w:val="1"/>
          <w:color w:val="auto"/>
        </w:rPr>
        <w:t>Financial Statements - Notes to Condensed Consolidated Financial Statements - Note 4, Debt.</w:t>
      </w:r>
      <w:r>
        <w:rPr>
          <w:rFonts w:ascii="Arial" w:cs="Arial" w:eastAsia="Arial" w:hAnsi="Arial"/>
          <w:sz w:val="17"/>
          <w:szCs w:val="17"/>
          <w:color w:val="auto"/>
        </w:rPr>
        <w:t>"</w:t>
      </w:r>
    </w:p>
    <w:p>
      <w:pPr>
        <w:spacing w:after="0" w:line="111"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Income tax expense was $13.9 million for the three months ended March 31, 2020 compared to $6.1 million for the three months ended March 31, 2019. Income tax expense increased due to the growth in our pre-tax income. We are subject to a 21% statutory U.S. federal corporate income tax rate. Our effective tax rate on our pre-tax income was 19.2% for the three months ended March 31, 2020 compared to 15.6% for the three months ended March 31, 2019. Our provision for income taxes for interim periods is established based on our estimated annual effective tax rate for a given year. Our effective tax rates for the three months ended March 31, 2020 and 2019 reflect the discrete tax effects of the vesting of RSUs and exercise of options, and the change in fair value of our warrant liability in each period. See Item 1, "</w:t>
      </w:r>
      <w:r>
        <w:rPr>
          <w:rFonts w:ascii="Arial" w:cs="Arial" w:eastAsia="Arial" w:hAnsi="Arial"/>
          <w:sz w:val="18"/>
          <w:szCs w:val="18"/>
          <w:i w:val="1"/>
          <w:iCs w:val="1"/>
          <w:color w:val="auto"/>
        </w:rPr>
        <w:t>Financial Statements - Notes to Condensed Consolidated Financial Statements - Note 9,</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370"/>
        <w:spacing w:after="0" w:line="272" w:lineRule="auto"/>
        <w:rPr>
          <w:sz w:val="20"/>
          <w:szCs w:val="20"/>
          <w:color w:val="auto"/>
        </w:rPr>
      </w:pPr>
      <w:r>
        <w:rPr>
          <w:rFonts w:ascii="Arial" w:cs="Arial" w:eastAsia="Arial" w:hAnsi="Arial"/>
          <w:sz w:val="17"/>
          <w:szCs w:val="17"/>
          <w:color w:val="auto"/>
        </w:rPr>
        <w:t>Net income was $58.3 million for the three months ended March 31, 2020 compared to $32.9 million for the three months ended March 31, 2019. The increase in net income can be attributed by an increase in revenues and gain from change in fair value of warrant liability for the three months ended March 31, 2020, compared to a loss from change in fair value of warrant liability for the three months ended March 31, 2019. This was partially offset by increased underwriting expenses and insurance claims and claim expenses. Adjusted net income was $52.7 million for the three months ended March 31, 2020, compared to $38.5 million for the three months ended March 31, 2019. The increase in adjusted net income for the three months ended March 31, 2020 was driven by growth in total revenues, partially offset by increased underwriting expenses and insurance claims and claim expenses. The gain/loss from change in fair value of warrant liability was excluded from adjusted net income in both periods presented.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p>
      <w:pPr>
        <w:jc w:val="both"/>
        <w:ind w:firstLine="410"/>
        <w:spacing w:after="0" w:line="259" w:lineRule="auto"/>
        <w:rPr>
          <w:sz w:val="20"/>
          <w:szCs w:val="20"/>
          <w:color w:val="auto"/>
        </w:rPr>
      </w:pPr>
      <w:r>
        <w:rPr>
          <w:rFonts w:ascii="Arial" w:cs="Arial" w:eastAsia="Arial" w:hAnsi="Arial"/>
          <w:sz w:val="18"/>
          <w:szCs w:val="18"/>
          <w:color w:val="auto"/>
        </w:rPr>
        <w:t>Diluted EPS was $0.74 for the three months ended March 31, 2020 compared to $0.48 for the three months ended March 31, 2019. Adjusted diluted EPS was $0.75 for the three months ended March 31, 2020, compared to $0.56 for the three months ended March 31, 2019. The increases in diluted EPS and adjusted diluted EPS for the three months ended March 31, 2020, were driven by growth in net income and adjusted net income, partially offset by an increase in weighted average diluted shares outstanding.</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 Reconciliations</w:t>
            </w:r>
          </w:p>
        </w:tc>
        <w:tc>
          <w:tcPr>
            <w:tcW w:w="28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6"/>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5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280" w:type="dxa"/>
            <w:vAlign w:val="bottom"/>
            <w:shd w:val="clear" w:color="auto" w:fill="CCEEFF"/>
          </w:tcPr>
          <w:p>
            <w:pPr>
              <w:spacing w:after="0"/>
              <w:rPr>
                <w:sz w:val="22"/>
                <w:szCs w:val="22"/>
                <w:color w:val="auto"/>
              </w:rPr>
            </w:pPr>
          </w:p>
        </w:tc>
        <w:tc>
          <w:tcPr>
            <w:tcW w:w="3060" w:type="dxa"/>
            <w:vAlign w:val="bottom"/>
            <w:gridSpan w:val="4"/>
            <w:shd w:val="clear" w:color="auto" w:fill="CCEEFF"/>
          </w:tcPr>
          <w:p>
            <w:pPr>
              <w:jc w:val="right"/>
              <w:ind w:right="352"/>
              <w:spacing w:after="0"/>
              <w:rPr>
                <w:sz w:val="20"/>
                <w:szCs w:val="20"/>
                <w:color w:val="auto"/>
              </w:rPr>
            </w:pPr>
            <w:r>
              <w:rPr>
                <w:rFonts w:ascii="Arial" w:cs="Arial" w:eastAsia="Arial" w:hAnsi="Arial"/>
                <w:sz w:val="14"/>
                <w:szCs w:val="14"/>
                <w:i w:val="1"/>
                <w:iCs w:val="1"/>
                <w:color w:val="auto"/>
                <w:w w:val="98"/>
              </w:rPr>
              <w:t>($ in thousands, except for per share data)</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72,156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38,974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6,075</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58,271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32,899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losses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(Gain) loss from change in fair value warrant liability</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5,479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market transaction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66,743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44,640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Income tax expense on adjustments</w:t>
            </w:r>
          </w:p>
        </w:tc>
        <w:tc>
          <w:tcPr>
            <w:tcW w:w="28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52,743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38,526</w:t>
            </w: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68,996</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0.56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discrete, non-recurring and non-operating items in the periods in which such items are incurred.</w:t>
      </w:r>
    </w:p>
    <w:p>
      <w:pPr>
        <w:spacing w:after="0" w:line="12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discrete, non-recurring and non-operating items in the periods in which such items are incurred. Adjustments to components of pre-tax income are tax effected using the applicable federal statutory tax rate for the respective periods.</w:t>
      </w:r>
    </w:p>
    <w:p>
      <w:pPr>
        <w:spacing w:after="0" w:line="12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17"/>
          <w:szCs w:val="17"/>
          <w:color w:val="auto"/>
        </w:rPr>
        <w:t>is defined as adjusted net income divided by adjusted weighted average diluted shares outstanding. Adjusted weighted</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33" w:lineRule="exact"/>
        <w:rPr>
          <w:sz w:val="20"/>
          <w:szCs w:val="20"/>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Infrequent or unusual non-operating items</w:t>
      </w:r>
      <w:r>
        <w:rPr>
          <w:rFonts w:ascii="Arial" w:cs="Arial" w:eastAsia="Arial" w:hAnsi="Arial"/>
          <w:sz w:val="18"/>
          <w:szCs w:val="18"/>
          <w:color w:val="auto"/>
        </w:rPr>
        <w:t>. Items that are the result of unforeseen or uncommon events, which occur separately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are not expected to recur in the future. Identification and exclusion of 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2"/>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r>
      <w:tr>
        <w:trPr>
          <w:trHeight w:val="196"/>
        </w:trPr>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4"/>
          </w:tcPr>
          <w:p>
            <w:pPr>
              <w:jc w:val="right"/>
              <w:ind w:right="121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1,070,072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1,140,940</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109,821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41,089</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46,085</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62,634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59,972</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26,096</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Prepaid reinsurance premiums</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15,488</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59,661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35,148</w:t>
            </w:r>
          </w:p>
        </w:tc>
      </w:tr>
      <w:tr>
        <w:trPr>
          <w:trHeight w:val="263"/>
        </w:trPr>
        <w:tc>
          <w:tcPr>
            <w:tcW w:w="7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1,387,827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145,764</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126,908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136,642</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39,904</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29,479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23,752</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Reinsurance funds withheld</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14,310</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7,641</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56,360</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10,025</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412,937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434,398</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974,890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930,420</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1,387,827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1,364,818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March 31, 2020, we had $1.2 billion in cash and investments, including $43.7 million held by NMIH. The decrease in investments from December 31, 2019 is attributed to increases in our unrealized loss positions caused by market-wide widening of credit spreads as a result of the COVID-19 pandemic and a temporary pause on reinvestment activities. The increase in cash from December 31, 2019 was due increased cash generated from operations and a pause on reinvestment activities.</w:t>
      </w:r>
    </w:p>
    <w:p>
      <w:pPr>
        <w:spacing w:after="0" w:line="133" w:lineRule="exact"/>
        <w:rPr>
          <w:sz w:val="20"/>
          <w:szCs w:val="20"/>
          <w:color w:val="auto"/>
        </w:rPr>
      </w:pPr>
    </w:p>
    <w:p>
      <w:pPr>
        <w:jc w:val="both"/>
        <w:ind w:firstLine="377"/>
        <w:spacing w:after="0" w:line="263" w:lineRule="auto"/>
        <w:rPr>
          <w:sz w:val="20"/>
          <w:szCs w:val="20"/>
          <w:color w:val="auto"/>
        </w:rPr>
      </w:pPr>
      <w:r>
        <w:rPr>
          <w:rFonts w:ascii="Arial" w:cs="Arial" w:eastAsia="Arial" w:hAnsi="Arial"/>
          <w:sz w:val="18"/>
          <w:szCs w:val="18"/>
          <w:color w:val="auto"/>
        </w:rPr>
        <w:t>Net deferred policy acquisition costs were $62.6 million as of March 31, 2020, compared to $60.0 million as of December 31, 2019. The increase was primarily driven by growth in the number of policies written during the period and the deferral of certain costs associated with the origination of those policies, partially offset by the amortization of previously deferred acquisition costs.</w:t>
      </w:r>
    </w:p>
    <w:p>
      <w:pPr>
        <w:spacing w:after="0" w:line="130"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Prepaid reinsurance premiums were $13.1 million as of March 31, 2020, compared to $15.5 million as of December 31, 2019. Prepaid reinsurance premiums, which represent the unearned premiums on single premium policies ceded under the 2016 QSR Transaction, decreased due to the termination of our engagement with one reinsurer under the 2016 QSR Transaction and the continued amortization of previously ceded unearned premiums.</w:t>
      </w:r>
    </w:p>
    <w:p>
      <w:pPr>
        <w:spacing w:after="0" w:line="95" w:lineRule="exact"/>
        <w:rPr>
          <w:sz w:val="20"/>
          <w:szCs w:val="20"/>
          <w:color w:val="auto"/>
        </w:rPr>
      </w:pPr>
    </w:p>
    <w:p>
      <w:pPr>
        <w:jc w:val="both"/>
        <w:ind w:firstLine="369"/>
        <w:spacing w:after="0" w:line="263" w:lineRule="auto"/>
        <w:rPr>
          <w:sz w:val="20"/>
          <w:szCs w:val="20"/>
          <w:color w:val="auto"/>
        </w:rPr>
      </w:pPr>
      <w:r>
        <w:rPr>
          <w:rFonts w:ascii="Arial" w:cs="Arial" w:eastAsia="Arial" w:hAnsi="Arial"/>
          <w:sz w:val="18"/>
          <w:szCs w:val="18"/>
          <w:color w:val="auto"/>
        </w:rPr>
        <w:t>Other assets increased to $59.7 million as of March 31, 2020 from $35.1 million as of December 31, 2019. Other assets as of March 31, 2020 includes unsettled trade receivables of $21.4 million from sales of certain investment securities, as well as the capitalization of $0.8 million of deferred debt issuance costs incurred in connection with the 2020 Revolving Credit Facility.</w:t>
      </w:r>
    </w:p>
    <w:p>
      <w:pPr>
        <w:spacing w:after="0" w:line="130" w:lineRule="exact"/>
        <w:rPr>
          <w:sz w:val="20"/>
          <w:szCs w:val="20"/>
          <w:color w:val="auto"/>
        </w:rPr>
      </w:pPr>
    </w:p>
    <w:p>
      <w:pPr>
        <w:jc w:val="both"/>
        <w:ind w:firstLine="605"/>
        <w:spacing w:after="0" w:line="286" w:lineRule="auto"/>
        <w:rPr>
          <w:sz w:val="20"/>
          <w:szCs w:val="20"/>
          <w:color w:val="auto"/>
        </w:rPr>
      </w:pPr>
      <w:r>
        <w:rPr>
          <w:rFonts w:ascii="Arial" w:cs="Arial" w:eastAsia="Arial" w:hAnsi="Arial"/>
          <w:sz w:val="17"/>
          <w:szCs w:val="17"/>
          <w:color w:val="auto"/>
        </w:rPr>
        <w:t>Unearned premiums decreased from $136.6 million as of December 31, 2019 to $126.9 million as of March 31, 2020, primarily due to the amortization of existing unearned premiums through earnings in accordance with the expiration of risk on related single premium policies and the cancellation of other single premium policies, partially offset by single premium policy originations during the three months ended March 31, 2020.</w:t>
      </w:r>
    </w:p>
    <w:p>
      <w:pPr>
        <w:spacing w:after="0" w:line="111" w:lineRule="exact"/>
        <w:rPr>
          <w:sz w:val="20"/>
          <w:szCs w:val="20"/>
          <w:color w:val="auto"/>
        </w:rPr>
      </w:pPr>
    </w:p>
    <w:p>
      <w:pPr>
        <w:jc w:val="both"/>
        <w:ind w:firstLine="385"/>
        <w:spacing w:after="0" w:line="263" w:lineRule="auto"/>
        <w:rPr>
          <w:sz w:val="20"/>
          <w:szCs w:val="20"/>
          <w:color w:val="auto"/>
        </w:rPr>
      </w:pPr>
      <w:r>
        <w:rPr>
          <w:rFonts w:ascii="Arial" w:cs="Arial" w:eastAsia="Arial" w:hAnsi="Arial"/>
          <w:sz w:val="18"/>
          <w:szCs w:val="18"/>
          <w:color w:val="auto"/>
        </w:rPr>
        <w:t>Accounts payable and accrued expenses decreased from $39.9 million as of December 31, 2019 to $20.7 million as of March 31, 2020, primarily due to the payment of an unsettled trade payable related to the purchase of investment securities at year end 2019 and settlement of previously accrued compensation during the three months ended March 31, 2020.</w:t>
      </w:r>
    </w:p>
    <w:p>
      <w:pPr>
        <w:spacing w:after="0" w:line="130" w:lineRule="exact"/>
        <w:rPr>
          <w:sz w:val="20"/>
          <w:szCs w:val="20"/>
          <w:color w:val="auto"/>
        </w:rPr>
      </w:pPr>
    </w:p>
    <w:p>
      <w:pPr>
        <w:jc w:val="both"/>
        <w:ind w:firstLine="496"/>
        <w:spacing w:after="0" w:line="263" w:lineRule="auto"/>
        <w:rPr>
          <w:sz w:val="20"/>
          <w:szCs w:val="20"/>
          <w:color w:val="auto"/>
        </w:rPr>
      </w:pPr>
      <w:r>
        <w:rPr>
          <w:rFonts w:ascii="Arial" w:cs="Arial" w:eastAsia="Arial" w:hAnsi="Arial"/>
          <w:sz w:val="18"/>
          <w:szCs w:val="18"/>
          <w:color w:val="auto"/>
        </w:rPr>
        <w:t>Reserve for insurance claims and claim expenses increased from $23.8 million as of December 31, 2019 to $29.5 million as of March 31, 2020, primarily due to an increase in NODs tied to the growth in the number of policies in force and the aging of our earlier book years, and an increase in our average reserve per default tied to an increase an increase claim rates due</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to updates to certain assumptions as a result of COVID-19 and the aging of our NOD population. This was partially offset by the release of prior year reserves primarily tied to NOD cures. See "</w:t>
      </w:r>
      <w:r>
        <w:rPr>
          <w:rFonts w:ascii="Arial" w:cs="Arial" w:eastAsia="Arial" w:hAnsi="Arial"/>
          <w:sz w:val="18"/>
          <w:szCs w:val="18"/>
          <w:i w:val="1"/>
          <w:iCs w:val="1"/>
          <w:color w:val="auto"/>
        </w:rPr>
        <w:t>- Insurance Claims and Claim Expenses</w:t>
      </w:r>
      <w:r>
        <w:rPr>
          <w:rFonts w:ascii="Arial" w:cs="Arial" w:eastAsia="Arial" w:hAnsi="Arial"/>
          <w:sz w:val="18"/>
          <w:szCs w:val="18"/>
          <w:color w:val="auto"/>
        </w:rPr>
        <w:t>," above for further details.</w:t>
      </w:r>
    </w:p>
    <w:p>
      <w:pPr>
        <w:spacing w:after="0" w:line="116" w:lineRule="exact"/>
        <w:rPr>
          <w:sz w:val="20"/>
          <w:szCs w:val="20"/>
          <w:color w:val="auto"/>
        </w:rPr>
      </w:pPr>
    </w:p>
    <w:p>
      <w:pPr>
        <w:jc w:val="both"/>
        <w:ind w:firstLine="414"/>
        <w:spacing w:after="0" w:line="296" w:lineRule="auto"/>
        <w:rPr>
          <w:sz w:val="20"/>
          <w:szCs w:val="20"/>
          <w:color w:val="auto"/>
        </w:rPr>
      </w:pPr>
      <w:r>
        <w:rPr>
          <w:rFonts w:ascii="Arial" w:cs="Arial" w:eastAsia="Arial" w:hAnsi="Arial"/>
          <w:sz w:val="16"/>
          <w:szCs w:val="16"/>
          <w:color w:val="auto"/>
        </w:rPr>
        <w:t>Reinsurance funds withheld was $12.7 million as of March 31, 2020, representing the net of our ceded reinsurance premiums written, less our profit and ceding commission receivables related to the 2016 QSR Transaction. The decrease in reinsurance funds withheld of $1.6 million from December 31, 2019, relates to the termination of our engagement with one reinsurer under the 2016 QSR Transaction and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7" w:lineRule="exact"/>
        <w:rPr>
          <w:sz w:val="20"/>
          <w:szCs w:val="20"/>
          <w:color w:val="auto"/>
        </w:rPr>
      </w:pPr>
    </w:p>
    <w:p>
      <w:pPr>
        <w:jc w:val="both"/>
        <w:ind w:firstLine="386"/>
        <w:spacing w:after="0" w:line="286" w:lineRule="auto"/>
        <w:rPr>
          <w:sz w:val="20"/>
          <w:szCs w:val="20"/>
          <w:color w:val="auto"/>
        </w:rPr>
      </w:pPr>
      <w:r>
        <w:rPr>
          <w:rFonts w:ascii="Arial" w:cs="Arial" w:eastAsia="Arial" w:hAnsi="Arial"/>
          <w:sz w:val="17"/>
          <w:szCs w:val="17"/>
          <w:color w:val="auto"/>
        </w:rPr>
        <w:t>Warrant liability decreased from $7.6 million at December 31, 2019 to $1.5 million at March 31, 2020, primarily due to a decrease in our stock price. For further information regarding the valuation of our warrant liability and its impact on our results of operations and financial position, see Item 1, "</w:t>
      </w:r>
      <w:r>
        <w:rPr>
          <w:rFonts w:ascii="Arial" w:cs="Arial" w:eastAsia="Arial" w:hAnsi="Arial"/>
          <w:sz w:val="17"/>
          <w:szCs w:val="17"/>
          <w:i w:val="1"/>
          <w:iCs w:val="1"/>
          <w:color w:val="auto"/>
        </w:rPr>
        <w:t>Financial Statements - Notes to Condensed Consolidated Financial Statements - Note 3, Fair Value of Financial Instruments.</w:t>
      </w:r>
      <w:r>
        <w:rPr>
          <w:rFonts w:ascii="Arial" w:cs="Arial" w:eastAsia="Arial" w:hAnsi="Arial"/>
          <w:sz w:val="17"/>
          <w:szCs w:val="17"/>
          <w:color w:val="auto"/>
        </w:rPr>
        <w:t>"</w:t>
      </w:r>
    </w:p>
    <w:p>
      <w:pPr>
        <w:spacing w:after="0" w:line="111" w:lineRule="exact"/>
        <w:rPr>
          <w:sz w:val="20"/>
          <w:szCs w:val="20"/>
          <w:color w:val="auto"/>
        </w:rPr>
      </w:pPr>
    </w:p>
    <w:p>
      <w:pPr>
        <w:jc w:val="both"/>
        <w:ind w:firstLine="415"/>
        <w:spacing w:after="0" w:line="311" w:lineRule="auto"/>
        <w:rPr>
          <w:sz w:val="20"/>
          <w:szCs w:val="20"/>
          <w:color w:val="auto"/>
        </w:rPr>
      </w:pPr>
      <w:r>
        <w:rPr>
          <w:rFonts w:ascii="Arial" w:cs="Arial" w:eastAsia="Arial" w:hAnsi="Arial"/>
          <w:sz w:val="16"/>
          <w:szCs w:val="16"/>
          <w:color w:val="auto"/>
        </w:rPr>
        <w:t>Net deferred tax liability increased from $56.4 million as of December 31, 2019 to $66.8 million as of March 31, 2020, primarily due an increase in the claimed deductibility of our statutory contingency reserve.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ectPr>
          <w:pgSz w:w="11900" w:h="16838" w:orient="portrait"/>
          <w:cols w:equalWidth="0" w:num="1">
            <w:col w:w="11240"/>
          </w:cols>
          <w:pgMar w:left="320" w:top="1016"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cash flows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Investing activities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2802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44"/>
        </w:trPr>
        <w:tc>
          <w:tcPr>
            <w:tcW w:w="420" w:type="dxa"/>
            <w:vAlign w:val="bottom"/>
          </w:tcPr>
          <w:p>
            <w:pPr>
              <w:spacing w:after="0"/>
              <w:rPr>
                <w:sz w:val="21"/>
                <w:szCs w:val="21"/>
                <w:color w:val="auto"/>
              </w:rPr>
            </w:pPr>
          </w:p>
        </w:tc>
        <w:tc>
          <w:tcPr>
            <w:tcW w:w="1980" w:type="dxa"/>
            <w:vAlign w:val="bottom"/>
            <w:gridSpan w:val="3"/>
          </w:tcPr>
          <w:p>
            <w:pPr>
              <w:ind w:left="94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21"/>
                <w:szCs w:val="21"/>
                <w:color w:val="auto"/>
              </w:rPr>
            </w:pPr>
          </w:p>
        </w:tc>
      </w:tr>
      <w:tr>
        <w:trPr>
          <w:trHeight w:val="255"/>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ind w:left="680"/>
              <w:spacing w:after="0"/>
              <w:rPr>
                <w:sz w:val="20"/>
                <w:szCs w:val="20"/>
                <w:color w:val="auto"/>
              </w:rPr>
            </w:pPr>
            <w:r>
              <w:rPr>
                <w:rFonts w:ascii="Arial" w:cs="Arial" w:eastAsia="Arial" w:hAnsi="Arial"/>
                <w:sz w:val="18"/>
                <w:szCs w:val="18"/>
                <w:color w:val="auto"/>
              </w:rPr>
              <w:t>47,852</w:t>
            </w:r>
          </w:p>
        </w:tc>
        <w:tc>
          <w:tcPr>
            <w:tcW w:w="12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28,279</w:t>
            </w:r>
          </w:p>
        </w:tc>
      </w:tr>
      <w:tr>
        <w:trPr>
          <w:trHeight w:val="270"/>
        </w:trPr>
        <w:tc>
          <w:tcPr>
            <w:tcW w:w="420" w:type="dxa"/>
            <w:vAlign w:val="bottom"/>
          </w:tcPr>
          <w:p>
            <w:pPr>
              <w:spacing w:after="0"/>
              <w:rPr>
                <w:sz w:val="23"/>
                <w:szCs w:val="23"/>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rPr>
              <w:t>25,783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(11,977)</w:t>
            </w:r>
          </w:p>
        </w:tc>
      </w:tr>
      <w:tr>
        <w:trPr>
          <w:trHeight w:val="270"/>
        </w:trPr>
        <w:tc>
          <w:tcPr>
            <w:tcW w:w="420" w:type="dxa"/>
            <w:vAlign w:val="bottom"/>
          </w:tcPr>
          <w:p>
            <w:pPr>
              <w:spacing w:after="0"/>
              <w:rPr>
                <w:sz w:val="23"/>
                <w:szCs w:val="23"/>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(1,835)</w:t>
            </w:r>
          </w:p>
        </w:tc>
      </w:tr>
      <w:tr>
        <w:trPr>
          <w:trHeight w:val="27"/>
        </w:trPr>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ind w:left="680"/>
              <w:spacing w:after="0"/>
              <w:rPr>
                <w:sz w:val="20"/>
                <w:szCs w:val="20"/>
                <w:color w:val="auto"/>
              </w:rPr>
            </w:pPr>
            <w:r>
              <w:rPr>
                <w:rFonts w:ascii="Arial" w:cs="Arial" w:eastAsia="Arial" w:hAnsi="Arial"/>
                <w:sz w:val="18"/>
                <w:szCs w:val="18"/>
                <w:color w:val="auto"/>
              </w:rPr>
              <w:t>68,732</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14,467</w:t>
            </w:r>
          </w:p>
        </w:tc>
      </w:tr>
      <w:tr>
        <w:trPr>
          <w:trHeight w:val="27"/>
        </w:trPr>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-727710</wp:posOffset>
            </wp:positionV>
            <wp:extent cx="706374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-384810</wp:posOffset>
            </wp:positionV>
            <wp:extent cx="706374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6820" w:space="720"/>
            <w:col w:w="3700"/>
          </w:cols>
          <w:pgMar w:left="320" w:top="1016" w:right="3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was $47.9 million for the three months ended March 31, 2020, compared to $28.3 million for the three months ended March 31, 2019. The increases in cash generated from operating activities for the three months ended March 31, 2020, was primarily driven by growth in premiums written and investment income, partially offset by increased operating expenses and growth in claims paid tied to the growth and aging of our insured portfolio.</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investing activities for the three months ended March 31, 2020 represent the net cash proceeds from maturities of fixed maturities and the sales of short-term investments partially offset by purchases. As a result of the COVID-19 pandemic we paused reinvestment activities to bolster liquidity. Cash used in investment activities for the three months ended March 31, 2019 was driven by the purchase of fixed and short-term maturities during those periods.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financing activities was $4.9 million for the three months ended March 31, 2020, compared to cash used in activities of $1.8 million for the three months ended March 31, 2019. The cash used in financing activities primarily relates to taxes paid on the net share settlement of equity awards for certain employees. The cash used in financing activities for the three months ended March 31, 2020 also includes cash paid for debt issuance costs in connection with the 2020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8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 of principal and interest related to the 2018 Term Loan and 2020 Revolving Credit Facility; (iv) tax payments to the Internal Revenue Service;</w:t>
      </w:r>
    </w:p>
    <w:p>
      <w:pPr>
        <w:spacing w:after="0" w:line="32" w:lineRule="exact"/>
        <w:rPr>
          <w:rFonts w:ascii="Arial" w:cs="Arial" w:eastAsia="Arial" w:hAnsi="Arial"/>
          <w:sz w:val="16"/>
          <w:szCs w:val="16"/>
          <w:color w:val="auto"/>
        </w:rPr>
      </w:pPr>
    </w:p>
    <w:p>
      <w:pPr>
        <w:jc w:val="both"/>
        <w:ind w:firstLine="8"/>
        <w:spacing w:after="0" w:line="255" w:lineRule="auto"/>
        <w:tabs>
          <w:tab w:leader="none" w:pos="2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NMIH had $43.7 million of cash and investments. NMIH's principal source of net cash is investment income. NMIH also has access to $100 million of undrawn revolving credit capacity under the 2020 Revolving Credit Facility. NMIC and Re One have the capacity to pay aggregate ordinary dividends of $16.1 million to NMIH during the 12-month period ending December 31, 2020.</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With the Wisconsin OCI's approval, NMIH began allocating the interest expense on the 2015 Term Loan to NMIC in the first quarter of 2017, consistent with the benefits NMIC received when NMIH contributed the loan proceeds to NMIC. NMIH received similar approval from the Wisconsin OCI to allocate interest expense to NMIC on the 2018 Term Loan and 2020 Revolving Credit Facility. Such approvals may be changed or revoked at any time.</w:t>
      </w:r>
    </w:p>
    <w:p>
      <w:pPr>
        <w:spacing w:after="0" w:line="117" w:lineRule="exact"/>
        <w:rPr>
          <w:sz w:val="20"/>
          <w:szCs w:val="20"/>
          <w:color w:val="auto"/>
        </w:rPr>
      </w:pPr>
    </w:p>
    <w:p>
      <w:pPr>
        <w:jc w:val="both"/>
        <w:ind w:firstLine="688"/>
        <w:spacing w:after="0" w:line="291"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and Re One have never paid dividends to NMIH. NMIC and Re One have the capacity to pay aggregate ordinary dividends of $16.1 million to NMIH during the 12-month period ending December 31, 2020.</w:t>
      </w:r>
    </w:p>
    <w:p>
      <w:pPr>
        <w:spacing w:after="0" w:line="112" w:lineRule="exact"/>
        <w:rPr>
          <w:sz w:val="20"/>
          <w:szCs w:val="20"/>
          <w:color w:val="auto"/>
        </w:rPr>
      </w:pPr>
    </w:p>
    <w:p>
      <w:pPr>
        <w:jc w:val="both"/>
        <w:ind w:firstLine="398"/>
        <w:spacing w:after="0" w:line="263"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from the GSEs.</w:t>
      </w:r>
    </w:p>
    <w:p>
      <w:pPr>
        <w:spacing w:after="0" w:line="130" w:lineRule="exact"/>
        <w:rPr>
          <w:sz w:val="20"/>
          <w:szCs w:val="20"/>
          <w:color w:val="auto"/>
        </w:rPr>
      </w:pPr>
    </w:p>
    <w:p>
      <w:pPr>
        <w:jc w:val="both"/>
        <w:ind w:firstLine="423"/>
        <w:spacing w:after="0" w:line="263" w:lineRule="auto"/>
        <w:rPr>
          <w:sz w:val="20"/>
          <w:szCs w:val="20"/>
          <w:color w:val="auto"/>
        </w:rPr>
      </w:pPr>
      <w:r>
        <w:rPr>
          <w:rFonts w:ascii="Arial" w:cs="Arial" w:eastAsia="Arial" w:hAnsi="Arial"/>
          <w:sz w:val="18"/>
          <w:szCs w:val="18"/>
          <w:color w:val="auto"/>
        </w:rPr>
        <w:t xml:space="preserve">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8"/>
          <w:szCs w:val="18"/>
          <w:i w:val="1"/>
          <w:iCs w:val="1"/>
          <w:color w:val="auto"/>
        </w:rPr>
        <w:t>minimum required asset</w:t>
      </w:r>
      <w:r>
        <w:rPr>
          <w:rFonts w:ascii="Arial" w:cs="Arial" w:eastAsia="Arial" w:hAnsi="Arial"/>
          <w:sz w:val="18"/>
          <w:szCs w:val="18"/>
          <w:color w:val="auto"/>
        </w:rPr>
        <w:t xml:space="preserve"> thresholds under the PMIERs and minimum state capital requirements. NMIH may require liquidity to fund the capital needs of its insurance subsidiaries.</w:t>
      </w:r>
    </w:p>
    <w:p>
      <w:pPr>
        <w:spacing w:after="0" w:line="130"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8"/>
          <w:szCs w:val="18"/>
          <w:color w:val="auto"/>
        </w:rPr>
        <w:t>In May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20, 2020, we amended the 2018 Revolving Credit Facility, increasing the borrowing capacity under the facility to $100 million, extending the maturity date to February 22, 2023, and reducing the interest cost related to both undrawn commitments and drawn borrowings under the facility. Borrowings under the 2020 Revolving Credit Facility accrue interest at a variable rate equal to, at our discretion, based on the applicable corporate credit rating at the time, (i) a base rate (as defined in the 2018 Credit Agreement, subject to a floor of 1.00% per annum) plus a margin of 0.375% to 1.875% per annum, which is reduced from a margin of 1.00% to 2.50% prior to the amendment, or (ii) the Eurodollar Rate (subject to a floor of 0.00% per annum) plus a margin of 1.375% to 2.875% per annum, which is reduced from a margin of 2.00% to 3.50% prior to the amendment. As of March 31, 2020, no borrowings had been made under the 2020 Revolving Credit Facility. The 2020 Revolving Credit Facility also requires us to pay a quarterly commitment fee on the average daily undrawn amount, which ranges from 0.175% to 0.525%, reduced from ranges of 0.30% to 0.60% prior to the amendment, based on the applicable corporate credit rating at the time.</w:t>
      </w:r>
    </w:p>
    <w:p>
      <w:pPr>
        <w:spacing w:after="0" w:line="127" w:lineRule="exact"/>
        <w:rPr>
          <w:sz w:val="20"/>
          <w:szCs w:val="20"/>
          <w:color w:val="auto"/>
        </w:rPr>
      </w:pPr>
    </w:p>
    <w:p>
      <w:pPr>
        <w:jc w:val="both"/>
        <w:ind w:right="80" w:firstLine="357"/>
        <w:spacing w:after="0" w:line="257" w:lineRule="auto"/>
        <w:rPr>
          <w:sz w:val="20"/>
          <w:szCs w:val="20"/>
          <w:color w:val="auto"/>
        </w:rPr>
      </w:pPr>
      <w:r>
        <w:rPr>
          <w:rFonts w:ascii="Arial" w:cs="Arial" w:eastAsia="Arial" w:hAnsi="Arial"/>
          <w:sz w:val="18"/>
          <w:szCs w:val="18"/>
          <w:color w:val="auto"/>
        </w:rPr>
        <w:t>We are subject to certain covenants under the 2018 Term Loan and 2020 Revolving Credit Facility. Under the 2018 Term Loan (and as defined in the 2018 Credit Agreement), we are subject a maximum debt-to-total capitalization ratio of 35%. Under the 2020 Revolving Credit Facility (and as defined in the 2018 Credit Agreement), we are subject to a maximum debt-to-total capitalization ratio of 35%, a minimum liquidity requirement, compliance with the PMIERs financial requirements (subject to any GSE-approved waivers), and minimum consolidated net worth and statutory capital requirements. We were 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ind w:right="140"/>
        <w:spacing w:after="0" w:line="257" w:lineRule="auto"/>
        <w:rPr>
          <w:sz w:val="20"/>
          <w:szCs w:val="20"/>
          <w:color w:val="auto"/>
        </w:rPr>
      </w:pPr>
      <w:r>
        <w:rPr>
          <w:rFonts w:ascii="Arial" w:cs="Arial" w:eastAsia="Arial" w:hAnsi="Arial"/>
          <w:sz w:val="18"/>
          <w:szCs w:val="18"/>
          <w:color w:val="auto"/>
        </w:rPr>
        <w:t>with all covenants as of March 31, 2020. Subsequent to the close of the quarter, we secured a further amendment to our 2020 Revolving Credit Facility to permit us to issue up to $400 million of senior debt alongside the facility, and we secured expanded approval from the Wisconsin OCI to allocate incremental holding company interest expenses to NMIC should we choose to pursue additional debt financing opportunities and downstream proceeds to support our operating businesses. We periodically review incremental financing opportunities and we may choose to use the flexibility afforded under the amendment in future periods.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461"/>
        <w:spacing w:after="0" w:line="259" w:lineRule="auto"/>
        <w:rPr>
          <w:sz w:val="20"/>
          <w:szCs w:val="20"/>
          <w:color w:val="auto"/>
        </w:rPr>
      </w:pPr>
      <w:r>
        <w:rPr>
          <w:rFonts w:ascii="Arial" w:cs="Arial" w:eastAsia="Arial" w:hAnsi="Arial"/>
          <w:sz w:val="18"/>
          <w:szCs w:val="18"/>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Our investment portfolio is entirely comprised of fixed maturity investments. As of March 31, 2020, the fair value of our investment portfolio was $1.1 billion. We also had an additional $109.8 million of cash and equivalents as of March 31, 2020. Pre-tax book yield on the investment portfolio for the three months ended March 31, 2020 was 3.0%. The book yield is calculated as period-to-date net investment income divided by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778"/>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9"/>
                <w:szCs w:val="9"/>
                <w:b w:val="1"/>
                <w:bCs w:val="1"/>
                <w:color w:val="auto"/>
              </w:rPr>
              <w:t>(1)</w:t>
            </w:r>
          </w:p>
        </w:tc>
        <w:tc>
          <w:tcPr>
            <w:tcW w:w="158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5"/>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AAA</w:t>
      </w:r>
    </w:p>
    <w:p>
      <w:pPr>
        <w:ind w:left="20"/>
        <w:spacing w:after="0" w:line="191" w:lineRule="auto"/>
        <w:rPr>
          <w:sz w:val="20"/>
          <w:szCs w:val="20"/>
          <w:color w:val="auto"/>
        </w:rPr>
      </w:pPr>
      <w:r>
        <w:rPr>
          <w:rFonts w:ascii="Arial" w:cs="Arial" w:eastAsia="Arial" w:hAnsi="Arial"/>
          <w:sz w:val="35"/>
          <w:szCs w:val="35"/>
          <w:color w:val="auto"/>
          <w:vertAlign w:val="subscript"/>
        </w:rPr>
        <w:t>AA</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line="181" w:lineRule="auto"/>
        <w:rPr>
          <w:sz w:val="20"/>
          <w:szCs w:val="20"/>
          <w:color w:val="auto"/>
        </w:rPr>
      </w:pPr>
      <w:r>
        <w:rPr>
          <w:rFonts w:ascii="Arial" w:cs="Arial" w:eastAsia="Arial" w:hAnsi="Arial"/>
          <w:sz w:val="31"/>
          <w:szCs w:val="31"/>
          <w:color w:val="auto"/>
          <w:vertAlign w:val="subscript"/>
        </w:rPr>
        <w:t>A</w:t>
      </w:r>
      <w:r>
        <w:rPr>
          <w:rFonts w:ascii="Arial" w:cs="Arial" w:eastAsia="Arial" w:hAnsi="Arial"/>
          <w:sz w:val="11"/>
          <w:szCs w:val="11"/>
          <w:color w:val="auto"/>
        </w:rPr>
        <w:t>(2)</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BBB</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5"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8"/>
          <w:szCs w:val="8"/>
          <w:color w:val="auto"/>
        </w:rPr>
      </w:pPr>
      <w:r>
        <w:rPr>
          <w:rFonts w:ascii="Arial" w:cs="Arial" w:eastAsia="Arial" w:hAnsi="Arial"/>
          <w:sz w:val="12"/>
          <w:szCs w:val="12"/>
          <w:color w:val="auto"/>
        </w:rPr>
        <w:t>Excluding certain operating cash accounts.</w:t>
      </w:r>
    </w:p>
    <w:p>
      <w:pPr>
        <w:spacing w:after="0" w:line="36" w:lineRule="exact"/>
        <w:rPr>
          <w:rFonts w:ascii="Arial" w:cs="Arial" w:eastAsia="Arial" w:hAnsi="Arial"/>
          <w:sz w:val="8"/>
          <w:szCs w:val="8"/>
          <w:color w:val="auto"/>
        </w:rPr>
      </w:pPr>
    </w:p>
    <w:p>
      <w:pPr>
        <w:ind w:left="160" w:hanging="152"/>
        <w:spacing w:after="0"/>
        <w:tabs>
          <w:tab w:leader="none" w:pos="160"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40" w:hanging="244"/>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spacing w:after="0"/>
        <w:tabs>
          <w:tab w:leader="none" w:pos="0" w:val="left"/>
        </w:tabs>
        <w:numPr>
          <w:ilvl w:val="0"/>
          <w:numId w:val="29"/>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0"/>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1"/>
        </w:numPr>
        <w:rPr>
          <w:rFonts w:ascii="Arial" w:cs="Arial" w:eastAsia="Arial" w:hAnsi="Arial"/>
          <w:sz w:val="18"/>
          <w:szCs w:val="18"/>
          <w:color w:val="auto"/>
        </w:rPr>
      </w:pP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64770</wp:posOffset>
            </wp:positionV>
            <wp:extent cx="11315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40" w:hanging="254"/>
        <w:spacing w:after="0"/>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spacing w:after="0"/>
        <w:tabs>
          <w:tab w:leader="none" w:pos="0" w:val="left"/>
        </w:tabs>
        <w:numPr>
          <w:ilvl w:val="0"/>
          <w:numId w:val="33"/>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4"/>
        </w:numPr>
        <w:rPr>
          <w:rFonts w:ascii="Arial" w:cs="Arial" w:eastAsia="Arial" w:hAnsi="Arial"/>
          <w:sz w:val="18"/>
          <w:szCs w:val="18"/>
          <w:color w:val="auto"/>
        </w:rPr>
      </w:pPr>
    </w:p>
    <w:p>
      <w:pPr>
        <w:spacing w:after="0" w:line="63" w:lineRule="exact"/>
        <w:rPr>
          <w:rFonts w:ascii="Arial" w:cs="Arial" w:eastAsia="Arial" w:hAnsi="Arial"/>
          <w:sz w:val="18"/>
          <w:szCs w:val="18"/>
          <w:color w:val="auto"/>
        </w:rPr>
      </w:pPr>
    </w:p>
    <w:p>
      <w:pPr>
        <w:spacing w:after="0"/>
        <w:tabs>
          <w:tab w:leader="none" w:pos="0" w:val="left"/>
        </w:tabs>
        <w:numPr>
          <w:ilvl w:val="0"/>
          <w:numId w:val="35"/>
        </w:numPr>
        <w:rPr>
          <w:rFonts w:ascii="Arial" w:cs="Arial" w:eastAsia="Arial" w:hAnsi="Arial"/>
          <w:sz w:val="18"/>
          <w:szCs w:val="18"/>
          <w:color w:val="auto"/>
        </w:r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72390</wp:posOffset>
            </wp:positionV>
            <wp:extent cx="11315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3">
            <w:col w:w="8120" w:space="720"/>
            <w:col w:w="1180" w:space="720"/>
            <w:col w:w="500"/>
          </w:cols>
          <w:pgMar w:left="320" w:top="1016" w:right="339" w:bottom="1440" w:gutter="0" w:footer="0" w:header="0"/>
          <w:type w:val="continuous"/>
        </w:sectPr>
      </w:pPr>
    </w:p>
    <w:p>
      <w:pPr>
        <w:spacing w:after="0" w:line="36"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two or more ratings are available, we assign the middle rating for classification purposes, otherwise we assign the lowest rating.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we did not recognize an allowance of credit losses on our investment portfolio. The increase in securities in an unrealized loss position as of March 31, 2020 can be attributed to a wide widening of credit spreads and surging demand for liquidity across the broader markets, partially offset by interest rate movements since the purchase date. We expect to recover the amortized cost basis of these securities based on our estimate of the amount and timing of cash flows to be collected.</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2019, we recognized a $0.4 million OTTI loss in earnings related to the planned sale of a security in a loss position in April 2019. There were no credit losses recognized in earnings for which a portion of an OTTI loss was recognized in accumulated other comprehensive income (loss) for the three months ended March 31, 2019.</w:t>
      </w:r>
    </w:p>
    <w:p>
      <w:pPr>
        <w:sectPr>
          <w:pgSz w:w="11900" w:h="16838" w:orient="portrait"/>
          <w:cols w:equalWidth="0" w:num="1">
            <w:col w:w="11240"/>
          </w:cols>
          <w:pgMar w:left="320" w:top="10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no material off-balance sheet arrangements as of March 31, 2020. In connection with the ILN Transactions, we have certain future contractual commitments to the Oaktown Re Vehicles (special purpose variable interest entities that are not consolidated in our financial results). See Item 1, "</w:t>
      </w:r>
      <w:r>
        <w:rPr>
          <w:rFonts w:ascii="Arial" w:cs="Arial" w:eastAsia="Arial" w:hAnsi="Arial"/>
          <w:sz w:val="18"/>
          <w:szCs w:val="18"/>
          <w:i w:val="1"/>
          <w:iCs w:val="1"/>
          <w:color w:val="auto"/>
        </w:rPr>
        <w:t>Financial Statements - Notes to Condensed Consolidated Financial Statements - Note 1. Organization,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Principles.</w:t>
      </w:r>
      <w:r>
        <w:rPr>
          <w:rFonts w:ascii="Arial" w:cs="Arial" w:eastAsia="Arial" w:hAnsi="Arial"/>
          <w:sz w:val="18"/>
          <w:szCs w:val="18"/>
          <w:color w:val="auto"/>
        </w:rPr>
        <w:t>"</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entered into a services agreement to outsource our IT support and expertise functions to TCS, effective March 31, 2020. See "-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Technology Support Function,</w:t>
      </w:r>
      <w:r>
        <w:rPr>
          <w:rFonts w:ascii="Arial" w:cs="Arial" w:eastAsia="Arial" w:hAnsi="Arial"/>
          <w:sz w:val="18"/>
          <w:szCs w:val="18"/>
          <w:color w:val="auto"/>
        </w:rPr>
        <w:t>" above for more information.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2019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We own and manage a large portfolio of various holdings, types and maturities. NMIH's principal source of operating cash is investment income. The assets within the investment portfolio are exposed to the same factors that affect overall financial market performance.</w:t>
      </w:r>
    </w:p>
    <w:p>
      <w:pPr>
        <w:spacing w:after="0" w:line="116" w:lineRule="exact"/>
        <w:rPr>
          <w:sz w:val="20"/>
          <w:szCs w:val="20"/>
          <w:color w:val="auto"/>
        </w:rPr>
      </w:pPr>
    </w:p>
    <w:p>
      <w:pPr>
        <w:ind w:firstLine="506"/>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980" w:hanging="324"/>
        <w:spacing w:after="0" w:line="255"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3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16" w:lineRule="exact"/>
        <w:rPr>
          <w:rFonts w:ascii="Arial" w:cs="Arial" w:eastAsia="Arial" w:hAnsi="Arial"/>
          <w:sz w:val="18"/>
          <w:szCs w:val="18"/>
          <w:i w:val="1"/>
          <w:iCs w:val="1"/>
          <w:color w:val="auto"/>
        </w:rPr>
      </w:pPr>
    </w:p>
    <w:p>
      <w:pPr>
        <w:ind w:left="980" w:hanging="324"/>
        <w:spacing w:after="0" w:line="342"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69" w:lineRule="exact"/>
        <w:rPr>
          <w:rFonts w:ascii="Arial" w:cs="Arial" w:eastAsia="Arial" w:hAnsi="Arial"/>
          <w:sz w:val="16"/>
          <w:szCs w:val="16"/>
          <w:color w:val="auto"/>
        </w:rPr>
      </w:pPr>
    </w:p>
    <w:p>
      <w:pPr>
        <w:ind w:left="980" w:hanging="324"/>
        <w:spacing w:after="0" w:line="342"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69"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The carrying value of our investment portfolio as of March 31, 2020 and December 31, 2019 was $1.1 billion and $1.1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559"/>
        <w:spacing w:after="0" w:line="279" w:lineRule="auto"/>
        <w:rPr>
          <w:sz w:val="20"/>
          <w:szCs w:val="20"/>
          <w:color w:val="auto"/>
        </w:rPr>
      </w:pPr>
      <w:r>
        <w:rPr>
          <w:rFonts w:ascii="Arial" w:cs="Arial" w:eastAsia="Arial" w:hAnsi="Arial"/>
          <w:sz w:val="17"/>
          <w:szCs w:val="17"/>
          <w:color w:val="auto"/>
        </w:rPr>
        <w:t>As of March 31, 2020, the duration of our fixed income portfolio, including cash and cash equivalents, was 3.40 years, which means that an instantaneous parallel shift (movement up or down) in the yield curve of 100 basis points would result in a change of 3.40% in fair value of our fixed income portfolio. Excluding cash, our fixed income portfolio duration was 3.71 years, which means that an instantaneous parallel shift (movement up or down) in the yield curve of 100 basis points would result in a change of 3.71% in fair value of our fixed income portfolio.</w:t>
      </w:r>
    </w:p>
    <w:p>
      <w:pPr>
        <w:spacing w:after="0" w:line="117"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8"/>
          <w:szCs w:val="18"/>
          <w:color w:val="auto"/>
        </w:rPr>
        <w:t>We are also subject to market risk related to our 2018 Term Loan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2018 Term Loan bears interest at a variable rate and, as a result, increases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would generally result in increased interest expense on our outstanding principal.</w:t>
      </w:r>
    </w:p>
    <w:p>
      <w:pPr>
        <w:spacing w:after="0" w:line="130" w:lineRule="exact"/>
        <w:rPr>
          <w:sz w:val="20"/>
          <w:szCs w:val="20"/>
          <w:color w:val="auto"/>
        </w:rPr>
      </w:pPr>
    </w:p>
    <w:p>
      <w:pPr>
        <w:jc w:val="both"/>
        <w:ind w:firstLine="372"/>
        <w:spacing w:after="0" w:line="296"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2020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8"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March 31, 2020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520"/>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8"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22" w:lineRule="exact"/>
        <w:rPr>
          <w:sz w:val="20"/>
          <w:szCs w:val="20"/>
          <w:color w:val="auto"/>
        </w:rPr>
      </w:pPr>
    </w:p>
    <w:p>
      <w:pPr>
        <w:jc w:val="both"/>
        <w:ind w:firstLine="415"/>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2019 10-K. As of the date of this report, other than as included below, we are not aware of any material changes in our risk factors from the risk factors disclosed in our 2019 10-K. You should carefully consider the risks and uncertainties described herein and in our 2019 10-K, which have the potential to affect our business, financial condition, results of operations, cash flows or prospects in a material and adverse manner. The risks described herein and in our 2019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COVID-19 outbreak could materially adversely affect our business, results of operations and financial condition.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Due to the unprecedented and rapidly changing social and economic impacts associated with the COVID-19 pandemic on the U.S. and global economies generally, and in particular on the U.S. housing, real estate, housing finance, and mortgage insurance markets, we are closely monitoring developments related to the COVID-19 pandemic to assess its impact on our business. Currently, COVID-19 is having a major impact on nearly every sector of the U.S. economy, including construction, public and private infrastructures, financial services, hospitality industries, manufacturing, travel, trade, tourism, the healthcare system, food supply, consumption and overall economic output, and on the financial, capital and credit markets.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result of the COVID-19 pandemic, the U.S. federal government and certain U.S. states have adopted various social distancing measures and have ordered businesses closed or have placed material restrictions on operations. This has resulted in widespread travel restrictions and many businesses are not currently operating or are operating at significantly reduced levels.</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Due to the outbreak of the COVID-19 pandemic, there have been a number of governmental and GSE efforts to implement programs to assist individuals and businesses impacted by the virus. The GSEs, the primary purchasers of mortgages we insure, have adopted certain measures to assist borrowers impacted by COVID-19. On March 18, 2020, the GSEs announced suspension of foreclosures and evictions for at least 60 days. Similarly, earlier in March 2020, the GSEs announced that they would provide payment forbearance to borrowers impacted by COVID-19, allowing for mortgage payments to be suspended for up to 12 months due to hardship caused by COVID-19.</w:t>
      </w:r>
    </w:p>
    <w:p>
      <w:pPr>
        <w:spacing w:after="0" w:line="13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March 27, 2020, the U.S. Congress enacted the CARES Act. Among many other things, the CARES Act suspends foreclosures and evictions for at least 60 days from March 18, 2020, on mortgages purchased or securitized by the GSEs. In addition, the CARES Act enacts into law a requirement to provide payment forbearance on such mortgages to borrowers experiencing a hardship during the COVID-19 emergency. Forbearance under the CARES Act allows for a mortgage payment to be suspended for up to 360 days due to hardship caused by COVID-19. The CARES Act also provides for enhanced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unemployment benefits, direct aid to individuals in the form of refundable tax credit rebates and increased flexibility under retirement plans.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Due to the evolving and highly uncertain nature of this crisis, it is too soon to fully assess or predict the ultimate impact COVID-19 will have on the markets in which we operate, but we believe it will be material and could adversely affect our business, operations and financial condition. We are currently unable to estimate precisely the magnitude of the impact that the pandemic will ultimately have on our business, operations and financial condition. We believe there are or will be a range of adverse effects on our markets, customers and new business, revenues, loss development and related impacts to our capital needs, employee health and productivity, investment portfolio performance, and ability to access capital and reinsurance markets if we need to. In turn, these impacts may cause changes, which also cannot be precisely determined at this time, to our estimates of future earnings and other guidance we have provided to the markets.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we believe we will experience the following impacts, among others:</w:t>
      </w:r>
    </w:p>
    <w:p>
      <w:pPr>
        <w:spacing w:after="0" w:line="117" w:lineRule="exact"/>
        <w:rPr>
          <w:sz w:val="20"/>
          <w:szCs w:val="20"/>
          <w:color w:val="auto"/>
        </w:rPr>
      </w:pPr>
    </w:p>
    <w:p>
      <w:pPr>
        <w:jc w:val="both"/>
        <w:ind w:left="660" w:hanging="328"/>
        <w:spacing w:after="0" w:line="273"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Efforts to mitigate the pandemic, including government-mandated business shutdowns, requests or orders for employees to work remotely, and other social distancing measures could adversely impact our ability to continue to conduct our business. Although we have been able to continue operations under our business continuity program, the spread of COVID-19 could negatively impact a significant number of our employees and the availability of key personnel necessary to conduct our business activities. Such a spread or outbreak could also negatively impact the business and operations of our customers and critical third-party service providers. Further, extreme market volatility may leave us unable to react to market events in a manner consistent with our historical practices in dealing with more orderly markets.</w:t>
      </w:r>
    </w:p>
    <w:p>
      <w:pPr>
        <w:spacing w:after="0" w:line="12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expect that the COVID-19 pandemic, including COVID-19-related illnesses and initiatives taken to reduce the transmission of COVID-19, will affect the number of new mortgages available for us to insure. Our NIW volume and future revenues are significantly dependent on the volume of high-LTV loan originations. If there is a significant decline in our NIW, our future revenue could be negatively impacted.</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 delinquencies are typically affected by a variety of factors, including illness, death, unemployment and other life events, among others. In the current environment, if borrowers take advantage of the wide-spread availability of forbearance programs, we are likely to experience a significant increase in forbearance-related delinquencies on our insured loans. While there are efforts underway to combat the spread and severity of COVID-19 and the related economic impacts, these measures may be ineffective in mitigating the spike in NODs we expect to receive as a direct result of illness or economic hardship that may arise from COVID-19.</w:t>
      </w:r>
    </w:p>
    <w:p>
      <w:pPr>
        <w:spacing w:after="0" w:line="133"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While the forbearance programs currently in place are designed to provide bridge assistance to borrowers experiencing hardship so that they may continue to pay their mortgages in the future, when we receive a NOD on an insured loan, including one arising from a COVID-19 forbearance, we would include such loan in our default population for the purposes of setting loss reserves. In addition, PMIERs generally require us to treat such loans as non-performing, which then increases the capital we are required to hold. Non-performing loans that have missed two or more payments are generally assessed a significantly higher capital charge than performing loans. Although loans under a COVID-19 forbearance may not be reported as delinquent for credit reporting purposes, it is unclear how the GSEs will treat such loans for purposes of satisfying PMIERs financial requirements. If the loans are considered delinquent for the purposes of PMIERs, it is unclear how the GSEs will calculate the additional minimum required assets associated with delinquent mortgages that are subject to COVID-19 forbearances. PMIERs currently provides for a discount factor based on FEMA declared disasters. The GSEs added these provisions in 2018 in response to hurricane disaster experiences; however, PMIERs does not limit its application to hurricane disasters. FEMA has made a Major Disaster Declaration in all 50 states in response to the COVID-19 pandemic. Our application of these PMIERs provisions to loans with COVID-19 forbearances are in part based on our subjective interpretations, which may be different than how the GSEs intend to address asset requirements for loans impacted by COVID-19-related defaults. There is a risk that the GSEs or FHFA may disagree with our interpretation or application of PMIERs financial requirements, which may require material changes to the assets we are required to hold. The impact to our capital needs and incurred losses could be material and adversely impact our NIW opportunity and our business, results of operations and financial condition.</w:t>
      </w:r>
    </w:p>
    <w:p>
      <w:pPr>
        <w:spacing w:after="0" w:line="113" w:lineRule="exact"/>
        <w:rPr>
          <w:rFonts w:ascii="Arial" w:cs="Arial" w:eastAsia="Arial" w:hAnsi="Arial"/>
          <w:sz w:val="16"/>
          <w:szCs w:val="16"/>
          <w:color w:val="auto"/>
        </w:rPr>
      </w:pPr>
    </w:p>
    <w:p>
      <w:pPr>
        <w:jc w:val="both"/>
        <w:ind w:left="660"/>
        <w:spacing w:after="0" w:line="275" w:lineRule="auto"/>
        <w:rPr>
          <w:rFonts w:ascii="Arial" w:cs="Arial" w:eastAsia="Arial" w:hAnsi="Arial"/>
          <w:sz w:val="16"/>
          <w:szCs w:val="16"/>
          <w:color w:val="auto"/>
        </w:rPr>
      </w:pPr>
      <w:r>
        <w:rPr>
          <w:rFonts w:ascii="Arial" w:cs="Arial" w:eastAsia="Arial" w:hAnsi="Arial"/>
          <w:sz w:val="17"/>
          <w:szCs w:val="17"/>
          <w:color w:val="auto"/>
        </w:rPr>
        <w:t>Whether delinquencies ultimately result in claims will depend on a variety of factors, including the number of NODs received as a result of the COVID-19 pandemic, the length of the crisis and ultimate success of forbearance, government stimulus and other initiatives put in place to assist homeowners with curing their delinquencies. Due to the inherent uncertainty and significant judgment involved in our assumptions when we establish loss estimates, they may turn out to be materially inaccurate and we can provide no assurance that actual claims paid by us, if any, with respect to NODs arising from the pandemic will not be substantially more than the reserves we establish for such NODs.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7" w:name="page58"/>
    <w:bookmarkEnd w:id="57"/>
    <w:p>
      <w:pPr>
        <w:jc w:val="both"/>
        <w:ind w:left="660" w:hanging="328"/>
        <w:spacing w:after="0" w:line="271"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 year limit) or advances that may be included in the claim amount. If the duration of the current foreclosure delay mandated by the GSEs and CARES Act is extended beyond the current 60-day period (from March 18, 2020), loans that were in our default inventory with defaults unrelated to the COVID-19 crisis, which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124"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Home values could materially decline as a result of a persistent economic downturn arising the COVID-19 pandemic. Depreciation in the values of properties underpinning our insured loans may increase the likelihood of default and negatively impact borrowers’ abilities to sell their properties for amounts sufficient to cover their unpaid mortgages. In turn, the frequency or severity of losses we may incur would be negatively impacted.</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servicers could experience liquidity impacts, which could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however, in the current environment, it is uncertain whether servicers will continue to do so. If this were to occur, we could experience adverse impacts to our revenues, which could be material.</w:t>
      </w:r>
    </w:p>
    <w:p>
      <w:pPr>
        <w:spacing w:after="0" w:line="117"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116"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COVID-19 pandemic has caused significant volatility and disruption to the financial, capital and reinsurance markets, making access to such markets increasingly difficult. To the extent that our current sources of income and capitalization are insufficient to meet GSE and state capital requirements or to fund our future operations, we would need to raise additional funds through future financing activities, including through the issuance of additional debt, equity, or a combination of both, reduce our RIF, including through additional reinsurance, or curtail our growth and reduce our expenses. We can give no assurance that any such efforts to raise capital, obtain additional reinsurance or otherwise reduce our RIF would be successful. If we cannot obtain adequate capital, our business, results of operations and financial condition could be adversely affected.</w:t>
      </w:r>
    </w:p>
    <w:p>
      <w:pPr>
        <w:spacing w:after="0" w:line="1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reasons described above, it is uncertain at this time what impact COVID-19 will have on our revenues, losses, expenses, required assets under PMIERs, statutory and GAAP capital, and liquidity, and that impact may be material and adverse. The ultimate significance of COVID-19 on our business will depend on, among other things: the extent and duration of, and severity of illness caused by, the pandemic; the effects on the economy and the time it takes to stabilize; the extent and duration of current and future social-distancing measures implemented by governmental authorities; current and future governmental assistance programs; and the long-term impact on the mortgage origination and mortgage insurance markets. While at this time we cannot estimate the short or long-term impacts of COVID-19 on our business, the above and other factors, including those set forth under the heading "Risk Factors" contained in our 2019 10-K could have a material adverse effect on our business, liquidity,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3480" w:type="dxa"/>
            <w:vAlign w:val="bottom"/>
          </w:tcPr>
          <w:p>
            <w:pPr>
              <w:jc w:val="center"/>
              <w:ind w:right="2150"/>
              <w:spacing w:after="0"/>
              <w:rPr>
                <w:sz w:val="20"/>
                <w:szCs w:val="20"/>
                <w:color w:val="auto"/>
              </w:rPr>
            </w:pPr>
            <w:r>
              <w:rPr>
                <w:rFonts w:ascii="Arial" w:cs="Arial" w:eastAsia="Arial" w:hAnsi="Arial"/>
                <w:sz w:val="18"/>
                <w:szCs w:val="18"/>
                <w:b w:val="1"/>
                <w:bCs w:val="1"/>
                <w:color w:val="auto"/>
                <w:w w:val="93"/>
              </w:rPr>
              <w:t>Item 6. Exhibits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3"/>
              </w:rPr>
              <w:t>Exhibit</w:t>
            </w:r>
          </w:p>
        </w:tc>
        <w:tc>
          <w:tcPr>
            <w:tcW w:w="3140" w:type="dxa"/>
            <w:vAlign w:val="bottom"/>
            <w:vMerge w:val="restart"/>
          </w:tcPr>
          <w:p>
            <w:pPr>
              <w:ind w:left="2260"/>
              <w:spacing w:after="0"/>
              <w:rPr>
                <w:sz w:val="20"/>
                <w:szCs w:val="20"/>
                <w:color w:val="auto"/>
              </w:rPr>
            </w:pPr>
            <w:r>
              <w:rPr>
                <w:rFonts w:ascii="Arial" w:cs="Arial" w:eastAsia="Arial" w:hAnsi="Arial"/>
                <w:sz w:val="18"/>
                <w:szCs w:val="18"/>
                <w:b w:val="1"/>
                <w:bCs w:val="1"/>
                <w:color w:val="auto"/>
                <w:w w:val="86"/>
              </w:rPr>
              <w:t>Description</w:t>
            </w:r>
          </w:p>
        </w:tc>
        <w:tc>
          <w:tcPr>
            <w:tcW w:w="0" w:type="dxa"/>
            <w:vAlign w:val="bottom"/>
          </w:tcPr>
          <w:p>
            <w:pPr>
              <w:spacing w:after="0"/>
              <w:rPr>
                <w:sz w:val="1"/>
                <w:szCs w:val="1"/>
                <w:color w:val="auto"/>
              </w:rPr>
            </w:pPr>
          </w:p>
        </w:tc>
      </w:tr>
      <w:tr>
        <w:trPr>
          <w:trHeight w:val="234"/>
        </w:trPr>
        <w:tc>
          <w:tcPr>
            <w:tcW w:w="34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4"/>
              </w:rPr>
              <w:t>Number</w:t>
            </w: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31115</wp:posOffset>
            </wp:positionV>
            <wp:extent cx="6960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p>
      <w:pPr>
        <w:spacing w:after="0" w:line="210"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2.1</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2.2</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3.1</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3.2</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4.1</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4.2</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4.3</w:t>
      </w:r>
    </w:p>
    <w:p>
      <w:pPr>
        <w:spacing w:after="0" w:line="233"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0"/>
        <w:spacing w:after="0" w:line="264" w:lineRule="auto"/>
        <w:rPr>
          <w:rFonts w:ascii="Arial" w:cs="Arial" w:eastAsia="Arial" w:hAnsi="Arial"/>
          <w:sz w:val="16"/>
          <w:szCs w:val="16"/>
          <w:color w:val="0000FF"/>
        </w:rPr>
      </w:pPr>
      <w:hyperlink r:id="rId99">
        <w:r>
          <w:rPr>
            <w:rFonts w:ascii="Arial" w:cs="Arial" w:eastAsia="Arial" w:hAnsi="Arial"/>
            <w:sz w:val="16"/>
            <w:szCs w:val="16"/>
            <w:u w:val="single" w:color="auto"/>
            <w:color w:val="0000FF"/>
          </w:rPr>
          <w:t>Stock Purchase Agreement, dated November 30, 2011</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between NMI Holdings, Inc. and MAC Financial Ltd. (incorporated herein by</w:t>
      </w:r>
      <w:r>
        <w:rPr>
          <w:rFonts w:ascii="Arial" w:cs="Arial" w:eastAsia="Arial" w:hAnsi="Arial"/>
          <w:sz w:val="16"/>
          <w:szCs w:val="16"/>
          <w:color w:val="0000FF"/>
        </w:rPr>
        <w:t xml:space="preserve"> </w:t>
      </w:r>
      <w:r>
        <w:rPr>
          <w:rFonts w:ascii="Arial" w:cs="Arial" w:eastAsia="Arial" w:hAnsi="Arial"/>
          <w:sz w:val="16"/>
          <w:szCs w:val="16"/>
          <w:color w:val="000000"/>
        </w:rPr>
        <w:t>reference to Exhibit 2.1 to our Form S-1 Registration Statement (Registration No. 333-191635), filed on October 9, 2013)</w:t>
      </w:r>
    </w:p>
    <w:p>
      <w:pPr>
        <w:spacing w:after="0" w:line="1" w:lineRule="exact"/>
        <w:rPr>
          <w:sz w:val="20"/>
          <w:szCs w:val="20"/>
          <w:color w:val="auto"/>
        </w:rPr>
      </w:pPr>
    </w:p>
    <w:p>
      <w:pPr>
        <w:jc w:val="both"/>
        <w:ind w:right="280"/>
        <w:spacing w:after="0" w:line="264" w:lineRule="auto"/>
        <w:rPr>
          <w:rFonts w:ascii="Arial" w:cs="Arial" w:eastAsia="Arial" w:hAnsi="Arial"/>
          <w:sz w:val="16"/>
          <w:szCs w:val="16"/>
          <w:color w:val="0000FF"/>
        </w:rPr>
      </w:pPr>
      <w:hyperlink r:id="rId100">
        <w:r>
          <w:rPr>
            <w:rFonts w:ascii="Arial" w:cs="Arial" w:eastAsia="Arial" w:hAnsi="Arial"/>
            <w:sz w:val="16"/>
            <w:szCs w:val="16"/>
            <w:u w:val="single" w:color="auto"/>
            <w:color w:val="0000FF"/>
          </w:rPr>
          <w:t>Amendment to Stock Purchase Agreement, dated April 6, 2012</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between NMI Holdings, Inc. and MAC Financial Ltd. (incorporated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2.2 to our Form S-1 Registration Statement (Registration No. 333-191635), filed on October 9, 2013)</w:t>
      </w:r>
    </w:p>
    <w:p>
      <w:pPr>
        <w:ind w:right="860"/>
        <w:spacing w:after="0" w:line="234" w:lineRule="auto"/>
        <w:rPr>
          <w:rFonts w:ascii="Arial" w:cs="Arial" w:eastAsia="Arial" w:hAnsi="Arial"/>
          <w:sz w:val="18"/>
          <w:szCs w:val="18"/>
          <w:color w:val="0000FF"/>
        </w:rPr>
      </w:pPr>
      <w:hyperlink r:id="rId101">
        <w:r>
          <w:rPr>
            <w:rFonts w:ascii="Arial" w:cs="Arial" w:eastAsia="Arial" w:hAnsi="Arial"/>
            <w:sz w:val="18"/>
            <w:szCs w:val="18"/>
            <w:u w:val="single" w:color="auto"/>
            <w:color w:val="0000FF"/>
          </w:rPr>
          <w:t>Second Amended and Restated Certificate of Incorporation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3.1 to our Form S-1</w:t>
      </w:r>
      <w:r>
        <w:rPr>
          <w:rFonts w:ascii="Arial" w:cs="Arial" w:eastAsia="Arial" w:hAnsi="Arial"/>
          <w:sz w:val="18"/>
          <w:szCs w:val="18"/>
          <w:color w:val="0000FF"/>
        </w:rPr>
        <w:t xml:space="preserve"> </w:t>
      </w:r>
      <w:r>
        <w:rPr>
          <w:rFonts w:ascii="Arial" w:cs="Arial" w:eastAsia="Arial" w:hAnsi="Arial"/>
          <w:sz w:val="18"/>
          <w:szCs w:val="18"/>
          <w:color w:val="000000"/>
        </w:rPr>
        <w:t>Registration Statement (Registration No. 333-191635), filed on October 9, 2013)</w:t>
      </w:r>
    </w:p>
    <w:p>
      <w:pPr>
        <w:spacing w:after="0" w:line="1" w:lineRule="exact"/>
        <w:rPr>
          <w:sz w:val="20"/>
          <w:szCs w:val="20"/>
          <w:color w:val="auto"/>
        </w:rPr>
      </w:pPr>
    </w:p>
    <w:p>
      <w:pPr>
        <w:spacing w:after="0"/>
        <w:rPr>
          <w:rFonts w:ascii="Arial" w:cs="Arial" w:eastAsia="Arial" w:hAnsi="Arial"/>
          <w:sz w:val="16"/>
          <w:szCs w:val="16"/>
          <w:color w:val="0000FF"/>
        </w:rPr>
      </w:pPr>
      <w:hyperlink r:id="rId102">
        <w:r>
          <w:rPr>
            <w:rFonts w:ascii="Arial" w:cs="Arial" w:eastAsia="Arial" w:hAnsi="Arial"/>
            <w:sz w:val="16"/>
            <w:szCs w:val="16"/>
            <w:u w:val="single" w:color="auto"/>
            <w:color w:val="0000FF"/>
          </w:rPr>
          <w:t>Third Amended and Restated By-Laws</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3.1 to our Form 8-K, filed on December 9, 2014)</w:t>
      </w:r>
    </w:p>
    <w:p>
      <w:pPr>
        <w:spacing w:after="0" w:line="85" w:lineRule="exact"/>
        <w:rPr>
          <w:sz w:val="20"/>
          <w:szCs w:val="20"/>
          <w:color w:val="auto"/>
        </w:rPr>
      </w:pPr>
    </w:p>
    <w:p>
      <w:pPr>
        <w:ind w:right="260"/>
        <w:spacing w:after="0" w:line="235" w:lineRule="auto"/>
        <w:rPr>
          <w:rFonts w:ascii="Arial" w:cs="Arial" w:eastAsia="Arial" w:hAnsi="Arial"/>
          <w:sz w:val="18"/>
          <w:szCs w:val="18"/>
          <w:color w:val="0000FF"/>
        </w:rPr>
      </w:pPr>
      <w:hyperlink r:id="rId103">
        <w:r>
          <w:rPr>
            <w:rFonts w:ascii="Arial" w:cs="Arial" w:eastAsia="Arial" w:hAnsi="Arial"/>
            <w:sz w:val="18"/>
            <w:szCs w:val="18"/>
            <w:u w:val="single" w:color="auto"/>
            <w:color w:val="0000FF"/>
          </w:rPr>
          <w:t>Specimen Class A common stock certificate</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color w:val="0000FF"/>
        </w:rPr>
        <w:t xml:space="preserve"> </w:t>
      </w:r>
      <w:r>
        <w:rPr>
          <w:rFonts w:ascii="Arial" w:cs="Arial" w:eastAsia="Arial" w:hAnsi="Arial"/>
          <w:sz w:val="18"/>
          <w:szCs w:val="18"/>
          <w:color w:val="000000"/>
        </w:rPr>
        <w:t>(Registration No. 333-191635), filed on October 9, 2013)</w:t>
      </w:r>
    </w:p>
    <w:p>
      <w:pPr>
        <w:spacing w:after="0" w:line="248" w:lineRule="auto"/>
        <w:rPr>
          <w:rFonts w:ascii="Arial" w:cs="Arial" w:eastAsia="Arial" w:hAnsi="Arial"/>
          <w:sz w:val="17"/>
          <w:szCs w:val="17"/>
          <w:color w:val="0000FF"/>
        </w:rPr>
      </w:pPr>
      <w:hyperlink r:id="rId104">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w:t>
      </w:r>
      <w:r>
        <w:rPr>
          <w:rFonts w:ascii="Arial" w:cs="Arial" w:eastAsia="Arial" w:hAnsi="Arial"/>
          <w:sz w:val="17"/>
          <w:szCs w:val="17"/>
          <w:color w:val="0000FF"/>
        </w:rPr>
        <w:t xml:space="preserve"> </w:t>
      </w:r>
      <w:r>
        <w:rPr>
          <w:rFonts w:ascii="Arial" w:cs="Arial" w:eastAsia="Arial" w:hAnsi="Arial"/>
          <w:sz w:val="17"/>
          <w:szCs w:val="17"/>
          <w:color w:val="000000"/>
        </w:rPr>
        <w:t>by reference to Exhibit 4.2 to our Form S-1 Registration Statement (Registration No. 333-191635), filed on October 9, 2013)</w:t>
      </w:r>
    </w:p>
    <w:p>
      <w:pPr>
        <w:spacing w:after="0" w:line="1" w:lineRule="exact"/>
        <w:rPr>
          <w:sz w:val="20"/>
          <w:szCs w:val="20"/>
          <w:color w:val="auto"/>
        </w:rPr>
      </w:pPr>
    </w:p>
    <w:p>
      <w:pPr>
        <w:ind w:right="40"/>
        <w:spacing w:after="0" w:line="264" w:lineRule="auto"/>
        <w:rPr>
          <w:rFonts w:ascii="Arial" w:cs="Arial" w:eastAsia="Arial" w:hAnsi="Arial"/>
          <w:sz w:val="16"/>
          <w:szCs w:val="16"/>
          <w:color w:val="0000FF"/>
        </w:rPr>
      </w:pPr>
      <w:hyperlink r:id="rId105">
        <w:r>
          <w:rPr>
            <w:rFonts w:ascii="Arial" w:cs="Arial" w:eastAsia="Arial" w:hAnsi="Arial"/>
            <w:sz w:val="16"/>
            <w:szCs w:val="16"/>
            <w:u w:val="single" w:color="auto"/>
            <w:color w:val="0000FF"/>
          </w:rPr>
          <w:t>Registration Rights Agreement by and between MAC Financial Ltd. and NMI Holdings, Inc., dated April 24, 2012</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w:t>
      </w:r>
      <w:r>
        <w:rPr>
          <w:rFonts w:ascii="Arial" w:cs="Arial" w:eastAsia="Arial" w:hAnsi="Arial"/>
          <w:sz w:val="16"/>
          <w:szCs w:val="16"/>
          <w:color w:val="0000FF"/>
        </w:rPr>
        <w:t xml:space="preserve"> </w:t>
      </w:r>
      <w:r>
        <w:rPr>
          <w:rFonts w:ascii="Arial" w:cs="Arial" w:eastAsia="Arial" w:hAnsi="Arial"/>
          <w:sz w:val="16"/>
          <w:szCs w:val="16"/>
          <w:color w:val="000000"/>
        </w:rPr>
        <w:t>by reference to Exhibit 4.3 to our Form S-1 Registration Statement (Registration No. 333-191635), filed on October 9, 2013)</w:t>
      </w:r>
    </w:p>
    <w:p>
      <w:pPr>
        <w:ind w:right="80"/>
        <w:spacing w:after="0" w:line="224" w:lineRule="auto"/>
        <w:rPr>
          <w:rFonts w:ascii="Arial" w:cs="Arial" w:eastAsia="Arial" w:hAnsi="Arial"/>
          <w:sz w:val="18"/>
          <w:szCs w:val="18"/>
          <w:color w:val="0000FF"/>
        </w:rPr>
      </w:pPr>
      <w:hyperlink r:id="rId106">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 w:lineRule="exact"/>
        <w:rPr>
          <w:sz w:val="20"/>
          <w:szCs w:val="20"/>
          <w:color w:val="auto"/>
        </w:rPr>
      </w:pPr>
    </w:p>
    <w:p>
      <w:pPr>
        <w:sectPr>
          <w:pgSz w:w="11900" w:h="16838" w:orient="portrait"/>
          <w:cols w:equalWidth="0" w:num="2">
            <w:col w:w="760" w:space="500"/>
            <w:col w:w="9820"/>
          </w:cols>
          <w:pgMar w:left="320" w:top="1012" w:right="499" w:bottom="1440" w:gutter="0" w:footer="0" w:header="0"/>
          <w:type w:val="continuous"/>
        </w:sectPr>
      </w:pPr>
    </w:p>
    <w:p>
      <w:pPr>
        <w:ind w:left="1260" w:right="580" w:hanging="737"/>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107">
        <w:r>
          <w:rPr>
            <w:rFonts w:ascii="Arial" w:cs="Arial" w:eastAsia="Arial" w:hAnsi="Arial"/>
            <w:sz w:val="18"/>
            <w:szCs w:val="18"/>
            <w:u w:val="single" w:color="auto"/>
            <w:color w:val="0000FF"/>
          </w:rPr>
          <w:t>Warrant No. 1 to Purchase Common Stock of NMI Holdings, Inc. issued to FBR Capital Markets &amp; Co., dated June 13, 2013</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4.5 to our Form S-1 Registration Statement (Registration No. 333-191635), filed on October 9, 2013)</w:t>
      </w:r>
    </w:p>
    <w:p>
      <w:pPr>
        <w:sectPr>
          <w:pgSz w:w="11900" w:h="16838" w:orient="portrait"/>
          <w:cols w:equalWidth="0" w:num="1">
            <w:col w:w="11080"/>
          </w:cols>
          <w:pgMar w:left="320" w:top="1012" w:right="499" w:bottom="1440" w:gutter="0" w:footer="0" w:header="0"/>
          <w:type w:val="continuous"/>
        </w:sectPr>
      </w:pPr>
    </w:p>
    <w:p>
      <w:pPr>
        <w:spacing w:after="0" w:line="1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4.6</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10.1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10.2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10.3 ~</w:t>
      </w:r>
    </w:p>
    <w:p>
      <w:pPr>
        <w:spacing w:after="0" w:line="37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10.4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10.5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10.6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10.7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10.8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10.9 ~</w:t>
      </w:r>
    </w:p>
    <w:p>
      <w:pPr>
        <w:spacing w:after="0" w:line="198"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10.10 ~</w:t>
      </w:r>
    </w:p>
    <w:p>
      <w:pPr>
        <w:spacing w:after="0" w:line="20" w:lineRule="exact"/>
        <w:rPr>
          <w:sz w:val="20"/>
          <w:szCs w:val="20"/>
          <w:color w:val="auto"/>
        </w:rPr>
      </w:pPr>
      <w:r>
        <w:rPr>
          <w:sz w:val="20"/>
          <w:szCs w:val="20"/>
          <w:color w:val="auto"/>
        </w:rPr>
        <w:br w:type="column"/>
      </w:r>
    </w:p>
    <w:p>
      <w:pPr>
        <w:jc w:val="both"/>
        <w:ind w:right="20"/>
        <w:spacing w:after="0" w:line="264" w:lineRule="auto"/>
        <w:rPr>
          <w:rFonts w:ascii="Arial" w:cs="Arial" w:eastAsia="Arial" w:hAnsi="Arial"/>
          <w:sz w:val="16"/>
          <w:szCs w:val="16"/>
          <w:color w:val="0000FF"/>
        </w:rPr>
      </w:pPr>
      <w:hyperlink r:id="rId108">
        <w:r>
          <w:rPr>
            <w:rFonts w:ascii="Arial" w:cs="Arial" w:eastAsia="Arial" w:hAnsi="Arial"/>
            <w:sz w:val="16"/>
            <w:szCs w:val="16"/>
            <w:u w:val="single" w:color="auto"/>
            <w:color w:val="0000FF"/>
          </w:rPr>
          <w:t>Form of Warrant to Purchase Common Stock of NMI Holdings, Inc. issued to former stockholders of MAC Financial Ltd.</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4.6 to our Form S -1 Registration Statement (Registration No. 333-191635), filed on October 9, 2013)</w:t>
      </w:r>
    </w:p>
    <w:p>
      <w:pPr>
        <w:jc w:val="both"/>
        <w:spacing w:after="0" w:line="234" w:lineRule="auto"/>
        <w:rPr>
          <w:rFonts w:ascii="Arial" w:cs="Arial" w:eastAsia="Arial" w:hAnsi="Arial"/>
          <w:sz w:val="18"/>
          <w:szCs w:val="18"/>
          <w:color w:val="0000FF"/>
        </w:rPr>
      </w:pPr>
      <w:hyperlink r:id="rId109">
        <w:r>
          <w:rPr>
            <w:rFonts w:ascii="Arial" w:cs="Arial" w:eastAsia="Arial" w:hAnsi="Arial"/>
            <w:sz w:val="18"/>
            <w:szCs w:val="18"/>
            <w:u w:val="single" w:color="auto"/>
            <w:color w:val="0000FF"/>
          </w:rPr>
          <w:t>NMI Holdings Inc. 2012 Stock Incentive Plan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color w:val="0000FF"/>
        </w:rPr>
        <w:t xml:space="preserve"> </w:t>
      </w:r>
      <w:r>
        <w:rPr>
          <w:rFonts w:ascii="Arial" w:cs="Arial" w:eastAsia="Arial" w:hAnsi="Arial"/>
          <w:sz w:val="18"/>
          <w:szCs w:val="18"/>
          <w:color w:val="000000"/>
        </w:rPr>
        <w:t>(registration No. 333-191635), filed on October 9, 2013)</w:t>
      </w:r>
    </w:p>
    <w:p>
      <w:pPr>
        <w:spacing w:after="0" w:line="1" w:lineRule="exact"/>
        <w:rPr>
          <w:sz w:val="20"/>
          <w:szCs w:val="20"/>
          <w:color w:val="auto"/>
        </w:rPr>
      </w:pPr>
    </w:p>
    <w:p>
      <w:pPr>
        <w:jc w:val="both"/>
        <w:spacing w:after="0" w:line="264" w:lineRule="auto"/>
        <w:rPr>
          <w:rFonts w:ascii="Arial" w:cs="Arial" w:eastAsia="Arial" w:hAnsi="Arial"/>
          <w:sz w:val="16"/>
          <w:szCs w:val="16"/>
          <w:color w:val="0000FF"/>
        </w:rPr>
      </w:pPr>
      <w:hyperlink r:id="rId110">
        <w:r>
          <w:rPr>
            <w:rFonts w:ascii="Arial" w:cs="Arial" w:eastAsia="Arial" w:hAnsi="Arial"/>
            <w:sz w:val="16"/>
            <w:szCs w:val="16"/>
            <w:u w:val="single" w:color="auto"/>
            <w:color w:val="0000FF"/>
          </w:rPr>
          <w:t>Form of NMI Holdings, Inc. 2012 Stock Incentive Plan Restricted Stock Unit Award Agreement for Management</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w:t>
      </w:r>
      <w:r>
        <w:rPr>
          <w:rFonts w:ascii="Arial" w:cs="Arial" w:eastAsia="Arial" w:hAnsi="Arial"/>
          <w:sz w:val="16"/>
          <w:szCs w:val="16"/>
          <w:color w:val="0000FF"/>
        </w:rPr>
        <w:t xml:space="preserve"> </w:t>
      </w:r>
      <w:r>
        <w:rPr>
          <w:rFonts w:ascii="Arial" w:cs="Arial" w:eastAsia="Arial" w:hAnsi="Arial"/>
          <w:sz w:val="16"/>
          <w:szCs w:val="16"/>
          <w:color w:val="000000"/>
        </w:rPr>
        <w:t>by reference to Exhibit 10.3 to our Form S-1 Registration Statement (Registration No. 333-191635), filed on October 9, 2013)</w:t>
      </w:r>
    </w:p>
    <w:p>
      <w:pPr>
        <w:jc w:val="both"/>
        <w:spacing w:after="0" w:line="224" w:lineRule="auto"/>
        <w:rPr>
          <w:rFonts w:ascii="Arial" w:cs="Arial" w:eastAsia="Arial" w:hAnsi="Arial"/>
          <w:sz w:val="18"/>
          <w:szCs w:val="18"/>
          <w:color w:val="0000FF"/>
        </w:rPr>
      </w:pPr>
      <w:hyperlink r:id="rId111">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 w:lineRule="exact"/>
        <w:rPr>
          <w:sz w:val="20"/>
          <w:szCs w:val="20"/>
          <w:color w:val="auto"/>
        </w:rPr>
      </w:pPr>
    </w:p>
    <w:p>
      <w:pPr>
        <w:jc w:val="both"/>
        <w:spacing w:after="0" w:line="264" w:lineRule="auto"/>
        <w:rPr>
          <w:rFonts w:ascii="Arial" w:cs="Arial" w:eastAsia="Arial" w:hAnsi="Arial"/>
          <w:sz w:val="16"/>
          <w:szCs w:val="16"/>
          <w:color w:val="0000FF"/>
        </w:rPr>
      </w:pPr>
      <w:hyperlink r:id="rId112">
        <w:r>
          <w:rPr>
            <w:rFonts w:ascii="Arial" w:cs="Arial" w:eastAsia="Arial" w:hAnsi="Arial"/>
            <w:sz w:val="16"/>
            <w:szCs w:val="16"/>
            <w:u w:val="single" w:color="auto"/>
            <w:color w:val="0000FF"/>
          </w:rPr>
          <w:t>Form of NMI Holdings, Inc. 2012 Stock Incentive Plan Nonqualified Stock Option Award Agreement for Management</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jc w:val="both"/>
        <w:spacing w:after="0" w:line="264" w:lineRule="auto"/>
        <w:rPr>
          <w:rFonts w:ascii="Arial" w:cs="Arial" w:eastAsia="Arial" w:hAnsi="Arial"/>
          <w:sz w:val="16"/>
          <w:szCs w:val="16"/>
          <w:color w:val="0000FF"/>
        </w:rPr>
      </w:pPr>
      <w:hyperlink r:id="rId113">
        <w:r>
          <w:rPr>
            <w:rFonts w:ascii="Arial" w:cs="Arial" w:eastAsia="Arial" w:hAnsi="Arial"/>
            <w:sz w:val="16"/>
            <w:szCs w:val="16"/>
            <w:u w:val="single" w:color="auto"/>
            <w:color w:val="0000FF"/>
          </w:rPr>
          <w:t>Form of NMI Holdings, Inc. 2012 Stock Incentive Plan Nonqualified Stock Option Award Agreement for Directors</w:t>
        </w:r>
        <w:r>
          <w:rPr>
            <w:rFonts w:ascii="Arial" w:cs="Arial" w:eastAsia="Arial" w:hAnsi="Arial"/>
            <w:sz w:val="16"/>
            <w:szCs w:val="16"/>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color w:val="0000FF"/>
        </w:rPr>
        <w:t xml:space="preserve"> </w:t>
      </w:r>
      <w:r>
        <w:rPr>
          <w:rFonts w:ascii="Arial" w:cs="Arial" w:eastAsia="Arial" w:hAnsi="Arial"/>
          <w:sz w:val="16"/>
          <w:szCs w:val="16"/>
          <w:color w:val="000000"/>
        </w:rPr>
        <w:t>herein by reference to Exhibit 10.7 to our Form S-1 Registration Statement (Registration No. 333-191635), filed on October 9, 2013)</w:t>
      </w:r>
    </w:p>
    <w:p>
      <w:pPr>
        <w:jc w:val="both"/>
        <w:spacing w:after="0" w:line="248" w:lineRule="auto"/>
        <w:rPr>
          <w:rFonts w:ascii="Arial" w:cs="Arial" w:eastAsia="Arial" w:hAnsi="Arial"/>
          <w:sz w:val="17"/>
          <w:szCs w:val="17"/>
          <w:color w:val="0000FF"/>
        </w:rPr>
      </w:pPr>
      <w:hyperlink r:id="rId114">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spacing w:after="0" w:line="234" w:lineRule="auto"/>
        <w:rPr>
          <w:rFonts w:ascii="Arial" w:cs="Arial" w:eastAsia="Arial" w:hAnsi="Arial"/>
          <w:sz w:val="18"/>
          <w:szCs w:val="18"/>
          <w:color w:val="0000FF"/>
        </w:rPr>
      </w:pPr>
      <w:hyperlink r:id="rId115">
        <w:r>
          <w:rPr>
            <w:rFonts w:ascii="Arial" w:cs="Arial" w:eastAsia="Arial" w:hAnsi="Arial"/>
            <w:sz w:val="18"/>
            <w:szCs w:val="18"/>
            <w:u w:val="single" w:color="auto"/>
            <w:color w:val="0000FF"/>
          </w:rPr>
          <w:t>Form of NMI Holdings, Inc. 2012 Stock Incentive Plan Nonqualified Stock Option Award Agreement for Employees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10.9 to our Form 10-K, filed on February 17, 2017)</w:t>
      </w:r>
    </w:p>
    <w:p>
      <w:pPr>
        <w:spacing w:after="0" w:line="1" w:lineRule="exact"/>
        <w:rPr>
          <w:sz w:val="20"/>
          <w:szCs w:val="20"/>
          <w:color w:val="auto"/>
        </w:rPr>
      </w:pPr>
    </w:p>
    <w:p>
      <w:pPr>
        <w:jc w:val="both"/>
        <w:spacing w:after="0" w:line="234"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Amended and Restated Employment Agreement by and between NMI Holdings, Inc. and Bradley M. Shuster, dated December 23, 2015</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10.1 to our Form 8-K, filed on December 29, 2015)</w:t>
      </w:r>
    </w:p>
    <w:p>
      <w:pPr>
        <w:spacing w:after="0" w:line="1" w:lineRule="exact"/>
        <w:rPr>
          <w:sz w:val="20"/>
          <w:szCs w:val="20"/>
          <w:color w:val="auto"/>
        </w:rPr>
      </w:pPr>
    </w:p>
    <w:p>
      <w:pPr>
        <w:jc w:val="both"/>
        <w:spacing w:after="0" w:line="234" w:lineRule="auto"/>
        <w:rPr>
          <w:rFonts w:ascii="Arial" w:cs="Arial" w:eastAsia="Arial" w:hAnsi="Arial"/>
          <w:sz w:val="18"/>
          <w:szCs w:val="18"/>
          <w:color w:val="0000FF"/>
        </w:rPr>
      </w:pPr>
      <w:hyperlink r:id="rId117">
        <w:r>
          <w:rPr>
            <w:rFonts w:ascii="Arial" w:cs="Arial" w:eastAsia="Arial" w:hAnsi="Arial"/>
            <w:sz w:val="18"/>
            <w:szCs w:val="18"/>
            <w:u w:val="single" w:color="auto"/>
            <w:color w:val="0000FF"/>
          </w:rPr>
          <w:t>Offer Letter by and between NMI Holdings, Inc. and William Leatherberry, dated July 11, 2014</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10.10 to our Form 10-Q, filed on April 28, 2016)</w:t>
      </w:r>
    </w:p>
    <w:p>
      <w:pPr>
        <w:spacing w:after="0" w:line="1" w:lineRule="exact"/>
        <w:rPr>
          <w:sz w:val="20"/>
          <w:szCs w:val="20"/>
          <w:color w:val="auto"/>
        </w:rPr>
      </w:pPr>
    </w:p>
    <w:p>
      <w:pPr>
        <w:jc w:val="both"/>
        <w:spacing w:after="0" w:line="234" w:lineRule="auto"/>
        <w:rPr>
          <w:rFonts w:ascii="Arial" w:cs="Arial" w:eastAsia="Arial" w:hAnsi="Arial"/>
          <w:sz w:val="18"/>
          <w:szCs w:val="18"/>
          <w:color w:val="0000FF"/>
        </w:rPr>
      </w:pPr>
      <w:hyperlink r:id="rId118">
        <w:r>
          <w:rPr>
            <w:rFonts w:ascii="Arial" w:cs="Arial" w:eastAsia="Arial" w:hAnsi="Arial"/>
            <w:sz w:val="18"/>
            <w:szCs w:val="18"/>
            <w:u w:val="single" w:color="auto"/>
            <w:color w:val="0000FF"/>
          </w:rPr>
          <w:t>Offer Letter by and between NMI Holdings, Inc. and Adam Pollitzer, dated February 1, 2017</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10.1 to our Form 8-K, filed on February 3, 2017)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20" w:space="340"/>
            <w:col w:w="9820"/>
          </w:cols>
          <w:pgMar w:left="320" w:top="1012" w:right="499" w:bottom="1440" w:gutter="0" w:footer="0" w:header="0"/>
          <w:type w:val="continuous"/>
        </w:sectPr>
      </w:pPr>
    </w:p>
    <w:bookmarkStart w:id="59" w:name="page60"/>
    <w:bookmarkEnd w:id="59"/>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10.12 +</w:t>
      </w:r>
    </w:p>
    <w:p>
      <w:pPr>
        <w:spacing w:after="0" w:line="20" w:lineRule="exact"/>
        <w:rPr>
          <w:sz w:val="20"/>
          <w:szCs w:val="20"/>
          <w:color w:val="auto"/>
        </w:rPr>
      </w:pPr>
      <w:r>
        <w:rPr>
          <w:sz w:val="20"/>
          <w:szCs w:val="20"/>
          <w:color w:val="auto"/>
        </w:rPr>
        <w:br w:type="column"/>
      </w:r>
    </w:p>
    <w:p>
      <w:pPr>
        <w:jc w:val="both"/>
        <w:spacing w:after="0" w:line="235" w:lineRule="auto"/>
        <w:rPr>
          <w:rFonts w:ascii="Arial" w:cs="Arial" w:eastAsia="Arial" w:hAnsi="Arial"/>
          <w:sz w:val="18"/>
          <w:szCs w:val="18"/>
          <w:color w:val="0000FF"/>
        </w:rPr>
      </w:pPr>
      <w:hyperlink r:id="rId120">
        <w:r>
          <w:rPr>
            <w:rFonts w:ascii="Arial" w:cs="Arial" w:eastAsia="Arial" w:hAnsi="Arial"/>
            <w:sz w:val="18"/>
            <w:szCs w:val="18"/>
            <w:u w:val="single" w:color="auto"/>
            <w:color w:val="0000FF"/>
          </w:rPr>
          <w:t>Form of Indemnification Agreement between NMI Holdings, Inc. and its directors and certain executive officers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 to our Form 8-K, filed on November 25, 2014)</w:t>
      </w:r>
    </w:p>
    <w:p>
      <w:pPr>
        <w:jc w:val="both"/>
        <w:spacing w:after="0" w:line="219" w:lineRule="auto"/>
        <w:rPr>
          <w:rFonts w:ascii="Arial" w:cs="Arial" w:eastAsia="Arial" w:hAnsi="Arial"/>
          <w:sz w:val="18"/>
          <w:szCs w:val="18"/>
          <w:color w:val="0000FF"/>
        </w:rPr>
      </w:pPr>
      <w:hyperlink r:id="rId121">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121">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w:t>
        </w:r>
      </w:hyperlink>
      <w:r>
        <w:rPr>
          <w:rFonts w:ascii="Arial" w:cs="Arial" w:eastAsia="Arial" w:hAnsi="Arial"/>
          <w:sz w:val="18"/>
          <w:szCs w:val="18"/>
          <w:color w:val="0000FF"/>
        </w:rPr>
        <w:t xml:space="preserve"> </w:t>
      </w:r>
      <w:r>
        <w:rPr>
          <w:rFonts w:ascii="Arial" w:cs="Arial" w:eastAsia="Arial" w:hAnsi="Arial"/>
          <w:sz w:val="18"/>
          <w:szCs w:val="18"/>
          <w:color w:val="000000"/>
        </w:rPr>
        <w:t>filed on October 9, 2013)</w:t>
      </w:r>
    </w:p>
    <w:p>
      <w:pPr>
        <w:spacing w:after="0" w:line="1" w:lineRule="exact"/>
        <w:rPr>
          <w:rFonts w:ascii="Arial" w:cs="Arial" w:eastAsia="Arial" w:hAnsi="Arial"/>
          <w:sz w:val="18"/>
          <w:szCs w:val="18"/>
          <w:u w:val="single" w:color="auto"/>
          <w:color w:val="0000FF"/>
        </w:rPr>
      </w:pPr>
    </w:p>
    <w:p>
      <w:pPr>
        <w:sectPr>
          <w:pgSz w:w="11900" w:h="16838" w:orient="portrait"/>
          <w:cols w:equalWidth="0" w:num="2">
            <w:col w:w="560" w:space="340"/>
            <w:col w:w="9820"/>
          </w:cols>
          <w:pgMar w:left="680" w:top="1057" w:right="499" w:bottom="1440" w:gutter="0" w:footer="0" w:header="0"/>
        </w:sectPr>
      </w:pPr>
    </w:p>
    <w:p>
      <w:pPr>
        <w:spacing w:after="0" w:line="12"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10.13</w:t>
      </w:r>
    </w:p>
    <w:p>
      <w:pPr>
        <w:spacing w:after="0" w:line="233"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5"/>
          <w:szCs w:val="15"/>
          <w:color w:val="auto"/>
        </w:rPr>
        <w:t>10.14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48" w:lineRule="auto"/>
        <w:rPr>
          <w:rFonts w:ascii="Arial" w:cs="Arial" w:eastAsia="Arial" w:hAnsi="Arial"/>
          <w:sz w:val="17"/>
          <w:szCs w:val="17"/>
          <w:color w:val="0000FF"/>
        </w:rPr>
      </w:pPr>
      <w:hyperlink r:id="rId122">
        <w:r>
          <w:rPr>
            <w:rFonts w:ascii="Arial" w:cs="Arial" w:eastAsia="Arial" w:hAnsi="Arial"/>
            <w:sz w:val="17"/>
            <w:szCs w:val="17"/>
            <w:u w:val="single" w:color="auto"/>
            <w:color w:val="0000FF"/>
          </w:rPr>
          <w:t>Credit Agreement, dated November 10, 2015, between NMI Holdings, Inc., the lenders party thereto and JPMorgan Chase Bank, N.A.,</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as 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spacing w:after="0" w:line="224" w:lineRule="auto"/>
        <w:rPr>
          <w:rFonts w:ascii="Arial" w:cs="Arial" w:eastAsia="Arial" w:hAnsi="Arial"/>
          <w:sz w:val="18"/>
          <w:szCs w:val="18"/>
          <w:color w:val="0000FF"/>
        </w:rPr>
      </w:pPr>
      <w:hyperlink r:id="rId123">
        <w:r>
          <w:rPr>
            <w:rFonts w:ascii="Arial" w:cs="Arial" w:eastAsia="Arial" w:hAnsi="Arial"/>
            <w:sz w:val="18"/>
            <w:szCs w:val="18"/>
            <w:u w:val="single" w:color="auto"/>
            <w:color w:val="0000FF"/>
          </w:rPr>
          <w:t>Amendment No. 1, dated February 10, 2017, to the Credit Agreement dated November 10, 2015, between NMI Holdings, Inc., the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w:t>
        </w:r>
      </w:hyperlink>
      <w:r>
        <w:rPr>
          <w:rFonts w:ascii="Arial" w:cs="Arial" w:eastAsia="Arial" w:hAnsi="Arial"/>
          <w:sz w:val="18"/>
          <w:szCs w:val="18"/>
          <w:color w:val="0000FF"/>
        </w:rPr>
        <w:t xml:space="preserve"> </w:t>
      </w:r>
      <w:r>
        <w:rPr>
          <w:rFonts w:ascii="Arial" w:cs="Arial" w:eastAsia="Arial" w:hAnsi="Arial"/>
          <w:sz w:val="18"/>
          <w:szCs w:val="18"/>
          <w:color w:val="000000"/>
        </w:rPr>
        <w:t>Form 8-K, filed on February 10, 2017)</w:t>
      </w:r>
    </w:p>
    <w:p>
      <w:pPr>
        <w:spacing w:after="0" w:line="1" w:lineRule="exact"/>
        <w:rPr>
          <w:sz w:val="20"/>
          <w:szCs w:val="20"/>
          <w:color w:val="auto"/>
        </w:rPr>
      </w:pPr>
    </w:p>
    <w:p>
      <w:pPr>
        <w:sectPr>
          <w:pgSz w:w="11900" w:h="16838" w:orient="portrait"/>
          <w:cols w:equalWidth="0" w:num="2">
            <w:col w:w="480" w:space="420"/>
            <w:col w:w="9820"/>
          </w:cols>
          <w:pgMar w:left="680" w:top="1057" w:right="499" w:bottom="1440" w:gutter="0" w:footer="0" w:header="0"/>
          <w:type w:val="continuous"/>
        </w:sectPr>
      </w:pPr>
    </w:p>
    <w:p>
      <w:pPr>
        <w:jc w:val="both"/>
        <w:ind w:left="900" w:hanging="827"/>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124">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w:t>
        </w:r>
      </w:hyperlink>
      <w:r>
        <w:rPr>
          <w:rFonts w:ascii="Arial" w:cs="Arial" w:eastAsia="Arial" w:hAnsi="Arial"/>
          <w:sz w:val="18"/>
          <w:szCs w:val="18"/>
          <w:color w:val="0000FF"/>
        </w:rPr>
        <w:t xml:space="preserve"> </w:t>
      </w:r>
      <w:r>
        <w:rPr>
          <w:rFonts w:ascii="Arial" w:cs="Arial" w:eastAsia="Arial" w:hAnsi="Arial"/>
          <w:sz w:val="18"/>
          <w:szCs w:val="18"/>
          <w:color w:val="000000"/>
        </w:rPr>
        <w:t>8-K, filed on October 26, 2017)</w:t>
      </w:r>
    </w:p>
    <w:p>
      <w:pPr>
        <w:sectPr>
          <w:pgSz w:w="11900" w:h="16838" w:orient="portrait"/>
          <w:cols w:equalWidth="0" w:num="1">
            <w:col w:w="10720"/>
          </w:cols>
          <w:pgMar w:left="680" w:top="1057" w:right="49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10.16</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10.17</w:t>
      </w:r>
    </w:p>
    <w:p>
      <w:pPr>
        <w:spacing w:after="0" w:line="20" w:lineRule="exact"/>
        <w:rPr>
          <w:sz w:val="20"/>
          <w:szCs w:val="20"/>
          <w:color w:val="auto"/>
        </w:rPr>
      </w:pPr>
      <w:r>
        <w:rPr>
          <w:sz w:val="20"/>
          <w:szCs w:val="20"/>
          <w:color w:val="auto"/>
        </w:rPr>
        <w:br w:type="column"/>
      </w:r>
    </w:p>
    <w:p>
      <w:pPr>
        <w:spacing w:after="0" w:line="234" w:lineRule="auto"/>
        <w:rPr>
          <w:rFonts w:ascii="Arial" w:cs="Arial" w:eastAsia="Arial" w:hAnsi="Arial"/>
          <w:sz w:val="18"/>
          <w:szCs w:val="18"/>
          <w:color w:val="0000FF"/>
        </w:rPr>
      </w:pPr>
      <w:hyperlink r:id="rId125">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1" w:lineRule="exact"/>
        <w:rPr>
          <w:sz w:val="20"/>
          <w:szCs w:val="20"/>
          <w:color w:val="auto"/>
        </w:rPr>
      </w:pPr>
    </w:p>
    <w:p>
      <w:pPr>
        <w:ind w:right="100"/>
        <w:spacing w:after="0" w:line="224" w:lineRule="auto"/>
        <w:rPr>
          <w:rFonts w:ascii="Arial" w:cs="Arial" w:eastAsia="Arial" w:hAnsi="Arial"/>
          <w:sz w:val="18"/>
          <w:szCs w:val="18"/>
          <w:color w:val="0000FF"/>
        </w:rPr>
      </w:pPr>
      <w:hyperlink r:id="rId126">
        <w:r>
          <w:rPr>
            <w:rFonts w:ascii="Arial" w:cs="Arial" w:eastAsia="Arial" w:hAnsi="Arial"/>
            <w:sz w:val="18"/>
            <w:szCs w:val="18"/>
            <w:u w:val="single" w:color="auto"/>
            <w:color w:val="0000FF"/>
          </w:rPr>
          <w:t>Extension Amendment,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w:t>
        </w:r>
      </w:hyperlink>
      <w:r>
        <w:rPr>
          <w:rFonts w:ascii="Arial" w:cs="Arial" w:eastAsia="Arial" w:hAnsi="Arial"/>
          <w:sz w:val="18"/>
          <w:szCs w:val="18"/>
          <w:color w:val="0000FF"/>
        </w:rPr>
        <w:t xml:space="preserve"> </w:t>
      </w:r>
      <w:r>
        <w:rPr>
          <w:rFonts w:ascii="Arial" w:cs="Arial" w:eastAsia="Arial" w:hAnsi="Arial"/>
          <w:sz w:val="18"/>
          <w:szCs w:val="18"/>
          <w:color w:val="000000"/>
        </w:rPr>
        <w:t>Exhibit 10.1 to our Form 8-K filed on March 20, 2020)</w:t>
      </w:r>
    </w:p>
    <w:p>
      <w:pPr>
        <w:spacing w:after="0" w:line="200" w:lineRule="exact"/>
        <w:rPr>
          <w:sz w:val="20"/>
          <w:szCs w:val="20"/>
          <w:color w:val="auto"/>
        </w:rPr>
      </w:pPr>
    </w:p>
    <w:p>
      <w:pPr>
        <w:sectPr>
          <w:pgSz w:w="11900" w:h="16838" w:orient="portrait"/>
          <w:cols w:equalWidth="0" w:num="2">
            <w:col w:w="480" w:space="420"/>
            <w:col w:w="9820"/>
          </w:cols>
          <w:pgMar w:left="680" w:top="1057" w:right="499" w:bottom="1440" w:gutter="0" w:footer="0" w:header="0"/>
          <w:type w:val="continuous"/>
        </w:sectPr>
      </w:pPr>
    </w:p>
    <w:p>
      <w:pPr>
        <w:spacing w:after="0" w:line="43" w:lineRule="exact"/>
        <w:rPr>
          <w:sz w:val="20"/>
          <w:szCs w:val="20"/>
          <w:color w:val="auto"/>
        </w:rPr>
      </w:pPr>
    </w:p>
    <w:p>
      <w:pPr>
        <w:ind w:left="900" w:right="40" w:hanging="827"/>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127">
        <w:r>
          <w:rPr>
            <w:rFonts w:ascii="Arial" w:cs="Arial" w:eastAsia="Arial" w:hAnsi="Arial"/>
            <w:sz w:val="18"/>
            <w:szCs w:val="18"/>
            <w:u w:val="single" w:color="auto"/>
            <w:color w:val="0000FF"/>
          </w:rPr>
          <w:t>Joinder Agreement,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Company, JPMorgan Chase Bank, N.A. as administrative agent, and Citibank, N.A.</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to Exhibit </w:t>
        </w:r>
      </w:hyperlink>
      <w:r>
        <w:rPr>
          <w:rFonts w:ascii="Arial" w:cs="Arial" w:eastAsia="Arial" w:hAnsi="Arial"/>
          <w:sz w:val="18"/>
          <w:szCs w:val="18"/>
          <w:color w:val="0000FF"/>
        </w:rPr>
        <w:t xml:space="preserve">10.2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our Form 8-K, filed on March 20, 2020)</w:t>
      </w:r>
    </w:p>
    <w:p>
      <w:pPr>
        <w:sectPr>
          <w:pgSz w:w="11900" w:h="16838" w:orient="portrait"/>
          <w:cols w:equalWidth="0" w:num="1">
            <w:col w:w="10720"/>
          </w:cols>
          <w:pgMar w:left="680" w:top="1057" w:right="4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10.19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10.20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10.21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10.22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10.23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10.24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10.25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10.26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10.27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10.28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10.29 ~</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10.30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10.31 ~</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10.32~</w:t>
      </w:r>
    </w:p>
    <w:p>
      <w:pPr>
        <w:spacing w:after="0" w:line="20" w:lineRule="exact"/>
        <w:rPr>
          <w:sz w:val="20"/>
          <w:szCs w:val="20"/>
          <w:color w:val="auto"/>
        </w:rPr>
      </w:pPr>
      <w:r>
        <w:rPr>
          <w:sz w:val="20"/>
          <w:szCs w:val="20"/>
          <w:color w:val="auto"/>
        </w:rPr>
        <w:br w:type="column"/>
      </w:r>
    </w:p>
    <w:p>
      <w:pPr>
        <w:spacing w:after="0" w:line="234" w:lineRule="auto"/>
        <w:rPr>
          <w:rFonts w:ascii="Arial" w:cs="Arial" w:eastAsia="Arial" w:hAnsi="Arial"/>
          <w:sz w:val="18"/>
          <w:szCs w:val="18"/>
          <w:color w:val="0000FF"/>
        </w:rPr>
      </w:pPr>
      <w:hyperlink r:id="rId128">
        <w:r>
          <w:rPr>
            <w:rFonts w:ascii="Arial" w:cs="Arial" w:eastAsia="Arial" w:hAnsi="Arial"/>
            <w:sz w:val="18"/>
            <w:szCs w:val="18"/>
            <w:u w:val="single" w:color="auto"/>
            <w:color w:val="0000FF"/>
          </w:rPr>
          <w:t>NMI Holdings, Inc. Amended and Restated 2014 Omnibus Incentive Plan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color w:val="0000FF"/>
        </w:rPr>
        <w:t xml:space="preserve"> </w:t>
      </w:r>
      <w:r>
        <w:rPr>
          <w:rFonts w:ascii="Arial" w:cs="Arial" w:eastAsia="Arial" w:hAnsi="Arial"/>
          <w:sz w:val="18"/>
          <w:szCs w:val="18"/>
          <w:color w:val="000000"/>
        </w:rPr>
        <w:t>Annual Proxy Statement, filed on March 30, 2017)</w:t>
      </w:r>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29">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0">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Executive 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1">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1" w:lineRule="exact"/>
        <w:rPr>
          <w:sz w:val="20"/>
          <w:szCs w:val="20"/>
          <w:color w:val="auto"/>
        </w:rPr>
      </w:pPr>
    </w:p>
    <w:p>
      <w:pPr>
        <w:spacing w:after="0" w:line="248" w:lineRule="auto"/>
        <w:rPr>
          <w:rFonts w:ascii="Arial" w:cs="Arial" w:eastAsia="Arial" w:hAnsi="Arial"/>
          <w:sz w:val="17"/>
          <w:szCs w:val="17"/>
          <w:color w:val="0000FF"/>
        </w:rPr>
      </w:pPr>
      <w:hyperlink r:id="rId133">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spacing w:after="0" w:line="248" w:lineRule="auto"/>
        <w:rPr>
          <w:rFonts w:ascii="Arial" w:cs="Arial" w:eastAsia="Arial" w:hAnsi="Arial"/>
          <w:sz w:val="17"/>
          <w:szCs w:val="17"/>
          <w:color w:val="0000FF"/>
        </w:rPr>
      </w:pPr>
      <w:hyperlink r:id="rId134">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5">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1" w:lineRule="exact"/>
        <w:rPr>
          <w:sz w:val="20"/>
          <w:szCs w:val="20"/>
          <w:color w:val="auto"/>
        </w:rPr>
      </w:pPr>
    </w:p>
    <w:p>
      <w:pPr>
        <w:spacing w:after="0" w:line="234" w:lineRule="auto"/>
        <w:rPr>
          <w:rFonts w:ascii="Arial" w:cs="Arial" w:eastAsia="Arial" w:hAnsi="Arial"/>
          <w:sz w:val="18"/>
          <w:szCs w:val="18"/>
          <w:color w:val="0000FF"/>
        </w:rPr>
      </w:pPr>
      <w:hyperlink r:id="rId136">
        <w:r>
          <w:rPr>
            <w:rFonts w:ascii="Arial" w:cs="Arial" w:eastAsia="Arial" w:hAnsi="Arial"/>
            <w:sz w:val="18"/>
            <w:szCs w:val="18"/>
            <w:u w:val="single" w:color="auto"/>
            <w:color w:val="0000FF"/>
          </w:rPr>
          <w:t>NMI Holdings, Inc. Severance Benefit Plan</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Exhibit 10.1 to our Form 8-K, filed on February 17,</w:t>
      </w:r>
      <w:r>
        <w:rPr>
          <w:rFonts w:ascii="Arial" w:cs="Arial" w:eastAsia="Arial" w:hAnsi="Arial"/>
          <w:sz w:val="18"/>
          <w:szCs w:val="18"/>
          <w:color w:val="0000FF"/>
        </w:rPr>
        <w:t xml:space="preserve"> </w:t>
      </w:r>
      <w:r>
        <w:rPr>
          <w:rFonts w:ascii="Arial" w:cs="Arial" w:eastAsia="Arial" w:hAnsi="Arial"/>
          <w:sz w:val="18"/>
          <w:szCs w:val="18"/>
          <w:color w:val="000000"/>
        </w:rPr>
        <w:t>2016)</w:t>
      </w:r>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NMI Holdings, Inc. Amended and Restated Change in Control Severance Benefit Plan (incorporated herein by reference to Exhibit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10.30 to our Form 10-Q, filed on October 30, 2018)</w:t>
        </w:r>
      </w:hyperlink>
    </w:p>
    <w:p>
      <w:pPr>
        <w:spacing w:after="0" w:line="1" w:lineRule="exact"/>
        <w:rPr>
          <w:sz w:val="20"/>
          <w:szCs w:val="20"/>
          <w:color w:val="auto"/>
        </w:rPr>
      </w:pPr>
    </w:p>
    <w:p>
      <w:pPr>
        <w:spacing w:after="0"/>
        <w:rPr>
          <w:rFonts w:ascii="Arial" w:cs="Arial" w:eastAsia="Arial" w:hAnsi="Arial"/>
          <w:sz w:val="17"/>
          <w:szCs w:val="17"/>
          <w:color w:val="0000FF"/>
        </w:rPr>
      </w:pPr>
      <w:hyperlink r:id="rId138">
        <w:r>
          <w:rPr>
            <w:rFonts w:ascii="Arial" w:cs="Arial" w:eastAsia="Arial" w:hAnsi="Arial"/>
            <w:sz w:val="17"/>
            <w:szCs w:val="17"/>
            <w:u w:val="single" w:color="auto"/>
            <w:color w:val="0000FF"/>
          </w:rPr>
          <w:t>NMI Holdings, Inc. Clawback Policy</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 by reference to Exhibit 10.2 to our Form 8-K, filed on February 23, 2017)</w:t>
      </w:r>
    </w:p>
    <w:p>
      <w:pPr>
        <w:spacing w:after="0" w:line="74" w:lineRule="exact"/>
        <w:rPr>
          <w:sz w:val="20"/>
          <w:szCs w:val="20"/>
          <w:color w:val="auto"/>
        </w:rPr>
      </w:pPr>
    </w:p>
    <w:p>
      <w:pPr>
        <w:spacing w:after="0" w:line="235" w:lineRule="auto"/>
        <w:rPr>
          <w:rFonts w:ascii="Arial" w:cs="Arial" w:eastAsia="Arial" w:hAnsi="Arial"/>
          <w:sz w:val="18"/>
          <w:szCs w:val="18"/>
          <w:color w:val="0000FF"/>
        </w:rPr>
      </w:pPr>
      <w:hyperlink r:id="rId139">
        <w:r>
          <w:rPr>
            <w:rFonts w:ascii="Arial" w:cs="Arial" w:eastAsia="Arial" w:hAnsi="Arial"/>
            <w:sz w:val="18"/>
            <w:szCs w:val="18"/>
            <w:u w:val="single" w:color="auto"/>
            <w:color w:val="0000FF"/>
          </w:rPr>
          <w:t>Employment Letter by and between NMI Holdings, Inc. and Bradley M. Shuster, effective as of January 1, 2019</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10.1 to our Form 8-K, filed on December 28, 2018)</w:t>
      </w:r>
    </w:p>
    <w:p>
      <w:pPr>
        <w:spacing w:after="0" w:line="234" w:lineRule="auto"/>
        <w:rPr>
          <w:rFonts w:ascii="Arial" w:cs="Arial" w:eastAsia="Arial" w:hAnsi="Arial"/>
          <w:sz w:val="18"/>
          <w:szCs w:val="18"/>
          <w:color w:val="0000FF"/>
        </w:rPr>
      </w:pPr>
      <w:hyperlink r:id="rId140">
        <w:r>
          <w:rPr>
            <w:rFonts w:ascii="Arial" w:cs="Arial" w:eastAsia="Arial" w:hAnsi="Arial"/>
            <w:sz w:val="18"/>
            <w:szCs w:val="18"/>
            <w:u w:val="single" w:color="auto"/>
            <w:color w:val="0000FF"/>
          </w:rPr>
          <w:t>Employment Letter by and between NMI Holdings, Inc. and Claudia J. Merkle, effective as of January 1, 2019</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10.2 to our Form 8-K, filed on December 28, 2018)</w:t>
      </w:r>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Form of NMI Holdings, Inc. 2012 Stock Incentive Plan Restricted Stock Unit Award Agreement for Independent Directors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10.30 to our Form 10-Q, filed on May 2, 2019)</w:t>
      </w:r>
    </w:p>
    <w:p>
      <w:pPr>
        <w:spacing w:after="0" w:line="200" w:lineRule="exact"/>
        <w:rPr>
          <w:sz w:val="20"/>
          <w:szCs w:val="20"/>
          <w:color w:val="auto"/>
        </w:rPr>
      </w:pPr>
    </w:p>
    <w:p>
      <w:pPr>
        <w:sectPr>
          <w:pgSz w:w="11900" w:h="16838" w:orient="portrait"/>
          <w:cols w:equalWidth="0" w:num="2">
            <w:col w:w="560" w:space="340"/>
            <w:col w:w="9820"/>
          </w:cols>
          <w:pgMar w:left="680" w:top="1057" w:right="49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680" w:top="1057" w:right="499" w:bottom="1440" w:gutter="0" w:footer="0" w:header="0"/>
          <w:type w:val="continuous"/>
        </w:sectPr>
      </w:pPr>
    </w:p>
    <w:bookmarkStart w:id="60" w:name="page61"/>
    <w:bookmarkEnd w:id="60"/>
    <w:p>
      <w:pPr>
        <w:spacing w:after="0" w:line="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10.33~</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10.34~</w:t>
      </w:r>
    </w:p>
    <w:p>
      <w:pPr>
        <w:spacing w:after="0" w:line="20" w:lineRule="exact"/>
        <w:rPr>
          <w:sz w:val="20"/>
          <w:szCs w:val="20"/>
          <w:color w:val="auto"/>
        </w:rPr>
      </w:pPr>
      <w:r>
        <w:rPr>
          <w:sz w:val="20"/>
          <w:szCs w:val="20"/>
          <w:color w:val="auto"/>
        </w:rPr>
        <w:br w:type="column"/>
      </w:r>
    </w:p>
    <w:p>
      <w:pPr>
        <w:spacing w:after="0" w:line="235" w:lineRule="auto"/>
        <w:rPr>
          <w:rFonts w:ascii="Arial" w:cs="Arial" w:eastAsia="Arial" w:hAnsi="Arial"/>
          <w:sz w:val="18"/>
          <w:szCs w:val="18"/>
          <w:color w:val="0000FF"/>
        </w:rPr>
      </w:pPr>
      <w:hyperlink r:id="rId143">
        <w:r>
          <w:rPr>
            <w:rFonts w:ascii="Arial" w:cs="Arial" w:eastAsia="Arial" w:hAnsi="Arial"/>
            <w:sz w:val="18"/>
            <w:szCs w:val="18"/>
            <w:u w:val="single" w:color="auto"/>
            <w:color w:val="0000FF"/>
          </w:rPr>
          <w:t>Form of NMI Holdings, Inc. 2012 Stock Incentive Plan Restricted Stock Unit Award Agreement for Employees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10.31 to our Form 10-Q, filed on May 2, 2019)</w:t>
      </w:r>
    </w:p>
    <w:p>
      <w:pPr>
        <w:spacing w:after="0" w:line="234" w:lineRule="auto"/>
        <w:rPr>
          <w:rFonts w:ascii="Arial" w:cs="Arial" w:eastAsia="Arial" w:hAnsi="Arial"/>
          <w:sz w:val="18"/>
          <w:szCs w:val="18"/>
          <w:color w:val="0000FF"/>
        </w:rPr>
      </w:pPr>
      <w:hyperlink r:id="rId144">
        <w:r>
          <w:rPr>
            <w:rFonts w:ascii="Arial" w:cs="Arial" w:eastAsia="Arial" w:hAnsi="Arial"/>
            <w:sz w:val="18"/>
            <w:szCs w:val="18"/>
            <w:u w:val="single" w:color="auto"/>
            <w:color w:val="0000FF"/>
          </w:rPr>
          <w:t>Form of NMI Holdings, Inc. 2012 Stock Incentive Plan Nonqualified Stock Option Agreement for Employees</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10.32 to our Form 10-Q, filed on May 2, 2019)</w:t>
      </w:r>
    </w:p>
    <w:p>
      <w:pPr>
        <w:spacing w:after="0" w:line="1" w:lineRule="exact"/>
        <w:rPr>
          <w:sz w:val="20"/>
          <w:szCs w:val="20"/>
          <w:color w:val="auto"/>
        </w:rPr>
      </w:pPr>
    </w:p>
    <w:p>
      <w:pPr>
        <w:sectPr>
          <w:pgSz w:w="11900" w:h="16838" w:orient="portrait"/>
          <w:cols w:equalWidth="0" w:num="2">
            <w:col w:w="560" w:space="360"/>
            <w:col w:w="9820"/>
          </w:cols>
          <w:pgMar w:left="660" w:top="1057" w:right="499" w:bottom="1440" w:gutter="0" w:footer="0" w:header="0"/>
        </w:sectPr>
      </w:pPr>
    </w:p>
    <w:p>
      <w:pPr>
        <w:ind w:left="920" w:hanging="876"/>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10.35~</w:t>
      </w:r>
      <w:r>
        <w:rPr>
          <w:sz w:val="20"/>
          <w:szCs w:val="20"/>
          <w:color w:val="auto"/>
        </w:rPr>
        <w:tab/>
      </w:r>
      <w:hyperlink r:id="rId145">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1" w:lineRule="exact"/>
        <w:rPr>
          <w:sz w:val="20"/>
          <w:szCs w:val="20"/>
          <w:color w:val="auto"/>
        </w:rPr>
      </w:pPr>
    </w:p>
    <w:p>
      <w:pPr>
        <w:ind w:left="920" w:hanging="876"/>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10.36~</w:t>
      </w:r>
      <w:r>
        <w:rPr>
          <w:sz w:val="20"/>
          <w:szCs w:val="20"/>
          <w:color w:val="auto"/>
        </w:rPr>
        <w:tab/>
      </w:r>
      <w:hyperlink r:id="rId146">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10.34 to our Form 10-Q, filed on May 2, 2019)</w:t>
        </w:r>
      </w:hyperlink>
    </w:p>
    <w:p>
      <w:pPr>
        <w:spacing w:after="0" w:line="1" w:lineRule="exact"/>
        <w:rPr>
          <w:sz w:val="20"/>
          <w:szCs w:val="20"/>
          <w:color w:val="auto"/>
        </w:rPr>
      </w:pPr>
    </w:p>
    <w:p>
      <w:pPr>
        <w:ind w:left="920" w:hanging="876"/>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10.37~</w:t>
      </w:r>
      <w:r>
        <w:rPr>
          <w:sz w:val="20"/>
          <w:szCs w:val="20"/>
          <w:color w:val="auto"/>
        </w:rPr>
        <w:tab/>
      </w:r>
      <w:hyperlink r:id="rId147">
        <w:r>
          <w:rPr>
            <w:rFonts w:ascii="Arial" w:cs="Arial" w:eastAsia="Arial" w:hAnsi="Arial"/>
            <w:sz w:val="18"/>
            <w:szCs w:val="18"/>
            <w:u w:val="single" w:color="auto"/>
            <w:color w:val="0000FF"/>
          </w:rPr>
          <w:t>Form of NMI Holdings, Inc. Amended and Restated 2014 Omnibus Incentive Plan Nonqualified Stock Option Agreement for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10.35 to our Form 10-Q, filed on May 2, 2019)</w:t>
        </w:r>
      </w:hyperlink>
    </w:p>
    <w:p>
      <w:pPr>
        <w:spacing w:after="0" w:line="1" w:lineRule="exact"/>
        <w:rPr>
          <w:sz w:val="20"/>
          <w:szCs w:val="20"/>
          <w:color w:val="auto"/>
        </w:rPr>
      </w:pPr>
    </w:p>
    <w:p>
      <w:pPr>
        <w:ind w:left="920" w:right="900" w:hanging="876"/>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w:anchor="page63">
        <w:r>
          <w:rPr>
            <w:rFonts w:ascii="Arial" w:cs="Arial" w:eastAsia="Arial" w:hAnsi="Arial"/>
            <w:sz w:val="18"/>
            <w:szCs w:val="18"/>
            <w:u w:val="single" w:color="auto"/>
            <w:color w:val="0000FF"/>
          </w:rPr>
          <w:t>Form of NMI Holdings, Inc. Amended and Restated 2014 Omnibus Incentive Plan Restricted Stock Unit Award Agreement</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(Performance Based)</w:t>
        </w:r>
      </w:hyperlink>
    </w:p>
    <w:p>
      <w:pPr>
        <w:spacing w:after="0" w:line="1" w:lineRule="exact"/>
        <w:rPr>
          <w:sz w:val="20"/>
          <w:szCs w:val="20"/>
          <w:color w:val="auto"/>
        </w:rPr>
      </w:pPr>
    </w:p>
    <w:p>
      <w:pPr>
        <w:ind w:left="14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148">
        <w:r>
          <w:rPr>
            <w:rFonts w:ascii="Arial" w:cs="Arial" w:eastAsia="Arial" w:hAnsi="Arial"/>
            <w:sz w:val="16"/>
            <w:szCs w:val="16"/>
            <w:u w:val="single" w:color="auto"/>
            <w:color w:val="0000FF"/>
          </w:rPr>
          <w:t>Subsidiaries of NMI Holdings, Inc</w:t>
        </w:r>
        <w:r>
          <w:rPr>
            <w:rFonts w:ascii="Arial" w:cs="Arial" w:eastAsia="Arial" w:hAnsi="Arial"/>
            <w:sz w:val="16"/>
            <w:szCs w:val="16"/>
            <w:color w:val="0000FF"/>
          </w:rPr>
          <w:t>.</w:t>
        </w:r>
        <w:r>
          <w:rPr>
            <w:rFonts w:ascii="Arial" w:cs="Arial" w:eastAsia="Arial" w:hAnsi="Arial"/>
            <w:sz w:val="16"/>
            <w:szCs w:val="16"/>
            <w:u w:val="single" w:color="auto"/>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ectPr>
          <w:pgSz w:w="11900" w:h="16838" w:orient="portrait"/>
          <w:cols w:equalWidth="0" w:num="1">
            <w:col w:w="10740"/>
          </w:cols>
          <w:pgMar w:left="660" w:top="1057" w:right="499" w:bottom="1440" w:gutter="0" w:footer="0" w:header="0"/>
          <w:type w:val="continuous"/>
        </w:sectPr>
      </w:pPr>
    </w:p>
    <w:p>
      <w:pPr>
        <w:spacing w:after="0" w:line="7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jc w:val="center"/>
        <w:ind w:left="80"/>
        <w:spacing w:after="0"/>
        <w:rPr>
          <w:sz w:val="20"/>
          <w:szCs w:val="20"/>
          <w:color w:val="auto"/>
        </w:rPr>
      </w:pPr>
      <w:r>
        <w:rPr>
          <w:rFonts w:ascii="Arial" w:cs="Arial" w:eastAsia="Arial" w:hAnsi="Arial"/>
          <w:sz w:val="15"/>
          <w:szCs w:val="15"/>
          <w:color w:val="auto"/>
        </w:rPr>
        <w:t>32.1 #</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820"/>
        <w:spacing w:after="0" w:line="313" w:lineRule="auto"/>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Principal Executive Officer's Certification Pursuant to Section 302 of the Sarbanes-Oxley Act of 2002</w:t>
        </w:r>
      </w:hyperlink>
      <w:r>
        <w:rPr>
          <w:rFonts w:ascii="Arial" w:cs="Arial" w:eastAsia="Arial" w:hAnsi="Arial"/>
          <w:sz w:val="18"/>
          <w:szCs w:val="18"/>
          <w:u w:val="single" w:color="auto"/>
          <w:color w:val="0000FF"/>
        </w:rPr>
        <w:t xml:space="preserve"> </w:t>
      </w:r>
      <w:hyperlink w:anchor="page70">
        <w:r>
          <w:rPr>
            <w:rFonts w:ascii="Arial" w:cs="Arial" w:eastAsia="Arial" w:hAnsi="Arial"/>
            <w:sz w:val="18"/>
            <w:szCs w:val="18"/>
            <w:u w:val="single" w:color="auto"/>
            <w:color w:val="0000FF"/>
          </w:rPr>
          <w:t>Principal Financial Officer's Certification Pursuant to Section 302 of the Sarbanes-Oxley Act of 2002</w:t>
        </w:r>
      </w:hyperlink>
    </w:p>
    <w:p>
      <w:pPr>
        <w:spacing w:after="0" w:line="227" w:lineRule="auto"/>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Certifications of CEO and CFO Pursuant to 18 U.S.C. Section 1350, as Adopted Pursuant to Section 906 of the Sarbanes-</w:t>
        </w:r>
      </w:hyperlink>
      <w:hyperlink w:anchor="page71">
        <w:r>
          <w:rPr>
            <w:rFonts w:ascii="Arial" w:cs="Arial" w:eastAsia="Arial" w:hAnsi="Arial"/>
            <w:sz w:val="18"/>
            <w:szCs w:val="18"/>
            <w:u w:val="single" w:color="auto"/>
            <w:color w:val="0000FF"/>
          </w:rPr>
          <w:t>Oxley Act of 2002</w:t>
        </w:r>
      </w:hyperlink>
    </w:p>
    <w:p>
      <w:pPr>
        <w:spacing w:after="0" w:line="13" w:lineRule="exact"/>
        <w:rPr>
          <w:sz w:val="20"/>
          <w:szCs w:val="20"/>
          <w:color w:val="auto"/>
        </w:rPr>
      </w:pPr>
    </w:p>
    <w:p>
      <w:pPr>
        <w:sectPr>
          <w:pgSz w:w="11900" w:h="16838" w:orient="portrait"/>
          <w:cols w:equalWidth="0" w:num="2">
            <w:col w:w="520" w:space="400"/>
            <w:col w:w="9820"/>
          </w:cols>
          <w:pgMar w:left="660" w:top="1057" w:right="499" w:bottom="1440" w:gutter="0" w:footer="0" w:header="0"/>
          <w:type w:val="continuous"/>
        </w:sectPr>
      </w:pPr>
    </w:p>
    <w:p>
      <w:pPr>
        <w:ind w:left="920" w:right="180" w:hanging="753"/>
        <w:spacing w:after="0" w:line="277"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March 31, 2020 formatted in XBRL (eXtensible Business Reporting Language):</w:t>
      </w:r>
    </w:p>
    <w:p>
      <w:pPr>
        <w:spacing w:after="0" w:line="8" w:lineRule="exact"/>
        <w:rPr>
          <w:rFonts w:ascii="Arial" w:cs="Arial" w:eastAsia="Arial" w:hAnsi="Arial"/>
          <w:sz w:val="18"/>
          <w:szCs w:val="18"/>
          <w:color w:val="auto"/>
        </w:rPr>
      </w:pPr>
    </w:p>
    <w:p>
      <w:pPr>
        <w:ind w:left="1140" w:hanging="212"/>
        <w:spacing w:after="0"/>
        <w:tabs>
          <w:tab w:leader="none" w:pos="11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Condensed Consolidated Balance Sheets as of March 31, 2020 and December 31, 2019;</w:t>
      </w:r>
    </w:p>
    <w:p>
      <w:pPr>
        <w:spacing w:after="0" w:line="63" w:lineRule="exact"/>
        <w:rPr>
          <w:rFonts w:ascii="Arial" w:cs="Arial" w:eastAsia="Arial" w:hAnsi="Arial"/>
          <w:sz w:val="18"/>
          <w:szCs w:val="18"/>
          <w:color w:val="auto"/>
        </w:rPr>
      </w:pPr>
    </w:p>
    <w:p>
      <w:pPr>
        <w:ind w:left="920" w:right="120" w:firstLine="8"/>
        <w:spacing w:after="0" w:line="277" w:lineRule="auto"/>
        <w:tabs>
          <w:tab w:leader="none" w:pos="123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months ended March 31, 2020 and 2019;</w:t>
      </w:r>
    </w:p>
    <w:p>
      <w:pPr>
        <w:spacing w:after="0" w:line="8" w:lineRule="exact"/>
        <w:rPr>
          <w:rFonts w:ascii="Arial" w:cs="Arial" w:eastAsia="Arial" w:hAnsi="Arial"/>
          <w:sz w:val="18"/>
          <w:szCs w:val="18"/>
          <w:color w:val="auto"/>
        </w:rPr>
      </w:pPr>
    </w:p>
    <w:p>
      <w:pPr>
        <w:ind w:left="1240" w:hanging="312"/>
        <w:spacing w:after="0"/>
        <w:tabs>
          <w:tab w:leader="none" w:pos="1240" w:val="left"/>
        </w:tabs>
        <w:numPr>
          <w:ilvl w:val="2"/>
          <w:numId w:val="39"/>
        </w:numPr>
        <w:rPr>
          <w:rFonts w:ascii="Arial" w:cs="Arial" w:eastAsia="Arial" w:hAnsi="Arial"/>
          <w:sz w:val="16"/>
          <w:szCs w:val="16"/>
          <w:color w:val="auto"/>
        </w:rPr>
      </w:pPr>
      <w:r>
        <w:rPr>
          <w:rFonts w:ascii="Arial" w:cs="Arial" w:eastAsia="Arial" w:hAnsi="Arial"/>
          <w:sz w:val="16"/>
          <w:szCs w:val="16"/>
          <w:color w:val="auto"/>
        </w:rPr>
        <w:t>Condensed Consolidated Statements of Changes in Shareholders' Equity for the three months ended March 31, 2020 and 2019;</w:t>
      </w:r>
    </w:p>
    <w:p>
      <w:pPr>
        <w:spacing w:after="0" w:line="86" w:lineRule="exact"/>
        <w:rPr>
          <w:rFonts w:ascii="Arial" w:cs="Arial" w:eastAsia="Arial" w:hAnsi="Arial"/>
          <w:sz w:val="16"/>
          <w:szCs w:val="16"/>
          <w:color w:val="auto"/>
        </w:rPr>
      </w:pPr>
    </w:p>
    <w:p>
      <w:pPr>
        <w:ind w:left="1240" w:hanging="312"/>
        <w:spacing w:after="0"/>
        <w:tabs>
          <w:tab w:leader="none" w:pos="1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March 31, 2020 and 2019; and</w:t>
      </w:r>
    </w:p>
    <w:p>
      <w:pPr>
        <w:spacing w:after="0" w:line="63" w:lineRule="exact"/>
        <w:rPr>
          <w:rFonts w:ascii="Arial" w:cs="Arial" w:eastAsia="Arial" w:hAnsi="Arial"/>
          <w:sz w:val="18"/>
          <w:szCs w:val="18"/>
          <w:color w:val="auto"/>
        </w:rPr>
      </w:pPr>
    </w:p>
    <w:p>
      <w:pPr>
        <w:ind w:left="920" w:firstLine="8"/>
        <w:spacing w:after="0" w:line="277" w:lineRule="auto"/>
        <w:tabs>
          <w:tab w:leader="none" w:pos="12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390" w:lineRule="exact"/>
        <w:rPr>
          <w:rFonts w:ascii="Arial" w:cs="Arial" w:eastAsia="Arial" w:hAnsi="Arial"/>
          <w:sz w:val="18"/>
          <w:szCs w:val="18"/>
          <w:color w:val="auto"/>
        </w:rPr>
      </w:pPr>
    </w:p>
    <w:p>
      <w:pPr>
        <w:ind w:left="280" w:hanging="277"/>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280" w:hanging="277"/>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73" w:lineRule="exact"/>
        <w:rPr>
          <w:sz w:val="20"/>
          <w:szCs w:val="20"/>
          <w:color w:val="auto"/>
        </w:rPr>
      </w:pPr>
    </w:p>
    <w:p>
      <w:pPr>
        <w:ind w:left="280" w:right="200" w:hanging="277"/>
        <w:spacing w:after="0" w:line="305" w:lineRule="auto"/>
        <w:tabs>
          <w:tab w:leader="none" w:pos="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660" w:top="1057" w:right="49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May 6, 2020</w:t>
      </w:r>
    </w:p>
    <w:p>
      <w:pPr>
        <w:spacing w:after="0" w:line="30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-10160</wp:posOffset>
            </wp:positionV>
            <wp:extent cx="14376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1437640" cy="8890"/>
                    </a:xfrm>
                    <a:prstGeom prst="rect">
                      <a:avLst/>
                    </a:prstGeom>
                    <a:noFill/>
                  </pic:spPr>
                </pic:pic>
              </a:graphicData>
            </a:graphic>
          </wp:anchor>
        </w:drawing>
      </w:r>
    </w:p>
    <w:p>
      <w:pPr>
        <w:spacing w:after="0" w:line="4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06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2014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Based)</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THIS RESTRICTED STOCK UNIT AWARD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(the “</w:t>
      </w:r>
      <w:r>
        <w:rPr>
          <w:rFonts w:ascii="Arial" w:cs="Arial" w:eastAsia="Arial" w:hAnsi="Arial"/>
          <w:sz w:val="18"/>
          <w:szCs w:val="18"/>
          <w:u w:val="single" w:color="auto"/>
          <w:color w:val="auto"/>
        </w:rPr>
        <w:t>Grant Date</w:t>
      </w:r>
      <w:r>
        <w:rPr>
          <w:rFonts w:ascii="Arial" w:cs="Arial" w:eastAsia="Arial" w:hAnsi="Arial"/>
          <w:sz w:val="18"/>
          <w:szCs w:val="18"/>
          <w:color w:val="auto"/>
        </w:rPr>
        <w:t>”), is made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NMI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adopted the NMI Holdings, Inc. Amended and Restated 2014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and</w:t>
      </w:r>
    </w:p>
    <w:p>
      <w:pPr>
        <w:spacing w:after="0" w:line="24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would be in the best interests of the Company and its stockholders to grant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with respect to a number of shares of the Company’s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on the terms and subject to the conditions set forth in this Agreement and the Plan.</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and the covenants of the parties contained in this Agreement,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2600" w:hanging="648"/>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 Award</w:t>
      </w:r>
      <w:r>
        <w:rPr>
          <w:rFonts w:ascii="Arial" w:cs="Arial" w:eastAsia="Arial" w:hAnsi="Arial"/>
          <w:sz w:val="18"/>
          <w:szCs w:val="18"/>
          <w:color w:val="auto"/>
        </w:rPr>
        <w:t>.</w:t>
      </w:r>
    </w:p>
    <w:p>
      <w:pPr>
        <w:spacing w:after="0" w:line="252" w:lineRule="exact"/>
        <w:rPr>
          <w:sz w:val="20"/>
          <w:szCs w:val="20"/>
          <w:color w:val="auto"/>
        </w:rPr>
      </w:pPr>
    </w:p>
    <w:p>
      <w:pPr>
        <w:ind w:firstLine="1952"/>
        <w:spacing w:after="0" w:line="258" w:lineRule="auto"/>
        <w:tabs>
          <w:tab w:leader="none" w:pos="258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Participant an award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with respect to [●] Shares (the “</w:t>
      </w:r>
      <w:r>
        <w:rPr>
          <w:rFonts w:ascii="Arial" w:cs="Arial" w:eastAsia="Arial" w:hAnsi="Arial"/>
          <w:sz w:val="18"/>
          <w:szCs w:val="18"/>
          <w:u w:val="single" w:color="auto"/>
          <w:color w:val="auto"/>
        </w:rPr>
        <w:t>Target RSUs</w:t>
      </w:r>
      <w:r>
        <w:rPr>
          <w:rFonts w:ascii="Arial" w:cs="Arial" w:eastAsia="Arial" w:hAnsi="Arial"/>
          <w:sz w:val="18"/>
          <w:szCs w:val="18"/>
          <w:color w:val="auto"/>
        </w:rPr>
        <w:t>”) on the terms and conditions set forth in this Agreement and as otherwise provided in the Plan.</w:t>
      </w:r>
    </w:p>
    <w:p>
      <w:pPr>
        <w:spacing w:after="0" w:line="1" w:lineRule="exact"/>
        <w:rPr>
          <w:rFonts w:ascii="Arial" w:cs="Arial" w:eastAsia="Arial" w:hAnsi="Arial"/>
          <w:sz w:val="18"/>
          <w:szCs w:val="18"/>
          <w:color w:val="auto"/>
        </w:rPr>
      </w:pPr>
    </w:p>
    <w:p>
      <w:pPr>
        <w:jc w:val="both"/>
        <w:ind w:firstLine="1952"/>
        <w:spacing w:after="0" w:line="255" w:lineRule="auto"/>
        <w:tabs>
          <w:tab w:leader="none" w:pos="258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hereof or in the Plan.</w:t>
      </w:r>
    </w:p>
    <w:p>
      <w:pPr>
        <w:spacing w:after="0" w:line="216" w:lineRule="exact"/>
        <w:rPr>
          <w:rFonts w:ascii="Arial" w:cs="Arial" w:eastAsia="Arial" w:hAnsi="Arial"/>
          <w:sz w:val="18"/>
          <w:szCs w:val="18"/>
          <w:color w:val="auto"/>
        </w:rPr>
      </w:pPr>
    </w:p>
    <w:p>
      <w:pPr>
        <w:ind w:left="1960" w:hanging="656"/>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firstLine="1952"/>
        <w:spacing w:after="0" w:line="270" w:lineRule="auto"/>
        <w:tabs>
          <w:tab w:leader="none" w:pos="2589" w:val="left"/>
        </w:tabs>
        <w:numPr>
          <w:ilvl w:val="1"/>
          <w:numId w:val="44"/>
        </w:numPr>
        <w:rPr>
          <w:rFonts w:ascii="Arial" w:cs="Arial" w:eastAsia="Arial" w:hAnsi="Arial"/>
          <w:sz w:val="17"/>
          <w:szCs w:val="17"/>
          <w:color w:val="auto"/>
        </w:rPr>
      </w:pPr>
      <w:r>
        <w:rPr>
          <w:rFonts w:ascii="Arial" w:cs="Arial" w:eastAsia="Arial" w:hAnsi="Arial"/>
          <w:sz w:val="17"/>
          <w:szCs w:val="17"/>
          <w:color w:val="auto"/>
        </w:rPr>
        <w:t>Following the completion of the Performance Period, the Committee (i) shall determine the Company’s BVPS Growth Percentage, (ii) will certify the level of achievement with respect to the BVPS Vesting Percentage and (iii) will determine the portion of Target RSUs granted herein that have vested and become Earned Shares. Upon the Committee’s determination, Participant shall immediately forfeit for no consideration any and all Target RSUs which do not become Earned Shares (the "Unvested Target RSUs"), and Participant’s rights in any such Unvested Target RSUs shall immediately lapse and expire. The date of the Committee’s determination of Earned Shares shall be made in writing no later than the 60th day following the completion of the Performance Period (the date of the Committee’s determination, the “Determination Date”).</w:t>
      </w:r>
    </w:p>
    <w:p>
      <w:pPr>
        <w:spacing w:after="0" w:line="205" w:lineRule="exact"/>
        <w:rPr>
          <w:rFonts w:ascii="Arial" w:cs="Arial" w:eastAsia="Arial" w:hAnsi="Arial"/>
          <w:sz w:val="17"/>
          <w:szCs w:val="17"/>
          <w:color w:val="auto"/>
        </w:rPr>
      </w:pPr>
    </w:p>
    <w:p>
      <w:pPr>
        <w:ind w:left="2200" w:hanging="248"/>
        <w:spacing w:after="0"/>
        <w:tabs>
          <w:tab w:leader="none" w:pos="2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8"/>
          <w:szCs w:val="18"/>
          <w:u w:val="single" w:color="auto"/>
          <w:color w:val="auto"/>
        </w:rPr>
        <w:t>ermination of Employment.</w:t>
      </w:r>
      <w:r>
        <w:rPr>
          <w:rFonts w:ascii="Arial" w:cs="Arial" w:eastAsia="Arial" w:hAnsi="Arial"/>
          <w:sz w:val="18"/>
          <w:szCs w:val="18"/>
          <w:color w:val="auto"/>
        </w:rPr>
        <w:t xml:space="preserve"> Except as provided in this Section 2(b), if Participant incurs a</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Termination of Employment, all unvested RSUs shall be forfeited by Participant without consideration therefor. If Participant incurs a Termination of Employment as a result of a termination by the Company or its Affiliate without Cause, then (i) if such Termination of Employment occurs on or following the completion of the Performance Period, the then outstanding RSUs shall vest in accordance with paragraph (a) above, or (ii) if such Termination occurs prior to the expiration of the Performance Period, (A) the RSUs shall remain outstanding through the last day of the Performance Period, without regard to the Termination of Employment, (B) the number of Target RSUs which become Earned Shares, if any, shall be determined based on the Committee's computation and certification of the BVPS Vesting Percentage as if no Termination of Employment had occurred, and (C) the number of Earned Shares that become vested shall be determined by multiplying (x) the number of Earned Shares by (y) a fraction, the numerator of which is the number of days which elapsed from the commencement of the Performance Period through the date of the Termination of Employment and the denominator of which is 1,095 (the "Vested Earned Shares", with the difference between the Earned Shares and the Vested Earned Shares, the "Unvested Earned Shares"), and any then Unvested Target RSUs and Unvested Earned Shares as of such date shall immediately be forfeited for no consideration, and Participant’s rights in any such Unvested Target RSUs or Unvested Earned Shares shall immediately lapse and expire. If Participant incurs a Termination of Employment due to the Participant’s death or Disability, unvested RSUs shall vest immediately and the number of RSUs which become Earned Shares will be equal to the number of Target RSUs.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313" w:lineRule="exact"/>
        <w:rPr>
          <w:sz w:val="20"/>
          <w:szCs w:val="20"/>
          <w:color w:val="auto"/>
        </w:rPr>
      </w:pPr>
    </w:p>
    <w:p>
      <w:pPr>
        <w:jc w:val="both"/>
        <w:ind w:firstLine="503"/>
        <w:spacing w:after="0" w:line="291" w:lineRule="auto"/>
        <w:tabs>
          <w:tab w:leader="none" w:pos="793"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 of the foregoing, (if a Change in Control occurs (i) on or following the completion of the Performance Period, one hundred percent (100%) of the then-unvested Target RSUs shall vest and become Earned Shares in accordance with the provisions of paragraph</w:t>
      </w:r>
    </w:p>
    <w:p>
      <w:pPr>
        <w:jc w:val="both"/>
        <w:ind w:firstLine="8"/>
        <w:spacing w:after="0" w:line="288"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above, or (ii) prior to the expiration of the Performance Period, then (A) the last day of the calendar quarter prior to date of the Change in Control shall be deemed to be the last day of the Performance Period for purposes of paragraph (a) above, (B) the Committee shall determine that the number of Target RSUs which become Earned Shares shall be equal to the greater of (x) the number of Earned Shares that would result by determining the BVPS Vesting Percentage through such date and (y) the number of Target RSUs, and (C) all Earned Shares shall immediately vest and any other Unvested Target RSUs as of such date shall immediately be forfeited for no consideration, and Participant’s rights in any such Unvested Target RSUs shall lapse and expire. All Earned Shares that become vested pursuant to this paragraph (c) shall be deemed to be vested immediately prior to the Change in Control, such that the Earned Shares will receive the same consideration and treatment in the Change in Control as all other outstanding Shares held by the public.</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Settlement</w:t>
      </w:r>
      <w:r>
        <w:rPr>
          <w:rFonts w:ascii="Arial" w:cs="Arial" w:eastAsia="Arial" w:hAnsi="Arial"/>
          <w:sz w:val="18"/>
          <w:szCs w:val="18"/>
          <w:color w:val="auto"/>
        </w:rPr>
        <w:t>. As soon as practicable after the date that the Committee determines the number of</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Earned Shares to which Participant becomes entitled under Section 2 above (and in any event, no later than 15 business days immediately following such date), the Earned Shares shall be delivered to Participant. Subject to Section 4 (pertaining to the withholding of taxes) and Section 3(d) of the Plan (as applicable), for each RSU settled pursuant to this Section 3, the Company shall issue to Participant the number of Shares that are issuable pursuant to Section 2.</w:t>
      </w:r>
    </w:p>
    <w:p>
      <w:pPr>
        <w:spacing w:after="0" w:line="220" w:lineRule="exact"/>
        <w:rPr>
          <w:sz w:val="20"/>
          <w:szCs w:val="20"/>
          <w:color w:val="auto"/>
        </w:rPr>
      </w:pPr>
    </w:p>
    <w:p>
      <w:pPr>
        <w:jc w:val="both"/>
        <w:ind w:firstLine="556"/>
        <w:spacing w:after="0" w:line="287" w:lineRule="auto"/>
        <w:tabs>
          <w:tab w:leader="none" w:pos="805" w:val="left"/>
        </w:tabs>
        <w:numPr>
          <w:ilvl w:val="3"/>
          <w:numId w:val="4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As a condition to delivery of the Shares in respect of vested RSUs, Section 15(d) of the Plan requires Participant to make provisions satisfactory to the Company for payment of, any federal, state or local taxes and other statutory obligations (including, but not limited to, Participant’s FICA and SDI obligations) in respect of the transfer of Shares in settlement of the RSUs. The Company shall have the power and the right to</w:t>
      </w:r>
    </w:p>
    <w:p>
      <w:pPr>
        <w:spacing w:after="0" w:line="2" w:lineRule="exact"/>
        <w:rPr>
          <w:rFonts w:ascii="Arial" w:cs="Arial" w:eastAsia="Arial" w:hAnsi="Arial"/>
          <w:sz w:val="16"/>
          <w:szCs w:val="16"/>
          <w:color w:val="auto"/>
        </w:rPr>
      </w:pPr>
    </w:p>
    <w:p>
      <w:pPr>
        <w:jc w:val="both"/>
        <w:ind w:firstLine="8"/>
        <w:spacing w:after="0" w:line="252" w:lineRule="auto"/>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deduct or withhold from all amounts payable or Shares issuable to Participant pursuant to the RSUs or otherwise, or (ii) require Participant to remit to the Company, an amount sufficient to satisfy any applicable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The Company may permit or require any such statutorily required minimum withholding obligation with regard to Participant to be satisfied by reducing the number of Shares otherwise deliverable to Participant hereunder, subject in all instances to the exemption requirements of Section 16(b).</w:t>
      </w:r>
    </w:p>
    <w:p>
      <w:pPr>
        <w:spacing w:after="0" w:line="219" w:lineRule="exact"/>
        <w:rPr>
          <w:rFonts w:ascii="Arial" w:cs="Arial" w:eastAsia="Arial" w:hAnsi="Arial"/>
          <w:sz w:val="18"/>
          <w:szCs w:val="18"/>
          <w:color w:val="auto"/>
        </w:rPr>
      </w:pPr>
    </w:p>
    <w:p>
      <w:pPr>
        <w:jc w:val="both"/>
        <w:ind w:firstLine="595"/>
        <w:spacing w:after="0" w:line="263" w:lineRule="auto"/>
        <w:tabs>
          <w:tab w:leader="none" w:pos="787" w:val="left"/>
        </w:tabs>
        <w:numPr>
          <w:ilvl w:val="4"/>
          <w:numId w:val="4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Subject to 2(c),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210" w:lineRule="exact"/>
        <w:rPr>
          <w:rFonts w:ascii="Arial" w:cs="Arial" w:eastAsia="Arial" w:hAnsi="Arial"/>
          <w:sz w:val="18"/>
          <w:szCs w:val="18"/>
          <w:color w:val="auto"/>
        </w:rPr>
      </w:pPr>
    </w:p>
    <w:p>
      <w:pPr>
        <w:jc w:val="both"/>
        <w:ind w:firstLine="413"/>
        <w:spacing w:after="0" w:line="279" w:lineRule="auto"/>
        <w:tabs>
          <w:tab w:leader="none" w:pos="585"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w:t>
      </w:r>
    </w:p>
    <w:p>
      <w:pPr>
        <w:spacing w:after="0" w:line="198" w:lineRule="exact"/>
        <w:rPr>
          <w:rFonts w:ascii="Arial" w:cs="Arial" w:eastAsia="Arial" w:hAnsi="Arial"/>
          <w:sz w:val="17"/>
          <w:szCs w:val="17"/>
          <w:color w:val="auto"/>
        </w:rPr>
      </w:pPr>
    </w:p>
    <w:p>
      <w:pPr>
        <w:ind w:firstLine="449"/>
        <w:spacing w:after="0" w:line="277" w:lineRule="auto"/>
        <w:tabs>
          <w:tab w:leader="none" w:pos="625"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Upon any event described in Section 3(d) of the Plan occurring after the Grant Date, the adjustment provisions as provided for under Section 3(d) of the Plan shall apply to the RSUs, to the extent applicable thereunder.</w:t>
      </w:r>
    </w:p>
    <w:p>
      <w:pPr>
        <w:spacing w:after="0" w:line="197" w:lineRule="exact"/>
        <w:rPr>
          <w:sz w:val="20"/>
          <w:szCs w:val="20"/>
          <w:color w:val="auto"/>
        </w:rPr>
      </w:pPr>
    </w:p>
    <w:p>
      <w:pPr>
        <w:ind w:left="600" w:hanging="187"/>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581"/>
        <w:spacing w:after="0" w:line="259" w:lineRule="auto"/>
        <w:tabs>
          <w:tab w:leader="none" w:pos="829"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Confidentiality of this Agreement</w:t>
      </w:r>
      <w:r>
        <w:rPr>
          <w:rFonts w:ascii="Arial" w:cs="Arial" w:eastAsia="Arial" w:hAnsi="Arial"/>
          <w:sz w:val="18"/>
          <w:szCs w:val="18"/>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spouse or domestic partner, attorneys or accountants for purposes of obtaining legal or tax advice or as otherwise required by law to be disclosed.</w:t>
      </w:r>
    </w:p>
    <w:p>
      <w:pPr>
        <w:spacing w:after="0" w:line="213" w:lineRule="exact"/>
        <w:rPr>
          <w:rFonts w:ascii="Arial" w:cs="Arial" w:eastAsia="Arial" w:hAnsi="Arial"/>
          <w:sz w:val="18"/>
          <w:szCs w:val="18"/>
          <w:color w:val="auto"/>
        </w:rPr>
      </w:pPr>
    </w:p>
    <w:p>
      <w:pPr>
        <w:jc w:val="both"/>
        <w:ind w:firstLine="458"/>
        <w:spacing w:after="0" w:line="301" w:lineRule="auto"/>
        <w:tabs>
          <w:tab w:leader="none" w:pos="70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Waiver and Amendment</w:t>
      </w:r>
      <w:r>
        <w:rPr>
          <w:rFonts w:ascii="Arial" w:cs="Arial" w:eastAsia="Arial" w:hAnsi="Arial"/>
          <w:sz w:val="16"/>
          <w:szCs w:val="16"/>
          <w:color w:val="auto"/>
        </w:rPr>
        <w:t xml:space="preserve">. The Committee may waive any conditions or rights under, or amend any terms of, this Agreement and the RSUs granted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waiver or amendment that would materially impair the rights of any Participant or any holder or beneficiary of any RSUs or Earned Shares granted hereunder shall not to that extent be effective without the consent of Participant. No waiver of any right hereunder by any party shall operate as a waiver of any other right, or as a waiver of the same right with respect to any subsequent occasion for its exercise,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7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3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as a waiver of any right to damages. No waiver by any party of any breach of this Agreement shall be held to constitute a waiver of any other breach or a waiver of the continuation of the same breach.</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Unsecured Obligation</w:t>
      </w:r>
      <w:r>
        <w:rPr>
          <w:rFonts w:ascii="Arial" w:cs="Arial" w:eastAsia="Arial" w:hAnsi="Arial"/>
          <w:sz w:val="18"/>
          <w:szCs w:val="18"/>
          <w:color w:val="auto"/>
        </w:rPr>
        <w:t>. This Award is unfunded, and even as to any RSUs which vest,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17" w:lineRule="exact"/>
        <w:rPr>
          <w:sz w:val="20"/>
          <w:szCs w:val="20"/>
          <w:color w:val="auto"/>
        </w:rPr>
      </w:pPr>
    </w:p>
    <w:p>
      <w:pPr>
        <w:ind w:right="20" w:firstLine="495"/>
        <w:spacing w:after="0" w:line="277" w:lineRule="auto"/>
        <w:tabs>
          <w:tab w:leader="none" w:pos="74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NMI Holdings, Inc.</w:t>
      </w:r>
    </w:p>
    <w:p>
      <w:pPr>
        <w:ind w:left="1960"/>
        <w:spacing w:after="0" w:line="218" w:lineRule="auto"/>
        <w:rPr>
          <w:sz w:val="20"/>
          <w:szCs w:val="20"/>
          <w:color w:val="auto"/>
        </w:rPr>
      </w:pPr>
      <w:r>
        <w:rPr>
          <w:rFonts w:ascii="Arial" w:cs="Arial" w:eastAsia="Arial" w:hAnsi="Arial"/>
          <w:sz w:val="18"/>
          <w:szCs w:val="18"/>
          <w:color w:val="auto"/>
        </w:rPr>
        <w:t>2100 Powell Street,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Emeryville, CA 94608</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Participant: at the address last on the records of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84" w:lineRule="exact"/>
        <w:rPr>
          <w:sz w:val="20"/>
          <w:szCs w:val="20"/>
          <w:color w:val="auto"/>
        </w:rPr>
      </w:pPr>
    </w:p>
    <w:p>
      <w:pPr>
        <w:ind w:firstLine="593"/>
        <w:spacing w:after="0" w:line="308" w:lineRule="auto"/>
        <w:tabs>
          <w:tab w:leader="none" w:pos="843"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3" w:lineRule="exact"/>
        <w:rPr>
          <w:rFonts w:ascii="Arial" w:cs="Arial" w:eastAsia="Arial" w:hAnsi="Arial"/>
          <w:sz w:val="17"/>
          <w:szCs w:val="17"/>
          <w:color w:val="auto"/>
        </w:rPr>
      </w:pPr>
    </w:p>
    <w:p>
      <w:pPr>
        <w:jc w:val="both"/>
        <w:ind w:firstLine="482"/>
        <w:spacing w:after="0" w:line="286" w:lineRule="auto"/>
        <w:tabs>
          <w:tab w:leader="none" w:pos="70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92" w:lineRule="exact"/>
        <w:rPr>
          <w:rFonts w:ascii="Arial" w:cs="Arial" w:eastAsia="Arial" w:hAnsi="Arial"/>
          <w:sz w:val="17"/>
          <w:szCs w:val="17"/>
          <w:color w:val="auto"/>
        </w:rPr>
      </w:pPr>
    </w:p>
    <w:p>
      <w:pPr>
        <w:jc w:val="both"/>
        <w:ind w:firstLine="507"/>
        <w:spacing w:after="0" w:line="275" w:lineRule="auto"/>
        <w:tabs>
          <w:tab w:leader="none" w:pos="759"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203" w:lineRule="exact"/>
        <w:rPr>
          <w:rFonts w:ascii="Arial" w:cs="Arial" w:eastAsia="Arial" w:hAnsi="Arial"/>
          <w:sz w:val="17"/>
          <w:szCs w:val="17"/>
          <w:color w:val="auto"/>
        </w:rPr>
      </w:pPr>
    </w:p>
    <w:p>
      <w:pPr>
        <w:ind w:firstLine="630"/>
        <w:spacing w:after="0" w:line="277" w:lineRule="auto"/>
        <w:tabs>
          <w:tab w:leader="none" w:pos="894" w:val="left"/>
        </w:tabs>
        <w:numPr>
          <w:ilvl w:val="3"/>
          <w:numId w:val="5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197" w:lineRule="exact"/>
        <w:rPr>
          <w:sz w:val="20"/>
          <w:szCs w:val="20"/>
          <w:color w:val="auto"/>
        </w:rPr>
      </w:pPr>
    </w:p>
    <w:p>
      <w:pPr>
        <w:ind w:firstLine="519"/>
        <w:spacing w:after="0" w:line="277" w:lineRule="auto"/>
        <w:tabs>
          <w:tab w:leader="none" w:pos="7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97" w:lineRule="exact"/>
        <w:rPr>
          <w:rFonts w:ascii="Arial" w:cs="Arial" w:eastAsia="Arial" w:hAnsi="Arial"/>
          <w:sz w:val="18"/>
          <w:szCs w:val="18"/>
          <w:color w:val="auto"/>
        </w:rPr>
      </w:pPr>
    </w:p>
    <w:p>
      <w:pPr>
        <w:ind w:firstLine="519"/>
        <w:spacing w:after="0" w:line="277" w:lineRule="auto"/>
        <w:tabs>
          <w:tab w:leader="none" w:pos="7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Bound by the Plan</w:t>
      </w:r>
      <w:r>
        <w:rPr>
          <w:rFonts w:ascii="Arial" w:cs="Arial" w:eastAsia="Arial" w:hAnsi="Arial"/>
          <w:sz w:val="18"/>
          <w:szCs w:val="18"/>
          <w:color w:val="auto"/>
        </w:rPr>
        <w:t>. By signing this Agreement, Participant acknowledges receipt of a copy of the Plan and has had an opportunity to review the Plan and agrees to be bound by all the terms and provisions of the Plan.</w:t>
      </w:r>
    </w:p>
    <w:p>
      <w:pPr>
        <w:spacing w:after="0" w:line="197" w:lineRule="exact"/>
        <w:rPr>
          <w:rFonts w:ascii="Arial" w:cs="Arial" w:eastAsia="Arial" w:hAnsi="Arial"/>
          <w:sz w:val="18"/>
          <w:szCs w:val="18"/>
          <w:color w:val="auto"/>
        </w:rPr>
      </w:pPr>
    </w:p>
    <w:p>
      <w:pPr>
        <w:jc w:val="both"/>
        <w:ind w:firstLine="593"/>
        <w:spacing w:after="0" w:line="286" w:lineRule="auto"/>
        <w:tabs>
          <w:tab w:leader="none" w:pos="853"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7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313" w:lineRule="exact"/>
        <w:rPr>
          <w:sz w:val="20"/>
          <w:szCs w:val="20"/>
          <w:color w:val="auto"/>
        </w:rPr>
      </w:pPr>
    </w:p>
    <w:p>
      <w:pPr>
        <w:jc w:val="both"/>
        <w:ind w:firstLine="507"/>
        <w:spacing w:after="0" w:line="263" w:lineRule="auto"/>
        <w:tabs>
          <w:tab w:leader="none" w:pos="71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10" w:lineRule="exact"/>
        <w:rPr>
          <w:rFonts w:ascii="Arial" w:cs="Arial" w:eastAsia="Arial" w:hAnsi="Arial"/>
          <w:sz w:val="18"/>
          <w:szCs w:val="18"/>
          <w:color w:val="auto"/>
        </w:rPr>
      </w:pPr>
    </w:p>
    <w:p>
      <w:pPr>
        <w:ind w:right="20" w:firstLine="740"/>
        <w:spacing w:after="0" w:line="277" w:lineRule="auto"/>
        <w:tabs>
          <w:tab w:leader="none" w:pos="1065" w:val="left"/>
        </w:tabs>
        <w:numPr>
          <w:ilvl w:val="4"/>
          <w:numId w:val="5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97" w:lineRule="exact"/>
        <w:rPr>
          <w:rFonts w:ascii="Arial" w:cs="Arial" w:eastAsia="Arial" w:hAnsi="Arial"/>
          <w:sz w:val="18"/>
          <w:szCs w:val="18"/>
          <w:color w:val="auto"/>
        </w:rPr>
      </w:pPr>
    </w:p>
    <w:p>
      <w:pPr>
        <w:ind w:firstLine="617"/>
        <w:spacing w:after="0" w:line="277" w:lineRule="auto"/>
        <w:tabs>
          <w:tab w:leader="none" w:pos="880" w:val="left"/>
        </w:tabs>
        <w:numPr>
          <w:ilvl w:val="3"/>
          <w:numId w:val="54"/>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97" w:lineRule="exact"/>
        <w:rPr>
          <w:rFonts w:ascii="Arial" w:cs="Arial" w:eastAsia="Arial" w:hAnsi="Arial"/>
          <w:sz w:val="18"/>
          <w:szCs w:val="18"/>
          <w:color w:val="auto"/>
        </w:rPr>
      </w:pPr>
    </w:p>
    <w:p>
      <w:pPr>
        <w:jc w:val="both"/>
        <w:ind w:firstLine="583"/>
        <w:spacing w:after="0" w:line="296" w:lineRule="auto"/>
        <w:tabs>
          <w:tab w:leader="none" w:pos="774"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The grant of the RSUs and the delivery of Shares in respect thereof, and any other obligations of the Company under this Agreement shall be subject to all applicable federal and state laws, rules and regulations and to such approvals by any regulatory or governmental agency as may be required. Subject to Section 8(k)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88" w:lineRule="exact"/>
        <w:rPr>
          <w:rFonts w:ascii="Arial" w:cs="Arial" w:eastAsia="Arial" w:hAnsi="Arial"/>
          <w:sz w:val="16"/>
          <w:szCs w:val="16"/>
          <w:color w:val="auto"/>
        </w:rPr>
      </w:pPr>
    </w:p>
    <w:p>
      <w:pPr>
        <w:ind w:left="680" w:hanging="267"/>
        <w:spacing w:after="0"/>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The grant of RSUs is subject to any incentive compensation recoupment policy established from time to time by the Company.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7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30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By electronically acknowledging and accepting this award of Restricted Stock Units following the date of the Company’s electronic notification to the Participant, the Participant accepts the award of the Restricted Stock Units described in this Agreement, and agrees that all decisions and determinations of the Committee with respect to the Restricted Sock Units shall be final and binding.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Restricted Stock Unit Award Agreement (Performance Based)]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7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CERTAIN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Agreement, the following terms have the following meanings: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“Adjusted Book Value” means, for any year, (i) the consolidated stockholder’s equity of the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Company computed in accordance with GAAP, as reflected in the Company’s financial statements, adjusted to exclude the impact of (i) accumulated other comprehensive income (loss); (ii) the cumulative effect of cash dividends paid on the Company’s Common Stock during the Performance Period, (iii) the cumulative effect of the repurchase of the Company’s Common Stock during the performance period, (iv) the cumulative effect of changes in the fair value of the warrant liability to the extent such warrants are not exercised, (v) the cumulative effect of changes in accounting principles under GAAP, and (vi) the cumulative effect of changes in tax law.</w:t>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“BVPS” means, for any year, Adjusted Book Value divided by Common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 “BVPS Growth Percentage” means, for the Performance Period, the compounded annual</w:t>
      </w:r>
    </w:p>
    <w:p>
      <w:pPr>
        <w:spacing w:after="0" w:line="2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growth rate in BVPS measured at the end of the Performance Period over the BVPS measured as of December 31 of the year immediately preceding the beginning of the Performance Period.</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 “BVPS Vesting Percentage” means a function of the BVPS Growth Percentage achieved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during the Performance Period, rounded to the nearest tenth of a percent (0.1%), and shall be determined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BVPS Growth Percentage</w:t>
            </w:r>
          </w:p>
        </w:tc>
        <w:tc>
          <w:tcPr>
            <w:tcW w:w="2960" w:type="dxa"/>
            <w:vAlign w:val="bottom"/>
          </w:tcPr>
          <w:p>
            <w:pPr>
              <w:spacing w:after="0"/>
              <w:rPr>
                <w:sz w:val="18"/>
                <w:szCs w:val="18"/>
                <w:color w:val="auto"/>
              </w:rPr>
            </w:pPr>
          </w:p>
        </w:tc>
      </w:tr>
      <w:tr>
        <w:trPr>
          <w:trHeight w:val="216"/>
        </w:trPr>
        <w:tc>
          <w:tcPr>
            <w:tcW w:w="4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(rounded to the nearest</w:t>
            </w:r>
          </w:p>
        </w:tc>
        <w:tc>
          <w:tcPr>
            <w:tcW w:w="2960" w:type="dxa"/>
            <w:vAlign w:val="bottom"/>
          </w:tcPr>
          <w:p>
            <w:pPr>
              <w:spacing w:after="0"/>
              <w:rPr>
                <w:sz w:val="18"/>
                <w:szCs w:val="18"/>
                <w:color w:val="auto"/>
              </w:rPr>
            </w:pPr>
          </w:p>
        </w:tc>
      </w:tr>
      <w:tr>
        <w:trPr>
          <w:trHeight w:val="234"/>
        </w:trPr>
        <w:tc>
          <w:tcPr>
            <w:tcW w:w="4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tenth of a percent)</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BVPS Vesting Percentage*</w:t>
            </w:r>
          </w:p>
        </w:tc>
      </w:tr>
      <w:tr>
        <w:trPr>
          <w:trHeight w:val="27"/>
        </w:trPr>
        <w:tc>
          <w:tcPr>
            <w:tcW w:w="4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rPr>
              <w:t>[XX%]</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[XX%]</w:t>
            </w:r>
          </w:p>
        </w:tc>
      </w:tr>
      <w:tr>
        <w:trPr>
          <w:trHeight w:val="243"/>
        </w:trPr>
        <w:tc>
          <w:tcPr>
            <w:tcW w:w="4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[XX%]</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rPr>
              <w:t>[XX%]</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rPr>
              <w:t>[XX%]</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[XX%]</w:t>
            </w:r>
          </w:p>
        </w:tc>
      </w:tr>
      <w:tr>
        <w:trPr>
          <w:trHeight w:val="243"/>
        </w:trPr>
        <w:tc>
          <w:tcPr>
            <w:tcW w:w="4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[XX%]</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rPr>
              <w:t>[XX%]</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340" w:right="360" w:hanging="332"/>
        <w:spacing w:after="0" w:line="255" w:lineRule="auto"/>
        <w:tabs>
          <w:tab w:leader="none" w:pos="1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the BVPS Growth Percentage falls between the performance levels shown above, the BVPS Vesting Percentage shall be determined using a straight-line linear interpolation between the respective levels shown.</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 “Common Shares Outstanding” means, the total number of basic shares of Company</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Common Stock outstanding, as of December 31 of the year for which BVPS is being calculated, excluding any shares of Company Common Stock issued in excess of target upon the vesting of performance based RSUs for Performance Periods beginning on or after December 21, 2019.</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 “Earned Shares” means (i) the number of Target RSUs granted herein, multiplied by (ii)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BVPS Vesting Percentage.</w:t>
      </w:r>
    </w:p>
    <w:p>
      <w:pPr>
        <w:spacing w:after="0" w:line="238" w:lineRule="exact"/>
        <w:rPr>
          <w:sz w:val="20"/>
          <w:szCs w:val="20"/>
          <w:color w:val="auto"/>
        </w:rPr>
      </w:pPr>
    </w:p>
    <w:p>
      <w:pPr>
        <w:ind w:left="460"/>
        <w:spacing w:after="0"/>
        <w:tabs>
          <w:tab w:leader="none" w:pos="5540" w:val="left"/>
          <w:tab w:leader="none" w:pos="7400" w:val="left"/>
        </w:tabs>
        <w:rPr>
          <w:sz w:val="20"/>
          <w:szCs w:val="20"/>
          <w:color w:val="auto"/>
        </w:rPr>
      </w:pPr>
      <w:r>
        <w:rPr>
          <w:rFonts w:ascii="Arial" w:cs="Arial" w:eastAsia="Arial" w:hAnsi="Arial"/>
          <w:sz w:val="18"/>
          <w:szCs w:val="18"/>
          <w:color w:val="auto"/>
        </w:rPr>
        <w:t>(g) “Performance Period” means the period commencing on [</w:t>
      </w:r>
      <w:r>
        <w:rPr>
          <w:sz w:val="20"/>
          <w:szCs w:val="20"/>
          <w:color w:val="auto"/>
        </w:rPr>
        <w:tab/>
      </w:r>
      <w:r>
        <w:rPr>
          <w:rFonts w:ascii="Arial" w:cs="Arial" w:eastAsia="Arial" w:hAnsi="Arial"/>
          <w:sz w:val="18"/>
          <w:szCs w:val="18"/>
          <w:color w:val="auto"/>
        </w:rPr>
        <w:t>] and ending on [</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7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40"/>
        <w:spacing w:after="0"/>
        <w:tabs>
          <w:tab w:leader="none" w:pos="4760" w:val="left"/>
        </w:tabs>
        <w:rPr>
          <w:sz w:val="20"/>
          <w:szCs w:val="20"/>
          <w:color w:val="auto"/>
        </w:rPr>
      </w:pPr>
      <w:r>
        <w:rPr>
          <w:rFonts w:ascii="Arial" w:cs="Arial" w:eastAsia="Arial" w:hAnsi="Arial"/>
          <w:sz w:val="18"/>
          <w:szCs w:val="18"/>
          <w:u w:val="single" w:color="auto"/>
          <w:color w:val="auto"/>
        </w:rPr>
        <w:t>May 6, 2020</w:t>
      </w:r>
      <w:r>
        <w:rPr>
          <w:sz w:val="20"/>
          <w:szCs w:val="20"/>
          <w:color w:val="auto"/>
        </w:rPr>
        <w:tab/>
      </w:r>
      <w:r>
        <w:rPr>
          <w:rFonts w:ascii="Arial" w:cs="Arial" w:eastAsia="Arial" w:hAnsi="Arial"/>
          <w:sz w:val="16"/>
          <w:szCs w:val="16"/>
          <w:color w:val="auto"/>
        </w:rPr>
        <w:t>/s/ Claudia J. Merkle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-10160</wp:posOffset>
            </wp:positionV>
            <wp:extent cx="17805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7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3" w:lineRule="auto"/>
        <w:tabs>
          <w:tab w:leader="none" w:pos="8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20" w:hanging="326"/>
        <w:spacing w:after="0" w:line="308" w:lineRule="auto"/>
        <w:tabs>
          <w:tab w:leader="none" w:pos="811"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3" w:lineRule="auto"/>
        <w:tabs>
          <w:tab w:leader="none" w:pos="8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6, 2020</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-10160</wp:posOffset>
            </wp:positionV>
            <wp:extent cx="18313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1831340"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7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2020,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6, 2020</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Claudia Merkle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6, 2020</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1"/>
    </w:lvl>
  </w:abstractNum>
  <w:abstractNum w:abstractNumId="11">
    <w:nsid w:val="5577F8E1"/>
    <w:multiLevelType w:val="hybridMultilevel"/>
    <w:lvl w:ilvl="0">
      <w:lvlJc w:val="left"/>
      <w:lvlText w:val="(%1)"/>
      <w:numFmt w:val="lowerRoman"/>
      <w:start w:val="1"/>
    </w:lvl>
  </w:abstractNum>
  <w:abstractNum w:abstractNumId="12">
    <w:nsid w:val="440BADFC"/>
    <w:multiLevelType w:val="hybridMultilevel"/>
    <w:lvl w:ilvl="0">
      <w:lvlJc w:val="left"/>
      <w:lvlText w:val="(%1)"/>
      <w:numFmt w:val="lowerRoman"/>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Roman"/>
      <w:start w:val="3"/>
    </w:lvl>
  </w:abstractNum>
  <w:abstractNum w:abstractNumId="25">
    <w:nsid w:val="70A64E2A"/>
    <w:multiLevelType w:val="hybridMultilevel"/>
    <w:lvl w:ilvl="0">
      <w:lvlJc w:val="left"/>
      <w:lvlText w:val="(%1)"/>
      <w:numFmt w:val="lowerRoman"/>
      <w:start w:val="5"/>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23"/>
    </w:lvl>
  </w:abstractNum>
  <w:abstractNum w:abstractNumId="28">
    <w:nsid w:val="1D4ED43B"/>
    <w:multiLevelType w:val="hybridMultilevel"/>
    <w:lvl w:ilvl="0">
      <w:lvlJc w:val="left"/>
      <w:lvlText w:val="%1"/>
      <w:numFmt w:val="decimal"/>
      <w:start w:val="19"/>
    </w:lvl>
  </w:abstractNum>
  <w:abstractNum w:abstractNumId="29">
    <w:nsid w:val="725A06FB"/>
    <w:multiLevelType w:val="hybridMultilevel"/>
    <w:lvl w:ilvl="0">
      <w:lvlJc w:val="left"/>
      <w:lvlText w:val="%1"/>
      <w:numFmt w:val="decimal"/>
      <w:start w:val="46"/>
    </w:lvl>
  </w:abstractNum>
  <w:abstractNum w:abstractNumId="30">
    <w:nsid w:val="2CD89A32"/>
    <w:multiLevelType w:val="hybridMultilevel"/>
    <w:lvl w:ilvl="0">
      <w:lvlJc w:val="left"/>
      <w:lvlText w:val="%1"/>
      <w:numFmt w:val="decimal"/>
      <w:start w:val="12"/>
    </w:lvl>
  </w:abstractNum>
  <w:abstractNum w:abstractNumId="31">
    <w:nsid w:val="57E4CCAF"/>
    <w:multiLevelType w:val="hybridMultilevel"/>
    <w:lvl w:ilvl="0">
      <w:lvlJc w:val="left"/>
      <w:lvlText w:val="%1"/>
      <w:numFmt w:val="decimal"/>
      <w:start w:val="20"/>
    </w:lvl>
  </w:abstractNum>
  <w:abstractNum w:abstractNumId="32">
    <w:nsid w:val="7A6D8D3C"/>
    <w:multiLevelType w:val="hybridMultilevel"/>
    <w:lvl w:ilvl="0">
      <w:lvlJc w:val="left"/>
      <w:lvlText w:val="%1"/>
      <w:numFmt w:val="decimal"/>
      <w:start w:val="19"/>
    </w:lvl>
  </w:abstractNum>
  <w:abstractNum w:abstractNumId="33">
    <w:nsid w:val="4B588F54"/>
    <w:multiLevelType w:val="hybridMultilevel"/>
    <w:lvl w:ilvl="0">
      <w:lvlJc w:val="left"/>
      <w:lvlText w:val="%1"/>
      <w:numFmt w:val="decimal"/>
      <w:start w:val="47"/>
    </w:lvl>
  </w:abstractNum>
  <w:abstractNum w:abstractNumId="34">
    <w:nsid w:val="542289EC"/>
    <w:multiLevelType w:val="hybridMultilevel"/>
    <w:lvl w:ilvl="0">
      <w:lvlJc w:val="left"/>
      <w:lvlText w:val="%1"/>
      <w:numFmt w:val="decimal"/>
      <w:start w:val="14"/>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lvl w:ilvl="1">
      <w:lvlJc w:val="left"/>
      <w:lvlText w:val="(%2)"/>
      <w:numFmt w:val="lowerLetter"/>
      <w:start w:val="1"/>
    </w:lvl>
  </w:abstractNum>
  <w:abstractNum w:abstractNumId="43">
    <w:nsid w:val="1BA026FA"/>
    <w:multiLevelType w:val="hybridMultilevel"/>
    <w:lvl w:ilvl="0">
      <w:lvlJc w:val="left"/>
      <w:lvlText w:val="%1."/>
      <w:numFmt w:val="decimal"/>
      <w:start w:val="2"/>
    </w:lvl>
    <w:lvl w:ilvl="1">
      <w:lvlJc w:val="left"/>
      <w:lvlText w:val="(%2)"/>
      <w:numFmt w:val="lowerLetter"/>
      <w:start w:val="1"/>
    </w:lvl>
  </w:abstractNum>
  <w:abstractNum w:abstractNumId="44">
    <w:nsid w:val="79A1DEAA"/>
    <w:multiLevelType w:val="hybridMultilevel"/>
    <w:lvl w:ilvl="0">
      <w:lvlJc w:val="left"/>
      <w:lvlText w:val="%1"/>
      <w:numFmt w:val="lowerLetter"/>
      <w:start w:val="1"/>
    </w:lvl>
    <w:lvl w:ilvl="1">
      <w:lvlJc w:val="left"/>
      <w:lvlText w:val="(%2)"/>
      <w:numFmt w:val="lowerLetter"/>
      <w:start w:val="3"/>
    </w:lvl>
  </w:abstractNum>
  <w:abstractNum w:abstractNumId="45">
    <w:nsid w:val="75C6C33A"/>
    <w:multiLevelType w:val="hybridMultilevel"/>
    <w:lvl w:ilvl="0">
      <w:lvlJc w:val="left"/>
      <w:lvlText w:val="(%1)"/>
      <w:numFmt w:val="lowerLetter"/>
      <w:start w:val="1"/>
    </w:lvl>
    <w:lvl w:ilvl="1">
      <w:lvlJc w:val="left"/>
      <w:lvlText w:val="%2"/>
      <w:numFmt w:val="lowerLetter"/>
      <w:start w:val="1"/>
    </w:lvl>
  </w:abstractNum>
  <w:abstractNum w:abstractNumId="46">
    <w:nsid w:val="12E685FB"/>
    <w:multiLevelType w:val="hybridMultilevel"/>
    <w:lvl w:ilvl="0">
      <w:lvlJc w:val="left"/>
      <w:lvlText w:val="%1"/>
      <w:numFmt w:val="lowerRoman"/>
      <w:start w:val="1"/>
    </w:lvl>
    <w:lvl w:ilvl="1">
      <w:lvlJc w:val="left"/>
      <w:lvlText w:val="%2"/>
      <w:numFmt w:val="decimal"/>
      <w:start w:val="1"/>
    </w:lvl>
    <w:lvl w:ilvl="2">
      <w:lvlJc w:val="left"/>
      <w:lvlText w:val="%3"/>
      <w:numFmt w:val="decimal"/>
      <w:start w:val="1"/>
    </w:lvl>
    <w:lvl w:ilvl="3">
      <w:lvlJc w:val="left"/>
      <w:lvlText w:val="%4."/>
      <w:numFmt w:val="decimal"/>
      <w:start w:val="4"/>
    </w:lvl>
    <w:lvl w:ilvl="4">
      <w:lvlJc w:val="left"/>
      <w:lvlText w:val="%5"/>
      <w:numFmt w:val="decimal"/>
      <w:start w:val="1"/>
    </w:lvl>
  </w:abstractNum>
  <w:abstractNum w:abstractNumId="47">
    <w:nsid w:val="70C6A529"/>
    <w:multiLevelType w:val="hybridMultilevel"/>
    <w:lvl w:ilvl="0">
      <w:lvlJc w:val="left"/>
      <w:lvlText w:val="(%1)"/>
      <w:numFmt w:val="lowerRoman"/>
      <w:start w:val="1"/>
    </w:lvl>
    <w:lvl w:ilvl="1">
      <w:lvlJc w:val="left"/>
      <w:lvlText w:val="%2."/>
      <w:numFmt w:val="decimal"/>
      <w:start w:val="5"/>
    </w:lvl>
    <w:lvl w:ilvl="2">
      <w:lvlJc w:val="left"/>
      <w:lvlText w:val="%3."/>
      <w:numFmt w:val="decimal"/>
      <w:start w:val="7"/>
    </w:lvl>
    <w:lvl w:ilvl="3">
      <w:lvlJc w:val="left"/>
      <w:lvlText w:val="%4"/>
      <w:numFmt w:val="decimal"/>
      <w:start w:val="1"/>
    </w:lvl>
    <w:lvl w:ilvl="4">
      <w:lvlJc w:val="left"/>
      <w:lvlText w:val="%5."/>
      <w:numFmt w:val="decimal"/>
      <w:start w:val="5"/>
    </w:lvl>
  </w:abstractNum>
  <w:abstractNum w:abstractNumId="48">
    <w:nsid w:val="520EEDD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9">
    <w:nsid w:val="374A3FE6"/>
    <w:multiLevelType w:val="hybridMultilevel"/>
    <w:lvl w:ilvl="0">
      <w:lvlJc w:val="left"/>
      <w:lvlText w:val="(%1)"/>
      <w:numFmt w:val="lowerLetter"/>
      <w:start w:val="4"/>
    </w:lvl>
  </w:abstractNum>
  <w:abstractNum w:abstractNumId="50">
    <w:nsid w:val="4F4EF0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51">
    <w:nsid w:val="23F9C13C"/>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Letter"/>
      <w:start w:val="8"/>
    </w:lvl>
  </w:abstractNum>
  <w:abstractNum w:abstractNumId="52">
    <w:nsid w:val="649BB77C"/>
    <w:multiLevelType w:val="hybridMultilevel"/>
    <w:lvl w:ilvl="0">
      <w:lvlJc w:val="left"/>
      <w:lvlText w:val="(%1)"/>
      <w:numFmt w:val="lowerLetter"/>
      <w:start w:val="9"/>
    </w:lvl>
    <w:lvl w:ilvl="1">
      <w:lvlJc w:val="left"/>
      <w:lvlText w:val="(%2)"/>
      <w:numFmt w:val="lowerLetter"/>
      <w:start w:val="11"/>
    </w:lvl>
  </w:abstractNum>
  <w:abstractNum w:abstractNumId="53">
    <w:nsid w:val="275AC794"/>
    <w:multiLevelType w:val="hybridMultilevel"/>
    <w:lvl w:ilvl="0">
      <w:lvlJc w:val="left"/>
      <w:lvlText w:val="%1"/>
      <w:numFmt w:val="decimal"/>
      <w:start w:val="1"/>
    </w:lvl>
    <w:lvl w:ilvl="1">
      <w:lvlJc w:val="left"/>
      <w:lvlText w:val="(%2)"/>
      <w:numFmt w:val="lowerLetter"/>
      <w:start w:val="12"/>
    </w:lvl>
    <w:lvl w:ilvl="2">
      <w:lvlJc w:val="left"/>
      <w:lvlText w:val="%3."/>
      <w:numFmt w:val="decimal"/>
      <w:start w:val="8"/>
    </w:lvl>
    <w:lvl w:ilvl="3">
      <w:lvlJc w:val="left"/>
      <w:lvlText w:val="(%4)"/>
      <w:numFmt w:val="lowerLetter"/>
      <w:start w:val="13"/>
    </w:lvl>
    <w:lvl w:ilvl="4">
      <w:lvlJc w:val="left"/>
      <w:lvlText w:val="(%5)"/>
      <w:numFmt w:val="lowerLetter"/>
      <w:start w:val="13"/>
    </w:lvl>
  </w:abstractNum>
  <w:abstractNum w:abstractNumId="54">
    <w:nsid w:val="39386575"/>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9" Type="http://schemas.openxmlformats.org/officeDocument/2006/relationships/image" Target="media/image92.png"/><Relationship Id="rId142"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99" Type="http://schemas.openxmlformats.org/officeDocument/2006/relationships/hyperlink" Target="http://www.sec.gov/Archives/edgar/data/1547903/000154790313000020/a21macstockpurchaseagreeme.htm" TargetMode="External"/><Relationship Id="rId100" Type="http://schemas.openxmlformats.org/officeDocument/2006/relationships/hyperlink" Target="http://www.sec.gov/Archives/edgar/data/1547903/000154790313000020/a22amendmenttomacpurhcasea.htm" TargetMode="External"/><Relationship Id="rId101" Type="http://schemas.openxmlformats.org/officeDocument/2006/relationships/hyperlink" Target="http://www.sec.gov/Archives/edgar/data/1547903/000154790313000020/a31secondamendedandrestate.htm" TargetMode="External"/><Relationship Id="rId102" Type="http://schemas.openxmlformats.org/officeDocument/2006/relationships/hyperlink" Target="http://www.sec.gov/Archives/edgar/data/1547903/000154790314000152/exhibit31december92014.htm" TargetMode="External"/><Relationship Id="rId103" Type="http://schemas.openxmlformats.org/officeDocument/2006/relationships/hyperlink" Target="http://www.sec.gov/Archives/edgar/data/1547903/000154790313000020/a41specimenclassacommonsto.htm" TargetMode="External"/><Relationship Id="rId104" Type="http://schemas.openxmlformats.org/officeDocument/2006/relationships/hyperlink" Target="http://www.sec.gov/Archives/edgar/data/1547903/000154790313000020/a42registrationrightsagree.htm" TargetMode="External"/><Relationship Id="rId105" Type="http://schemas.openxmlformats.org/officeDocument/2006/relationships/hyperlink" Target="http://www.sec.gov/Archives/edgar/data/1547903/000154790313000020/a43registrationrightsagree.htm" TargetMode="External"/><Relationship Id="rId106" Type="http://schemas.openxmlformats.org/officeDocument/2006/relationships/hyperlink" Target="http://www.sec.gov/Archives/edgar/data/1547903/000154790313000020/a44registrationrightsagree.htm" TargetMode="External"/><Relationship Id="rId107" Type="http://schemas.openxmlformats.org/officeDocument/2006/relationships/hyperlink" Target="http://www.sec.gov/Archives/edgar/data/1547903/000154790313000020/a45warrantno1fbrcapitalmar.htm" TargetMode="External"/><Relationship Id="rId108" Type="http://schemas.openxmlformats.org/officeDocument/2006/relationships/hyperlink" Target="http://www.sec.gov/Archives/edgar/data/1547903/000154790313000020/a46warrantno2macfinancial4.htm" TargetMode="External"/><Relationship Id="rId109" Type="http://schemas.openxmlformats.org/officeDocument/2006/relationships/hyperlink" Target="http://www.sec.gov/Archives/edgar/data/1547903/000154790313000020/a101nmiholdingsinc2012stoc.htm" TargetMode="External"/><Relationship Id="rId110" Type="http://schemas.openxmlformats.org/officeDocument/2006/relationships/hyperlink" Target="http://www.sec.gov/Archives/edgar/data/1547903/000154790313000020/a103formofnmiholdingsinc20.htm" TargetMode="External"/><Relationship Id="rId111" Type="http://schemas.openxmlformats.org/officeDocument/2006/relationships/hyperlink" Target="http://www.sec.gov/Archives/edgar/data/1547903/000154790313000020/a105formofnonqualifiedstoc.htm" TargetMode="External"/><Relationship Id="rId112" Type="http://schemas.openxmlformats.org/officeDocument/2006/relationships/hyperlink" Target="http://www.sec.gov/Archives/edgar/data/1547903/000154790313000020/a106formofnonqualifiedstoc.htm" TargetMode="External"/><Relationship Id="rId113" Type="http://schemas.openxmlformats.org/officeDocument/2006/relationships/hyperlink" Target="http://www.sec.gov/Archives/edgar/data/1547903/000154790313000020/a107formofnonqualifiedstoc.htm" TargetMode="External"/><Relationship Id="rId114" Type="http://schemas.openxmlformats.org/officeDocument/2006/relationships/hyperlink" Target="http://www.sec.gov/Archives/edgar/data/1547903/000154790317000032/exhibit108-2012stockincent.htm" TargetMode="External"/><Relationship Id="rId115" Type="http://schemas.openxmlformats.org/officeDocument/2006/relationships/hyperlink" Target="http://www.sec.gov/Archives/edgar/data/1547903/000154790317000032/exhibit109-2012stockincent.htm" TargetMode="External"/><Relationship Id="rId116" Type="http://schemas.openxmlformats.org/officeDocument/2006/relationships/hyperlink" Target="http://www.sec.gov/Archives/edgar/data/1547903/000154790315000172/a20151223shusteremployment.htm" TargetMode="External"/><Relationship Id="rId117" Type="http://schemas.openxmlformats.org/officeDocument/2006/relationships/hyperlink" Target="http://www.sec.gov/Archives/edgar/data/1547903/000154790316000230/exhibit1010leatherberrybil.htm" TargetMode="External"/><Relationship Id="rId118" Type="http://schemas.openxmlformats.org/officeDocument/2006/relationships/hyperlink" Target="http://www.sec.gov/Archives/edgar/data/1547903/000154790317000003/exhibit101offerletterdated.htm" TargetMode="External"/><Relationship Id="rId120" Type="http://schemas.openxmlformats.org/officeDocument/2006/relationships/hyperlink" Target="http://www.sec.gov/Archives/edgar/data/1547903/000154790314000146/exhibit101november252014.htm" TargetMode="External"/><Relationship Id="rId121" Type="http://schemas.openxmlformats.org/officeDocument/2006/relationships/hyperlink" Target="http://www.sec.gov/Archives/edgar/data/1547903/000154790313000020/a1014commitmentletterforbu.htm" TargetMode="External"/><Relationship Id="rId122" Type="http://schemas.openxmlformats.org/officeDocument/2006/relationships/hyperlink" Target="http://www.sec.gov/Archives/edgar/data/1547903/000154790315000142/nmihexhibit41tlb.htm" TargetMode="External"/><Relationship Id="rId123" Type="http://schemas.openxmlformats.org/officeDocument/2006/relationships/hyperlink" Target="http://www.sec.gov/Archives/edgar/data/1547903/000154790317000005/exhibit101tlaandannex.htm" TargetMode="External"/><Relationship Id="rId124" Type="http://schemas.openxmlformats.org/officeDocument/2006/relationships/hyperlink" Target="http://www.sec.gov/Archives/edgar/data/1547903/000154790317000115/exhibit101amendmentno2.htm" TargetMode="External"/><Relationship Id="rId125" Type="http://schemas.openxmlformats.org/officeDocument/2006/relationships/hyperlink" Target="http://www.sec.gov/Archives/edgar/data/1547903/000154790318000088/exhibit41-creditagreement.htm" TargetMode="External"/><Relationship Id="rId126" Type="http://schemas.openxmlformats.org/officeDocument/2006/relationships/hyperlink" Target="https://www.sec.gov/Archives/edgar/data/1547903/000154790320000032/exhibit101-extensionam.htm" TargetMode="External"/><Relationship Id="rId127" Type="http://schemas.openxmlformats.org/officeDocument/2006/relationships/hyperlink" Target="https://www.sec.gov/Archives/edgar/data/1547903/000154790320000032/exhibit102joinderagree.htm" TargetMode="External"/><Relationship Id="rId128" Type="http://schemas.openxmlformats.org/officeDocument/2006/relationships/hyperlink" Target="http://www.sec.gov/Archives/edgar/data/1547903/000154790317000043/nmihproxy2017.htm" TargetMode="External"/><Relationship Id="rId129" Type="http://schemas.openxmlformats.org/officeDocument/2006/relationships/hyperlink" Target="http://www.sec.gov/Archives/edgar/data/1547903/000154790317000100/ex1019rsuceo.htm" TargetMode="External"/><Relationship Id="rId130" Type="http://schemas.openxmlformats.org/officeDocument/2006/relationships/hyperlink" Target="http://www.sec.gov/Archives/edgar/data/1547903/000154790317000100/ex1020rsueo.htm" TargetMode="External"/><Relationship Id="rId131" Type="http://schemas.openxmlformats.org/officeDocument/2006/relationships/hyperlink" Target="http://www.sec.gov/Archives/edgar/data/1547903/000154790317000100/ex1021rsuee.htm" TargetMode="External"/><Relationship Id="rId132" Type="http://schemas.openxmlformats.org/officeDocument/2006/relationships/hyperlink" Target="http://www.sec.gov/Archives/edgar/data/1547903/000154790317000100/ex1022rsuindependentdirect.htm" TargetMode="External"/><Relationship Id="rId133" Type="http://schemas.openxmlformats.org/officeDocument/2006/relationships/hyperlink" Target="http://www.sec.gov/Archives/edgar/data/1547903/000154790317000100/ex1023nqsceo.htm" TargetMode="External"/><Relationship Id="rId134" Type="http://schemas.openxmlformats.org/officeDocument/2006/relationships/hyperlink" Target="http://www.sec.gov/Archives/edgar/data/1547903/000154790317000100/ex1024nqseoee.htm" TargetMode="External"/><Relationship Id="rId135" Type="http://schemas.openxmlformats.org/officeDocument/2006/relationships/hyperlink" Target="http://www.sec.gov/Archives/edgar/data/1547903/000154790317000032/exhibit1026-2014omnibusinc.htm" TargetMode="External"/><Relationship Id="rId136" Type="http://schemas.openxmlformats.org/officeDocument/2006/relationships/hyperlink" Target="http://www.sec.gov/Archives/edgar/data/1547903/000154790316000185/ex101severancebenefitplan.htm" TargetMode="External"/><Relationship Id="rId137" Type="http://schemas.openxmlformats.org/officeDocument/2006/relationships/hyperlink" Target="http://www.sec.gov/Archives/edgar/data/1547903/000154790318000133/exhibit1030arcicsbp.htm" TargetMode="External"/><Relationship Id="rId138" Type="http://schemas.openxmlformats.org/officeDocument/2006/relationships/hyperlink" Target="http://www.sec.gov/Archives/edgar/data/1547903/000154790317000035/exhibit102.htm" TargetMode="External"/><Relationship Id="rId139" Type="http://schemas.openxmlformats.org/officeDocument/2006/relationships/hyperlink" Target="http://www.sec.gov/Archives/edgar/data/1547903/000154790318000137/exhibit101shuster.htm" TargetMode="External"/><Relationship Id="rId140" Type="http://schemas.openxmlformats.org/officeDocument/2006/relationships/hyperlink" Target="http://www.sec.gov/Archives/edgar/data/1547903/000154790318000137/exhibit102merkle.htm" TargetMode="External"/><Relationship Id="rId141" Type="http://schemas.openxmlformats.org/officeDocument/2006/relationships/hyperlink" Target="http://www.sec.gov/Archives/edgar/data/1547903/000154790319000064/exhibit1030.htm" TargetMode="External"/><Relationship Id="rId143" Type="http://schemas.openxmlformats.org/officeDocument/2006/relationships/hyperlink" Target="http://www.sec.gov/Archives/edgar/data/1547903/000154790319000064/exhibit1031.htm" TargetMode="External"/><Relationship Id="rId144" Type="http://schemas.openxmlformats.org/officeDocument/2006/relationships/hyperlink" Target="http://www.sec.gov/Archives/edgar/data/1547903/000154790319000064/exhibit1032.htm" TargetMode="External"/><Relationship Id="rId145" Type="http://schemas.openxmlformats.org/officeDocument/2006/relationships/hyperlink" Target="http://www.sec.gov/Archives/edgar/data/1547903/000154790319000064/exhibit1033.htm" TargetMode="External"/><Relationship Id="rId146" Type="http://schemas.openxmlformats.org/officeDocument/2006/relationships/hyperlink" Target="http://www.sec.gov/Archives/edgar/data/1547903/000154790319000064/exhibit1034.htm" TargetMode="External"/><Relationship Id="rId147" Type="http://schemas.openxmlformats.org/officeDocument/2006/relationships/hyperlink" Target="http://www.sec.gov/Archives/edgar/data/1547903/000154790319000064/exhibit1035.htm" TargetMode="External"/><Relationship Id="rId148"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2020-05-07T05:14:36Z</dcterms:created>
  <dcterms:modified xsi:type="dcterms:W3CDTF">2020-05-07T05:14:36Z</dcterms:modified>
</cp:coreProperties>
</file>