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3" w:lineRule="exact"/>
        <w:rPr>
          <w:sz w:val="24"/>
          <w:szCs w:val="24"/>
          <w:color w:val="auto"/>
        </w:rPr>
      </w:pPr>
    </w:p>
    <w:p>
      <w:pPr>
        <w:ind w:left="680" w:hanging="419"/>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1" w:lineRule="exact"/>
        <w:rPr>
          <w:sz w:val="24"/>
          <w:szCs w:val="24"/>
          <w:color w:val="auto"/>
        </w:rPr>
      </w:pPr>
    </w:p>
    <w:p>
      <w:pPr>
        <w:ind w:left="680"/>
        <w:spacing w:after="0"/>
        <w:tabs>
          <w:tab w:leader="none" w:pos="59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b w:val="1"/>
          <w:bCs w:val="1"/>
          <w:color w:val="auto"/>
        </w:rPr>
        <w:t>June 30, 2023</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56" w:lineRule="exact"/>
        <w:rPr>
          <w:sz w:val="24"/>
          <w:szCs w:val="24"/>
          <w:color w:val="auto"/>
        </w:rPr>
      </w:pPr>
    </w:p>
    <w:p>
      <w:pPr>
        <w:ind w:left="660" w:right="2120" w:hanging="414"/>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001-36174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37"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320" w:type="dxa"/>
            <w:vAlign w:val="bottom"/>
            <w:gridSpan w:val="2"/>
          </w:tcPr>
          <w:p>
            <w:pPr>
              <w:jc w:val="center"/>
              <w:ind w:left="418"/>
              <w:spacing w:after="0"/>
              <w:rPr>
                <w:sz w:val="20"/>
                <w:szCs w:val="20"/>
                <w:color w:val="auto"/>
              </w:rPr>
            </w:pPr>
            <w:r>
              <w:rPr>
                <w:rFonts w:ascii="Arial" w:cs="Arial" w:eastAsia="Arial" w:hAnsi="Arial"/>
                <w:sz w:val="18"/>
                <w:szCs w:val="18"/>
                <w:b w:val="1"/>
                <w:bCs w:val="1"/>
                <w:color w:val="auto"/>
                <w:w w:val="88"/>
              </w:rPr>
              <w:t>Delaware</w:t>
            </w:r>
          </w:p>
        </w:tc>
        <w:tc>
          <w:tcPr>
            <w:tcW w:w="2400" w:type="dxa"/>
            <w:vAlign w:val="bottom"/>
          </w:tcPr>
          <w:p>
            <w:pPr>
              <w:spacing w:after="0"/>
              <w:rPr>
                <w:sz w:val="19"/>
                <w:szCs w:val="19"/>
                <w:color w:val="auto"/>
              </w:rPr>
            </w:pPr>
          </w:p>
        </w:tc>
        <w:tc>
          <w:tcPr>
            <w:tcW w:w="4520" w:type="dxa"/>
            <w:vAlign w:val="bottom"/>
            <w:gridSpan w:val="2"/>
          </w:tcPr>
          <w:p>
            <w:pPr>
              <w:jc w:val="right"/>
              <w:ind w:right="2598"/>
              <w:spacing w:after="0"/>
              <w:rPr>
                <w:sz w:val="20"/>
                <w:szCs w:val="20"/>
                <w:color w:val="auto"/>
              </w:rPr>
            </w:pPr>
            <w:r>
              <w:rPr>
                <w:rFonts w:ascii="Arial" w:cs="Arial" w:eastAsia="Arial" w:hAnsi="Arial"/>
                <w:sz w:val="18"/>
                <w:szCs w:val="18"/>
                <w:b w:val="1"/>
                <w:bCs w:val="1"/>
                <w:color w:val="auto"/>
              </w:rPr>
              <w:t>45-4914248</w:t>
            </w:r>
          </w:p>
        </w:tc>
      </w:tr>
      <w:tr>
        <w:trPr>
          <w:trHeight w:val="183"/>
        </w:trPr>
        <w:tc>
          <w:tcPr>
            <w:tcW w:w="4320" w:type="dxa"/>
            <w:vAlign w:val="bottom"/>
            <w:gridSpan w:val="2"/>
          </w:tcPr>
          <w:p>
            <w:pPr>
              <w:jc w:val="center"/>
              <w:ind w:left="418"/>
              <w:spacing w:after="0"/>
              <w:rPr>
                <w:sz w:val="20"/>
                <w:szCs w:val="20"/>
                <w:color w:val="auto"/>
              </w:rPr>
            </w:pPr>
            <w:r>
              <w:rPr>
                <w:rFonts w:ascii="Arial" w:cs="Arial" w:eastAsia="Arial" w:hAnsi="Arial"/>
                <w:sz w:val="14"/>
                <w:szCs w:val="14"/>
                <w:b w:val="1"/>
                <w:bCs w:val="1"/>
                <w:color w:val="auto"/>
                <w:w w:val="91"/>
              </w:rPr>
              <w:t>(State or other jurisdiction of incorporation or organization)</w:t>
            </w:r>
          </w:p>
        </w:tc>
        <w:tc>
          <w:tcPr>
            <w:tcW w:w="2400" w:type="dxa"/>
            <w:vAlign w:val="bottom"/>
          </w:tcPr>
          <w:p>
            <w:pPr>
              <w:spacing w:after="0"/>
              <w:rPr>
                <w:sz w:val="15"/>
                <w:szCs w:val="15"/>
                <w:color w:val="auto"/>
              </w:rPr>
            </w:pPr>
          </w:p>
        </w:tc>
        <w:tc>
          <w:tcPr>
            <w:tcW w:w="4520" w:type="dxa"/>
            <w:vAlign w:val="bottom"/>
            <w:gridSpan w:val="2"/>
          </w:tcPr>
          <w:p>
            <w:pPr>
              <w:jc w:val="center"/>
              <w:ind w:right="1618"/>
              <w:spacing w:after="0"/>
              <w:rPr>
                <w:sz w:val="20"/>
                <w:szCs w:val="20"/>
                <w:color w:val="auto"/>
              </w:rPr>
            </w:pPr>
            <w:r>
              <w:rPr>
                <w:rFonts w:ascii="Arial" w:cs="Arial" w:eastAsia="Arial" w:hAnsi="Arial"/>
                <w:sz w:val="14"/>
                <w:szCs w:val="14"/>
                <w:b w:val="1"/>
                <w:bCs w:val="1"/>
                <w:color w:val="auto"/>
                <w:w w:val="93"/>
              </w:rPr>
              <w:t>(I.R.S. Employer Identification No.)</w:t>
            </w:r>
          </w:p>
        </w:tc>
      </w:tr>
      <w:tr>
        <w:trPr>
          <w:trHeight w:val="344"/>
        </w:trPr>
        <w:tc>
          <w:tcPr>
            <w:tcW w:w="2520" w:type="dxa"/>
            <w:vAlign w:val="bottom"/>
          </w:tcPr>
          <w:p>
            <w:pPr>
              <w:ind w:left="920"/>
              <w:spacing w:after="0"/>
              <w:rPr>
                <w:sz w:val="20"/>
                <w:szCs w:val="20"/>
                <w:color w:val="auto"/>
              </w:rPr>
            </w:pPr>
            <w:r>
              <w:rPr>
                <w:rFonts w:ascii="Arial" w:cs="Arial" w:eastAsia="Arial" w:hAnsi="Arial"/>
                <w:sz w:val="18"/>
                <w:szCs w:val="18"/>
                <w:b w:val="1"/>
                <w:bCs w:val="1"/>
                <w:color w:val="auto"/>
                <w:w w:val="99"/>
              </w:rPr>
              <w:t>2100 Powell Street</w:t>
            </w:r>
          </w:p>
        </w:tc>
        <w:tc>
          <w:tcPr>
            <w:tcW w:w="1800" w:type="dxa"/>
            <w:vAlign w:val="bottom"/>
          </w:tcPr>
          <w:p>
            <w:pPr>
              <w:ind w:left="240"/>
              <w:spacing w:after="0"/>
              <w:rPr>
                <w:sz w:val="20"/>
                <w:szCs w:val="20"/>
                <w:color w:val="auto"/>
              </w:rPr>
            </w:pPr>
            <w:r>
              <w:rPr>
                <w:rFonts w:ascii="Arial" w:cs="Arial" w:eastAsia="Arial" w:hAnsi="Arial"/>
                <w:sz w:val="18"/>
                <w:szCs w:val="18"/>
                <w:b w:val="1"/>
                <w:bCs w:val="1"/>
                <w:color w:val="auto"/>
              </w:rPr>
              <w:t>Emeryville ,  CA</w:t>
            </w:r>
          </w:p>
        </w:tc>
        <w:tc>
          <w:tcPr>
            <w:tcW w:w="2400" w:type="dxa"/>
            <w:vAlign w:val="bottom"/>
          </w:tcPr>
          <w:p>
            <w:pPr>
              <w:spacing w:after="0"/>
              <w:rPr>
                <w:sz w:val="24"/>
                <w:szCs w:val="24"/>
                <w:color w:val="auto"/>
              </w:rPr>
            </w:pPr>
          </w:p>
        </w:tc>
        <w:tc>
          <w:tcPr>
            <w:tcW w:w="4520" w:type="dxa"/>
            <w:vAlign w:val="bottom"/>
            <w:gridSpan w:val="2"/>
          </w:tcPr>
          <w:p>
            <w:pPr>
              <w:jc w:val="right"/>
              <w:ind w:right="2798"/>
              <w:spacing w:after="0"/>
              <w:rPr>
                <w:sz w:val="20"/>
                <w:szCs w:val="20"/>
                <w:color w:val="auto"/>
              </w:rPr>
            </w:pPr>
            <w:r>
              <w:rPr>
                <w:rFonts w:ascii="Arial" w:cs="Arial" w:eastAsia="Arial" w:hAnsi="Arial"/>
                <w:sz w:val="18"/>
                <w:szCs w:val="18"/>
                <w:b w:val="1"/>
                <w:bCs w:val="1"/>
                <w:color w:val="auto"/>
              </w:rPr>
              <w:t>94608</w:t>
            </w:r>
          </w:p>
        </w:tc>
      </w:tr>
      <w:tr>
        <w:trPr>
          <w:trHeight w:val="183"/>
        </w:trPr>
        <w:tc>
          <w:tcPr>
            <w:tcW w:w="4320" w:type="dxa"/>
            <w:vAlign w:val="bottom"/>
            <w:gridSpan w:val="2"/>
          </w:tcPr>
          <w:p>
            <w:pPr>
              <w:jc w:val="center"/>
              <w:ind w:left="438"/>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00" w:type="dxa"/>
            <w:vAlign w:val="bottom"/>
          </w:tcPr>
          <w:p>
            <w:pPr>
              <w:jc w:val="center"/>
              <w:ind w:right="2038"/>
              <w:spacing w:after="0"/>
              <w:rPr>
                <w:sz w:val="20"/>
                <w:szCs w:val="20"/>
                <w:color w:val="auto"/>
              </w:rPr>
            </w:pPr>
            <w:r>
              <w:rPr>
                <w:rFonts w:ascii="Arial" w:cs="Arial" w:eastAsia="Arial" w:hAnsi="Arial"/>
                <w:sz w:val="14"/>
                <w:szCs w:val="14"/>
                <w:b w:val="1"/>
                <w:bCs w:val="1"/>
                <w:color w:val="auto"/>
                <w:w w:val="95"/>
              </w:rPr>
              <w:t>(Zip Code)</w:t>
            </w:r>
          </w:p>
        </w:tc>
      </w:tr>
      <w:tr>
        <w:trPr>
          <w:trHeight w:val="528"/>
        </w:trPr>
        <w:tc>
          <w:tcPr>
            <w:tcW w:w="2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0" w:type="dxa"/>
            <w:vAlign w:val="bottom"/>
          </w:tcPr>
          <w:p>
            <w:pPr>
              <w:jc w:val="center"/>
              <w:ind w:left="132"/>
              <w:spacing w:after="0"/>
              <w:rPr>
                <w:sz w:val="20"/>
                <w:szCs w:val="20"/>
                <w:color w:val="auto"/>
              </w:rPr>
            </w:pPr>
            <w:r>
              <w:rPr>
                <w:rFonts w:ascii="Arial" w:cs="Arial" w:eastAsia="Arial" w:hAnsi="Arial"/>
                <w:sz w:val="18"/>
                <w:szCs w:val="18"/>
                <w:b w:val="1"/>
                <w:bCs w:val="1"/>
                <w:color w:val="auto"/>
                <w:w w:val="89"/>
              </w:rPr>
              <w:t>(855) 530-6642</w:t>
            </w:r>
          </w:p>
        </w:tc>
        <w:tc>
          <w:tcPr>
            <w:tcW w:w="4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83"/>
        </w:trPr>
        <w:tc>
          <w:tcPr>
            <w:tcW w:w="2520" w:type="dxa"/>
            <w:vAlign w:val="bottom"/>
          </w:tcPr>
          <w:p>
            <w:pPr>
              <w:spacing w:after="0"/>
              <w:rPr>
                <w:sz w:val="15"/>
                <w:szCs w:val="15"/>
                <w:color w:val="auto"/>
              </w:rPr>
            </w:pPr>
          </w:p>
        </w:tc>
        <w:tc>
          <w:tcPr>
            <w:tcW w:w="8720" w:type="dxa"/>
            <w:vAlign w:val="bottom"/>
            <w:gridSpan w:val="4"/>
          </w:tcPr>
          <w:p>
            <w:pPr>
              <w:jc w:val="center"/>
              <w:ind w:right="2438"/>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26"/>
        </w:trPr>
        <w:tc>
          <w:tcPr>
            <w:tcW w:w="2520" w:type="dxa"/>
            <w:vAlign w:val="bottom"/>
          </w:tcPr>
          <w:p>
            <w:pPr>
              <w:spacing w:after="0"/>
              <w:rPr>
                <w:sz w:val="24"/>
                <w:szCs w:val="24"/>
                <w:color w:val="auto"/>
              </w:rPr>
            </w:pPr>
          </w:p>
        </w:tc>
        <w:tc>
          <w:tcPr>
            <w:tcW w:w="8720" w:type="dxa"/>
            <w:vAlign w:val="bottom"/>
            <w:gridSpan w:val="4"/>
          </w:tcPr>
          <w:p>
            <w:pPr>
              <w:jc w:val="center"/>
              <w:ind w:right="2438"/>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27"/>
        </w:trPr>
        <w:tc>
          <w:tcPr>
            <w:tcW w:w="4320" w:type="dxa"/>
            <w:vAlign w:val="bottom"/>
            <w:tcBorders>
              <w:bottom w:val="single" w:sz="8" w:color="auto"/>
            </w:tcBorders>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Title of each class</w:t>
            </w:r>
          </w:p>
        </w:tc>
        <w:tc>
          <w:tcPr>
            <w:tcW w:w="240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color w:val="auto"/>
                <w:w w:val="89"/>
              </w:rPr>
              <w:t>Trading Symbol(s)</w:t>
            </w:r>
          </w:p>
        </w:tc>
        <w:tc>
          <w:tcPr>
            <w:tcW w:w="420" w:type="dxa"/>
            <w:vAlign w:val="bottom"/>
            <w:tcBorders>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24"/>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Class A Common Stock, par value $0.01</w:t>
            </w:r>
          </w:p>
        </w:tc>
        <w:tc>
          <w:tcPr>
            <w:tcW w:w="240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color w:val="auto"/>
              </w:rPr>
              <w:t>NMIH</w:t>
            </w:r>
          </w:p>
        </w:tc>
        <w:tc>
          <w:tcPr>
            <w:tcW w:w="420" w:type="dxa"/>
            <w:vAlign w:val="bottom"/>
            <w:tcBorders>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Nasdaq</w:t>
            </w:r>
          </w:p>
        </w:tc>
      </w:tr>
    </w:tbl>
    <w:p>
      <w:pPr>
        <w:spacing w:after="0" w:line="172"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spacing w:after="0" w:line="28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spacing w:after="0" w:line="28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680" w:type="dxa"/>
            <w:vAlign w:val="bottom"/>
          </w:tcPr>
          <w:p>
            <w:pPr>
              <w:ind w:left="2320"/>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4680" w:type="dxa"/>
            <w:vAlign w:val="bottom"/>
          </w:tcPr>
          <w:p>
            <w:pPr>
              <w:ind w:left="2320"/>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4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95"/>
        </w:trPr>
        <w:tc>
          <w:tcPr>
            <w:tcW w:w="4680" w:type="dxa"/>
            <w:vAlign w:val="bottom"/>
            <w:vMerge w:val="restart"/>
          </w:tcPr>
          <w:p>
            <w:pPr>
              <w:spacing w:after="0"/>
              <w:rPr>
                <w:sz w:val="20"/>
                <w:szCs w:val="20"/>
                <w:color w:val="auto"/>
              </w:rPr>
            </w:pPr>
            <w:r>
              <w:rPr>
                <w:rFonts w:ascii="Arial" w:cs="Arial" w:eastAsia="Arial" w:hAnsi="Arial"/>
                <w:sz w:val="18"/>
                <w:szCs w:val="18"/>
                <w:color w:val="auto"/>
              </w:rPr>
              <w:t>Rule 12b-2 of the Exchange Act.</w:t>
            </w:r>
          </w:p>
        </w:tc>
        <w:tc>
          <w:tcPr>
            <w:tcW w:w="1640" w:type="dxa"/>
            <w:vAlign w:val="bottom"/>
          </w:tcPr>
          <w:p>
            <w:pPr>
              <w:spacing w:after="0"/>
              <w:rPr>
                <w:sz w:val="24"/>
                <w:szCs w:val="24"/>
                <w:color w:val="auto"/>
              </w:rPr>
            </w:pPr>
          </w:p>
        </w:tc>
        <w:tc>
          <w:tcPr>
            <w:tcW w:w="3260" w:type="dxa"/>
            <w:vAlign w:val="bottom"/>
          </w:tcPr>
          <w:p>
            <w:pPr>
              <w:ind w:left="74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73"/>
        </w:trPr>
        <w:tc>
          <w:tcPr>
            <w:tcW w:w="468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$0.01 par value per share, of the registrant outstanding on July 28, 2023 was 82,280,750 shares.</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96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20" w:type="dxa"/>
            <w:vAlign w:val="bottom"/>
            <w:shd w:val="clear" w:color="auto" w:fill="CCEEFF"/>
          </w:tcPr>
          <w:p>
            <w:pPr>
              <w:spacing w:after="0"/>
              <w:rPr>
                <w:sz w:val="16"/>
                <w:szCs w:val="16"/>
                <w:color w:val="auto"/>
              </w:rPr>
            </w:pPr>
          </w:p>
        </w:tc>
        <w:tc>
          <w:tcPr>
            <w:tcW w:w="4360" w:type="dxa"/>
            <w:vAlign w:val="bottom"/>
            <w:gridSpan w:val="9"/>
            <w:shd w:val="clear" w:color="auto" w:fill="CCEEFF"/>
          </w:tcPr>
          <w:p>
            <w:pPr>
              <w:spacing w:after="0" w:line="184" w:lineRule="exact"/>
              <w:rPr>
                <w:sz w:val="20"/>
                <w:szCs w:val="20"/>
                <w:color w:val="auto"/>
              </w:rPr>
            </w:pPr>
            <w:r>
              <w:rPr>
                <w:rFonts w:ascii="Arial" w:cs="Arial" w:eastAsia="Arial" w:hAnsi="Arial"/>
                <w:sz w:val="18"/>
                <w:szCs w:val="18"/>
                <w:b w:val="1"/>
                <w:bCs w:val="1"/>
                <w:color w:val="0000FF"/>
                <w:w w:val="89"/>
              </w:rPr>
              <w:t>Cautionary Note Regarding Forward-Looking Statements</w:t>
            </w:r>
          </w:p>
        </w:tc>
        <w:tc>
          <w:tcPr>
            <w:tcW w:w="2960" w:type="dxa"/>
            <w:vAlign w:val="bottom"/>
            <w:gridSpan w:val="2"/>
            <w:shd w:val="clear" w:color="auto" w:fill="CCEEFF"/>
          </w:tcPr>
          <w:p>
            <w:pPr>
              <w:spacing w:after="0"/>
              <w:rPr>
                <w:sz w:val="16"/>
                <w:szCs w:val="16"/>
                <w:color w:val="auto"/>
              </w:rPr>
            </w:pPr>
          </w:p>
        </w:tc>
        <w:tc>
          <w:tcPr>
            <w:tcW w:w="3880" w:type="dxa"/>
            <w:vAlign w:val="bottom"/>
            <w:gridSpan w:val="3"/>
            <w:shd w:val="clear" w:color="auto" w:fill="CCEEFF"/>
          </w:tcPr>
          <w:p>
            <w:pPr>
              <w:jc w:val="right"/>
              <w:spacing w:after="0" w:line="184" w:lineRule="exact"/>
              <w:rPr>
                <w:sz w:val="20"/>
                <w:szCs w:val="20"/>
                <w:color w:val="auto"/>
              </w:rPr>
            </w:pPr>
            <w:r>
              <w:rPr>
                <w:rFonts w:ascii="Arial" w:cs="Arial" w:eastAsia="Arial" w:hAnsi="Arial"/>
                <w:sz w:val="18"/>
                <w:szCs w:val="18"/>
                <w:color w:val="0000FF"/>
              </w:rPr>
              <w:t>3</w:t>
            </w:r>
          </w:p>
        </w:tc>
        <w:tc>
          <w:tcPr>
            <w:tcW w:w="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20" w:type="dxa"/>
            <w:vAlign w:val="bottom"/>
          </w:tcPr>
          <w:p>
            <w:pPr>
              <w:spacing w:after="0"/>
              <w:rPr>
                <w:sz w:val="16"/>
                <w:szCs w:val="16"/>
                <w:color w:val="auto"/>
              </w:rPr>
            </w:pPr>
          </w:p>
        </w:tc>
        <w:tc>
          <w:tcPr>
            <w:tcW w:w="800" w:type="dxa"/>
            <w:vAlign w:val="bottom"/>
            <w:gridSpan w:val="2"/>
          </w:tcPr>
          <w:p>
            <w:pPr>
              <w:spacing w:after="0" w:line="184" w:lineRule="exact"/>
              <w:rPr>
                <w:sz w:val="20"/>
                <w:szCs w:val="20"/>
                <w:color w:val="auto"/>
              </w:rPr>
            </w:pPr>
            <w:r>
              <w:rPr>
                <w:rFonts w:ascii="Arial" w:cs="Arial" w:eastAsia="Arial" w:hAnsi="Arial"/>
                <w:sz w:val="18"/>
                <w:szCs w:val="18"/>
                <w:b w:val="1"/>
                <w:bCs w:val="1"/>
                <w:color w:val="0000FF"/>
              </w:rPr>
              <w:t>PART I</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80" w:type="dxa"/>
            <w:vAlign w:val="bottom"/>
            <w:gridSpan w:val="3"/>
          </w:tcPr>
          <w:p>
            <w:pPr>
              <w:jc w:val="right"/>
              <w:spacing w:after="0" w:line="184" w:lineRule="exact"/>
              <w:rPr>
                <w:sz w:val="20"/>
                <w:szCs w:val="20"/>
                <w:color w:val="auto"/>
              </w:rPr>
            </w:pPr>
            <w:r>
              <w:rPr>
                <w:rFonts w:ascii="Arial" w:cs="Arial" w:eastAsia="Arial" w:hAnsi="Arial"/>
                <w:sz w:val="18"/>
                <w:szCs w:val="18"/>
                <w:color w:val="0000FF"/>
              </w:rPr>
              <w:t>5</w:t>
            </w:r>
          </w:p>
        </w:tc>
        <w:tc>
          <w:tcPr>
            <w:tcW w:w="20" w:type="dxa"/>
            <w:vAlign w:val="bottom"/>
          </w:tcPr>
          <w:p>
            <w:pPr>
              <w:spacing w:after="0"/>
              <w:rPr>
                <w:sz w:val="16"/>
                <w:szCs w:val="16"/>
                <w:color w:val="auto"/>
              </w:rPr>
            </w:pPr>
          </w:p>
        </w:tc>
      </w:tr>
      <w:tr>
        <w:trPr>
          <w:trHeight w:val="33"/>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120"/>
              <w:spacing w:after="0" w:line="184" w:lineRule="exact"/>
              <w:rPr>
                <w:sz w:val="20"/>
                <w:szCs w:val="20"/>
                <w:color w:val="auto"/>
              </w:rPr>
            </w:pPr>
            <w:r>
              <w:rPr>
                <w:rFonts w:ascii="Arial" w:cs="Arial" w:eastAsia="Arial" w:hAnsi="Arial"/>
                <w:sz w:val="18"/>
                <w:szCs w:val="18"/>
                <w:color w:val="auto"/>
              </w:rPr>
              <w:t>Item 1.</w:t>
            </w:r>
          </w:p>
        </w:tc>
        <w:tc>
          <w:tcPr>
            <w:tcW w:w="6520" w:type="dxa"/>
            <w:vAlign w:val="bottom"/>
            <w:gridSpan w:val="9"/>
            <w:shd w:val="clear" w:color="auto" w:fill="CCEEFF"/>
          </w:tcPr>
          <w:p>
            <w:pPr>
              <w:ind w:left="260"/>
              <w:spacing w:after="0" w:line="184" w:lineRule="exact"/>
              <w:rPr>
                <w:sz w:val="20"/>
                <w:szCs w:val="20"/>
                <w:color w:val="auto"/>
              </w:rPr>
            </w:pPr>
            <w:r>
              <w:rPr>
                <w:rFonts w:ascii="Arial" w:cs="Arial" w:eastAsia="Arial" w:hAnsi="Arial"/>
                <w:sz w:val="18"/>
                <w:szCs w:val="18"/>
                <w:color w:val="0000FF"/>
              </w:rPr>
              <w:t>Financial Statements</w:t>
            </w:r>
          </w:p>
        </w:tc>
        <w:tc>
          <w:tcPr>
            <w:tcW w:w="3880" w:type="dxa"/>
            <w:vAlign w:val="bottom"/>
            <w:gridSpan w:val="3"/>
            <w:shd w:val="clear" w:color="auto" w:fill="CCEEFF"/>
          </w:tcPr>
          <w:p>
            <w:pPr>
              <w:jc w:val="right"/>
              <w:spacing w:after="0" w:line="184" w:lineRule="exact"/>
              <w:rPr>
                <w:sz w:val="20"/>
                <w:szCs w:val="20"/>
                <w:color w:val="auto"/>
              </w:rPr>
            </w:pPr>
            <w:r>
              <w:rPr>
                <w:rFonts w:ascii="Arial" w:cs="Arial" w:eastAsia="Arial" w:hAnsi="Arial"/>
                <w:sz w:val="18"/>
                <w:szCs w:val="18"/>
                <w:color w:val="0000FF"/>
              </w:rPr>
              <w:t>5</w:t>
            </w:r>
          </w:p>
        </w:tc>
        <w:tc>
          <w:tcPr>
            <w:tcW w:w="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20" w:type="dxa"/>
            <w:vAlign w:val="bottom"/>
          </w:tcPr>
          <w:p>
            <w:pPr>
              <w:spacing w:after="0"/>
              <w:rPr>
                <w:sz w:val="16"/>
                <w:szCs w:val="16"/>
                <w:color w:val="auto"/>
              </w:rPr>
            </w:pPr>
          </w:p>
        </w:tc>
        <w:tc>
          <w:tcPr>
            <w:tcW w:w="800" w:type="dxa"/>
            <w:vAlign w:val="bottom"/>
            <w:gridSpan w:val="2"/>
          </w:tcPr>
          <w:p>
            <w:pPr>
              <w:ind w:left="120"/>
              <w:spacing w:after="0" w:line="184" w:lineRule="exact"/>
              <w:rPr>
                <w:sz w:val="20"/>
                <w:szCs w:val="20"/>
                <w:color w:val="auto"/>
              </w:rPr>
            </w:pPr>
            <w:r>
              <w:rPr>
                <w:rFonts w:ascii="Arial" w:cs="Arial" w:eastAsia="Arial" w:hAnsi="Arial"/>
                <w:sz w:val="18"/>
                <w:szCs w:val="18"/>
                <w:color w:val="auto"/>
              </w:rPr>
              <w:t>Item 2.</w:t>
            </w:r>
          </w:p>
        </w:tc>
        <w:tc>
          <w:tcPr>
            <w:tcW w:w="6520" w:type="dxa"/>
            <w:vAlign w:val="bottom"/>
            <w:gridSpan w:val="9"/>
          </w:tcPr>
          <w:p>
            <w:pPr>
              <w:ind w:left="260"/>
              <w:spacing w:after="0" w:line="184" w:lineRule="exact"/>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3900" w:type="dxa"/>
            <w:vAlign w:val="bottom"/>
            <w:gridSpan w:val="4"/>
          </w:tcPr>
          <w:p>
            <w:pPr>
              <w:jc w:val="right"/>
              <w:ind w:right="20"/>
              <w:spacing w:after="0" w:line="184" w:lineRule="exact"/>
              <w:rPr>
                <w:sz w:val="20"/>
                <w:szCs w:val="20"/>
                <w:color w:val="auto"/>
              </w:rPr>
            </w:pPr>
            <w:r>
              <w:rPr>
                <w:rFonts w:ascii="Arial" w:cs="Arial" w:eastAsia="Arial" w:hAnsi="Arial"/>
                <w:sz w:val="18"/>
                <w:szCs w:val="18"/>
                <w:color w:val="0000FF"/>
              </w:rPr>
              <w:t>27</w:t>
            </w: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020" w:type="dxa"/>
            <w:vAlign w:val="bottom"/>
            <w:shd w:val="clear" w:color="auto" w:fill="0000FF"/>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Item 3.</w:t>
            </w:r>
          </w:p>
        </w:tc>
        <w:tc>
          <w:tcPr>
            <w:tcW w:w="6520" w:type="dxa"/>
            <w:vAlign w:val="bottom"/>
            <w:gridSpan w:val="9"/>
            <w:shd w:val="clear" w:color="auto" w:fill="CCEEFF"/>
          </w:tcPr>
          <w:p>
            <w:pPr>
              <w:ind w:left="260"/>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3900" w:type="dxa"/>
            <w:vAlign w:val="bottom"/>
            <w:gridSpan w:val="4"/>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52</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58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800" w:type="dxa"/>
            <w:vAlign w:val="bottom"/>
            <w:gridSpan w:val="2"/>
          </w:tcPr>
          <w:p>
            <w:pPr>
              <w:ind w:left="120"/>
              <w:spacing w:after="0" w:line="184" w:lineRule="exact"/>
              <w:rPr>
                <w:sz w:val="20"/>
                <w:szCs w:val="20"/>
                <w:color w:val="auto"/>
              </w:rPr>
            </w:pPr>
            <w:r>
              <w:rPr>
                <w:rFonts w:ascii="Arial" w:cs="Arial" w:eastAsia="Arial" w:hAnsi="Arial"/>
                <w:sz w:val="18"/>
                <w:szCs w:val="18"/>
                <w:color w:val="auto"/>
              </w:rPr>
              <w:t>Item 4.</w:t>
            </w:r>
          </w:p>
        </w:tc>
        <w:tc>
          <w:tcPr>
            <w:tcW w:w="6520" w:type="dxa"/>
            <w:vAlign w:val="bottom"/>
            <w:gridSpan w:val="9"/>
          </w:tcPr>
          <w:p>
            <w:pPr>
              <w:ind w:left="260"/>
              <w:spacing w:after="0" w:line="184" w:lineRule="exact"/>
              <w:rPr>
                <w:sz w:val="20"/>
                <w:szCs w:val="20"/>
                <w:color w:val="auto"/>
              </w:rPr>
            </w:pPr>
            <w:r>
              <w:rPr>
                <w:rFonts w:ascii="Arial" w:cs="Arial" w:eastAsia="Arial" w:hAnsi="Arial"/>
                <w:sz w:val="18"/>
                <w:szCs w:val="18"/>
                <w:color w:val="0000FF"/>
              </w:rPr>
              <w:t>Controls and Procedures</w:t>
            </w:r>
          </w:p>
        </w:tc>
        <w:tc>
          <w:tcPr>
            <w:tcW w:w="3900" w:type="dxa"/>
            <w:vAlign w:val="bottom"/>
            <w:gridSpan w:val="4"/>
          </w:tcPr>
          <w:p>
            <w:pPr>
              <w:jc w:val="right"/>
              <w:ind w:right="20"/>
              <w:spacing w:after="0" w:line="184" w:lineRule="exact"/>
              <w:rPr>
                <w:sz w:val="20"/>
                <w:szCs w:val="20"/>
                <w:color w:val="auto"/>
              </w:rPr>
            </w:pPr>
            <w:r>
              <w:rPr>
                <w:rFonts w:ascii="Arial" w:cs="Arial" w:eastAsia="Arial" w:hAnsi="Arial"/>
                <w:sz w:val="18"/>
                <w:szCs w:val="18"/>
                <w:color w:val="0000FF"/>
              </w:rPr>
              <w:t>53</w:t>
            </w: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0000FF"/>
                <w:w w:val="93"/>
              </w:rPr>
              <w:t>PART II</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54</w:t>
            </w: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20" w:type="dxa"/>
            <w:vAlign w:val="bottom"/>
          </w:tcPr>
          <w:p>
            <w:pPr>
              <w:spacing w:after="0"/>
              <w:rPr>
                <w:sz w:val="16"/>
                <w:szCs w:val="16"/>
                <w:color w:val="auto"/>
              </w:rPr>
            </w:pPr>
          </w:p>
        </w:tc>
        <w:tc>
          <w:tcPr>
            <w:tcW w:w="640" w:type="dxa"/>
            <w:vAlign w:val="bottom"/>
          </w:tcPr>
          <w:p>
            <w:pPr>
              <w:ind w:left="120"/>
              <w:spacing w:after="0" w:line="184" w:lineRule="exact"/>
              <w:rPr>
                <w:sz w:val="20"/>
                <w:szCs w:val="20"/>
                <w:color w:val="auto"/>
              </w:rPr>
            </w:pPr>
            <w:r>
              <w:rPr>
                <w:rFonts w:ascii="Arial" w:cs="Arial" w:eastAsia="Arial" w:hAnsi="Arial"/>
                <w:sz w:val="18"/>
                <w:szCs w:val="18"/>
                <w:color w:val="auto"/>
                <w:w w:val="87"/>
              </w:rPr>
              <w:t>Item 1.</w:t>
            </w:r>
          </w:p>
        </w:tc>
        <w:tc>
          <w:tcPr>
            <w:tcW w:w="160" w:type="dxa"/>
            <w:vAlign w:val="bottom"/>
          </w:tcPr>
          <w:p>
            <w:pPr>
              <w:spacing w:after="0"/>
              <w:rPr>
                <w:sz w:val="16"/>
                <w:szCs w:val="16"/>
                <w:color w:val="auto"/>
              </w:rPr>
            </w:pPr>
          </w:p>
        </w:tc>
        <w:tc>
          <w:tcPr>
            <w:tcW w:w="6520" w:type="dxa"/>
            <w:vAlign w:val="bottom"/>
            <w:gridSpan w:val="9"/>
          </w:tcPr>
          <w:p>
            <w:pPr>
              <w:ind w:left="260"/>
              <w:spacing w:after="0" w:line="184" w:lineRule="exact"/>
              <w:rPr>
                <w:sz w:val="20"/>
                <w:szCs w:val="20"/>
                <w:color w:val="auto"/>
              </w:rPr>
            </w:pPr>
            <w:r>
              <w:rPr>
                <w:rFonts w:ascii="Arial" w:cs="Arial" w:eastAsia="Arial" w:hAnsi="Arial"/>
                <w:sz w:val="18"/>
                <w:szCs w:val="18"/>
                <w:color w:val="0000FF"/>
              </w:rPr>
              <w:t>Legal Proceedings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0000FF"/>
                <w:w w:val="79"/>
              </w:rPr>
              <w:t>54</w:t>
            </w: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120"/>
              <w:spacing w:after="0" w:line="184" w:lineRule="exact"/>
              <w:rPr>
                <w:sz w:val="20"/>
                <w:szCs w:val="20"/>
                <w:color w:val="auto"/>
              </w:rPr>
            </w:pPr>
            <w:r>
              <w:rPr>
                <w:rFonts w:ascii="Arial" w:cs="Arial" w:eastAsia="Arial" w:hAnsi="Arial"/>
                <w:sz w:val="18"/>
                <w:szCs w:val="18"/>
                <w:color w:val="auto"/>
                <w:w w:val="98"/>
              </w:rPr>
              <w:t>Item 1A.</w:t>
            </w:r>
          </w:p>
        </w:tc>
        <w:tc>
          <w:tcPr>
            <w:tcW w:w="2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0000FF"/>
                <w:w w:val="85"/>
                <w:shd w:val="clear" w:color="auto" w:fill="CCEEFF"/>
              </w:rPr>
              <w:t>Risk Factors</w:t>
            </w:r>
          </w:p>
        </w:tc>
        <w:tc>
          <w:tcPr>
            <w:tcW w:w="3360" w:type="dxa"/>
            <w:vAlign w:val="bottom"/>
            <w:gridSpan w:val="5"/>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4" w:lineRule="exact"/>
              <w:rPr>
                <w:sz w:val="20"/>
                <w:szCs w:val="20"/>
                <w:color w:val="auto"/>
              </w:rPr>
            </w:pPr>
            <w:r>
              <w:rPr>
                <w:rFonts w:ascii="Arial" w:cs="Arial" w:eastAsia="Arial" w:hAnsi="Arial"/>
                <w:sz w:val="18"/>
                <w:szCs w:val="18"/>
                <w:color w:val="0000FF"/>
                <w:w w:val="79"/>
              </w:rPr>
              <w:t>54</w:t>
            </w: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20" w:type="dxa"/>
            <w:vAlign w:val="bottom"/>
          </w:tcPr>
          <w:p>
            <w:pPr>
              <w:spacing w:after="0"/>
              <w:rPr>
                <w:sz w:val="16"/>
                <w:szCs w:val="16"/>
                <w:color w:val="auto"/>
              </w:rPr>
            </w:pPr>
          </w:p>
        </w:tc>
        <w:tc>
          <w:tcPr>
            <w:tcW w:w="800" w:type="dxa"/>
            <w:vAlign w:val="bottom"/>
            <w:gridSpan w:val="2"/>
          </w:tcPr>
          <w:p>
            <w:pPr>
              <w:ind w:left="120"/>
              <w:spacing w:after="0" w:line="184" w:lineRule="exact"/>
              <w:rPr>
                <w:sz w:val="20"/>
                <w:szCs w:val="20"/>
                <w:color w:val="auto"/>
              </w:rPr>
            </w:pPr>
            <w:r>
              <w:rPr>
                <w:rFonts w:ascii="Arial" w:cs="Arial" w:eastAsia="Arial" w:hAnsi="Arial"/>
                <w:sz w:val="18"/>
                <w:szCs w:val="18"/>
                <w:color w:val="auto"/>
              </w:rPr>
              <w:t>Item 2.</w:t>
            </w:r>
          </w:p>
        </w:tc>
        <w:tc>
          <w:tcPr>
            <w:tcW w:w="6520" w:type="dxa"/>
            <w:vAlign w:val="bottom"/>
            <w:gridSpan w:val="9"/>
          </w:tcPr>
          <w:p>
            <w:pPr>
              <w:ind w:left="260"/>
              <w:spacing w:after="0" w:line="184" w:lineRule="exact"/>
              <w:rPr>
                <w:sz w:val="20"/>
                <w:szCs w:val="20"/>
                <w:color w:val="auto"/>
              </w:rPr>
            </w:pPr>
            <w:r>
              <w:rPr>
                <w:rFonts w:ascii="Arial" w:cs="Arial" w:eastAsia="Arial" w:hAnsi="Arial"/>
                <w:sz w:val="18"/>
                <w:szCs w:val="18"/>
                <w:color w:val="0000FF"/>
              </w:rPr>
              <w:t>Unregistered Sales of Equity Securities and Use of Proceeds</w:t>
            </w:r>
          </w:p>
        </w:tc>
        <w:tc>
          <w:tcPr>
            <w:tcW w:w="3900" w:type="dxa"/>
            <w:vAlign w:val="bottom"/>
            <w:gridSpan w:val="4"/>
          </w:tcPr>
          <w:p>
            <w:pPr>
              <w:jc w:val="right"/>
              <w:ind w:right="20"/>
              <w:spacing w:after="0" w:line="184" w:lineRule="exact"/>
              <w:rPr>
                <w:sz w:val="20"/>
                <w:szCs w:val="20"/>
                <w:color w:val="auto"/>
              </w:rPr>
            </w:pPr>
            <w:r>
              <w:rPr>
                <w:rFonts w:ascii="Arial" w:cs="Arial" w:eastAsia="Arial" w:hAnsi="Arial"/>
                <w:sz w:val="18"/>
                <w:szCs w:val="18"/>
                <w:color w:val="0000FF"/>
              </w:rPr>
              <w:t>55</w:t>
            </w: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rPr>
              <w:t>Item 6.</w:t>
            </w:r>
          </w:p>
        </w:tc>
        <w:tc>
          <w:tcPr>
            <w:tcW w:w="6520" w:type="dxa"/>
            <w:vAlign w:val="bottom"/>
            <w:gridSpan w:val="9"/>
            <w:shd w:val="clear" w:color="auto" w:fill="CCEEFF"/>
          </w:tcPr>
          <w:p>
            <w:pPr>
              <w:ind w:left="260"/>
              <w:spacing w:after="0" w:line="195" w:lineRule="exact"/>
              <w:rPr>
                <w:sz w:val="20"/>
                <w:szCs w:val="20"/>
                <w:color w:val="auto"/>
              </w:rPr>
            </w:pPr>
            <w:r>
              <w:rPr>
                <w:rFonts w:ascii="Arial" w:cs="Arial" w:eastAsia="Arial" w:hAnsi="Arial"/>
                <w:sz w:val="18"/>
                <w:szCs w:val="18"/>
                <w:color w:val="0000FF"/>
              </w:rPr>
              <w:t>Exhibits</w:t>
            </w:r>
          </w:p>
        </w:tc>
        <w:tc>
          <w:tcPr>
            <w:tcW w:w="3900" w:type="dxa"/>
            <w:vAlign w:val="bottom"/>
            <w:gridSpan w:val="4"/>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56</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800" w:type="dxa"/>
            <w:vAlign w:val="bottom"/>
            <w:gridSpan w:val="2"/>
          </w:tcPr>
          <w:p>
            <w:pPr>
              <w:spacing w:after="0" w:line="184" w:lineRule="exact"/>
              <w:rPr>
                <w:sz w:val="20"/>
                <w:szCs w:val="20"/>
                <w:color w:val="auto"/>
              </w:rPr>
            </w:pPr>
            <w:r>
              <w:rPr>
                <w:rFonts w:ascii="Arial" w:cs="Arial" w:eastAsia="Arial" w:hAnsi="Arial"/>
                <w:sz w:val="18"/>
                <w:szCs w:val="18"/>
                <w:b w:val="1"/>
                <w:bCs w:val="1"/>
                <w:color w:val="0000FF"/>
                <w:w w:val="83"/>
              </w:rPr>
              <w:t>Signatures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0000FF"/>
                <w:w w:val="79"/>
              </w:rPr>
              <w:t>59</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8" w:lineRule="exact"/>
        <w:rPr>
          <w:sz w:val="20"/>
          <w:szCs w:val="20"/>
          <w:color w:val="auto"/>
        </w:rPr>
      </w:pPr>
    </w:p>
    <w:p>
      <w:pPr>
        <w:jc w:val="both"/>
        <w:ind w:firstLine="195"/>
        <w:spacing w:after="0" w:line="278"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125" w:lineRule="exact"/>
        <w:rPr>
          <w:sz w:val="20"/>
          <w:szCs w:val="20"/>
          <w:color w:val="auto"/>
        </w:rPr>
      </w:pPr>
    </w:p>
    <w:p>
      <w:pPr>
        <w:jc w:val="both"/>
        <w:ind w:left="960" w:hanging="322"/>
        <w:spacing w:after="0" w:line="25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(including rising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w:t>
      </w:r>
    </w:p>
    <w:p>
      <w:pPr>
        <w:spacing w:after="0" w:line="138" w:lineRule="exact"/>
        <w:rPr>
          <w:rFonts w:ascii="Arial" w:cs="Arial" w:eastAsia="Arial" w:hAnsi="Arial"/>
          <w:sz w:val="18"/>
          <w:szCs w:val="18"/>
          <w:color w:val="auto"/>
        </w:rPr>
      </w:pPr>
    </w:p>
    <w:p>
      <w:pPr>
        <w:jc w:val="both"/>
        <w:ind w:left="960" w:hanging="322"/>
        <w:spacing w:after="0" w:line="248"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(LTV)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142" w:lineRule="exact"/>
        <w:rPr>
          <w:rFonts w:ascii="Arial" w:cs="Arial" w:eastAsia="Arial" w:hAnsi="Arial"/>
          <w:sz w:val="18"/>
          <w:szCs w:val="18"/>
          <w:color w:val="auto"/>
        </w:rPr>
      </w:pPr>
    </w:p>
    <w:p>
      <w:pPr>
        <w:ind w:left="960" w:hanging="322"/>
        <w:spacing w:after="0" w:line="26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127" w:lineRule="exact"/>
        <w:rPr>
          <w:rFonts w:ascii="Arial" w:cs="Arial" w:eastAsia="Arial" w:hAnsi="Arial"/>
          <w:sz w:val="18"/>
          <w:szCs w:val="18"/>
          <w:color w:val="auto"/>
        </w:rPr>
      </w:pPr>
    </w:p>
    <w:p>
      <w:pPr>
        <w:ind w:left="960" w:hanging="322"/>
        <w:spacing w:after="0" w:line="26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127" w:lineRule="exact"/>
        <w:rPr>
          <w:rFonts w:ascii="Arial" w:cs="Arial" w:eastAsia="Arial" w:hAnsi="Arial"/>
          <w:sz w:val="18"/>
          <w:szCs w:val="18"/>
          <w:color w:val="auto"/>
        </w:rPr>
      </w:pPr>
    </w:p>
    <w:p>
      <w:pPr>
        <w:ind w:left="960" w:hanging="32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61"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of existing competitors, including other private mortgage insurers and government mortgage insurers such as the Federal Housing Administration, the U.S. Department of Agriculture's Rural Housing Service and the U.S. Department of Veterans Affairs (collectively, government MIs), and potential market entry by new competitors or consolidation of existing competitors;</w:t>
      </w:r>
    </w:p>
    <w:p>
      <w:pPr>
        <w:spacing w:after="0" w:line="135"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135" w:lineRule="exact"/>
        <w:rPr>
          <w:rFonts w:ascii="Arial" w:cs="Arial" w:eastAsia="Arial" w:hAnsi="Arial"/>
          <w:sz w:val="18"/>
          <w:szCs w:val="18"/>
          <w:color w:val="auto"/>
        </w:rPr>
      </w:pPr>
    </w:p>
    <w:p>
      <w:pPr>
        <w:ind w:left="960" w:hanging="32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federal tax reform and other potential changes in tax law and their impact on us and our operations;</w:t>
      </w:r>
    </w:p>
    <w:p>
      <w:pPr>
        <w:spacing w:after="0" w:line="161" w:lineRule="exact"/>
        <w:rPr>
          <w:rFonts w:ascii="Arial" w:cs="Arial" w:eastAsia="Arial" w:hAnsi="Arial"/>
          <w:sz w:val="18"/>
          <w:szCs w:val="18"/>
          <w:color w:val="auto"/>
        </w:rPr>
      </w:pPr>
    </w:p>
    <w:p>
      <w:pPr>
        <w:ind w:left="960" w:hanging="322"/>
        <w:spacing w:after="0" w:line="26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industry in particular;</w:t>
      </w:r>
    </w:p>
    <w:p>
      <w:pPr>
        <w:spacing w:after="0" w:line="127" w:lineRule="exact"/>
        <w:rPr>
          <w:rFonts w:ascii="Arial" w:cs="Arial" w:eastAsia="Arial" w:hAnsi="Arial"/>
          <w:sz w:val="18"/>
          <w:szCs w:val="18"/>
          <w:color w:val="auto"/>
        </w:rPr>
      </w:pPr>
    </w:p>
    <w:p>
      <w:pPr>
        <w:ind w:left="960" w:hanging="322"/>
        <w:spacing w:after="0" w:line="26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3" w:name="page4"/>
    <w:bookmarkEnd w:id="3"/>
    <w:p>
      <w:pPr>
        <w:jc w:val="both"/>
        <w:ind w:left="960" w:hanging="322"/>
        <w:spacing w:after="0" w:line="25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relating to the coronavirus (COVID-19) virus and its variants or the measures taken by governmental authorities and other third-parties to contain the spread of COVID-19, including their impact on the global economy, the U.S. housing, real estate, housing finance and mortgage insurance markets, and our business, operations and personnel;</w:t>
      </w:r>
    </w:p>
    <w:p>
      <w:pPr>
        <w:spacing w:after="0" w:line="135" w:lineRule="exact"/>
        <w:rPr>
          <w:rFonts w:ascii="Arial" w:cs="Arial" w:eastAsia="Arial" w:hAnsi="Arial"/>
          <w:sz w:val="18"/>
          <w:szCs w:val="18"/>
          <w:color w:val="auto"/>
        </w:rPr>
      </w:pPr>
    </w:p>
    <w:p>
      <w:pPr>
        <w:ind w:left="960" w:hanging="322"/>
        <w:spacing w:after="0" w:line="325"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81" w:lineRule="exact"/>
        <w:rPr>
          <w:rFonts w:ascii="Arial" w:cs="Arial" w:eastAsia="Arial" w:hAnsi="Arial"/>
          <w:sz w:val="16"/>
          <w:szCs w:val="16"/>
          <w:color w:val="auto"/>
        </w:rPr>
      </w:pP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lenders, the GSEs, or other market participants seeking alternatives to private mortgage insurance;</w:t>
      </w:r>
    </w:p>
    <w:p>
      <w:pPr>
        <w:spacing w:after="0" w:line="161"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35" w:lineRule="exact"/>
        <w:rPr>
          <w:rFonts w:ascii="Arial" w:cs="Arial" w:eastAsia="Arial" w:hAnsi="Arial"/>
          <w:sz w:val="18"/>
          <w:szCs w:val="18"/>
          <w:color w:val="auto"/>
        </w:rPr>
      </w:pP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61" w:lineRule="exact"/>
        <w:rPr>
          <w:rFonts w:ascii="Arial" w:cs="Arial" w:eastAsia="Arial" w:hAnsi="Arial"/>
          <w:sz w:val="18"/>
          <w:szCs w:val="18"/>
          <w:color w:val="auto"/>
        </w:rPr>
      </w:pP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61" w:lineRule="exact"/>
        <w:rPr>
          <w:rFonts w:ascii="Arial" w:cs="Arial" w:eastAsia="Arial" w:hAnsi="Arial"/>
          <w:sz w:val="18"/>
          <w:szCs w:val="18"/>
          <w:color w:val="auto"/>
        </w:rPr>
      </w:pP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161" w:lineRule="exact"/>
        <w:rPr>
          <w:rFonts w:ascii="Arial" w:cs="Arial" w:eastAsia="Arial" w:hAnsi="Arial"/>
          <w:sz w:val="18"/>
          <w:szCs w:val="18"/>
          <w:color w:val="auto"/>
        </w:rPr>
      </w:pPr>
    </w:p>
    <w:p>
      <w:pPr>
        <w:ind w:left="960" w:hanging="32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84" w:lineRule="exact"/>
        <w:rPr>
          <w:rFonts w:ascii="Arial" w:cs="Arial" w:eastAsia="Arial" w:hAnsi="Arial"/>
          <w:sz w:val="16"/>
          <w:szCs w:val="16"/>
          <w:color w:val="auto"/>
        </w:rPr>
      </w:pPr>
    </w:p>
    <w:p>
      <w:pPr>
        <w:ind w:left="960" w:hanging="322"/>
        <w:spacing w:after="0" w:line="262"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127" w:lineRule="exact"/>
        <w:rPr>
          <w:rFonts w:ascii="Arial" w:cs="Arial" w:eastAsia="Arial" w:hAnsi="Arial"/>
          <w:sz w:val="18"/>
          <w:szCs w:val="18"/>
          <w:color w:val="auto"/>
        </w:rPr>
      </w:pP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climate risk and efforts to manage or regulate climate risk by government agencies could affect our business and operations;</w:t>
      </w:r>
    </w:p>
    <w:p>
      <w:pPr>
        <w:spacing w:after="0" w:line="161" w:lineRule="exact"/>
        <w:rPr>
          <w:rFonts w:ascii="Arial" w:cs="Arial" w:eastAsia="Arial" w:hAnsi="Arial"/>
          <w:sz w:val="18"/>
          <w:szCs w:val="18"/>
          <w:color w:val="auto"/>
        </w:rPr>
      </w:pPr>
    </w:p>
    <w:p>
      <w:pPr>
        <w:ind w:left="960" w:hanging="322"/>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adverse impacts arising from the occurrence of any man-made disasters or public health emergencies, including pandemics;</w:t>
      </w:r>
    </w:p>
    <w:p>
      <w:pPr>
        <w:spacing w:after="0" w:line="184" w:lineRule="exact"/>
        <w:rPr>
          <w:rFonts w:ascii="Arial" w:cs="Arial" w:eastAsia="Arial" w:hAnsi="Arial"/>
          <w:sz w:val="16"/>
          <w:szCs w:val="16"/>
          <w:color w:val="auto"/>
        </w:rPr>
      </w:pP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third-party reinsurers, to meet their obligations to us;</w:t>
      </w:r>
    </w:p>
    <w:p>
      <w:pPr>
        <w:spacing w:after="0" w:line="161" w:lineRule="exact"/>
        <w:rPr>
          <w:rFonts w:ascii="Arial" w:cs="Arial" w:eastAsia="Arial" w:hAnsi="Arial"/>
          <w:sz w:val="18"/>
          <w:szCs w:val="18"/>
          <w:color w:val="auto"/>
        </w:rPr>
      </w:pPr>
    </w:p>
    <w:p>
      <w:pPr>
        <w:ind w:left="960" w:hanging="322"/>
        <w:spacing w:after="0" w:line="262"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w:t>
      </w:r>
    </w:p>
    <w:p>
      <w:pPr>
        <w:spacing w:after="0" w:line="127"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confidential information); and</w:t>
      </w:r>
    </w:p>
    <w:p>
      <w:pPr>
        <w:spacing w:after="0" w:line="135" w:lineRule="exact"/>
        <w:rPr>
          <w:rFonts w:ascii="Arial" w:cs="Arial" w:eastAsia="Arial" w:hAnsi="Arial"/>
          <w:sz w:val="18"/>
          <w:szCs w:val="18"/>
          <w:color w:val="auto"/>
        </w:rPr>
      </w:pPr>
    </w:p>
    <w:p>
      <w:pPr>
        <w:ind w:left="960" w:hanging="32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62"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this Report and in Part I, Item 1A, of our Annual Report on Form 10-K for the year ended December 31, 2022 (2022 10-K), as subsequently updated in other reports we file from time to time with the U.S. Securities and Exchange Commission (SEC).</w:t>
      </w:r>
    </w:p>
    <w:p>
      <w:pPr>
        <w:spacing w:after="0" w:line="145"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 TO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Condensed Consolidated Balance Sheets as of June 30, 2023 (Unaudited) and December 31, 2022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FF"/>
              </w:rPr>
              <w:t>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10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1060" w:type="dxa"/>
            <w:vAlign w:val="bottom"/>
          </w:tcPr>
          <w:p>
            <w:pPr>
              <w:ind w:left="20"/>
              <w:spacing w:after="0" w:line="172" w:lineRule="exact"/>
              <w:rPr>
                <w:sz w:val="20"/>
                <w:szCs w:val="20"/>
                <w:color w:val="auto"/>
              </w:rPr>
            </w:pPr>
            <w:r>
              <w:rPr>
                <w:rFonts w:ascii="Arial" w:cs="Arial" w:eastAsia="Arial" w:hAnsi="Arial"/>
                <w:sz w:val="18"/>
                <w:szCs w:val="18"/>
                <w:color w:val="auto"/>
                <w:w w:val="93"/>
              </w:rPr>
              <w:t>Condensed Consolidated Statements of Operations and Comprehensive Income (Loss) for the three and six months ended June 30, 2023 and 2022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060" w:type="dxa"/>
            <w:vAlign w:val="bottom"/>
          </w:tcPr>
          <w:p>
            <w:pPr>
              <w:ind w:left="20"/>
              <w:spacing w:after="0" w:line="183" w:lineRule="exact"/>
              <w:rPr>
                <w:sz w:val="20"/>
                <w:szCs w:val="20"/>
                <w:color w:val="auto"/>
              </w:rPr>
            </w:pPr>
            <w:r>
              <w:rPr>
                <w:rFonts w:ascii="Arial" w:cs="Arial" w:eastAsia="Arial" w:hAnsi="Arial"/>
                <w:sz w:val="18"/>
                <w:szCs w:val="18"/>
                <w:color w:val="auto"/>
              </w:rPr>
              <w:t>(Unaudited)</w:t>
            </w:r>
          </w:p>
        </w:tc>
        <w:tc>
          <w:tcPr>
            <w:tcW w:w="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060" w:type="dxa"/>
            <w:vAlign w:val="bottom"/>
            <w:tcBorders>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Condensed Consolidated Statements of Changes in Shareholders' Equity for the three months ended June 30, 2023 and 2022 (Unaudited)</w:t>
            </w:r>
          </w:p>
        </w:tc>
        <w:tc>
          <w:tcPr>
            <w:tcW w:w="16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0000FF"/>
              </w:rPr>
              <w:t>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10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060" w:type="dxa"/>
            <w:vAlign w:val="bottom"/>
          </w:tcPr>
          <w:p>
            <w:pPr>
              <w:ind w:left="20"/>
              <w:spacing w:after="0" w:line="184" w:lineRule="exact"/>
              <w:rPr>
                <w:sz w:val="20"/>
                <w:szCs w:val="20"/>
                <w:color w:val="auto"/>
              </w:rPr>
            </w:pPr>
            <w:r>
              <w:rPr>
                <w:rFonts w:ascii="Arial" w:cs="Arial" w:eastAsia="Arial" w:hAnsi="Arial"/>
                <w:sz w:val="18"/>
                <w:szCs w:val="18"/>
                <w:color w:val="auto"/>
              </w:rPr>
              <w:t>Condensed Consolidated Statements of Cash Flows for the six months ended June 30, 2023 and 2022 (Unaudited)</w:t>
            </w: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10</w:t>
            </w:r>
          </w:p>
        </w:tc>
        <w:tc>
          <w:tcPr>
            <w:tcW w:w="0" w:type="dxa"/>
            <w:vAlign w:val="bottom"/>
          </w:tcPr>
          <w:p>
            <w:pPr>
              <w:spacing w:after="0"/>
              <w:rPr>
                <w:sz w:val="1"/>
                <w:szCs w:val="1"/>
                <w:color w:val="auto"/>
              </w:rPr>
            </w:pPr>
          </w:p>
        </w:tc>
      </w:tr>
      <w:tr>
        <w:trPr>
          <w:trHeight w:val="194"/>
        </w:trPr>
        <w:tc>
          <w:tcPr>
            <w:tcW w:w="11060" w:type="dxa"/>
            <w:vAlign w:val="bottom"/>
            <w:tcBorders>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Notes to Condensed Consolidated Financial Statements (Unaudited)</w:t>
            </w:r>
          </w:p>
        </w:tc>
        <w:tc>
          <w:tcPr>
            <w:tcW w:w="160" w:type="dxa"/>
            <w:vAlign w:val="bottom"/>
            <w:tcBorders>
              <w:top w:val="single" w:sz="8" w:color="0000FF"/>
            </w:tcBorders>
            <w:gridSpan w:val="2"/>
            <w:shd w:val="clear" w:color="auto" w:fill="CCEEFF"/>
          </w:tcPr>
          <w:p>
            <w:pPr>
              <w:jc w:val="right"/>
              <w:spacing w:after="0"/>
              <w:rPr>
                <w:sz w:val="20"/>
                <w:szCs w:val="20"/>
                <w:color w:val="auto"/>
              </w:rPr>
            </w:pPr>
            <w:r>
              <w:rPr>
                <w:rFonts w:ascii="Arial" w:cs="Arial" w:eastAsia="Arial" w:hAnsi="Arial"/>
                <w:sz w:val="16"/>
                <w:szCs w:val="16"/>
                <w:color w:val="0000FF"/>
                <w:w w:val="78"/>
              </w:rPr>
              <w:t>11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0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393"/>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4"/>
        </w:trPr>
        <w:tc>
          <w:tcPr>
            <w:tcW w:w="76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4"/>
          </w:tcPr>
          <w:p>
            <w:pPr>
              <w:jc w:val="right"/>
              <w:ind w:right="633"/>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86"/>
        </w:trPr>
        <w:tc>
          <w:tcPr>
            <w:tcW w:w="7660" w:type="dxa"/>
            <w:vAlign w:val="bottom"/>
            <w:shd w:val="clear" w:color="auto" w:fill="CCEEFF"/>
          </w:tcPr>
          <w:p>
            <w:pPr>
              <w:ind w:left="200"/>
              <w:spacing w:after="0" w:line="186" w:lineRule="exact"/>
              <w:rPr>
                <w:sz w:val="20"/>
                <w:szCs w:val="20"/>
                <w:color w:val="auto"/>
              </w:rPr>
            </w:pPr>
            <w:r>
              <w:rPr>
                <w:rFonts w:ascii="Arial" w:cs="Arial" w:eastAsia="Arial" w:hAnsi="Arial"/>
                <w:sz w:val="18"/>
                <w:szCs w:val="18"/>
                <w:color w:val="auto"/>
                <w:w w:val="93"/>
              </w:rPr>
              <w:t>Fixed maturities, available-for-sale, at fair value (amortized cost of $2,465,556 and $2,352,747 as of</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2023 and December 31, 2022, respectively)</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2,233,656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172"/>
        </w:trPr>
        <w:tc>
          <w:tcPr>
            <w:tcW w:w="7660" w:type="dxa"/>
            <w:vAlign w:val="bottom"/>
          </w:tcPr>
          <w:p>
            <w:pPr>
              <w:ind w:left="200"/>
              <w:spacing w:after="0" w:line="172" w:lineRule="exact"/>
              <w:rPr>
                <w:sz w:val="20"/>
                <w:szCs w:val="20"/>
                <w:color w:val="auto"/>
              </w:rPr>
            </w:pPr>
            <w:r>
              <w:rPr>
                <w:rFonts w:ascii="Arial" w:cs="Arial" w:eastAsia="Arial" w:hAnsi="Arial"/>
                <w:sz w:val="18"/>
                <w:szCs w:val="18"/>
                <w:color w:val="auto"/>
                <w:w w:val="93"/>
              </w:rPr>
              <w:t>Cash and cash equivalents (including restricted cash of $2,222 and $2,176 as of June 30, 2023 and</w:t>
            </w:r>
          </w:p>
        </w:tc>
        <w:tc>
          <w:tcPr>
            <w:tcW w:w="2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73,319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44,426</w:t>
            </w:r>
          </w:p>
        </w:tc>
        <w:tc>
          <w:tcPr>
            <w:tcW w:w="0" w:type="dxa"/>
            <w:vAlign w:val="bottom"/>
          </w:tcPr>
          <w:p>
            <w:pPr>
              <w:spacing w:after="0"/>
              <w:rPr>
                <w:sz w:val="1"/>
                <w:szCs w:val="1"/>
                <w:color w:val="auto"/>
              </w:rPr>
            </w:pPr>
          </w:p>
        </w:tc>
      </w:tr>
      <w:tr>
        <w:trPr>
          <w:trHeight w:val="229"/>
        </w:trPr>
        <w:tc>
          <w:tcPr>
            <w:tcW w:w="7660" w:type="dxa"/>
            <w:vAlign w:val="bottom"/>
          </w:tcPr>
          <w:p>
            <w:pPr>
              <w:ind w:left="200"/>
              <w:spacing w:after="0"/>
              <w:rPr>
                <w:sz w:val="20"/>
                <w:szCs w:val="20"/>
                <w:color w:val="auto"/>
              </w:rPr>
            </w:pPr>
            <w:r>
              <w:rPr>
                <w:rFonts w:ascii="Arial" w:cs="Arial" w:eastAsia="Arial" w:hAnsi="Arial"/>
                <w:sz w:val="18"/>
                <w:szCs w:val="18"/>
                <w:color w:val="auto"/>
              </w:rPr>
              <w:t>December 31, 2022, respectively)</w:t>
            </w:r>
          </w:p>
        </w:tc>
        <w:tc>
          <w:tcPr>
            <w:tcW w:w="2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receivable</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69,680</w:t>
            </w:r>
          </w:p>
        </w:tc>
        <w:tc>
          <w:tcPr>
            <w:tcW w:w="0" w:type="dxa"/>
            <w:vAlign w:val="bottom"/>
          </w:tcPr>
          <w:p>
            <w:pPr>
              <w:spacing w:after="0"/>
              <w:rPr>
                <w:sz w:val="1"/>
                <w:szCs w:val="1"/>
                <w:color w:val="auto"/>
              </w:rPr>
            </w:pPr>
          </w:p>
        </w:tc>
      </w:tr>
      <w:tr>
        <w:trPr>
          <w:trHeight w:val="224"/>
        </w:trPr>
        <w:tc>
          <w:tcPr>
            <w:tcW w:w="7660" w:type="dxa"/>
            <w:vAlign w:val="bottom"/>
          </w:tcPr>
          <w:p>
            <w:pPr>
              <w:ind w:left="20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14,144</w:t>
            </w: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58,564</w:t>
            </w:r>
          </w:p>
        </w:tc>
        <w:tc>
          <w:tcPr>
            <w:tcW w:w="0" w:type="dxa"/>
            <w:vAlign w:val="bottom"/>
          </w:tcPr>
          <w:p>
            <w:pPr>
              <w:spacing w:after="0"/>
              <w:rPr>
                <w:sz w:val="1"/>
                <w:szCs w:val="1"/>
                <w:color w:val="auto"/>
              </w:rPr>
            </w:pPr>
          </w:p>
        </w:tc>
      </w:tr>
      <w:tr>
        <w:trPr>
          <w:trHeight w:val="224"/>
        </w:trPr>
        <w:tc>
          <w:tcPr>
            <w:tcW w:w="7660" w:type="dxa"/>
            <w:vAlign w:val="bottom"/>
          </w:tcPr>
          <w:p>
            <w:pPr>
              <w:ind w:left="200"/>
              <w:spacing w:after="0"/>
              <w:rPr>
                <w:sz w:val="20"/>
                <w:szCs w:val="20"/>
                <w:color w:val="auto"/>
              </w:rPr>
            </w:pPr>
            <w:r>
              <w:rPr>
                <w:rFonts w:ascii="Arial" w:cs="Arial" w:eastAsia="Arial" w:hAnsi="Arial"/>
                <w:sz w:val="18"/>
                <w:szCs w:val="18"/>
                <w:color w:val="auto"/>
              </w:rPr>
              <w:t>Software and equipment, net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32,262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31,930</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and goodwill</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Reinsurance recoverable</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21,587</w:t>
            </w:r>
          </w:p>
        </w:tc>
        <w:tc>
          <w:tcPr>
            <w:tcW w:w="0" w:type="dxa"/>
            <w:vAlign w:val="bottom"/>
          </w:tcPr>
          <w:p>
            <w:pPr>
              <w:spacing w:after="0"/>
              <w:rPr>
                <w:sz w:val="1"/>
                <w:szCs w:val="1"/>
                <w:color w:val="auto"/>
              </w:rPr>
            </w:pPr>
          </w:p>
        </w:tc>
      </w:tr>
      <w:tr>
        <w:trPr>
          <w:trHeight w:val="231"/>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federal income taxes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0" w:type="dxa"/>
            <w:vAlign w:val="bottom"/>
          </w:tcPr>
          <w:p>
            <w:pPr>
              <w:spacing w:after="0"/>
              <w:rPr>
                <w:sz w:val="1"/>
                <w:szCs w:val="1"/>
                <w:color w:val="auto"/>
              </w:rPr>
            </w:pPr>
          </w:p>
        </w:tc>
      </w:tr>
      <w:tr>
        <w:trPr>
          <w:trHeight w:val="224"/>
        </w:trPr>
        <w:tc>
          <w:tcPr>
            <w:tcW w:w="76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17,625</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18,267</w:t>
            </w:r>
          </w:p>
        </w:tc>
        <w:tc>
          <w:tcPr>
            <w:tcW w:w="0" w:type="dxa"/>
            <w:vAlign w:val="bottom"/>
          </w:tcPr>
          <w:p>
            <w:pPr>
              <w:spacing w:after="0"/>
              <w:rPr>
                <w:sz w:val="1"/>
                <w:szCs w:val="1"/>
                <w:color w:val="auto"/>
              </w:rPr>
            </w:pPr>
          </w:p>
        </w:tc>
      </w:tr>
      <w:tr>
        <w:trPr>
          <w:trHeight w:val="25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2,689,850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00"/>
              <w:spacing w:after="0"/>
              <w:rPr>
                <w:sz w:val="20"/>
                <w:szCs w:val="20"/>
                <w:color w:val="auto"/>
              </w:rPr>
            </w:pPr>
            <w:r>
              <w:rPr>
                <w:rFonts w:ascii="Arial" w:cs="Arial" w:eastAsia="Arial" w:hAnsi="Arial"/>
                <w:sz w:val="18"/>
                <w:szCs w:val="18"/>
                <w:color w:val="auto"/>
              </w:rPr>
              <w:t>Debt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396,808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396,051</w:t>
            </w: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premiums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123,035</w:t>
            </w:r>
          </w:p>
        </w:tc>
        <w:tc>
          <w:tcPr>
            <w:tcW w:w="0" w:type="dxa"/>
            <w:vAlign w:val="bottom"/>
          </w:tcPr>
          <w:p>
            <w:pPr>
              <w:spacing w:after="0"/>
              <w:rPr>
                <w:sz w:val="1"/>
                <w:szCs w:val="1"/>
                <w:color w:val="auto"/>
              </w:rPr>
            </w:pPr>
          </w:p>
        </w:tc>
      </w:tr>
      <w:tr>
        <w:trPr>
          <w:trHeight w:val="224"/>
        </w:trPr>
        <w:tc>
          <w:tcPr>
            <w:tcW w:w="766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72,506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74,576</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 for insurance claims and claim expenses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0" w:type="dxa"/>
            <w:vAlign w:val="bottom"/>
          </w:tcPr>
          <w:p>
            <w:pPr>
              <w:spacing w:after="0"/>
              <w:rPr>
                <w:sz w:val="1"/>
                <w:szCs w:val="1"/>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Reinsurance funds withheld</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31"/>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liability, net</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242,144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193,859</w:t>
            </w:r>
          </w:p>
        </w:tc>
        <w:tc>
          <w:tcPr>
            <w:tcW w:w="0" w:type="dxa"/>
            <w:vAlign w:val="bottom"/>
          </w:tcPr>
          <w:p>
            <w:pPr>
              <w:spacing w:after="0"/>
              <w:rPr>
                <w:sz w:val="1"/>
                <w:szCs w:val="1"/>
                <w:color w:val="auto"/>
              </w:rPr>
            </w:pPr>
          </w:p>
        </w:tc>
      </w:tr>
      <w:tr>
        <w:trPr>
          <w:trHeight w:val="224"/>
        </w:trPr>
        <w:tc>
          <w:tcPr>
            <w:tcW w:w="766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940,895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902,303</w:t>
            </w: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line="203" w:lineRule="exact"/>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00"/>
              <w:spacing w:after="0" w:line="172" w:lineRule="exact"/>
              <w:rPr>
                <w:sz w:val="20"/>
                <w:szCs w:val="20"/>
                <w:color w:val="auto"/>
              </w:rPr>
            </w:pPr>
            <w:r>
              <w:rPr>
                <w:rFonts w:ascii="Arial" w:cs="Arial" w:eastAsia="Arial" w:hAnsi="Arial"/>
                <w:sz w:val="18"/>
                <w:szCs w:val="18"/>
                <w:color w:val="auto"/>
                <w:w w:val="93"/>
              </w:rPr>
              <w:t>Common stock - class A shares, $0.01 par value; 86,925,030 shares issued and 82,289,763 shares</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200"/>
              <w:spacing w:after="0" w:line="184" w:lineRule="exact"/>
              <w:rPr>
                <w:sz w:val="20"/>
                <w:szCs w:val="20"/>
                <w:color w:val="auto"/>
              </w:rPr>
            </w:pPr>
            <w:r>
              <w:rPr>
                <w:rFonts w:ascii="Arial" w:cs="Arial" w:eastAsia="Arial" w:hAnsi="Arial"/>
                <w:sz w:val="18"/>
                <w:szCs w:val="18"/>
                <w:color w:val="auto"/>
                <w:w w:val="89"/>
              </w:rPr>
              <w:t>outstanding as of June 30, 2023 and 86,472,742 shares issued and 83,549,879 shares outstanding as of</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2022 (250,000,000 shares authorized)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4"/>
        </w:trPr>
        <w:tc>
          <w:tcPr>
            <w:tcW w:w="76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977,295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972,717</w:t>
            </w:r>
          </w:p>
        </w:tc>
        <w:tc>
          <w:tcPr>
            <w:tcW w:w="0" w:type="dxa"/>
            <w:vAlign w:val="bottom"/>
          </w:tcPr>
          <w:p>
            <w:pPr>
              <w:spacing w:after="0"/>
              <w:rPr>
                <w:sz w:val="1"/>
                <w:szCs w:val="1"/>
                <w:color w:val="auto"/>
              </w:rPr>
            </w:pPr>
          </w:p>
        </w:tc>
      </w:tr>
      <w:tr>
        <w:trPr>
          <w:trHeight w:val="186"/>
        </w:trPr>
        <w:tc>
          <w:tcPr>
            <w:tcW w:w="7660" w:type="dxa"/>
            <w:vAlign w:val="bottom"/>
            <w:shd w:val="clear" w:color="auto" w:fill="CCEEFF"/>
          </w:tcPr>
          <w:p>
            <w:pPr>
              <w:ind w:left="200"/>
              <w:spacing w:after="0" w:line="186" w:lineRule="exact"/>
              <w:rPr>
                <w:sz w:val="20"/>
                <w:szCs w:val="20"/>
                <w:color w:val="auto"/>
              </w:rPr>
            </w:pPr>
            <w:r>
              <w:rPr>
                <w:rFonts w:ascii="Arial" w:cs="Arial" w:eastAsia="Arial" w:hAnsi="Arial"/>
                <w:sz w:val="18"/>
                <w:szCs w:val="18"/>
                <w:color w:val="auto"/>
                <w:w w:val="88"/>
              </w:rPr>
              <w:t>Treasury Stock, at cost: 4,635,267 and 2,922,863 common shares as of June 30, 2023 and December 31,</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2022, respectively</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0" w:type="dxa"/>
            <w:vAlign w:val="bottom"/>
          </w:tcPr>
          <w:p>
            <w:pPr>
              <w:spacing w:after="0"/>
              <w:rPr>
                <w:sz w:val="1"/>
                <w:szCs w:val="1"/>
                <w:color w:val="auto"/>
              </w:rPr>
            </w:pPr>
          </w:p>
        </w:tc>
      </w:tr>
      <w:tr>
        <w:trPr>
          <w:trHeight w:val="224"/>
        </w:trPr>
        <w:tc>
          <w:tcPr>
            <w:tcW w:w="7660" w:type="dxa"/>
            <w:vAlign w:val="bottom"/>
          </w:tcPr>
          <w:p>
            <w:pPr>
              <w:ind w:left="20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(187,320)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(204,323)</w:t>
            </w:r>
          </w:p>
        </w:tc>
        <w:tc>
          <w:tcPr>
            <w:tcW w:w="0" w:type="dxa"/>
            <w:vAlign w:val="bottom"/>
          </w:tcPr>
          <w:p>
            <w:pPr>
              <w:spacing w:after="0"/>
              <w:rPr>
                <w:sz w:val="1"/>
                <w:szCs w:val="1"/>
                <w:color w:val="auto"/>
              </w:rPr>
            </w:pPr>
          </w:p>
        </w:tc>
      </w:tr>
      <w:tr>
        <w:trPr>
          <w:trHeight w:val="224"/>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1,055,785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901,043</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1,748,955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1,613,727</w:t>
            </w: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2,689,850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64770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127" w:right="339" w:bottom="1440" w:gutter="0" w:footer="0" w:header="0"/>
        </w:sectPr>
      </w:pPr>
    </w:p>
    <w:bookmarkStart w:id="6" w:name="page7"/>
    <w:bookmarkEnd w:id="6"/>
    <w:p>
      <w:pPr>
        <w:jc w:val="center"/>
        <w:ind w:right="220"/>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ONDENSED CONSOLIDATED STATEMENTS OF OPERATIONS AND COMPREHENSIVE INCOME (LOSS)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20" w:type="dxa"/>
            <w:vAlign w:val="bottom"/>
          </w:tcPr>
          <w:p>
            <w:pPr>
              <w:spacing w:after="0"/>
              <w:rPr>
                <w:sz w:val="15"/>
                <w:szCs w:val="15"/>
                <w:color w:val="auto"/>
              </w:rPr>
            </w:pPr>
          </w:p>
        </w:tc>
        <w:tc>
          <w:tcPr>
            <w:tcW w:w="238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w w:val="92"/>
              </w:rPr>
              <w:t>For the three months ended June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89"/>
              </w:rPr>
              <w:t>For the six months ended June 30,</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2"/>
        </w:trPr>
        <w:tc>
          <w:tcPr>
            <w:tcW w:w="5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i w:val="1"/>
                <w:iCs w:val="1"/>
                <w:color w:val="auto"/>
                <w:w w:val="90"/>
              </w:rPr>
              <w:t>(In Thousands, except for per share data)</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125,985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120,870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247,739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237,365</w:t>
            </w: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Net realized investment gains (losses)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7"/>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142,685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279,464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259,661</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Insurance claims and claim expenses (benefits)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Underwriting and operating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63,635</w:t>
            </w: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Service expenses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Gain from change in fair value of warrant liability</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75,725</w:t>
            </w: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183,936</w:t>
            </w:r>
          </w:p>
        </w:tc>
        <w:tc>
          <w:tcPr>
            <w:tcW w:w="0" w:type="dxa"/>
            <w:vAlign w:val="bottom"/>
          </w:tcPr>
          <w:p>
            <w:pPr>
              <w:spacing w:after="0"/>
              <w:rPr>
                <w:sz w:val="1"/>
                <w:szCs w:val="1"/>
                <w:color w:val="auto"/>
              </w:rPr>
            </w:pPr>
          </w:p>
        </w:tc>
      </w:tr>
      <w:tr>
        <w:trPr>
          <w:trHeight w:val="224"/>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40,812</w:t>
            </w: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80,284</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0.97</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63"/>
        </w:trPr>
        <w:tc>
          <w:tcPr>
            <w:tcW w:w="5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92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82,958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83,277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85,842</w:t>
            </w: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86,943</w:t>
            </w:r>
          </w:p>
        </w:tc>
        <w:tc>
          <w:tcPr>
            <w:tcW w:w="0" w:type="dxa"/>
            <w:vAlign w:val="bottom"/>
          </w:tcPr>
          <w:p>
            <w:pPr>
              <w:spacing w:after="0"/>
              <w:rPr>
                <w:sz w:val="1"/>
                <w:szCs w:val="1"/>
                <w:color w:val="auto"/>
              </w:rPr>
            </w:pPr>
          </w:p>
        </w:tc>
      </w:tr>
      <w:tr>
        <w:trPr>
          <w:trHeight w:val="263"/>
        </w:trPr>
        <w:tc>
          <w:tcPr>
            <w:tcW w:w="5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80,284</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143,124</w:t>
            </w:r>
          </w:p>
        </w:tc>
        <w:tc>
          <w:tcPr>
            <w:tcW w:w="0" w:type="dxa"/>
            <w:vAlign w:val="bottom"/>
          </w:tcPr>
          <w:p>
            <w:pPr>
              <w:spacing w:after="0"/>
              <w:rPr>
                <w:sz w:val="1"/>
                <w:szCs w:val="1"/>
                <w:color w:val="auto"/>
              </w:rPr>
            </w:pPr>
          </w:p>
        </w:tc>
      </w:tr>
      <w:tr>
        <w:trPr>
          <w:trHeight w:val="224"/>
        </w:trPr>
        <w:tc>
          <w:tcPr>
            <w:tcW w:w="592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9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0"/>
              </w:rPr>
              <w:t>Unrealized (losses) gains in accumulated other comprehensive (loss) income, net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9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w w:val="95"/>
              </w:rPr>
              <w:t>of tax (benefit) expense of $(4,120) and $(17,004) for the three months ended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2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5"/>
              </w:rPr>
              <w:t>June 30, 2023 and 2022, and $4,513 and $(43,180) for the six months ended</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(63,967)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(162,438)</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2023 and 2022, respectively</w:t>
            </w: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920" w:type="dxa"/>
            <w:vAlign w:val="bottom"/>
          </w:tcPr>
          <w:p>
            <w:pPr>
              <w:ind w:left="20"/>
              <w:spacing w:after="0" w:line="172" w:lineRule="exact"/>
              <w:rPr>
                <w:sz w:val="20"/>
                <w:szCs w:val="20"/>
                <w:color w:val="auto"/>
              </w:rPr>
            </w:pPr>
            <w:r>
              <w:rPr>
                <w:rFonts w:ascii="Arial" w:cs="Arial" w:eastAsia="Arial" w:hAnsi="Arial"/>
                <w:sz w:val="18"/>
                <w:szCs w:val="18"/>
                <w:color w:val="auto"/>
                <w:w w:val="90"/>
              </w:rPr>
              <w:t>Reclassification adjustment for realized (gains) losses included in net income, net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920" w:type="dxa"/>
            <w:vAlign w:val="bottom"/>
          </w:tcPr>
          <w:p>
            <w:pPr>
              <w:ind w:left="20"/>
              <w:spacing w:after="0" w:line="184" w:lineRule="exact"/>
              <w:rPr>
                <w:sz w:val="20"/>
                <w:szCs w:val="20"/>
                <w:color w:val="auto"/>
              </w:rPr>
            </w:pPr>
            <w:r>
              <w:rPr>
                <w:rFonts w:ascii="Arial" w:cs="Arial" w:eastAsia="Arial" w:hAnsi="Arial"/>
                <w:sz w:val="18"/>
                <w:szCs w:val="18"/>
                <w:color w:val="auto"/>
                <w:w w:val="91"/>
              </w:rPr>
              <w:t>of tax expense (benefit) of $0 and $11 for the three months ended June 30, 2023</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920" w:type="dxa"/>
            <w:vAlign w:val="bottom"/>
          </w:tcPr>
          <w:p>
            <w:pPr>
              <w:ind w:left="20"/>
              <w:spacing w:after="0" w:line="171" w:lineRule="exact"/>
              <w:rPr>
                <w:sz w:val="20"/>
                <w:szCs w:val="20"/>
                <w:color w:val="auto"/>
              </w:rPr>
            </w:pPr>
            <w:r>
              <w:rPr>
                <w:rFonts w:ascii="Arial" w:cs="Arial" w:eastAsia="Arial" w:hAnsi="Arial"/>
                <w:sz w:val="18"/>
                <w:szCs w:val="18"/>
                <w:color w:val="auto"/>
                <w:w w:val="93"/>
              </w:rPr>
              <w:t>and 2022, and $(7) and $97 for the six months ended June 30, 2023 and 2022,</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(162,805)</w:t>
            </w:r>
          </w:p>
        </w:tc>
        <w:tc>
          <w:tcPr>
            <w:tcW w:w="0" w:type="dxa"/>
            <w:vAlign w:val="bottom"/>
          </w:tcPr>
          <w:p>
            <w:pPr>
              <w:spacing w:after="0"/>
              <w:rPr>
                <w:sz w:val="1"/>
                <w:szCs w:val="1"/>
                <w:color w:val="auto"/>
              </w:rPr>
            </w:pPr>
          </w:p>
        </w:tc>
      </w:tr>
      <w:tr>
        <w:trPr>
          <w:trHeight w:val="231"/>
        </w:trPr>
        <w:tc>
          <w:tcPr>
            <w:tcW w:w="59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64,785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11,433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171,745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(19,681)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540" w:top="12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980" w:type="dxa"/>
            <w:vAlign w:val="bottom"/>
            <w:gridSpan w:val="3"/>
            <w:vMerge w:val="restart"/>
          </w:tcPr>
          <w:p>
            <w:pPr>
              <w:jc w:val="right"/>
              <w:ind w:right="153"/>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Accumulated 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right"/>
              <w:ind w:right="74"/>
              <w:spacing w:after="0" w:line="112"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9"/>
                <w:szCs w:val="9"/>
                <w:color w:val="auto"/>
              </w:rPr>
            </w:pPr>
          </w:p>
        </w:tc>
        <w:tc>
          <w:tcPr>
            <w:tcW w:w="780" w:type="dxa"/>
            <w:vAlign w:val="bottom"/>
            <w:vMerge w:val="restart"/>
          </w:tcPr>
          <w:p>
            <w:pPr>
              <w:ind w:left="40"/>
              <w:spacing w:after="0" w:line="112" w:lineRule="exact"/>
              <w:rPr>
                <w:sz w:val="20"/>
                <w:szCs w:val="20"/>
                <w:color w:val="auto"/>
              </w:rPr>
            </w:pPr>
            <w:r>
              <w:rPr>
                <w:rFonts w:ascii="Arial" w:cs="Arial" w:eastAsia="Arial" w:hAnsi="Arial"/>
                <w:sz w:val="12"/>
                <w:szCs w:val="12"/>
                <w:b w:val="1"/>
                <w:bCs w:val="1"/>
                <w:color w:val="auto"/>
              </w:rPr>
              <w:t>Treasury</w:t>
            </w:r>
          </w:p>
        </w:tc>
        <w:tc>
          <w:tcPr>
            <w:tcW w:w="140" w:type="dxa"/>
            <w:vAlign w:val="bottom"/>
          </w:tcPr>
          <w:p>
            <w:pPr>
              <w:spacing w:after="0"/>
              <w:rPr>
                <w:sz w:val="9"/>
                <w:szCs w:val="9"/>
                <w:color w:val="auto"/>
              </w:rPr>
            </w:pPr>
          </w:p>
        </w:tc>
        <w:tc>
          <w:tcPr>
            <w:tcW w:w="1120" w:type="dxa"/>
            <w:vAlign w:val="bottom"/>
            <w:vMerge w:val="restart"/>
          </w:tcPr>
          <w:p>
            <w:pPr>
              <w:jc w:val="right"/>
              <w:ind w:right="75"/>
              <w:spacing w:after="0" w:line="112"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9"/>
                <w:szCs w:val="9"/>
                <w:color w:val="auto"/>
              </w:rPr>
            </w:pPr>
          </w:p>
        </w:tc>
        <w:tc>
          <w:tcPr>
            <w:tcW w:w="860" w:type="dxa"/>
            <w:vAlign w:val="bottom"/>
            <w:vMerge w:val="restart"/>
          </w:tcPr>
          <w:p>
            <w:pPr>
              <w:jc w:val="right"/>
              <w:ind w:right="155"/>
              <w:spacing w:after="0" w:line="112" w:lineRule="exact"/>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5"/>
                <w:szCs w:val="15"/>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1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Paid-in Capital  Stock, At Cost</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3"/>
          </w:tcPr>
          <w:p>
            <w:pPr>
              <w:ind w:left="1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(56,575)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901,043</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1,613,727</w:t>
            </w:r>
          </w:p>
        </w:tc>
        <w:tc>
          <w:tcPr>
            <w:tcW w:w="0" w:type="dxa"/>
            <w:vAlign w:val="bottom"/>
          </w:tcPr>
          <w:p>
            <w:pPr>
              <w:spacing w:after="0"/>
              <w:rPr>
                <w:sz w:val="1"/>
                <w:szCs w:val="1"/>
                <w:color w:val="auto"/>
              </w:rPr>
            </w:pPr>
          </w:p>
        </w:tc>
      </w:tr>
      <w:tr>
        <w:trPr>
          <w:trHeight w:val="185"/>
        </w:trPr>
        <w:tc>
          <w:tcPr>
            <w:tcW w:w="3860" w:type="dxa"/>
            <w:vAlign w:val="bottom"/>
          </w:tcPr>
          <w:p>
            <w:pPr>
              <w:ind w:left="20"/>
              <w:spacing w:after="0" w:line="185" w:lineRule="exact"/>
              <w:rPr>
                <w:sz w:val="20"/>
                <w:szCs w:val="20"/>
                <w:color w:val="auto"/>
              </w:rPr>
            </w:pPr>
            <w:r>
              <w:rPr>
                <w:rFonts w:ascii="Arial" w:cs="Arial" w:eastAsia="Arial" w:hAnsi="Arial"/>
                <w:sz w:val="18"/>
                <w:szCs w:val="18"/>
                <w:color w:val="auto"/>
                <w:w w:val="94"/>
              </w:rPr>
              <w:t>Common stock: class A shares issued under stock</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w w:val="99"/>
              </w:rPr>
              <w:t>plans, net of shares withheld for employee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(2,610)</w:t>
            </w:r>
          </w:p>
        </w:tc>
        <w:tc>
          <w:tcPr>
            <w:tcW w:w="1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(14,862)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3,492</w:t>
            </w:r>
          </w:p>
        </w:tc>
        <w:tc>
          <w:tcPr>
            <w:tcW w:w="16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179"/>
        </w:trPr>
        <w:tc>
          <w:tcPr>
            <w:tcW w:w="386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90"/>
              </w:rPr>
              <w:t>Change in unrealized investment gains/losses, net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32,502</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32,502</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of $8,640</w:t>
            </w:r>
          </w:p>
        </w:tc>
        <w:tc>
          <w:tcPr>
            <w:tcW w:w="9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74,458</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74,458</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Balances, March 31, 2023</w:t>
            </w:r>
          </w:p>
        </w:tc>
        <w:tc>
          <w:tcPr>
            <w:tcW w:w="9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83,280</w:t>
            </w: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869</w:t>
            </w:r>
          </w:p>
        </w:tc>
        <w:tc>
          <w:tcPr>
            <w:tcW w:w="140" w:type="dxa"/>
            <w:vAlign w:val="bottom"/>
            <w:tcBorders>
              <w:bottom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973,599</w:t>
            </w: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160"/>
              <w:spacing w:after="0" w:line="191" w:lineRule="exact"/>
              <w:rPr>
                <w:sz w:val="20"/>
                <w:szCs w:val="20"/>
                <w:color w:val="auto"/>
              </w:rPr>
            </w:pPr>
            <w:r>
              <w:rPr>
                <w:rFonts w:ascii="Arial" w:cs="Arial" w:eastAsia="Arial" w:hAnsi="Arial"/>
                <w:sz w:val="18"/>
                <w:szCs w:val="18"/>
                <w:color w:val="auto"/>
                <w:w w:val="89"/>
              </w:rPr>
              <w:t>(71,437)</w:t>
            </w:r>
          </w:p>
        </w:tc>
        <w:tc>
          <w:tcPr>
            <w:tcW w:w="140" w:type="dxa"/>
            <w:vAlign w:val="bottom"/>
            <w:tcBorders>
              <w:bottom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(171,821)</w:t>
            </w: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975,501</w:t>
            </w:r>
          </w:p>
        </w:tc>
        <w:tc>
          <w:tcPr>
            <w:tcW w:w="260" w:type="dxa"/>
            <w:vAlign w:val="bottom"/>
            <w:tcBorders>
              <w:bottom w:val="single" w:sz="8" w:color="auto"/>
            </w:tcBorders>
            <w:shd w:val="clear" w:color="auto" w:fill="CCEEFF"/>
          </w:tcPr>
          <w:p>
            <w:pPr>
              <w:jc w:val="right"/>
              <w:ind w:right="52"/>
              <w:spacing w:after="0" w:line="191"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1,706,711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color w:val="auto"/>
                <w:w w:val="94"/>
              </w:rPr>
              <w:t>Common stock: class A shares issued under stock</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860" w:type="dxa"/>
            <w:vAlign w:val="bottom"/>
            <w:vMerge w:val="continue"/>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0"/>
                <w:szCs w:val="10"/>
                <w:color w:val="auto"/>
              </w:rPr>
            </w:pPr>
          </w:p>
        </w:tc>
        <w:tc>
          <w:tcPr>
            <w:tcW w:w="780" w:type="dxa"/>
            <w:vAlign w:val="bottom"/>
            <w:vMerge w:val="restart"/>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w w:val="99"/>
              </w:rPr>
              <w:t>plans, net of shares withheld for employee taxes</w:t>
            </w:r>
          </w:p>
        </w:tc>
        <w:tc>
          <w:tcPr>
            <w:tcW w:w="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(26,238)</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(26,238)</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3,676</w:t>
            </w:r>
          </w:p>
        </w:tc>
        <w:tc>
          <w:tcPr>
            <w:tcW w:w="1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186"/>
        </w:trPr>
        <w:tc>
          <w:tcPr>
            <w:tcW w:w="386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w w:val="90"/>
              </w:rPr>
              <w:t>Change in unrealized investment gains/losses, net of</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of $4,120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80,284</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80,284</w:t>
            </w:r>
          </w:p>
        </w:tc>
        <w:tc>
          <w:tcPr>
            <w:tcW w:w="0" w:type="dxa"/>
            <w:vAlign w:val="bottom"/>
          </w:tcPr>
          <w:p>
            <w:pPr>
              <w:spacing w:after="0"/>
              <w:rPr>
                <w:sz w:val="1"/>
                <w:szCs w:val="1"/>
                <w:color w:val="auto"/>
              </w:rPr>
            </w:pPr>
          </w:p>
        </w:tc>
      </w:tr>
      <w:tr>
        <w:trPr>
          <w:trHeight w:val="25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9"/>
              </w:rPr>
              <w:t>(97,675)</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1,055,785</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1,748,955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ectPr>
          <w:pgSz w:w="11900" w:h="16838" w:orient="portrait"/>
          <w:cols w:equalWidth="0" w:num="1">
            <w:col w:w="11220"/>
          </w:cols>
          <w:pgMar w:left="34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93980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127"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980" w:type="dxa"/>
            <w:vAlign w:val="bottom"/>
            <w:gridSpan w:val="3"/>
            <w:vMerge w:val="restart"/>
          </w:tcPr>
          <w:p>
            <w:pPr>
              <w:jc w:val="right"/>
              <w:ind w:right="153"/>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Accumulated 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74"/>
              <w:spacing w:after="0" w:line="112"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9"/>
                <w:szCs w:val="9"/>
                <w:color w:val="auto"/>
              </w:rPr>
            </w:pPr>
          </w:p>
        </w:tc>
        <w:tc>
          <w:tcPr>
            <w:tcW w:w="780" w:type="dxa"/>
            <w:vAlign w:val="bottom"/>
            <w:vMerge w:val="restart"/>
          </w:tcPr>
          <w:p>
            <w:pPr>
              <w:ind w:left="40"/>
              <w:spacing w:after="0" w:line="112" w:lineRule="exact"/>
              <w:rPr>
                <w:sz w:val="20"/>
                <w:szCs w:val="20"/>
                <w:color w:val="auto"/>
              </w:rPr>
            </w:pPr>
            <w:r>
              <w:rPr>
                <w:rFonts w:ascii="Arial" w:cs="Arial" w:eastAsia="Arial" w:hAnsi="Arial"/>
                <w:sz w:val="12"/>
                <w:szCs w:val="12"/>
                <w:b w:val="1"/>
                <w:bCs w:val="1"/>
                <w:color w:val="auto"/>
              </w:rPr>
              <w:t>Treasury</w:t>
            </w:r>
          </w:p>
        </w:tc>
        <w:tc>
          <w:tcPr>
            <w:tcW w:w="140" w:type="dxa"/>
            <w:vAlign w:val="bottom"/>
          </w:tcPr>
          <w:p>
            <w:pPr>
              <w:spacing w:after="0"/>
              <w:rPr>
                <w:sz w:val="9"/>
                <w:szCs w:val="9"/>
                <w:color w:val="auto"/>
              </w:rPr>
            </w:pPr>
          </w:p>
        </w:tc>
        <w:tc>
          <w:tcPr>
            <w:tcW w:w="1120" w:type="dxa"/>
            <w:vAlign w:val="bottom"/>
            <w:vMerge w:val="restart"/>
          </w:tcPr>
          <w:p>
            <w:pPr>
              <w:jc w:val="right"/>
              <w:ind w:right="75"/>
              <w:spacing w:after="0" w:line="112"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9"/>
                <w:szCs w:val="9"/>
                <w:color w:val="auto"/>
              </w:rPr>
            </w:pPr>
          </w:p>
        </w:tc>
        <w:tc>
          <w:tcPr>
            <w:tcW w:w="840" w:type="dxa"/>
            <w:vAlign w:val="bottom"/>
            <w:vMerge w:val="restart"/>
          </w:tcPr>
          <w:p>
            <w:pPr>
              <w:jc w:val="right"/>
              <w:ind w:right="155"/>
              <w:spacing w:after="0" w:line="112" w:lineRule="exact"/>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5"/>
                <w:szCs w:val="15"/>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Paid-in Capital</w:t>
            </w: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Stock, At Cost</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Income (Loss)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3"/>
          </w:tcPr>
          <w:p>
            <w:pPr>
              <w:jc w:val="right"/>
              <w:ind w:right="975"/>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955,302</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608,141</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1,565,786</w:t>
            </w:r>
          </w:p>
        </w:tc>
        <w:tc>
          <w:tcPr>
            <w:tcW w:w="0" w:type="dxa"/>
            <w:vAlign w:val="bottom"/>
          </w:tcPr>
          <w:p>
            <w:pPr>
              <w:spacing w:after="0"/>
              <w:rPr>
                <w:sz w:val="1"/>
                <w:szCs w:val="1"/>
                <w:color w:val="auto"/>
              </w:rPr>
            </w:pPr>
          </w:p>
        </w:tc>
      </w:tr>
      <w:tr>
        <w:trPr>
          <w:trHeight w:val="185"/>
        </w:trPr>
        <w:tc>
          <w:tcPr>
            <w:tcW w:w="3860" w:type="dxa"/>
            <w:vAlign w:val="bottom"/>
          </w:tcPr>
          <w:p>
            <w:pPr>
              <w:ind w:left="20"/>
              <w:spacing w:after="0" w:line="185" w:lineRule="exact"/>
              <w:rPr>
                <w:sz w:val="20"/>
                <w:szCs w:val="20"/>
                <w:color w:val="auto"/>
              </w:rPr>
            </w:pPr>
            <w:r>
              <w:rPr>
                <w:rFonts w:ascii="Arial" w:cs="Arial" w:eastAsia="Arial" w:hAnsi="Arial"/>
                <w:sz w:val="18"/>
                <w:szCs w:val="18"/>
                <w:color w:val="auto"/>
                <w:w w:val="99"/>
              </w:rPr>
              <w:t>Common stock: class A shares issued related to</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4"/>
              </w:rPr>
              <w:t>Common stock: class A shares issued under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plans, net of shares withheld for employee taxes</w:t>
            </w:r>
          </w:p>
        </w:tc>
        <w:tc>
          <w:tcPr>
            <w:tcW w:w="9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185"/>
        </w:trPr>
        <w:tc>
          <w:tcPr>
            <w:tcW w:w="3860" w:type="dxa"/>
            <w:vAlign w:val="bottom"/>
          </w:tcPr>
          <w:p>
            <w:pPr>
              <w:ind w:left="20"/>
              <w:spacing w:after="0" w:line="185" w:lineRule="exact"/>
              <w:rPr>
                <w:sz w:val="20"/>
                <w:szCs w:val="20"/>
                <w:color w:val="auto"/>
              </w:rPr>
            </w:pPr>
            <w:r>
              <w:rPr>
                <w:rFonts w:ascii="Arial" w:cs="Arial" w:eastAsia="Arial" w:hAnsi="Arial"/>
                <w:sz w:val="18"/>
                <w:szCs w:val="18"/>
                <w:color w:val="auto"/>
                <w:w w:val="90"/>
              </w:rPr>
              <w:t>Change in unrealized investment gains/losses, net of</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tax benefit of $26,262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(98,794)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(98,794)</w:t>
            </w:r>
          </w:p>
        </w:tc>
        <w:tc>
          <w:tcPr>
            <w:tcW w:w="0" w:type="dxa"/>
            <w:vAlign w:val="bottom"/>
          </w:tcPr>
          <w:p>
            <w:pPr>
              <w:spacing w:after="0"/>
              <w:rPr>
                <w:sz w:val="1"/>
                <w:szCs w:val="1"/>
                <w:color w:val="auto"/>
              </w:rPr>
            </w:pPr>
          </w:p>
        </w:tc>
      </w:tr>
      <w:tr>
        <w:trPr>
          <w:trHeight w:val="22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67,680</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67,680</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Balances, March 31,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960,667</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675,821</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1,535,042</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86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Common stock: class A shares issued related to</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exercises</w:t>
            </w:r>
          </w:p>
        </w:tc>
        <w:tc>
          <w:tcPr>
            <w:tcW w:w="9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860" w:type="dxa"/>
            <w:vAlign w:val="bottom"/>
          </w:tcPr>
          <w:p>
            <w:pPr>
              <w:ind w:left="20"/>
              <w:spacing w:after="0" w:line="185" w:lineRule="exact"/>
              <w:rPr>
                <w:sz w:val="20"/>
                <w:szCs w:val="20"/>
                <w:color w:val="auto"/>
              </w:rPr>
            </w:pPr>
            <w:r>
              <w:rPr>
                <w:rFonts w:ascii="Arial" w:cs="Arial" w:eastAsia="Arial" w:hAnsi="Arial"/>
                <w:sz w:val="18"/>
                <w:szCs w:val="18"/>
                <w:color w:val="auto"/>
                <w:w w:val="94"/>
              </w:rPr>
              <w:t>Common stock: class A shares issued under stock</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w w:val="99"/>
              </w:rPr>
              <w:t>plans, net of shares withheld for employee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3,867</w:t>
            </w:r>
          </w:p>
        </w:tc>
        <w:tc>
          <w:tcPr>
            <w:tcW w:w="16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179"/>
        </w:trPr>
        <w:tc>
          <w:tcPr>
            <w:tcW w:w="386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90"/>
              </w:rPr>
              <w:t>Change in unrealized investment gains/losses, net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(64,011)</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(64,011)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of $17,015</w:t>
            </w:r>
          </w:p>
        </w:tc>
        <w:tc>
          <w:tcPr>
            <w:tcW w:w="9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75,444</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75,444</w:t>
            </w:r>
          </w:p>
        </w:tc>
        <w:tc>
          <w:tcPr>
            <w:tcW w:w="0" w:type="dxa"/>
            <w:vAlign w:val="bottom"/>
          </w:tcPr>
          <w:p>
            <w:pPr>
              <w:spacing w:after="0"/>
              <w:rPr>
                <w:sz w:val="1"/>
                <w:szCs w:val="1"/>
                <w:color w:val="auto"/>
              </w:rPr>
            </w:pPr>
          </w:p>
        </w:tc>
      </w:tr>
      <w:tr>
        <w:trPr>
          <w:trHeight w:val="242"/>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964,654</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(30,371)</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751,265</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1,525,092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20" w:hanging="315"/>
        <w:spacing w:after="0" w:line="282" w:lineRule="auto"/>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the three months ended June 30, 2022, we issued 32,659 common shares with a par value of $0.01 in connection with the exercise of warrants,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60"/>
        <w:spacing w:after="0"/>
        <w:rPr>
          <w:sz w:val="20"/>
          <w:szCs w:val="20"/>
          <w:color w:val="auto"/>
        </w:rPr>
      </w:pPr>
      <w:r>
        <w:rPr>
          <w:rFonts w:ascii="Arial" w:cs="Arial" w:eastAsia="Arial" w:hAnsi="Arial"/>
          <w:sz w:val="14"/>
          <w:szCs w:val="14"/>
          <w:i w:val="1"/>
          <w:iCs w:val="1"/>
          <w:color w:val="auto"/>
        </w:rPr>
        <w:t>See accompanying notes to condensed consolidated financial statements (unaudited).</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8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4"/>
          </w:tcPr>
          <w:p>
            <w:pPr>
              <w:jc w:val="right"/>
              <w:ind w:right="417"/>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24"/>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6"/>
        </w:trPr>
        <w:tc>
          <w:tcPr>
            <w:tcW w:w="8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218"/>
        </w:trPr>
        <w:tc>
          <w:tcPr>
            <w:tcW w:w="81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18"/>
                <w:szCs w:val="18"/>
                <w:color w:val="auto"/>
              </w:rPr>
            </w:pPr>
          </w:p>
        </w:tc>
        <w:tc>
          <w:tcPr>
            <w:tcW w:w="17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8"/>
                <w:szCs w:val="18"/>
                <w:color w:val="auto"/>
              </w:rPr>
            </w:pPr>
          </w:p>
        </w:tc>
      </w:tr>
      <w:tr>
        <w:trPr>
          <w:trHeight w:val="224"/>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154,742</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143,124</w:t>
            </w:r>
          </w:p>
        </w:tc>
      </w:tr>
      <w:tr>
        <w:trPr>
          <w:trHeight w:val="211"/>
        </w:trPr>
        <w:tc>
          <w:tcPr>
            <w:tcW w:w="8160" w:type="dxa"/>
            <w:vAlign w:val="bottom"/>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4"/>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realized investment loss (gains)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Gain from change in fair value of warrant liability</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(1,113)</w:t>
            </w: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6,044</w:t>
            </w: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Net amortization of premium on investment securities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3,333</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 and debt issuance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r>
      <w:tr>
        <w:trPr>
          <w:trHeight w:val="211"/>
        </w:trPr>
        <w:tc>
          <w:tcPr>
            <w:tcW w:w="816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43,765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40,761</w:t>
            </w:r>
          </w:p>
        </w:tc>
      </w:tr>
      <w:tr>
        <w:trPr>
          <w:trHeight w:val="224"/>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8,063</w:t>
            </w: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Premiums receivable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w:t>
            </w:r>
          </w:p>
        </w:tc>
      </w:tr>
      <w:tr>
        <w:trPr>
          <w:trHeight w:val="218"/>
        </w:trPr>
        <w:tc>
          <w:tcPr>
            <w:tcW w:w="8160" w:type="dxa"/>
            <w:vAlign w:val="bottom"/>
          </w:tcPr>
          <w:p>
            <w:pPr>
              <w:ind w:left="340"/>
              <w:spacing w:after="0"/>
              <w:rPr>
                <w:sz w:val="20"/>
                <w:szCs w:val="20"/>
                <w:color w:val="auto"/>
              </w:rPr>
            </w:pPr>
            <w:r>
              <w:rPr>
                <w:rFonts w:ascii="Arial" w:cs="Arial" w:eastAsia="Arial" w:hAnsi="Arial"/>
                <w:sz w:val="17"/>
                <w:szCs w:val="17"/>
                <w:color w:val="auto"/>
              </w:rPr>
              <w:t>Accrued investment income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(3,249)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(530)</w:t>
            </w:r>
          </w:p>
        </w:tc>
      </w:tr>
      <w:tr>
        <w:trPr>
          <w:trHeight w:val="230"/>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policy acquisition costs,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211"/>
        </w:trPr>
        <w:tc>
          <w:tcPr>
            <w:tcW w:w="8160" w:type="dxa"/>
            <w:vAlign w:val="bottom"/>
          </w:tcPr>
          <w:p>
            <w:pPr>
              <w:ind w:left="340"/>
              <w:spacing w:after="0"/>
              <w:rPr>
                <w:sz w:val="20"/>
                <w:szCs w:val="20"/>
                <w:color w:val="auto"/>
              </w:rPr>
            </w:pPr>
            <w:r>
              <w:rPr>
                <w:rFonts w:ascii="Arial" w:cs="Arial" w:eastAsia="Arial" w:hAnsi="Arial"/>
                <w:sz w:val="17"/>
                <w:szCs w:val="17"/>
                <w:color w:val="auto"/>
              </w:rPr>
              <w:t>Reinsurance recoverable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(2,436)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732</w:t>
            </w:r>
          </w:p>
        </w:tc>
      </w:tr>
      <w:tr>
        <w:trPr>
          <w:trHeight w:val="224"/>
        </w:trPr>
        <w:tc>
          <w:tcPr>
            <w:tcW w:w="8160" w:type="dxa"/>
            <w:vAlign w:val="bottom"/>
            <w:shd w:val="clear" w:color="auto" w:fill="CCEEFF"/>
          </w:tcPr>
          <w:p>
            <w:pPr>
              <w:ind w:left="340"/>
              <w:spacing w:after="0" w:line="224" w:lineRule="exact"/>
              <w:rPr>
                <w:sz w:val="20"/>
                <w:szCs w:val="20"/>
                <w:color w:val="auto"/>
              </w:rPr>
            </w:pPr>
            <w:r>
              <w:rPr>
                <w:rFonts w:ascii="Arial" w:cs="Arial" w:eastAsia="Arial" w:hAnsi="Arial"/>
                <w:sz w:val="17"/>
                <w:szCs w:val="17"/>
                <w:color w:val="auto"/>
              </w:rPr>
              <w:t xml:space="preserve">Other assets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r>
      <w:tr>
        <w:trPr>
          <w:trHeight w:val="218"/>
        </w:trPr>
        <w:tc>
          <w:tcPr>
            <w:tcW w:w="8160" w:type="dxa"/>
            <w:vAlign w:val="bottom"/>
          </w:tcPr>
          <w:p>
            <w:pPr>
              <w:ind w:left="340"/>
              <w:spacing w:after="0"/>
              <w:rPr>
                <w:sz w:val="20"/>
                <w:szCs w:val="20"/>
                <w:color w:val="auto"/>
              </w:rPr>
            </w:pPr>
            <w:r>
              <w:rPr>
                <w:rFonts w:ascii="Arial" w:cs="Arial" w:eastAsia="Arial" w:hAnsi="Arial"/>
                <w:sz w:val="17"/>
                <w:szCs w:val="17"/>
                <w:color w:val="auto"/>
              </w:rPr>
              <w:t>Unearned premiums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(17,968)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(3,556)</w:t>
            </w:r>
          </w:p>
        </w:tc>
      </w:tr>
      <w:tr>
        <w:trPr>
          <w:trHeight w:val="216"/>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Reserve for insurance claims and claim expenses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(5,089)</w:t>
            </w:r>
          </w:p>
        </w:tc>
      </w:tr>
      <w:tr>
        <w:trPr>
          <w:trHeight w:val="218"/>
        </w:trPr>
        <w:tc>
          <w:tcPr>
            <w:tcW w:w="8160" w:type="dxa"/>
            <w:vAlign w:val="bottom"/>
          </w:tcPr>
          <w:p>
            <w:pPr>
              <w:ind w:left="340"/>
              <w:spacing w:after="0"/>
              <w:rPr>
                <w:sz w:val="20"/>
                <w:szCs w:val="20"/>
                <w:color w:val="auto"/>
              </w:rPr>
            </w:pPr>
            <w:r>
              <w:rPr>
                <w:rFonts w:ascii="Arial" w:cs="Arial" w:eastAsia="Arial" w:hAnsi="Arial"/>
                <w:sz w:val="17"/>
                <w:szCs w:val="17"/>
                <w:color w:val="auto"/>
              </w:rPr>
              <w:t>Reinsurance balances, net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(515)</w:t>
            </w:r>
          </w:p>
        </w:tc>
      </w:tr>
      <w:tr>
        <w:trPr>
          <w:trHeight w:val="21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(13,808)</w:t>
            </w:r>
          </w:p>
        </w:tc>
      </w:tr>
      <w:tr>
        <w:trPr>
          <w:trHeight w:val="21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191,740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173,834</w:t>
            </w:r>
          </w:p>
        </w:tc>
      </w:tr>
      <w:tr>
        <w:trPr>
          <w:trHeight w:val="205"/>
        </w:trPr>
        <w:tc>
          <w:tcPr>
            <w:tcW w:w="81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Cash flows from investing activities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8"/>
        </w:trPr>
        <w:tc>
          <w:tcPr>
            <w:tcW w:w="8160" w:type="dxa"/>
            <w:vAlign w:val="bottom"/>
          </w:tcPr>
          <w:p>
            <w:pPr>
              <w:ind w:left="140"/>
              <w:spacing w:after="0"/>
              <w:rPr>
                <w:sz w:val="20"/>
                <w:szCs w:val="20"/>
                <w:color w:val="auto"/>
              </w:rPr>
            </w:pPr>
            <w:r>
              <w:rPr>
                <w:rFonts w:ascii="Arial" w:cs="Arial" w:eastAsia="Arial" w:hAnsi="Arial"/>
                <w:sz w:val="17"/>
                <w:szCs w:val="17"/>
                <w:color w:val="auto"/>
              </w:rPr>
              <w:t>Purchase of short-term investments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(152,715)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(118,932)</w:t>
            </w: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fixed-maturity investments, available-for-sale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(111,376)</w:t>
            </w:r>
          </w:p>
        </w:tc>
      </w:tr>
      <w:tr>
        <w:trPr>
          <w:trHeight w:val="218"/>
        </w:trPr>
        <w:tc>
          <w:tcPr>
            <w:tcW w:w="8160" w:type="dxa"/>
            <w:vAlign w:val="bottom"/>
          </w:tcPr>
          <w:p>
            <w:pPr>
              <w:ind w:left="140"/>
              <w:spacing w:after="0"/>
              <w:rPr>
                <w:sz w:val="20"/>
                <w:szCs w:val="20"/>
                <w:color w:val="auto"/>
              </w:rPr>
            </w:pPr>
            <w:r>
              <w:rPr>
                <w:rFonts w:ascii="Arial" w:cs="Arial" w:eastAsia="Arial" w:hAnsi="Arial"/>
                <w:sz w:val="17"/>
                <w:szCs w:val="17"/>
                <w:color w:val="auto"/>
              </w:rPr>
              <w:t>Proceeds from maturity of short-term investments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189,670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33,129</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72,503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54,735</w:t>
            </w:r>
          </w:p>
        </w:tc>
      </w:tr>
      <w:tr>
        <w:trPr>
          <w:trHeight w:val="211"/>
        </w:trPr>
        <w:tc>
          <w:tcPr>
            <w:tcW w:w="8160" w:type="dxa"/>
            <w:vAlign w:val="bottom"/>
          </w:tcPr>
          <w:p>
            <w:pPr>
              <w:ind w:left="140"/>
              <w:spacing w:after="0"/>
              <w:rPr>
                <w:sz w:val="20"/>
                <w:szCs w:val="20"/>
                <w:color w:val="auto"/>
              </w:rPr>
            </w:pPr>
            <w:r>
              <w:rPr>
                <w:rFonts w:ascii="Arial" w:cs="Arial" w:eastAsia="Arial" w:hAnsi="Arial"/>
                <w:sz w:val="17"/>
                <w:szCs w:val="17"/>
                <w:color w:val="auto"/>
              </w:rPr>
              <w:t>Software and equipment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(4,550)</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(5,312)</w:t>
            </w: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(119,470)</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(147,756)</w:t>
            </w:r>
          </w:p>
        </w:tc>
      </w:tr>
      <w:tr>
        <w:trPr>
          <w:trHeight w:val="198"/>
        </w:trPr>
        <w:tc>
          <w:tcPr>
            <w:tcW w:w="8160" w:type="dxa"/>
            <w:vAlign w:val="bottom"/>
          </w:tcPr>
          <w:p>
            <w:pPr>
              <w:ind w:left="20"/>
              <w:spacing w:after="0" w:line="193" w:lineRule="exact"/>
              <w:rPr>
                <w:sz w:val="20"/>
                <w:szCs w:val="20"/>
                <w:color w:val="auto"/>
              </w:rPr>
            </w:pPr>
            <w:r>
              <w:rPr>
                <w:rFonts w:ascii="Arial" w:cs="Arial" w:eastAsia="Arial" w:hAnsi="Arial"/>
                <w:sz w:val="17"/>
                <w:szCs w:val="17"/>
                <w:color w:val="auto"/>
              </w:rPr>
              <w:t>Cash flows from financing activities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4,512</w:t>
            </w:r>
          </w:p>
        </w:tc>
      </w:tr>
      <w:tr>
        <w:trPr>
          <w:trHeight w:val="211"/>
        </w:trPr>
        <w:tc>
          <w:tcPr>
            <w:tcW w:w="8160" w:type="dxa"/>
            <w:vAlign w:val="bottom"/>
          </w:tcPr>
          <w:p>
            <w:pPr>
              <w:ind w:left="140"/>
              <w:spacing w:after="0"/>
              <w:rPr>
                <w:sz w:val="20"/>
                <w:szCs w:val="20"/>
                <w:color w:val="auto"/>
              </w:rPr>
            </w:pPr>
            <w:r>
              <w:rPr>
                <w:rFonts w:ascii="Arial" w:cs="Arial" w:eastAsia="Arial" w:hAnsi="Arial"/>
                <w:sz w:val="17"/>
                <w:szCs w:val="17"/>
                <w:color w:val="auto"/>
              </w:rPr>
              <w:t>Proceeds from issuance of common stock related to warrant exercises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518</w:t>
            </w:r>
          </w:p>
        </w:tc>
      </w:tr>
      <w:tr>
        <w:trPr>
          <w:trHeight w:val="224"/>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Taxes paid related to net share settlement of equity awards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(4,985)</w:t>
            </w:r>
          </w:p>
        </w:tc>
      </w:tr>
      <w:tr>
        <w:trPr>
          <w:trHeight w:val="218"/>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Repurchases of common stock</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(40,792)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(30,371)</w:t>
            </w:r>
          </w:p>
        </w:tc>
      </w:tr>
      <w:tr>
        <w:trPr>
          <w:trHeight w:val="21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(43,377)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(30,326)</w:t>
            </w:r>
          </w:p>
        </w:tc>
      </w:tr>
      <w:tr>
        <w:trPr>
          <w:trHeight w:val="151"/>
        </w:trPr>
        <w:tc>
          <w:tcPr>
            <w:tcW w:w="8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w:t>
            </w:r>
          </w:p>
        </w:tc>
      </w:tr>
      <w:tr>
        <w:trPr>
          <w:trHeight w:val="223"/>
        </w:trPr>
        <w:tc>
          <w:tcPr>
            <w:tcW w:w="816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44,426</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76,646</w:t>
            </w:r>
          </w:p>
        </w:tc>
      </w:tr>
      <w:tr>
        <w:trPr>
          <w:trHeight w:val="238"/>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73,319</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72,398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Interest paid</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14,750</w:t>
            </w:r>
          </w:p>
        </w:tc>
        <w:tc>
          <w:tcPr>
            <w:tcW w:w="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14,750</w:t>
            </w: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paid</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3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"Prepaid expenses" have been reclassified as "Other assets" in prior periods.</w:t>
      </w:r>
    </w:p>
    <w:p>
      <w:pPr>
        <w:spacing w:after="0" w:line="200" w:lineRule="exact"/>
        <w:rPr>
          <w:sz w:val="20"/>
          <w:szCs w:val="20"/>
          <w:color w:val="auto"/>
        </w:rPr>
      </w:pP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4"/>
          <w:szCs w:val="14"/>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68"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00"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2"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2022, included in our 2022 10-K. All intercompany transactions have been eliminated. Certain reclassifications to previously reported financial information have been made to conform to our current period presentation.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2023.</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62"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2 - Summary of Accounting Principles</w:t>
      </w:r>
      <w:r>
        <w:rPr>
          <w:rFonts w:ascii="Arial" w:cs="Arial" w:eastAsia="Arial" w:hAnsi="Arial"/>
          <w:sz w:val="18"/>
          <w:szCs w:val="18"/>
          <w:color w:val="auto"/>
        </w:rPr>
        <w:t>" of our 2022 10-K, except as noted in "</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62" w:lineRule="exact"/>
        <w:rPr>
          <w:sz w:val="20"/>
          <w:szCs w:val="20"/>
          <w:color w:val="auto"/>
        </w:rPr>
      </w:pPr>
    </w:p>
    <w:p>
      <w:pPr>
        <w:jc w:val="both"/>
        <w:ind w:left="120" w:firstLine="474"/>
        <w:spacing w:after="0" w:line="284" w:lineRule="auto"/>
        <w:rPr>
          <w:sz w:val="20"/>
          <w:szCs w:val="20"/>
          <w:color w:val="auto"/>
        </w:rPr>
      </w:pPr>
      <w:r>
        <w:rPr>
          <w:rFonts w:ascii="Arial" w:cs="Arial" w:eastAsia="Arial" w:hAnsi="Arial"/>
          <w:sz w:val="16"/>
          <w:szCs w:val="16"/>
          <w:color w:val="auto"/>
        </w:rPr>
        <w:t xml:space="preserve">In August 2018, the Financial Accounting Standards Board (the FASB) issued ASU 2018-12, </w:t>
      </w:r>
      <w:r>
        <w:rPr>
          <w:rFonts w:ascii="Arial" w:cs="Arial" w:eastAsia="Arial" w:hAnsi="Arial"/>
          <w:sz w:val="16"/>
          <w:szCs w:val="16"/>
          <w:i w:val="1"/>
          <w:iCs w:val="1"/>
          <w:color w:val="auto"/>
        </w:rPr>
        <w:t xml:space="preserve">Targeted Improvements to the Accounting for Long-Duration Contracts </w:t>
      </w:r>
      <w:r>
        <w:rPr>
          <w:rFonts w:ascii="Arial" w:cs="Arial" w:eastAsia="Arial" w:hAnsi="Arial"/>
          <w:sz w:val="16"/>
          <w:szCs w:val="16"/>
          <w:color w:val="auto"/>
        </w:rPr>
        <w:t>(Topic 944).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 standard will now take effect for public business entities for fiscal years, and interim periods within those fiscal years, beginning after December 15, 2022. We adopted this ASU on January 1, 2023 and determined it did not have a material impact on our consolidated financial statements.</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62" w:lineRule="exact"/>
        <w:rPr>
          <w:sz w:val="20"/>
          <w:szCs w:val="20"/>
          <w:color w:val="auto"/>
        </w:rPr>
      </w:pPr>
    </w:p>
    <w:p>
      <w:pPr>
        <w:jc w:val="both"/>
        <w:ind w:left="120" w:firstLine="474"/>
        <w:spacing w:after="0" w:line="28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during a transition period from 2021 through 2023. The ASU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In December 2022, the FASB issued ASU 2022-06, which extended the sunset date of Topic 848 from December 31, 2022 to December 31, 2024. We continue to monitor the impact the discontinuance of LIBOR will have on our contracts and other transactions; however, the adoption of, and future elections under ASU 2020-04 and ASU 2022-06 are not expected to have a material impact on our consolidated financial statements as the ASUs will ease, if warranted, the requirements for accounting for the future effects of the rate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Investments</w:t>
      </w:r>
    </w:p>
    <w:p>
      <w:pPr>
        <w:spacing w:after="0" w:line="168" w:lineRule="exact"/>
        <w:rPr>
          <w:sz w:val="20"/>
          <w:szCs w:val="20"/>
          <w:color w:val="auto"/>
        </w:rPr>
      </w:pPr>
    </w:p>
    <w:p>
      <w:pPr>
        <w:jc w:val="both"/>
        <w:ind w:left="120" w:firstLine="474"/>
        <w:spacing w:after="0" w:line="282" w:lineRule="auto"/>
        <w:rPr>
          <w:sz w:val="20"/>
          <w:szCs w:val="20"/>
          <w:color w:val="auto"/>
        </w:rPr>
      </w:pPr>
      <w:r>
        <w:rPr>
          <w:rFonts w:ascii="Arial" w:cs="Arial" w:eastAsia="Arial" w:hAnsi="Arial"/>
          <w:sz w:val="16"/>
          <w:szCs w:val="16"/>
          <w:color w:val="auto"/>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 of operations and comprehensive income as a "Net Realized Investment Loss."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15"/>
                <w:szCs w:val="15"/>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0"/>
              </w:rPr>
              <w:t>Gross Unrealized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center"/>
              <w:ind w:right="316"/>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3"/>
              </w:rPr>
              <w:t>Cost</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w w:val="95"/>
              </w:rPr>
              <w:t>Losses</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82"/>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June 30, 2023</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i w:val="1"/>
                <w:iCs w:val="1"/>
                <w:color w:val="auto"/>
                <w:w w:val="89"/>
              </w:rPr>
              <w:t>(In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82,381</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500" w:type="dxa"/>
            <w:vAlign w:val="bottom"/>
            <w:gridSpan w:val="2"/>
            <w:vMerge w:val="restart"/>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79,993</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674,701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603,076</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1,348,301</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68,466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63,083</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2,327,886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2,094,453</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137,670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139,203</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2,465,556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2,233,656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24"/>
                <w:szCs w:val="24"/>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0"/>
              </w:rPr>
              <w:t>Gross Unrealized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16"/>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3"/>
              </w:rPr>
              <w:t>Cost</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w w:val="95"/>
              </w:rPr>
              <w:t>Losses</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i w:val="1"/>
                <w:iCs w:val="1"/>
                <w:color w:val="auto"/>
                <w:w w:val="89"/>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82,301</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500" w:type="dxa"/>
            <w:vAlign w:val="bottom"/>
            <w:gridSpan w:val="2"/>
            <w:vMerge w:val="restart"/>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563,972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(80,796)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483,176</w:t>
            </w:r>
          </w:p>
        </w:tc>
        <w:tc>
          <w:tcPr>
            <w:tcW w:w="0" w:type="dxa"/>
            <w:vAlign w:val="bottom"/>
          </w:tcPr>
          <w:p>
            <w:pPr>
              <w:spacing w:after="0"/>
              <w:rPr>
                <w:sz w:val="1"/>
                <w:szCs w:val="1"/>
                <w:color w:val="auto"/>
              </w:rPr>
            </w:pPr>
          </w:p>
        </w:tc>
      </w:tr>
      <w:tr>
        <w:trPr>
          <w:trHeight w:val="231"/>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1,457,589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1,293,642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68,558</w:t>
            </w:r>
          </w:p>
        </w:tc>
        <w:tc>
          <w:tcPr>
            <w:tcW w:w="0" w:type="dxa"/>
            <w:vAlign w:val="bottom"/>
          </w:tcPr>
          <w:p>
            <w:pPr>
              <w:spacing w:after="0"/>
              <w:rPr>
                <w:sz w:val="1"/>
                <w:szCs w:val="1"/>
                <w:color w:val="auto"/>
              </w:rPr>
            </w:pPr>
          </w:p>
        </w:tc>
      </w:tr>
      <w:tr>
        <w:trPr>
          <w:trHeight w:val="231"/>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2,178,624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1,925,308</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174,081</w:t>
            </w: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2,352,747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(254,692)</w:t>
            </w:r>
          </w:p>
        </w:tc>
        <w:tc>
          <w:tcPr>
            <w:tcW w:w="5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own any mortgage-backed securities in our asset-backed securities portfolio at June 30, 2023 or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a breakdown of the fair value of our corporate debt securities by issuer industry group as of June 30, 2023 and</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40" w:type="dxa"/>
            <w:vAlign w:val="bottom"/>
          </w:tcPr>
          <w:p>
            <w:pPr>
              <w:spacing w:after="0"/>
              <w:rPr>
                <w:sz w:val="15"/>
                <w:szCs w:val="15"/>
                <w:color w:val="auto"/>
              </w:rPr>
            </w:pPr>
          </w:p>
        </w:tc>
        <w:tc>
          <w:tcPr>
            <w:tcW w:w="1300" w:type="dxa"/>
            <w:vAlign w:val="bottom"/>
          </w:tcPr>
          <w:p>
            <w:pPr>
              <w:ind w:left="480"/>
              <w:spacing w:after="0"/>
              <w:rPr>
                <w:sz w:val="20"/>
                <w:szCs w:val="20"/>
                <w:color w:val="auto"/>
              </w:rPr>
            </w:pPr>
            <w:r>
              <w:rPr>
                <w:rFonts w:ascii="Arial" w:cs="Arial" w:eastAsia="Arial" w:hAnsi="Arial"/>
                <w:sz w:val="14"/>
                <w:szCs w:val="14"/>
                <w:b w:val="1"/>
                <w:bCs w:val="1"/>
                <w:color w:val="auto"/>
                <w:w w:val="87"/>
              </w:rPr>
              <w:t>June 30, 2023</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7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4"/>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Consumer</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1900" w:type="dxa"/>
            <w:vAlign w:val="bottom"/>
            <w:gridSpan w:val="2"/>
          </w:tcPr>
          <w:p>
            <w:pPr>
              <w:jc w:val="right"/>
              <w:ind w:right="121"/>
              <w:spacing w:after="0"/>
              <w:rPr>
                <w:sz w:val="20"/>
                <w:szCs w:val="20"/>
                <w:color w:val="auto"/>
              </w:rPr>
            </w:pPr>
            <w:r>
              <w:rPr>
                <w:rFonts w:ascii="Arial" w:cs="Arial" w:eastAsia="Arial" w:hAnsi="Arial"/>
                <w:sz w:val="18"/>
                <w:szCs w:val="18"/>
                <w:color w:val="auto"/>
              </w:rPr>
              <w:t>24</w:t>
            </w:r>
          </w:p>
        </w:tc>
      </w:tr>
      <w:tr>
        <w:trPr>
          <w:trHeight w:val="23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1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w:t>
            </w:r>
          </w:p>
        </w:tc>
      </w:tr>
      <w:tr>
        <w:trPr>
          <w:trHeight w:val="224"/>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Utilities</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900" w:type="dxa"/>
            <w:vAlign w:val="bottom"/>
            <w:gridSpan w:val="2"/>
          </w:tcPr>
          <w:p>
            <w:pPr>
              <w:jc w:val="right"/>
              <w:ind w:right="121"/>
              <w:spacing w:after="0"/>
              <w:rPr>
                <w:sz w:val="20"/>
                <w:szCs w:val="20"/>
                <w:color w:val="auto"/>
              </w:rPr>
            </w:pPr>
            <w:r>
              <w:rPr>
                <w:rFonts w:ascii="Arial" w:cs="Arial" w:eastAsia="Arial" w:hAnsi="Arial"/>
                <w:sz w:val="18"/>
                <w:szCs w:val="18"/>
                <w:color w:val="auto"/>
              </w:rPr>
              <w:t>11</w:t>
            </w:r>
          </w:p>
        </w:tc>
      </w:tr>
      <w:tr>
        <w:trPr>
          <w:trHeight w:val="22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1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w:t>
            </w:r>
          </w:p>
        </w:tc>
      </w:tr>
      <w:tr>
        <w:trPr>
          <w:trHeight w:val="224"/>
        </w:trPr>
        <w:tc>
          <w:tcPr>
            <w:tcW w:w="75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8</w:t>
            </w:r>
          </w:p>
        </w:tc>
      </w:tr>
      <w:tr>
        <w:trPr>
          <w:trHeight w:val="23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100 %</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120" w:firstLine="474"/>
        <w:spacing w:after="0" w:line="262" w:lineRule="auto"/>
        <w:rPr>
          <w:sz w:val="20"/>
          <w:szCs w:val="20"/>
          <w:color w:val="auto"/>
        </w:rPr>
      </w:pPr>
      <w:r>
        <w:rPr>
          <w:rFonts w:ascii="Arial" w:cs="Arial" w:eastAsia="Arial" w:hAnsi="Arial"/>
          <w:sz w:val="18"/>
          <w:szCs w:val="18"/>
          <w:color w:val="auto"/>
        </w:rPr>
        <w:t>As of June 30, 2023 and December 31, 2022, approximately $5.3 million and $5.4 million, respectively, of our cash and investments were held in the form of U.S. Treasury securities on deposit with various state insurance departments to satisfy regulatory requirements.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Scheduled Maturities</w:t>
      </w:r>
    </w:p>
    <w:p>
      <w:pPr>
        <w:spacing w:after="0" w:line="162" w:lineRule="exact"/>
        <w:rPr>
          <w:sz w:val="20"/>
          <w:szCs w:val="20"/>
          <w:color w:val="auto"/>
        </w:rPr>
      </w:pPr>
    </w:p>
    <w:p>
      <w:pPr>
        <w:jc w:val="both"/>
        <w:ind w:firstLine="632"/>
        <w:spacing w:after="0" w:line="328" w:lineRule="auto"/>
        <w:rPr>
          <w:sz w:val="20"/>
          <w:szCs w:val="20"/>
          <w:color w:val="auto"/>
        </w:rPr>
      </w:pPr>
      <w:r>
        <w:rPr>
          <w:rFonts w:ascii="Arial" w:cs="Arial" w:eastAsia="Arial" w:hAnsi="Arial"/>
          <w:sz w:val="15"/>
          <w:szCs w:val="15"/>
          <w:color w:val="auto"/>
        </w:rPr>
        <w:t>The amortized cost and fair value of available-for-sale securities as of June 30, 2023 and December 31, 2022,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2023</w:t>
            </w:r>
          </w:p>
        </w:tc>
        <w:tc>
          <w:tcPr>
            <w:tcW w:w="320" w:type="dxa"/>
            <w:vAlign w:val="bottom"/>
          </w:tcPr>
          <w:p>
            <w:pPr>
              <w:spacing w:after="0"/>
              <w:rPr>
                <w:sz w:val="14"/>
                <w:szCs w:val="14"/>
                <w:color w:val="auto"/>
              </w:rPr>
            </w:pPr>
          </w:p>
        </w:tc>
        <w:tc>
          <w:tcPr>
            <w:tcW w:w="1420" w:type="dxa"/>
            <w:vAlign w:val="bottom"/>
          </w:tcPr>
          <w:p>
            <w:pPr>
              <w:jc w:val="center"/>
              <w:ind w:right="258"/>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jc w:val="center"/>
              <w:ind w:right="4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76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307,520</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306,258</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1,047,539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961,503</w:t>
            </w:r>
          </w:p>
        </w:tc>
        <w:tc>
          <w:tcPr>
            <w:tcW w:w="0" w:type="dxa"/>
            <w:vAlign w:val="bottom"/>
          </w:tcPr>
          <w:p>
            <w:pPr>
              <w:spacing w:after="0"/>
              <w:rPr>
                <w:sz w:val="1"/>
                <w:szCs w:val="1"/>
                <w:color w:val="auto"/>
              </w:rPr>
            </w:pPr>
          </w:p>
        </w:tc>
      </w:tr>
      <w:tr>
        <w:trPr>
          <w:trHeight w:val="231"/>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1,028,749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889,801</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13,011</w:t>
            </w: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68,466</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63,083</w:t>
            </w:r>
          </w:p>
        </w:tc>
        <w:tc>
          <w:tcPr>
            <w:tcW w:w="0" w:type="dxa"/>
            <w:vAlign w:val="bottom"/>
          </w:tcPr>
          <w:p>
            <w:pPr>
              <w:spacing w:after="0"/>
              <w:rPr>
                <w:sz w:val="1"/>
                <w:szCs w:val="1"/>
                <w:color w:val="auto"/>
              </w:rPr>
            </w:pPr>
          </w:p>
        </w:tc>
      </w:tr>
      <w:tr>
        <w:trPr>
          <w:trHeight w:val="217"/>
        </w:trPr>
        <w:tc>
          <w:tcPr>
            <w:tcW w:w="76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2,465,556</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2,233,656</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7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Pr>
          <w:p>
            <w:pPr>
              <w:spacing w:after="0"/>
              <w:rPr>
                <w:sz w:val="24"/>
                <w:szCs w:val="24"/>
                <w:color w:val="auto"/>
              </w:rPr>
            </w:pPr>
          </w:p>
        </w:tc>
        <w:tc>
          <w:tcPr>
            <w:tcW w:w="1420" w:type="dxa"/>
            <w:vAlign w:val="bottom"/>
          </w:tcPr>
          <w:p>
            <w:pPr>
              <w:jc w:val="center"/>
              <w:ind w:right="258"/>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jc w:val="center"/>
              <w:ind w:right="4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271,613</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270,428</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935,615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862,747</w:t>
            </w: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1,047,461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875,947</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2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68,558</w:t>
            </w:r>
          </w:p>
        </w:tc>
        <w:tc>
          <w:tcPr>
            <w:tcW w:w="0" w:type="dxa"/>
            <w:vAlign w:val="bottom"/>
          </w:tcPr>
          <w:p>
            <w:pPr>
              <w:spacing w:after="0"/>
              <w:rPr>
                <w:sz w:val="1"/>
                <w:szCs w:val="1"/>
                <w:color w:val="auto"/>
              </w:rPr>
            </w:pPr>
          </w:p>
        </w:tc>
      </w:tr>
      <w:tr>
        <w:trPr>
          <w:trHeight w:val="231"/>
        </w:trPr>
        <w:tc>
          <w:tcPr>
            <w:tcW w:w="76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2,352,747</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Aging of Unrealized Losses</w:t>
      </w:r>
    </w:p>
    <w:p>
      <w:pPr>
        <w:spacing w:after="0" w:line="162"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As of June 30, 2023, the investment portfolio had gross unrealized losses of $234.6 million, of which $224.9 million were associated with securities that had been in an unrealized loss position for a period of twelve months or longer. As of December 31, 2022, the investment portfolio had gross unrealized losses of $254.7 million, of which $218.5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2880" w:type="dxa"/>
            <w:vAlign w:val="bottom"/>
            <w:gridSpan w:val="7"/>
          </w:tcPr>
          <w:p>
            <w:pPr>
              <w:ind w:left="640"/>
              <w:spacing w:after="0"/>
              <w:rPr>
                <w:sz w:val="20"/>
                <w:szCs w:val="20"/>
                <w:color w:val="auto"/>
              </w:rPr>
            </w:pPr>
            <w:r>
              <w:rPr>
                <w:rFonts w:ascii="Arial" w:cs="Arial" w:eastAsia="Arial" w:hAnsi="Arial"/>
                <w:sz w:val="14"/>
                <w:szCs w:val="14"/>
                <w:b w:val="1"/>
                <w:bCs w:val="1"/>
                <w:color w:val="auto"/>
              </w:rPr>
              <w:t>Less Than Twelve Months</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1"/>
              </w:rPr>
              <w:t>Twelve Months or Greater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8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8"/>
              </w:rPr>
              <w:t># of</w:t>
            </w:r>
          </w:p>
        </w:tc>
        <w:tc>
          <w:tcPr>
            <w:tcW w:w="180" w:type="dxa"/>
            <w:vAlign w:val="bottom"/>
          </w:tcPr>
          <w:p>
            <w:pPr>
              <w:spacing w:after="0"/>
              <w:rPr>
                <w:sz w:val="10"/>
                <w:szCs w:val="10"/>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0"/>
                <w:szCs w:val="10"/>
                <w:color w:val="auto"/>
              </w:rPr>
            </w:pPr>
          </w:p>
        </w:tc>
        <w:tc>
          <w:tcPr>
            <w:tcW w:w="880" w:type="dxa"/>
            <w:vAlign w:val="bottom"/>
            <w:gridSpan w:val="3"/>
          </w:tcPr>
          <w:p>
            <w:pPr>
              <w:jc w:val="center"/>
              <w:ind w:right="160"/>
              <w:spacing w:after="0" w:line="125"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0"/>
                <w:szCs w:val="10"/>
                <w:color w:val="auto"/>
              </w:rPr>
            </w:pPr>
          </w:p>
        </w:tc>
        <w:tc>
          <w:tcPr>
            <w:tcW w:w="660" w:type="dxa"/>
            <w:vAlign w:val="bottom"/>
          </w:tcPr>
          <w:p>
            <w:pPr>
              <w:jc w:val="right"/>
              <w:ind w:right="45"/>
              <w:spacing w:after="0" w:line="12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0"/>
                <w:szCs w:val="10"/>
                <w:color w:val="auto"/>
              </w:rPr>
            </w:pPr>
          </w:p>
        </w:tc>
        <w:tc>
          <w:tcPr>
            <w:tcW w:w="920" w:type="dxa"/>
            <w:vAlign w:val="bottom"/>
            <w:gridSpan w:val="2"/>
          </w:tcPr>
          <w:p>
            <w:pPr>
              <w:jc w:val="right"/>
              <w:ind w:right="180"/>
              <w:spacing w:after="0" w:line="125"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right"/>
              <w:ind w:right="206"/>
              <w:spacing w:after="0" w:line="12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0"/>
                <w:szCs w:val="10"/>
                <w:color w:val="auto"/>
              </w:rPr>
            </w:pPr>
          </w:p>
        </w:tc>
        <w:tc>
          <w:tcPr>
            <w:tcW w:w="9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0"/>
                <w:szCs w:val="10"/>
                <w:color w:val="auto"/>
              </w:rPr>
            </w:pPr>
          </w:p>
        </w:tc>
        <w:tc>
          <w:tcPr>
            <w:tcW w:w="880" w:type="dxa"/>
            <w:vAlign w:val="bottom"/>
          </w:tcPr>
          <w:p>
            <w:pPr>
              <w:jc w:val="center"/>
              <w:ind w:right="57"/>
              <w:spacing w:after="0" w:line="12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Losses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8"/>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As of June 30, 2023</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4"/>
                <w:szCs w:val="14"/>
                <w:i w:val="1"/>
                <w:iCs w:val="1"/>
                <w:color w:val="auto"/>
              </w:rPr>
              <w:t>($ In Thousands)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w:t>
            </w: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2"/>
              </w:rPr>
              <w:t>obligations of U.S. government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54,004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4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25,989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(1,132)</w:t>
            </w: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79,993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800" w:type="dxa"/>
            <w:vAlign w:val="bottom"/>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3"/>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900" w:type="dxa"/>
            <w:vAlign w:val="bottom"/>
            <w:gridSpan w:val="3"/>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128,176</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(2,683)</w:t>
            </w:r>
          </w:p>
        </w:tc>
        <w:tc>
          <w:tcPr>
            <w:tcW w:w="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467,902</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(68,948)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596,078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(71,631)</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225,972</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1,031,363</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(149,482)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1,257,335</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(155,139)</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63,083</w:t>
            </w: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(5,383)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63,083</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31"/>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14,942</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14,942</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423,094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(9,617)</w:t>
            </w:r>
          </w:p>
        </w:tc>
        <w:tc>
          <w:tcPr>
            <w:tcW w:w="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1,588,337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(224,945)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2,011,431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(234,562)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74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Borders>
              <w:top w:val="single" w:sz="8" w:color="auto"/>
              <w:bottom w:val="single" w:sz="8" w:color="auto"/>
            </w:tcBorders>
            <w:gridSpan w:val="6"/>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320" w:type="dxa"/>
            <w:vAlign w:val="bottom"/>
          </w:tcPr>
          <w:p>
            <w:pPr>
              <w:spacing w:after="0"/>
              <w:rPr>
                <w:sz w:val="24"/>
                <w:szCs w:val="24"/>
                <w:color w:val="auto"/>
              </w:rPr>
            </w:pPr>
          </w:p>
        </w:tc>
        <w:tc>
          <w:tcPr>
            <w:tcW w:w="2880" w:type="dxa"/>
            <w:vAlign w:val="bottom"/>
            <w:gridSpan w:val="7"/>
          </w:tcPr>
          <w:p>
            <w:pPr>
              <w:ind w:left="580"/>
              <w:spacing w:after="0"/>
              <w:rPr>
                <w:sz w:val="20"/>
                <w:szCs w:val="20"/>
                <w:color w:val="auto"/>
              </w:rPr>
            </w:pPr>
            <w:r>
              <w:rPr>
                <w:rFonts w:ascii="Arial" w:cs="Arial" w:eastAsia="Arial" w:hAnsi="Arial"/>
                <w:sz w:val="14"/>
                <w:szCs w:val="14"/>
                <w:b w:val="1"/>
                <w:bCs w:val="1"/>
                <w:color w:val="auto"/>
              </w:rPr>
              <w:t>Less Than Twelve Months</w:t>
            </w:r>
          </w:p>
        </w:tc>
        <w:tc>
          <w:tcPr>
            <w:tcW w:w="80" w:type="dxa"/>
            <w:vAlign w:val="bottom"/>
          </w:tcPr>
          <w:p>
            <w:pPr>
              <w:spacing w:after="0"/>
              <w:rPr>
                <w:sz w:val="24"/>
                <w:szCs w:val="24"/>
                <w:color w:val="auto"/>
              </w:rPr>
            </w:pPr>
          </w:p>
        </w:tc>
        <w:tc>
          <w:tcPr>
            <w:tcW w:w="29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Twelve Months or Greater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97"/>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8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88"/>
              </w:rPr>
              <w:t># of</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w w:val="92"/>
              </w:rPr>
              <w:t>Fair Value</w:t>
            </w:r>
          </w:p>
        </w:tc>
        <w:tc>
          <w:tcPr>
            <w:tcW w:w="960" w:type="dxa"/>
            <w:vAlign w:val="bottom"/>
            <w:tcBorders>
              <w:top w:val="single" w:sz="8" w:color="auto"/>
            </w:tcBorders>
            <w:gridSpan w:val="2"/>
          </w:tcPr>
          <w:p>
            <w:pPr>
              <w:jc w:val="center"/>
              <w:spacing w:after="0" w:line="125"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65"/>
              <w:spacing w:after="0" w:line="125" w:lineRule="exact"/>
              <w:rPr>
                <w:sz w:val="20"/>
                <w:szCs w:val="20"/>
                <w:color w:val="auto"/>
              </w:rPr>
            </w:pPr>
            <w:r>
              <w:rPr>
                <w:rFonts w:ascii="Arial" w:cs="Arial" w:eastAsia="Arial" w:hAnsi="Arial"/>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17"/>
              <w:spacing w:after="0" w:line="125" w:lineRule="exact"/>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46"/>
              <w:spacing w:after="0" w:line="125" w:lineRule="exact"/>
              <w:rPr>
                <w:sz w:val="20"/>
                <w:szCs w:val="20"/>
                <w:color w:val="auto"/>
              </w:rPr>
            </w:pPr>
            <w:r>
              <w:rPr>
                <w:rFonts w:ascii="Arial" w:cs="Arial" w:eastAsia="Arial" w:hAnsi="Arial"/>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37"/>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7"/>
              <w:spacing w:after="0" w:line="125"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Securities</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Losses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w w:val="98"/>
              </w:rPr>
              <w:t>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8"/>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4"/>
                <w:szCs w:val="14"/>
                <w:i w:val="1"/>
                <w:iCs w:val="1"/>
                <w:color w:val="auto"/>
              </w:rPr>
              <w:t>($ In Thousands)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w:t>
            </w: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2"/>
              </w:rPr>
              <w:t>obligations of U.S. government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77,164</w:t>
            </w: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3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800" w:type="dxa"/>
            <w:vAlign w:val="bottom"/>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3"/>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143,097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340,079</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(67,854)</w:t>
            </w:r>
          </w:p>
        </w:tc>
        <w:tc>
          <w:tcPr>
            <w:tcW w:w="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483,176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(80,796)</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434,174</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(145,397)</w:t>
            </w: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1,224,711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(165,096)</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13,527</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55,031</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(5,107)</w:t>
            </w:r>
          </w:p>
        </w:tc>
        <w:tc>
          <w:tcPr>
            <w:tcW w:w="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68,558</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31"/>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104,236</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104,236</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7"/>
        </w:trPr>
        <w:tc>
          <w:tcPr>
            <w:tcW w:w="2320" w:type="dxa"/>
            <w:vAlign w:val="bottom"/>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772,198</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(36,225)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1,188,415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(218,467)</w:t>
            </w: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1,960,613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(254,692)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Allowance for credit losses</w:t>
      </w:r>
    </w:p>
    <w:p>
      <w:pPr>
        <w:spacing w:after="0" w:line="162"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As of June 30, 2023 and December 31, 2022, we did not recognize an allowance for credit loss for any security in the investment portfolio and we did not record any provision for credit loss for investment securities during the three or six month periods ended June 30, 2023 or June 30, 2022.</w:t>
      </w:r>
    </w:p>
    <w:p>
      <w:pPr>
        <w:spacing w:after="0" w:line="81"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We evaluated the securities in an unrealized loss position as of June 30, 2023, assessing their credit ratings as well as any adverse conditions specifically related to the security. Based upon our estimate of the amount and timing of cash flows to be collected over the remaining life of each instrument, we believe the unrealized losses as of June 30, 2023 are not indicative of the ultimate collectability of the current amortized cost of the securities. Rather, the unrealized losses on securities held as of June 30, 2023 were primarily driven by fluctuations in interest rates, and to a lesser extent, movements in credit spreads following the purchase of those securities.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Investment Income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310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189"/>
        </w:trPr>
        <w:tc>
          <w:tcPr>
            <w:tcW w:w="49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188"/>
        </w:trPr>
        <w:tc>
          <w:tcPr>
            <w:tcW w:w="4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16,591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r>
      <w:tr>
        <w:trPr>
          <w:trHeight w:val="224"/>
        </w:trPr>
        <w:tc>
          <w:tcPr>
            <w:tcW w:w="4920" w:type="dxa"/>
            <w:vAlign w:val="bottom"/>
          </w:tcPr>
          <w:p>
            <w:pPr>
              <w:ind w:left="20"/>
              <w:spacing w:after="0"/>
              <w:rPr>
                <w:sz w:val="20"/>
                <w:szCs w:val="20"/>
                <w:color w:val="auto"/>
              </w:rPr>
            </w:pPr>
            <w:r>
              <w:rPr>
                <w:rFonts w:ascii="Arial" w:cs="Arial" w:eastAsia="Arial" w:hAnsi="Arial"/>
                <w:sz w:val="18"/>
                <w:szCs w:val="18"/>
                <w:color w:val="auto"/>
              </w:rPr>
              <w:t>Investment expenses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5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16,518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of net realized investment gains (losses):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40" w:type="dxa"/>
            <w:vAlign w:val="bottom"/>
          </w:tcPr>
          <w:p>
            <w:pPr>
              <w:spacing w:after="0"/>
              <w:rPr>
                <w:sz w:val="15"/>
                <w:szCs w:val="15"/>
                <w:color w:val="auto"/>
              </w:rPr>
            </w:pPr>
          </w:p>
        </w:tc>
        <w:tc>
          <w:tcPr>
            <w:tcW w:w="26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For the three months ended June 30,</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40" w:type="dxa"/>
            <w:vAlign w:val="bottom"/>
            <w:gridSpan w:val="4"/>
          </w:tcPr>
          <w:p>
            <w:pPr>
              <w:jc w:val="right"/>
              <w:ind w:right="437"/>
              <w:spacing w:after="0"/>
              <w:rPr>
                <w:sz w:val="20"/>
                <w:szCs w:val="20"/>
                <w:color w:val="auto"/>
              </w:rPr>
            </w:pPr>
            <w:r>
              <w:rPr>
                <w:rFonts w:ascii="Arial" w:cs="Arial" w:eastAsia="Arial" w:hAnsi="Arial"/>
                <w:sz w:val="14"/>
                <w:szCs w:val="14"/>
                <w:b w:val="1"/>
                <w:bCs w:val="1"/>
                <w:color w:val="auto"/>
                <w:w w:val="91"/>
              </w:rPr>
              <w:t>For the six months ended June 30,</w:t>
            </w:r>
          </w:p>
        </w:tc>
      </w:tr>
      <w:tr>
        <w:trPr>
          <w:trHeight w:val="24"/>
        </w:trPr>
        <w:tc>
          <w:tcPr>
            <w:tcW w:w="4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7"/>
        </w:trPr>
        <w:tc>
          <w:tcPr>
            <w:tcW w:w="4940" w:type="dxa"/>
            <w:vAlign w:val="bottom"/>
          </w:tcPr>
          <w:p>
            <w:pPr>
              <w:spacing w:after="0"/>
              <w:rPr>
                <w:sz w:val="15"/>
                <w:szCs w:val="15"/>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182"/>
        </w:trPr>
        <w:tc>
          <w:tcPr>
            <w:tcW w:w="4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i w:val="1"/>
                <w:iCs w:val="1"/>
                <w:color w:val="auto"/>
                <w:w w:val="97"/>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investment gains</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57</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619"/>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3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realized investment losses</w:t>
            </w: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0"/>
              </w:rPr>
              <w:t>(4)</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599"/>
              <w:spacing w:after="0"/>
              <w:rPr>
                <w:sz w:val="20"/>
                <w:szCs w:val="20"/>
                <w:color w:val="auto"/>
              </w:rPr>
            </w:pPr>
            <w:r>
              <w:rPr>
                <w:rFonts w:ascii="Arial" w:cs="Arial" w:eastAsia="Arial" w:hAnsi="Arial"/>
                <w:sz w:val="18"/>
                <w:szCs w:val="18"/>
                <w:color w:val="auto"/>
                <w:w w:val="87"/>
              </w:rPr>
              <w:t>(33)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gains (losses)</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53</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599"/>
              <w:spacing w:after="0"/>
              <w:rPr>
                <w:sz w:val="20"/>
                <w:szCs w:val="20"/>
                <w:color w:val="auto"/>
              </w:rPr>
            </w:pPr>
            <w:r>
              <w:rPr>
                <w:rFonts w:ascii="Arial" w:cs="Arial" w:eastAsia="Arial" w:hAnsi="Arial"/>
                <w:sz w:val="18"/>
                <w:szCs w:val="18"/>
                <w:color w:val="auto"/>
                <w:w w:val="87"/>
              </w:rPr>
              <w:t>(33)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62"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00" w:lineRule="exact"/>
        <w:rPr>
          <w:sz w:val="20"/>
          <w:szCs w:val="20"/>
          <w:color w:val="auto"/>
        </w:rPr>
      </w:pPr>
    </w:p>
    <w:p>
      <w:pPr>
        <w:jc w:val="both"/>
        <w:ind w:left="640"/>
        <w:spacing w:after="0" w:line="325" w:lineRule="auto"/>
        <w:rPr>
          <w:sz w:val="20"/>
          <w:szCs w:val="20"/>
          <w:color w:val="auto"/>
        </w:rPr>
      </w:pPr>
      <w:r>
        <w:rPr>
          <w:rFonts w:ascii="Arial" w:cs="Arial" w:eastAsia="Arial" w:hAnsi="Arial"/>
          <w:sz w:val="16"/>
          <w:szCs w:val="16"/>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81" w:lineRule="exact"/>
        <w:rPr>
          <w:sz w:val="20"/>
          <w:szCs w:val="20"/>
          <w:color w:val="auto"/>
        </w:rPr>
      </w:pPr>
    </w:p>
    <w:p>
      <w:pPr>
        <w:jc w:val="both"/>
        <w:ind w:left="640"/>
        <w:spacing w:after="0" w:line="250"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9" w:lineRule="exact"/>
        <w:rPr>
          <w:sz w:val="20"/>
          <w:szCs w:val="20"/>
          <w:color w:val="auto"/>
        </w:rPr>
      </w:pPr>
    </w:p>
    <w:p>
      <w:pPr>
        <w:jc w:val="both"/>
        <w:ind w:left="640"/>
        <w:spacing w:after="0" w:line="291"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9"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62"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Fair Value Measurements Using</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ind w:right="119"/>
              <w:spacing w:after="0" w:line="125"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420" w:type="dxa"/>
            <w:vAlign w:val="bottom"/>
          </w:tcPr>
          <w:p>
            <w:pPr>
              <w:spacing w:after="0"/>
              <w:rPr>
                <w:sz w:val="10"/>
                <w:szCs w:val="10"/>
                <w:color w:val="auto"/>
              </w:rPr>
            </w:pPr>
          </w:p>
        </w:tc>
        <w:tc>
          <w:tcPr>
            <w:tcW w:w="1320" w:type="dxa"/>
            <w:vAlign w:val="bottom"/>
          </w:tcPr>
          <w:p>
            <w:pPr>
              <w:jc w:val="center"/>
              <w:ind w:right="359"/>
              <w:spacing w:after="0" w:line="125" w:lineRule="exact"/>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39"/>
              <w:spacing w:after="0" w:line="136"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tcPr>
          <w:p>
            <w:pPr>
              <w:jc w:val="center"/>
              <w:ind w:right="359"/>
              <w:spacing w:after="0" w:line="136"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Observable Inputs</w:t>
            </w:r>
          </w:p>
        </w:tc>
        <w:tc>
          <w:tcPr>
            <w:tcW w:w="420" w:type="dxa"/>
            <w:vAlign w:val="bottom"/>
          </w:tcPr>
          <w:p>
            <w:pPr>
              <w:spacing w:after="0"/>
              <w:rPr>
                <w:sz w:val="12"/>
                <w:szCs w:val="12"/>
                <w:color w:val="auto"/>
              </w:rPr>
            </w:pPr>
          </w:p>
        </w:tc>
        <w:tc>
          <w:tcPr>
            <w:tcW w:w="1320" w:type="dxa"/>
            <w:vAlign w:val="bottom"/>
          </w:tcPr>
          <w:p>
            <w:pPr>
              <w:jc w:val="center"/>
              <w:ind w:right="359"/>
              <w:spacing w:after="0" w:line="145"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 of June 30, 2023</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Treasury securities and obligations of U.S.</w:t>
            </w: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79,993</w:t>
            </w:r>
          </w:p>
        </w:tc>
        <w:tc>
          <w:tcPr>
            <w:tcW w:w="300" w:type="dxa"/>
            <w:vAlign w:val="bottom"/>
            <w:gridSpan w:val="2"/>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79,993</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20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603,076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603,076</w:t>
            </w:r>
          </w:p>
        </w:tc>
        <w:tc>
          <w:tcPr>
            <w:tcW w:w="0" w:type="dxa"/>
            <w:vAlign w:val="bottom"/>
          </w:tcPr>
          <w:p>
            <w:pPr>
              <w:spacing w:after="0"/>
              <w:rPr>
                <w:sz w:val="1"/>
                <w:szCs w:val="1"/>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1,348,301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1,348,301</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63,083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63,083</w:t>
            </w:r>
          </w:p>
        </w:tc>
        <w:tc>
          <w:tcPr>
            <w:tcW w:w="0" w:type="dxa"/>
            <w:vAlign w:val="bottom"/>
          </w:tcPr>
          <w:p>
            <w:pPr>
              <w:spacing w:after="0"/>
              <w:rPr>
                <w:sz w:val="1"/>
                <w:szCs w:val="1"/>
                <w:color w:val="auto"/>
              </w:rPr>
            </w:pPr>
          </w:p>
        </w:tc>
      </w:tr>
      <w:tr>
        <w:trPr>
          <w:trHeight w:val="23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212,522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212,522</w:t>
            </w:r>
          </w:p>
        </w:tc>
        <w:tc>
          <w:tcPr>
            <w:tcW w:w="0" w:type="dxa"/>
            <w:vAlign w:val="bottom"/>
          </w:tcPr>
          <w:p>
            <w:pPr>
              <w:spacing w:after="0"/>
              <w:rPr>
                <w:sz w:val="1"/>
                <w:szCs w:val="1"/>
                <w:color w:val="auto"/>
              </w:rPr>
            </w:pPr>
          </w:p>
        </w:tc>
      </w:tr>
      <w:tr>
        <w:trPr>
          <w:trHeight w:val="217"/>
        </w:trPr>
        <w:tc>
          <w:tcPr>
            <w:tcW w:w="40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292,515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2,014,460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2,306,975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Fair Value Measurements Using</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19"/>
              <w:spacing w:after="0" w:line="134"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420" w:type="dxa"/>
            <w:vAlign w:val="bottom"/>
          </w:tcPr>
          <w:p>
            <w:pPr>
              <w:spacing w:after="0"/>
              <w:rPr>
                <w:sz w:val="11"/>
                <w:szCs w:val="11"/>
                <w:color w:val="auto"/>
              </w:rPr>
            </w:pPr>
          </w:p>
        </w:tc>
        <w:tc>
          <w:tcPr>
            <w:tcW w:w="1320" w:type="dxa"/>
            <w:vAlign w:val="bottom"/>
          </w:tcPr>
          <w:p>
            <w:pPr>
              <w:jc w:val="center"/>
              <w:ind w:right="359"/>
              <w:spacing w:after="0" w:line="134" w:lineRule="exact"/>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jc w:val="center"/>
              <w:ind w:right="359"/>
              <w:spacing w:after="0" w:line="145"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1"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1"/>
              </w:rPr>
              <w:t>Observable Inputs</w:t>
            </w:r>
          </w:p>
        </w:tc>
        <w:tc>
          <w:tcPr>
            <w:tcW w:w="420" w:type="dxa"/>
            <w:vAlign w:val="bottom"/>
          </w:tcPr>
          <w:p>
            <w:pPr>
              <w:spacing w:after="0"/>
              <w:rPr>
                <w:sz w:val="12"/>
                <w:szCs w:val="12"/>
                <w:color w:val="auto"/>
              </w:rPr>
            </w:pPr>
          </w:p>
        </w:tc>
        <w:tc>
          <w:tcPr>
            <w:tcW w:w="1320" w:type="dxa"/>
            <w:vAlign w:val="bottom"/>
          </w:tcPr>
          <w:p>
            <w:pPr>
              <w:jc w:val="center"/>
              <w:ind w:right="359"/>
              <w:spacing w:after="0" w:line="141"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Treasury securities and obligations of U.S.</w:t>
            </w: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300" w:type="dxa"/>
            <w:vAlign w:val="bottom"/>
            <w:gridSpan w:val="2"/>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4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79,932</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20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483,176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483,176</w:t>
            </w:r>
          </w:p>
        </w:tc>
        <w:tc>
          <w:tcPr>
            <w:tcW w:w="0" w:type="dxa"/>
            <w:vAlign w:val="bottom"/>
          </w:tcPr>
          <w:p>
            <w:pPr>
              <w:spacing w:after="0"/>
              <w:rPr>
                <w:sz w:val="1"/>
                <w:szCs w:val="1"/>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1,293,642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1,293,642</w:t>
            </w:r>
          </w:p>
        </w:tc>
        <w:tc>
          <w:tcPr>
            <w:tcW w:w="0" w:type="dxa"/>
            <w:vAlign w:val="bottom"/>
          </w:tcPr>
          <w:p>
            <w:pPr>
              <w:spacing w:after="0"/>
              <w:rPr>
                <w:sz w:val="1"/>
                <w:szCs w:val="1"/>
                <w:color w:val="auto"/>
              </w:rPr>
            </w:pP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68,558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68,558</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218,507</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298,439</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1,845,376</w:t>
            </w:r>
          </w:p>
        </w:tc>
        <w:tc>
          <w:tcPr>
            <w:tcW w:w="120" w:type="dxa"/>
            <w:vAlign w:val="bottom"/>
          </w:tcPr>
          <w:p>
            <w:pPr>
              <w:spacing w:after="0"/>
              <w:rPr>
                <w:sz w:val="20"/>
                <w:szCs w:val="20"/>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2,143,815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There were no transfers between Level 2 and Level 3 of the fair value hierarchy during the six months ended June 30, 2023, or the year ended December 31, 2022.</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62"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On June 19, 2020, we issued $400 million aggregate principal amount of senior secured notes that mature on June 1, 2025 (the Notes) and used a portion of the proceeds from the Notes offering to repay the outstanding amount due under our $150 million term loan (2018 Term Loan). At June 30, 2023, the Notes were carried at a cost of $396.8 million, net of unamortized debt issuance costs of $3.2 million, and had a fair value of $405.6 million as assessed under our Level 2 hierarchy. At December 31, 2022, the Notes were carried at a cost of $396.1 million, net of unamortized debt issuance costs of $3.9 million, and had a fair value of $405.9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Senior Secured Notes</w:t>
      </w:r>
    </w:p>
    <w:p>
      <w:pPr>
        <w:spacing w:after="0" w:line="162"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At June 30, 2023, we had $400 million aggregate principal amount of senior secured notes outstanding. The Notes were issued pursuant to an indenture dated June 19, 2020 (the Indenture) and bear interest at a rate of 7.375%, payable semi-annually on June 1 and December 1.</w:t>
      </w:r>
    </w:p>
    <w:p>
      <w:pPr>
        <w:spacing w:after="0" w:line="8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excess of the present value of the principal value of the Notes plus all future interest payments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over the principal amount. At any time on or after March 1, 2025, we may elect to redeem the Notes in whole or in part at a price equal to 100% of the aggregate principal amount of the Notes to be redeemed plus accrued and unpaid interest thereon.</w:t>
      </w:r>
    </w:p>
    <w:p>
      <w:pPr>
        <w:spacing w:after="0" w:line="12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The effective interest rate on the Notes is 7.825%. At June 30, 2023 and December 31, 2022, approximately $3.2 million and $3.9 million, respectively, of unamortized debt issuance costs remained.</w:t>
      </w:r>
    </w:p>
    <w:p>
      <w:pPr>
        <w:spacing w:after="0" w:line="139"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At June 30, 2023 and December 31, 2022, $2.5 million of accrued and unpaid interest on the Notes was included in "Accounts Payable and Accrued Expenses" on the condensed consolidated balance sheets.</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2021 Revolving Credit Facility</w:t>
      </w:r>
    </w:p>
    <w:p>
      <w:pPr>
        <w:spacing w:after="0" w:line="162"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On November 29, 2021, we amended our $110 million senior secured revolving credit facility (the 2020 Revolving Credit Facility and as amended, the 2021 Revolving Credit Facility), expanding the lender group, increasing the revolving capacity to $250 million, and extending the maturity from February 22, 2023 to the earlier of (x) November 29, 2025, or (y) if any existing senior secured notes remain outstanding on such date, February 28, 2025. Borrowings under the 2021 Revolving Credit Facility may be used for general corporate purposes, including to support the growth of our new business production and operations, and accrue interest at a variable rate equal to, at our discretion, (i) a Base Rate (as defined in the 2021 Revolving Credit Facility) subject to a floor of 1.00% per annum) plus a margin of 0.375% to 1.875% per annum, or (ii) the Adjusted Term SOFR (as defined in the 2021 Revolving Credit Facility) plus a margin of 1.375% to 2.875% per annum, with the margin in each of (i) or (ii) based on our applicable corporate credit rating at the time. As of June 30, 2023 and December 31, 2022, no amounts were drawn under the 2021 Revolving Credit Facility.</w:t>
      </w:r>
    </w:p>
    <w:p>
      <w:pPr>
        <w:spacing w:after="0" w:line="115"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Under the 2021 Revolving Credit Facility, we are required to pay a quarterly commitment fee on the average daily undrawn amount of 0.175% to 0.525%, based on the applicable corporate credit rating at the time. As of June 30, 2023, the applicable commitment fee was 0.30%. For the three and six months ended June 30, 2023, we recorded $0.2 million and $0.4 million of commitment fees in interest expense, respectively.</w:t>
      </w:r>
    </w:p>
    <w:p>
      <w:pPr>
        <w:spacing w:after="0" w:line="100"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We incurred debt issuance costs of $1.1 million in connection with the 2021 Revolving Credit Facility and had $0.6 million of unamortized debt issuance costs associated with the 2020 Revolving Credit Facility remaining at the time of its amendment and replacement. Combined unamortized debt issuance costs are amortized through interest expense on a straight-line basis over the contractual life of the 2021 Revolving Credit Facility. At June 30, 2023 and December 31, 2022, remaining unamortized deferred debt issuance costs were $1.0 million and $1.2 million, respectively.</w:t>
      </w:r>
    </w:p>
    <w:p>
      <w:pPr>
        <w:spacing w:after="0" w:line="109"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We are subject to certain covenants under the 2021 Revolving Credit Facility, including, but not limited to, the following: a maximum debt-to-total capitalization ratio of 35%,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June 30,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6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0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six months ended June 30,</w:t>
            </w:r>
          </w:p>
        </w:tc>
      </w:tr>
      <w:tr>
        <w:trPr>
          <w:trHeight w:val="24"/>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7"/>
        </w:trPr>
        <w:tc>
          <w:tcPr>
            <w:tcW w:w="5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r>
      <w:tr>
        <w:trPr>
          <w:trHeight w:val="182"/>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3"/>
          </w:tcPr>
          <w:p>
            <w:pPr>
              <w:ind w:left="680"/>
              <w:spacing w:after="0"/>
              <w:rPr>
                <w:sz w:val="20"/>
                <w:szCs w:val="20"/>
                <w:color w:val="auto"/>
              </w:rPr>
            </w:pPr>
            <w:r>
              <w:rPr>
                <w:rFonts w:ascii="Arial" w:cs="Arial" w:eastAsia="Arial" w:hAnsi="Arial"/>
                <w:sz w:val="14"/>
                <w:szCs w:val="14"/>
                <w:i w:val="1"/>
                <w:iCs w:val="1"/>
                <w:color w:val="auto"/>
                <w:w w:val="91"/>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Direct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520"/>
              <w:spacing w:after="0"/>
              <w:rPr>
                <w:sz w:val="20"/>
                <w:szCs w:val="20"/>
                <w:color w:val="auto"/>
              </w:rPr>
            </w:pPr>
            <w:r>
              <w:rPr>
                <w:rFonts w:ascii="Arial" w:cs="Arial" w:eastAsia="Arial" w:hAnsi="Arial"/>
                <w:sz w:val="18"/>
                <w:szCs w:val="18"/>
                <w:color w:val="auto"/>
                <w:w w:val="98"/>
              </w:rPr>
              <w:t>151,992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ind w:left="420"/>
              <w:spacing w:after="0"/>
              <w:rPr>
                <w:sz w:val="20"/>
                <w:szCs w:val="20"/>
                <w:color w:val="auto"/>
              </w:rPr>
            </w:pPr>
            <w:r>
              <w:rPr>
                <w:rFonts w:ascii="Arial" w:cs="Arial" w:eastAsia="Arial" w:hAnsi="Arial"/>
                <w:sz w:val="18"/>
                <w:szCs w:val="18"/>
                <w:color w:val="auto"/>
                <w:w w:val="95"/>
              </w:rPr>
              <w:t>143,651</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ind w:left="360"/>
              <w:spacing w:after="0"/>
              <w:rPr>
                <w:sz w:val="20"/>
                <w:szCs w:val="20"/>
                <w:color w:val="auto"/>
              </w:rPr>
            </w:pPr>
            <w:r>
              <w:rPr>
                <w:rFonts w:ascii="Arial" w:cs="Arial" w:eastAsia="Arial" w:hAnsi="Arial"/>
                <w:sz w:val="18"/>
                <w:szCs w:val="18"/>
                <w:color w:val="auto"/>
                <w:w w:val="95"/>
              </w:rPr>
              <w:t>300,924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ind w:left="420"/>
              <w:spacing w:after="0"/>
              <w:rPr>
                <w:sz w:val="20"/>
                <w:szCs w:val="20"/>
                <w:color w:val="auto"/>
              </w:rPr>
            </w:pPr>
            <w:r>
              <w:rPr>
                <w:rFonts w:ascii="Arial" w:cs="Arial" w:eastAsia="Arial" w:hAnsi="Arial"/>
                <w:sz w:val="18"/>
                <w:szCs w:val="18"/>
                <w:color w:val="auto"/>
                <w:w w:val="95"/>
              </w:rPr>
              <w:t>282,523</w:t>
            </w:r>
          </w:p>
        </w:tc>
      </w:tr>
      <w:tr>
        <w:trPr>
          <w:trHeight w:val="231"/>
        </w:trPr>
        <w:tc>
          <w:tcPr>
            <w:tcW w:w="5340" w:type="dxa"/>
            <w:vAlign w:val="bottom"/>
            <w:shd w:val="clear" w:color="auto" w:fill="CCEEFF"/>
          </w:tcPr>
          <w:p>
            <w:pPr>
              <w:ind w:left="140"/>
              <w:spacing w:after="0" w:line="231"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2"/>
                <w:szCs w:val="22"/>
                <w:color w:val="auto"/>
                <w:vertAlign w:val="superscript"/>
              </w:rPr>
              <w:t>(1)</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2"/>
              </w:rPr>
              <w:t>(34,848)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9"/>
              </w:rPr>
              <w:t>(25,194)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9"/>
              </w:rPr>
              <w:t>(70,804)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9"/>
              </w:rPr>
              <w:t>(48,032)</w:t>
            </w:r>
          </w:p>
        </w:tc>
      </w:tr>
      <w:tr>
        <w:trPr>
          <w:trHeight w:val="217"/>
        </w:trPr>
        <w:tc>
          <w:tcPr>
            <w:tcW w:w="5340" w:type="dxa"/>
            <w:vAlign w:val="bottom"/>
          </w:tcPr>
          <w:p>
            <w:pPr>
              <w:ind w:left="140"/>
              <w:spacing w:after="0"/>
              <w:rPr>
                <w:sz w:val="20"/>
                <w:szCs w:val="20"/>
                <w:color w:val="auto"/>
              </w:rPr>
            </w:pPr>
            <w:r>
              <w:rPr>
                <w:rFonts w:ascii="Arial" w:cs="Arial" w:eastAsia="Arial" w:hAnsi="Arial"/>
                <w:sz w:val="18"/>
                <w:szCs w:val="18"/>
                <w:color w:val="auto"/>
              </w:rPr>
              <w:t>Net premiums written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540"/>
              <w:spacing w:after="0"/>
              <w:rPr>
                <w:sz w:val="20"/>
                <w:szCs w:val="20"/>
                <w:color w:val="auto"/>
              </w:rPr>
            </w:pPr>
            <w:r>
              <w:rPr>
                <w:rFonts w:ascii="Arial" w:cs="Arial" w:eastAsia="Arial" w:hAnsi="Arial"/>
                <w:sz w:val="18"/>
                <w:szCs w:val="18"/>
                <w:color w:val="auto"/>
                <w:w w:val="95"/>
              </w:rPr>
              <w:t>117,144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ind w:left="440"/>
              <w:spacing w:after="0"/>
              <w:rPr>
                <w:sz w:val="20"/>
                <w:szCs w:val="20"/>
                <w:color w:val="auto"/>
              </w:rPr>
            </w:pPr>
            <w:r>
              <w:rPr>
                <w:rFonts w:ascii="Arial" w:cs="Arial" w:eastAsia="Arial" w:hAnsi="Arial"/>
                <w:sz w:val="18"/>
                <w:szCs w:val="18"/>
                <w:color w:val="auto"/>
                <w:w w:val="92"/>
              </w:rPr>
              <w:t>118,457</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ind w:left="360"/>
              <w:spacing w:after="0"/>
              <w:rPr>
                <w:sz w:val="20"/>
                <w:szCs w:val="20"/>
                <w:color w:val="auto"/>
              </w:rPr>
            </w:pPr>
            <w:r>
              <w:rPr>
                <w:rFonts w:ascii="Arial" w:cs="Arial" w:eastAsia="Arial" w:hAnsi="Arial"/>
                <w:sz w:val="18"/>
                <w:szCs w:val="18"/>
                <w:color w:val="auto"/>
                <w:w w:val="95"/>
              </w:rPr>
              <w:t>230,120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ind w:left="420"/>
              <w:spacing w:after="0"/>
              <w:rPr>
                <w:sz w:val="20"/>
                <w:szCs w:val="20"/>
                <w:color w:val="auto"/>
              </w:rPr>
            </w:pPr>
            <w:r>
              <w:rPr>
                <w:rFonts w:ascii="Arial" w:cs="Arial" w:eastAsia="Arial" w:hAnsi="Arial"/>
                <w:sz w:val="18"/>
                <w:szCs w:val="18"/>
                <w:color w:val="auto"/>
                <w:w w:val="95"/>
              </w:rPr>
              <w:t>234,491</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1"/>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160,988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146,362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318,892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286,078</w:t>
            </w:r>
          </w:p>
        </w:tc>
      </w:tr>
      <w:tr>
        <w:trPr>
          <w:trHeight w:val="224"/>
        </w:trPr>
        <w:tc>
          <w:tcPr>
            <w:tcW w:w="5340" w:type="dxa"/>
            <w:vAlign w:val="bottom"/>
          </w:tcPr>
          <w:p>
            <w:pPr>
              <w:ind w:left="140"/>
              <w:spacing w:after="0" w:line="224"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(35,003)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9"/>
              </w:rPr>
              <w:t>(25,492)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9"/>
              </w:rPr>
              <w:t>(71,153)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9"/>
              </w:rPr>
              <w:t>(48,713)</w:t>
            </w:r>
          </w:p>
        </w:tc>
      </w:tr>
      <w:tr>
        <w:trPr>
          <w:trHeight w:val="25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premiums earned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125,985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120,870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247,739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237,365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Net of profit commission.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Excess-of-loss reinsurance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Insurance-linked notes</w:t>
      </w:r>
    </w:p>
    <w:p>
      <w:pPr>
        <w:spacing w:after="0" w:line="162"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NMIC is a party to reinsurance agreements with Oaktown Re II Ltd., Oaktown Re III Ltd., Oaktown Re V Ltd., Oaktown Re VI Ltd., and Oaktown Re VII Ltd. (special purpose reinsurance entities collectively referred to as the Oaktown Re Vehicles) effective July 25, 2018, July 30, 2019,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45"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$8.8 million and $17.9 million during the three and six months ended June 30, 2023, respectively, and $10.1 million and $21.1 million during the three and six months ended June 30, 2022, respectively.</w:t>
      </w:r>
    </w:p>
    <w:p>
      <w:pPr>
        <w:spacing w:after="0" w:line="139"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NMIC applies claims paid on covered policies against its first layer aggregate retained loss exposure under each excess-of-loss agreement. NMIC did not cede any incurred losses on covered policies to the Oaktown Re Vehicles during the three and six months ended June 30, 2023 and 2022, as the aggregate first layer risk retention for each applicable agreement was not exhausted during such periods.</w:t>
      </w:r>
    </w:p>
    <w:p>
      <w:pPr>
        <w:spacing w:after="0" w:line="136"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and Oaktown Re VII Ltd., which have a 12.5-year maturity). We refer to NMIC's reinsurance agreements with and the insurance-linked note issuances by Oaktown Re Vehicles individually as the 2018 ILN Transaction, 2019 ILN Transaction, 2020-2 ILN Transaction, 2021-1 ILN Transaction, and 2021-2 ILN Transaction, and collectively as the ILN Transactions.</w:t>
      </w:r>
    </w:p>
    <w:p>
      <w:pPr>
        <w:spacing w:after="0" w:line="115"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insurance-linked note principal is suspended if certain credit enhancement or delinquency thresholds, as defined in each agreement, are triggered (each, a Lock-Out Event).</w:t>
      </w:r>
    </w:p>
    <w:p>
      <w:pPr>
        <w:spacing w:after="0" w:line="128"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45"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June 30,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Current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4"/>
                <w:szCs w:val="14"/>
                <w:b w:val="1"/>
                <w:bCs w:val="1"/>
                <w:color w:val="auto"/>
              </w:rPr>
              <w:t>Initial First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Current First</w:t>
            </w:r>
          </w:p>
        </w:tc>
        <w:tc>
          <w:tcPr>
            <w:tcW w:w="0" w:type="dxa"/>
            <w:vAlign w:val="bottom"/>
          </w:tcPr>
          <w:p>
            <w:pPr>
              <w:spacing w:after="0"/>
              <w:rPr>
                <w:sz w:val="1"/>
                <w:szCs w:val="1"/>
                <w:color w:val="auto"/>
              </w:rPr>
            </w:pPr>
          </w:p>
        </w:tc>
      </w:tr>
      <w:tr>
        <w:trPr>
          <w:trHeight w:val="141"/>
        </w:trPr>
        <w:tc>
          <w:tcPr>
            <w:tcW w:w="2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Inception Date</w:t>
            </w:r>
          </w:p>
        </w:tc>
        <w:tc>
          <w:tcPr>
            <w:tcW w:w="2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Covered Production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1" w:lineRule="exact"/>
              <w:rPr>
                <w:sz w:val="20"/>
                <w:szCs w:val="20"/>
                <w:color w:val="auto"/>
              </w:rPr>
            </w:pPr>
            <w:r>
              <w:rPr>
                <w:rFonts w:ascii="Arial" w:cs="Arial" w:eastAsia="Arial" w:hAnsi="Arial"/>
                <w:sz w:val="14"/>
                <w:szCs w:val="14"/>
                <w:b w:val="1"/>
                <w:bCs w:val="1"/>
                <w:color w:val="auto"/>
                <w:w w:val="90"/>
              </w:rPr>
              <w:t>Reinsurance</w:t>
            </w:r>
          </w:p>
        </w:tc>
        <w:tc>
          <w:tcPr>
            <w:tcW w:w="100" w:type="dxa"/>
            <w:vAlign w:val="bottom"/>
          </w:tcPr>
          <w:p>
            <w:pPr>
              <w:spacing w:after="0"/>
              <w:rPr>
                <w:sz w:val="12"/>
                <w:szCs w:val="12"/>
                <w:color w:val="auto"/>
              </w:rPr>
            </w:pPr>
          </w:p>
        </w:tc>
        <w:tc>
          <w:tcPr>
            <w:tcW w:w="108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7"/>
              </w:rPr>
              <w:t>Layer Retained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39"/>
              <w:spacing w:after="0" w:line="141" w:lineRule="exact"/>
              <w:rPr>
                <w:sz w:val="20"/>
                <w:szCs w:val="20"/>
                <w:color w:val="auto"/>
              </w:rPr>
            </w:pPr>
            <w:r>
              <w:rPr>
                <w:rFonts w:ascii="Arial" w:cs="Arial" w:eastAsia="Arial" w:hAnsi="Arial"/>
                <w:sz w:val="14"/>
                <w:szCs w:val="14"/>
                <w:b w:val="1"/>
                <w:bCs w:val="1"/>
                <w:color w:val="auto"/>
                <w:w w:val="91"/>
              </w:rPr>
              <w:t>Layer Retained</w:t>
            </w:r>
          </w:p>
        </w:tc>
        <w:tc>
          <w:tcPr>
            <w:tcW w:w="0" w:type="dxa"/>
            <w:vAlign w:val="bottom"/>
          </w:tcPr>
          <w:p>
            <w:pPr>
              <w:spacing w:after="0"/>
              <w:rPr>
                <w:sz w:val="1"/>
                <w:szCs w:val="1"/>
                <w:color w:val="auto"/>
              </w:rPr>
            </w:pPr>
          </w:p>
        </w:tc>
      </w:tr>
      <w:tr>
        <w:trPr>
          <w:trHeight w:val="184"/>
        </w:trPr>
        <w:tc>
          <w:tcPr>
            <w:tcW w:w="232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Coverage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7"/>
              </w:rPr>
              <w:t>Coverage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8"/>
              </w:rPr>
              <w:t xml:space="preserve">Loss </w:t>
            </w:r>
            <w:r>
              <w:rPr>
                <w:rFonts w:ascii="Arial" w:cs="Arial" w:eastAsia="Arial" w:hAnsi="Arial"/>
                <w:sz w:val="9"/>
                <w:szCs w:val="9"/>
                <w:b w:val="1"/>
                <w:bCs w:val="1"/>
                <w:color w:val="auto"/>
                <w:w w:val="88"/>
              </w:rPr>
              <w:t>(1)</w:t>
            </w:r>
          </w:p>
        </w:tc>
        <w:tc>
          <w:tcPr>
            <w:tcW w:w="0" w:type="dxa"/>
            <w:vAlign w:val="bottom"/>
          </w:tcPr>
          <w:p>
            <w:pPr>
              <w:spacing w:after="0"/>
              <w:rPr>
                <w:sz w:val="1"/>
                <w:szCs w:val="1"/>
                <w:color w:val="auto"/>
              </w:rPr>
            </w:pPr>
          </w:p>
        </w:tc>
      </w:tr>
      <w:tr>
        <w:trPr>
          <w:trHeight w:val="231"/>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ILN Transaction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25, 2018</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1/1/2017 – 5/31/2018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121,966</w:t>
            </w: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2019 ILN Transaction</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July 30, 2019</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6/1/2018 – 6/30/2019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326,905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176,647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122,085</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2020-2 ILN Transaction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29, 2020</w:t>
            </w:r>
          </w:p>
        </w:tc>
        <w:tc>
          <w:tcPr>
            <w:tcW w:w="2200" w:type="dxa"/>
            <w:vAlign w:val="bottom"/>
            <w:shd w:val="clear" w:color="auto" w:fill="CCEEFF"/>
          </w:tcPr>
          <w:p>
            <w:pPr>
              <w:jc w:val="center"/>
              <w:spacing w:after="0" w:line="224" w:lineRule="exact"/>
              <w:rPr>
                <w:sz w:val="20"/>
                <w:szCs w:val="20"/>
                <w:color w:val="auto"/>
              </w:rPr>
            </w:pPr>
            <w:r>
              <w:rPr>
                <w:rFonts w:ascii="Arial" w:cs="Arial" w:eastAsia="Arial" w:hAnsi="Arial"/>
                <w:sz w:val="18"/>
                <w:szCs w:val="18"/>
                <w:color w:val="auto"/>
                <w:w w:val="88"/>
              </w:rPr>
              <w:t xml:space="preserve">4/1/2020 – 9/30/2020 </w:t>
            </w:r>
            <w:r>
              <w:rPr>
                <w:rFonts w:ascii="Arial" w:cs="Arial" w:eastAsia="Arial" w:hAnsi="Arial"/>
                <w:sz w:val="22"/>
                <w:szCs w:val="22"/>
                <w:color w:val="auto"/>
                <w:w w:val="88"/>
                <w:vertAlign w:val="superscript"/>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121,177</w:t>
            </w:r>
          </w:p>
        </w:tc>
        <w:tc>
          <w:tcPr>
            <w:tcW w:w="0" w:type="dxa"/>
            <w:vAlign w:val="bottom"/>
          </w:tcPr>
          <w:p>
            <w:pPr>
              <w:spacing w:after="0"/>
              <w:rPr>
                <w:sz w:val="1"/>
                <w:szCs w:val="1"/>
                <w:color w:val="auto"/>
              </w:rPr>
            </w:pP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2021-1 ILN Transaction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April 27, 2021</w:t>
            </w:r>
          </w:p>
        </w:tc>
        <w:tc>
          <w:tcPr>
            <w:tcW w:w="2200" w:type="dxa"/>
            <w:vAlign w:val="bottom"/>
          </w:tcPr>
          <w:p>
            <w:pPr>
              <w:jc w:val="center"/>
              <w:spacing w:after="0" w:line="237" w:lineRule="exact"/>
              <w:rPr>
                <w:sz w:val="20"/>
                <w:szCs w:val="20"/>
                <w:color w:val="auto"/>
              </w:rPr>
            </w:pPr>
            <w:r>
              <w:rPr>
                <w:rFonts w:ascii="Arial" w:cs="Arial" w:eastAsia="Arial" w:hAnsi="Arial"/>
                <w:sz w:val="18"/>
                <w:szCs w:val="18"/>
                <w:color w:val="auto"/>
                <w:w w:val="87"/>
              </w:rPr>
              <w:t xml:space="preserve">10/1/2020 – 3/31/2021 </w:t>
            </w:r>
            <w:r>
              <w:rPr>
                <w:rFonts w:ascii="Arial" w:cs="Arial" w:eastAsia="Arial" w:hAnsi="Arial"/>
                <w:sz w:val="22"/>
                <w:szCs w:val="22"/>
                <w:color w:val="auto"/>
                <w:w w:val="87"/>
                <w:vertAlign w:val="superscript"/>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367,238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257,809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163,708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163,520</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2021-2 ILN Transaction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26, 2021</w:t>
            </w:r>
          </w:p>
        </w:tc>
        <w:tc>
          <w:tcPr>
            <w:tcW w:w="2200" w:type="dxa"/>
            <w:vAlign w:val="bottom"/>
            <w:shd w:val="clear" w:color="auto" w:fill="CCEEFF"/>
          </w:tcPr>
          <w:p>
            <w:pPr>
              <w:jc w:val="center"/>
              <w:spacing w:after="0" w:line="224" w:lineRule="exact"/>
              <w:rPr>
                <w:sz w:val="20"/>
                <w:szCs w:val="20"/>
                <w:color w:val="auto"/>
              </w:rPr>
            </w:pPr>
            <w:r>
              <w:rPr>
                <w:rFonts w:ascii="Arial" w:cs="Arial" w:eastAsia="Arial" w:hAnsi="Arial"/>
                <w:sz w:val="18"/>
                <w:szCs w:val="18"/>
                <w:color w:val="auto"/>
                <w:w w:val="88"/>
              </w:rPr>
              <w:t xml:space="preserve">4/1/2021 – 9/30/2021 </w:t>
            </w:r>
            <w:r>
              <w:rPr>
                <w:rFonts w:ascii="Arial" w:cs="Arial" w:eastAsia="Arial" w:hAnsi="Arial"/>
                <w:sz w:val="22"/>
                <w:szCs w:val="22"/>
                <w:color w:val="auto"/>
                <w:w w:val="88"/>
                <w:vertAlign w:val="superscript"/>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146,112</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20" w:hanging="315"/>
        <w:spacing w:after="0" w:line="254" w:lineRule="auto"/>
        <w:tabs>
          <w:tab w:leader="none" w:pos="393" w:val="left"/>
        </w:tabs>
        <w:numPr>
          <w:ilvl w:val="0"/>
          <w:numId w:val="6"/>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5"/>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2020-2 ILN Transaction has coverage reporting dates between July 1, 2019 and March 31, 2020.</w:t>
      </w:r>
    </w:p>
    <w:p>
      <w:pPr>
        <w:spacing w:after="0" w:line="6" w:lineRule="exact"/>
        <w:rPr>
          <w:rFonts w:ascii="Arial" w:cs="Arial" w:eastAsia="Arial" w:hAnsi="Arial"/>
          <w:sz w:val="14"/>
          <w:szCs w:val="14"/>
          <w:color w:val="auto"/>
        </w:rPr>
      </w:pPr>
    </w:p>
    <w:p>
      <w:pPr>
        <w:ind w:left="300" w:hanging="295"/>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2021-1 ILN Transaction has coverage reporting dates between July 1, 2019 and September 30, 2020.</w:t>
      </w:r>
    </w:p>
    <w:p>
      <w:pPr>
        <w:spacing w:after="0" w:line="10" w:lineRule="exact"/>
        <w:rPr>
          <w:rFonts w:ascii="Arial" w:cs="Arial" w:eastAsia="Arial" w:hAnsi="Arial"/>
          <w:sz w:val="14"/>
          <w:szCs w:val="14"/>
          <w:color w:val="auto"/>
        </w:rPr>
      </w:pPr>
    </w:p>
    <w:p>
      <w:pPr>
        <w:ind w:left="300" w:hanging="295"/>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2% of the production covered by the 2021-2 ILN Transaction has coverage reporting dates between July 1, 2019 and March 31, 2021.</w:t>
      </w:r>
    </w:p>
    <w:p>
      <w:pPr>
        <w:spacing w:after="0" w:line="246"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Under the terms of our ILN Transactions, we are required to maintain a certain level of restricted funds in premium deposit accounts with Bank of New York Mellon until the respective notes have been redeemed in full. "Cash and cash equivalents" on our condensed consolidated balance sheets includes restricted amounts of $2.2 million as of June 30, 2023 and December 31, 2022. The restricted balances required under these transactions will decline over time as the outstanding principal balance of the respective insurance-linked notes are amortized.</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Traditional reinsurance</w:t>
      </w:r>
    </w:p>
    <w:p>
      <w:pPr>
        <w:spacing w:after="0" w:line="162"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NMIC is a party to four excess-of-loss reinsurance agreements with broad panels of third-party reinsurers – the 2022-1 XOL Transaction, effective April 1, 2022, the 2022-2 XOL Transaction, effective July 1, 2022, the 2022-3 XOL Transaction, effective October 1, 2022, and the 2023-1 XOL Transaction, effective January 1, 2023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the inception of each respective agreement (except 2023-1 XOL, which decreases from the end of the covered production period) over a ten-year period in the event the PMIERs minimum required assets of the pool declines. NMIC retains losses in excess of the outstanding reinsurance coverage amount.</w:t>
      </w:r>
    </w:p>
    <w:p>
      <w:pPr>
        <w:spacing w:after="0" w:line="115"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Under the terms of the XOL Transactions, NMIC makes risk premium payments to its third-party reinsurance providers for the outstanding reinsurance coverage amount and ceded aggregate premiums of $7.7 million and $14.9 million during the three and six months ended June 30, 2023, respectively, and $2.9 million during both the three and six months ended June 30, 2022. NMIC applies claims paid on covered policies against its first layer aggregate retained loss exposure under each agreement. NMIC did not cede any incurred losses on covered policies under the XOL Transactions during the three and six months ended June 30, 2023, as the aggregate first layer risk retention for each agreement was not exhausted during the period.</w:t>
      </w:r>
    </w:p>
    <w:p>
      <w:pPr>
        <w:spacing w:after="0" w:line="112"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09"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Each of the third-party reinsurance providers that is party to the XOL Transactions has an insurer financial strength rating of A- or better by Standard &amp; Poor’s Rating Service (S&amp;P), A.M. Best Company Inc. (A.M. Best) or both.</w:t>
      </w:r>
    </w:p>
    <w:p>
      <w:pPr>
        <w:spacing w:after="0" w:line="128"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June 30,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Current</w:t>
            </w: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Initial First</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41"/>
        </w:trPr>
        <w:tc>
          <w:tcPr>
            <w:tcW w:w="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Inception Date</w:t>
            </w:r>
          </w:p>
        </w:tc>
        <w:tc>
          <w:tcPr>
            <w:tcW w:w="23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0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Reinsurance</w:t>
            </w:r>
          </w:p>
        </w:tc>
        <w:tc>
          <w:tcPr>
            <w:tcW w:w="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8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 values in thousands)</w:t>
            </w:r>
          </w:p>
        </w:tc>
        <w:tc>
          <w:tcPr>
            <w:tcW w:w="1680" w:type="dxa"/>
            <w:vAlign w:val="bottom"/>
            <w:tcBorders>
              <w:bottom w:val="single" w:sz="8" w:color="auto"/>
            </w:tcBorders>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Coverage</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Coverage</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xml:space="preserve">Loss </w:t>
            </w:r>
            <w:r>
              <w:rPr>
                <w:rFonts w:ascii="Arial" w:cs="Arial" w:eastAsia="Arial" w:hAnsi="Arial"/>
                <w:sz w:val="9"/>
                <w:szCs w:val="9"/>
                <w:b w:val="1"/>
                <w:bCs w:val="1"/>
                <w:color w:val="auto"/>
                <w:w w:val="88"/>
              </w:rPr>
              <w:t>(1)</w:t>
            </w:r>
          </w:p>
        </w:tc>
        <w:tc>
          <w:tcPr>
            <w:tcW w:w="0" w:type="dxa"/>
            <w:vAlign w:val="bottom"/>
          </w:tcPr>
          <w:p>
            <w:pPr>
              <w:spacing w:after="0"/>
              <w:rPr>
                <w:sz w:val="1"/>
                <w:szCs w:val="1"/>
                <w:color w:val="auto"/>
              </w:rPr>
            </w:pPr>
          </w:p>
        </w:tc>
      </w:tr>
      <w:tr>
        <w:trPr>
          <w:trHeight w:val="222"/>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2022-1</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1, 2022</w:t>
            </w:r>
          </w:p>
        </w:tc>
        <w:tc>
          <w:tcPr>
            <w:tcW w:w="2380" w:type="dxa"/>
            <w:vAlign w:val="bottom"/>
            <w:shd w:val="clear" w:color="auto" w:fill="CCEEFF"/>
          </w:tcPr>
          <w:p>
            <w:pPr>
              <w:jc w:val="center"/>
              <w:spacing w:after="0" w:line="223" w:lineRule="exact"/>
              <w:rPr>
                <w:sz w:val="20"/>
                <w:szCs w:val="20"/>
                <w:color w:val="auto"/>
              </w:rPr>
            </w:pPr>
            <w:r>
              <w:rPr>
                <w:rFonts w:ascii="Arial" w:cs="Arial" w:eastAsia="Arial" w:hAnsi="Arial"/>
                <w:sz w:val="18"/>
                <w:szCs w:val="18"/>
                <w:color w:val="auto"/>
                <w:w w:val="87"/>
              </w:rPr>
              <w:t xml:space="preserve">10/1/2021 – 3/31/2022 </w:t>
            </w:r>
            <w:r>
              <w:rPr>
                <w:rFonts w:ascii="Arial" w:cs="Arial" w:eastAsia="Arial" w:hAnsi="Arial"/>
                <w:sz w:val="22"/>
                <w:szCs w:val="22"/>
                <w:color w:val="auto"/>
                <w:w w:val="87"/>
                <w:vertAlign w:val="superscript"/>
              </w:rPr>
              <w:t>(2)</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$289,741</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$279,416</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$133,366</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$133,366</w:t>
            </w:r>
          </w:p>
        </w:tc>
        <w:tc>
          <w:tcPr>
            <w:tcW w:w="0" w:type="dxa"/>
            <w:vAlign w:val="bottom"/>
          </w:tcPr>
          <w:p>
            <w:pPr>
              <w:spacing w:after="0"/>
              <w:rPr>
                <w:sz w:val="1"/>
                <w:szCs w:val="1"/>
                <w:color w:val="auto"/>
              </w:rPr>
            </w:pPr>
          </w:p>
        </w:tc>
      </w:tr>
      <w:tr>
        <w:trPr>
          <w:trHeight w:val="237"/>
        </w:trPr>
        <w:tc>
          <w:tcPr>
            <w:tcW w:w="540" w:type="dxa"/>
            <w:vAlign w:val="bottom"/>
          </w:tcPr>
          <w:p>
            <w:pPr>
              <w:ind w:left="20"/>
              <w:spacing w:after="0"/>
              <w:rPr>
                <w:sz w:val="20"/>
                <w:szCs w:val="20"/>
                <w:color w:val="auto"/>
              </w:rPr>
            </w:pPr>
            <w:r>
              <w:rPr>
                <w:rFonts w:ascii="Arial" w:cs="Arial" w:eastAsia="Arial" w:hAnsi="Arial"/>
                <w:sz w:val="18"/>
                <w:szCs w:val="18"/>
                <w:color w:val="auto"/>
                <w:w w:val="89"/>
              </w:rPr>
              <w:t>2022-2</w:t>
            </w:r>
          </w:p>
        </w:tc>
        <w:tc>
          <w:tcPr>
            <w:tcW w:w="1980" w:type="dxa"/>
            <w:vAlign w:val="bottom"/>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July 1, 2022</w:t>
            </w:r>
          </w:p>
        </w:tc>
        <w:tc>
          <w:tcPr>
            <w:tcW w:w="2380" w:type="dxa"/>
            <w:vAlign w:val="bottom"/>
          </w:tcPr>
          <w:p>
            <w:pPr>
              <w:jc w:val="center"/>
              <w:spacing w:after="0" w:line="237" w:lineRule="exact"/>
              <w:rPr>
                <w:sz w:val="20"/>
                <w:szCs w:val="20"/>
                <w:color w:val="auto"/>
              </w:rPr>
            </w:pPr>
            <w:r>
              <w:rPr>
                <w:rFonts w:ascii="Arial" w:cs="Arial" w:eastAsia="Arial" w:hAnsi="Arial"/>
                <w:sz w:val="18"/>
                <w:szCs w:val="18"/>
                <w:color w:val="auto"/>
                <w:w w:val="88"/>
              </w:rPr>
              <w:t xml:space="preserve">4/1/2022 – 6/30/2022 </w:t>
            </w:r>
            <w:r>
              <w:rPr>
                <w:rFonts w:ascii="Arial" w:cs="Arial" w:eastAsia="Arial" w:hAnsi="Arial"/>
                <w:sz w:val="22"/>
                <w:szCs w:val="22"/>
                <w:color w:val="auto"/>
                <w:w w:val="88"/>
                <w:vertAlign w:val="superscript"/>
              </w:rPr>
              <w:t>(3)</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w w:val="86"/>
              </w:rPr>
              <w:t>154,306</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6"/>
              </w:rPr>
              <w:t>152,347</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78,906</w:t>
            </w:r>
          </w:p>
        </w:tc>
        <w:tc>
          <w:tcPr>
            <w:tcW w:w="11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78,906</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2022-3</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October 1, 2022</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7/1/2022 – 9/30/2022</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96,779</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96,197</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0" w:type="dxa"/>
            <w:vAlign w:val="bottom"/>
          </w:tcPr>
          <w:p>
            <w:pPr>
              <w:spacing w:after="0"/>
              <w:rPr>
                <w:sz w:val="1"/>
                <w:szCs w:val="1"/>
                <w:color w:val="auto"/>
              </w:rPr>
            </w:pPr>
          </w:p>
        </w:tc>
      </w:tr>
      <w:tr>
        <w:trPr>
          <w:trHeight w:val="298"/>
        </w:trPr>
        <w:tc>
          <w:tcPr>
            <w:tcW w:w="540" w:type="dxa"/>
            <w:vAlign w:val="bottom"/>
          </w:tcPr>
          <w:p>
            <w:pPr>
              <w:ind w:left="20"/>
              <w:spacing w:after="0"/>
              <w:rPr>
                <w:sz w:val="20"/>
                <w:szCs w:val="20"/>
                <w:color w:val="auto"/>
              </w:rPr>
            </w:pPr>
            <w:r>
              <w:rPr>
                <w:rFonts w:ascii="Arial" w:cs="Arial" w:eastAsia="Arial" w:hAnsi="Arial"/>
                <w:sz w:val="18"/>
                <w:szCs w:val="18"/>
                <w:color w:val="auto"/>
                <w:w w:val="89"/>
              </w:rPr>
              <w:t>2023-1</w:t>
            </w:r>
          </w:p>
        </w:tc>
        <w:tc>
          <w:tcPr>
            <w:tcW w:w="1980" w:type="dxa"/>
            <w:vAlign w:val="bottom"/>
          </w:tcPr>
          <w:p>
            <w:pPr>
              <w:ind w:left="20"/>
              <w:spacing w:after="0"/>
              <w:rPr>
                <w:sz w:val="20"/>
                <w:szCs w:val="20"/>
                <w:color w:val="auto"/>
              </w:rPr>
            </w:pPr>
            <w:r>
              <w:rPr>
                <w:rFonts w:ascii="Arial" w:cs="Arial" w:eastAsia="Arial" w:hAnsi="Arial"/>
                <w:sz w:val="18"/>
                <w:szCs w:val="18"/>
                <w:color w:val="auto"/>
              </w:rPr>
              <w:t xml:space="preserve">XOL Transaction </w:t>
            </w:r>
            <w:r>
              <w:rPr>
                <w:rFonts w:ascii="Arial" w:cs="Arial" w:eastAsia="Arial" w:hAnsi="Arial"/>
                <w:sz w:val="22"/>
                <w:szCs w:val="22"/>
                <w:color w:val="auto"/>
                <w:vertAlign w:val="superscript"/>
              </w:rPr>
              <w:t>(4)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January 1, 2023</w:t>
            </w: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10/1/2022 – 6/30/2023</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89,864</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89,864</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146,513</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146,513</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5"/>
        <w:spacing w:after="0" w:line="261" w:lineRule="auto"/>
        <w:tabs>
          <w:tab w:leader="none" w:pos="386" w:val="left"/>
        </w:tabs>
        <w:numPr>
          <w:ilvl w:val="0"/>
          <w:numId w:val="7"/>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5"/>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2022-1 XOL Transaction has coverage reporting dates between October 21, 2019 and September 30, 2021.</w:t>
      </w:r>
    </w:p>
    <w:p>
      <w:pPr>
        <w:spacing w:after="0" w:line="1" w:lineRule="exact"/>
        <w:rPr>
          <w:rFonts w:ascii="Arial" w:cs="Arial" w:eastAsia="Arial" w:hAnsi="Arial"/>
          <w:sz w:val="14"/>
          <w:szCs w:val="14"/>
          <w:color w:val="auto"/>
        </w:rPr>
      </w:pPr>
    </w:p>
    <w:p>
      <w:pPr>
        <w:ind w:left="300" w:hanging="295"/>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2022-2 XOL Transaction has coverage reporting dates between January 4, 2021 and March 31, 2022.</w:t>
      </w:r>
    </w:p>
    <w:p>
      <w:pPr>
        <w:spacing w:after="0" w:line="6" w:lineRule="exact"/>
        <w:rPr>
          <w:rFonts w:ascii="Arial" w:cs="Arial" w:eastAsia="Arial" w:hAnsi="Arial"/>
          <w:sz w:val="14"/>
          <w:szCs w:val="14"/>
          <w:color w:val="auto"/>
        </w:rPr>
      </w:pPr>
    </w:p>
    <w:p>
      <w:pPr>
        <w:ind w:left="320" w:hanging="315"/>
        <w:spacing w:after="0" w:line="270" w:lineRule="auto"/>
        <w:tabs>
          <w:tab w:leader="none" w:pos="321"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2023-1 XOL Transaction provides coverage for production generated between October 1, 2022 and June 30, 2023. The current reinsurance coverage and current first layer retained loss will decrease in future periods to the extent the PMIERs minimum required assets of the covered pool declines.</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Quota share reinsurance</w:t>
      </w:r>
    </w:p>
    <w:p>
      <w:pPr>
        <w:spacing w:after="0" w:line="162"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NMIC is a party to seven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the 2022 Seasoned QSR Transaction, effective July 1, 2022 and the 2023 QSR Transaction, effective January 1, 2023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45"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8"/>
          <w:szCs w:val="18"/>
          <w:color w:val="212529"/>
        </w:rPr>
        <w:t>The 2016 QSR Transaction is scheduled to terminate on</w:t>
      </w:r>
      <w:r>
        <w:rPr>
          <w:rFonts w:ascii="Arial" w:cs="Arial" w:eastAsia="Arial" w:hAnsi="Arial"/>
          <w:sz w:val="18"/>
          <w:szCs w:val="18"/>
          <w:color w:val="auto"/>
        </w:rPr>
        <w:t xml:space="preserve"> </w:t>
      </w:r>
      <w:r>
        <w:rPr>
          <w:rFonts w:ascii="Arial" w:cs="Arial" w:eastAsia="Arial" w:hAnsi="Arial"/>
          <w:sz w:val="18"/>
          <w:szCs w:val="18"/>
          <w:color w:val="212529"/>
        </w:rPr>
        <w:t>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recapturing the related risk.</w:t>
      </w:r>
    </w:p>
    <w:p>
      <w:pPr>
        <w:spacing w:after="0" w:line="143"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recapturing the related risk.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recapturing the related risk.</w:t>
      </w:r>
    </w:p>
    <w:p>
      <w:pPr>
        <w:spacing w:after="0" w:line="139"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139"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2024 or semi-annually thereafter, which would result in NMIC recapturing the related risk.</w:t>
      </w:r>
    </w:p>
    <w:p>
      <w:pPr>
        <w:spacing w:after="0" w:line="139" w:lineRule="exact"/>
        <w:rPr>
          <w:sz w:val="20"/>
          <w:szCs w:val="20"/>
          <w:color w:val="auto"/>
        </w:rPr>
      </w:pPr>
    </w:p>
    <w:p>
      <w:pPr>
        <w:jc w:val="both"/>
        <w:ind w:firstLine="632"/>
        <w:spacing w:after="0" w:line="316" w:lineRule="auto"/>
        <w:rPr>
          <w:sz w:val="20"/>
          <w:szCs w:val="20"/>
          <w:color w:val="auto"/>
        </w:rPr>
      </w:pPr>
      <w:r>
        <w:rPr>
          <w:rFonts w:ascii="Arial" w:cs="Arial" w:eastAsia="Arial" w:hAnsi="Arial"/>
          <w:sz w:val="15"/>
          <w:szCs w:val="15"/>
          <w:color w:val="auto"/>
        </w:rPr>
        <w:t>In connection with the 2022 QSR Transaction, NMIC entered into the 2023 QSR Transaction as a springing back-to-back quota share agreement. Under the terms of the 2023 QSR Transaction, NMIC cedes premiums earned related to 20% of the risk on eligible policies written from January 1, 2023 to December 31, 2023. The 2023 QSR Transaction is scheduled to terminate on December 31, 2033. NMIC has the option, based on certain conditions and subject to a termination fee, to terminate the agreement as of December 31, 2025 or semi-annually thereafter, which would result in NMIC recapturing the related risk.</w:t>
      </w:r>
    </w:p>
    <w:p>
      <w:pPr>
        <w:spacing w:after="0" w:line="93" w:lineRule="exact"/>
        <w:rPr>
          <w:sz w:val="20"/>
          <w:szCs w:val="20"/>
          <w:color w:val="auto"/>
        </w:rPr>
      </w:pPr>
    </w:p>
    <w:p>
      <w:pPr>
        <w:jc w:val="both"/>
        <w:ind w:firstLine="632"/>
        <w:spacing w:after="0" w:line="307" w:lineRule="auto"/>
        <w:rPr>
          <w:sz w:val="20"/>
          <w:szCs w:val="20"/>
          <w:color w:val="auto"/>
        </w:rPr>
      </w:pPr>
      <w:r>
        <w:rPr>
          <w:rFonts w:ascii="Arial" w:cs="Arial" w:eastAsia="Arial" w:hAnsi="Arial"/>
          <w:sz w:val="15"/>
          <w:szCs w:val="15"/>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The 2022 Seasoned QSR Transaction is scheduled to terminate on June 30, 2032. NMIC has the option, based on certain conditions, to terminate the agreement as of June 30, 2025 or quarterly thereafter through December 31, 2027</w:t>
      </w:r>
    </w:p>
    <w:p>
      <w:pPr>
        <w:jc w:val="both"/>
        <w:spacing w:after="0" w:line="262" w:lineRule="auto"/>
        <w:rPr>
          <w:sz w:val="20"/>
          <w:szCs w:val="20"/>
          <w:color w:val="auto"/>
        </w:rPr>
      </w:pPr>
      <w:r>
        <w:rPr>
          <w:rFonts w:ascii="Arial" w:cs="Arial" w:eastAsia="Arial" w:hAnsi="Arial"/>
          <w:sz w:val="18"/>
          <w:szCs w:val="18"/>
          <w:color w:val="auto"/>
        </w:rPr>
        <w:t>with the payment of a termination fee, and as of March 31, 2028 or quarterly thereafter without the payment of a termination fee. Such termination would result in NMIC recapturing the related risk.</w:t>
      </w:r>
    </w:p>
    <w:p>
      <w:pPr>
        <w:spacing w:after="0" w:line="128" w:lineRule="exact"/>
        <w:rPr>
          <w:sz w:val="20"/>
          <w:szCs w:val="20"/>
          <w:color w:val="auto"/>
        </w:rPr>
      </w:pPr>
    </w:p>
    <w:p>
      <w:pPr>
        <w:jc w:val="both"/>
        <w:ind w:firstLine="632"/>
        <w:spacing w:after="0" w:line="307" w:lineRule="auto"/>
        <w:rPr>
          <w:sz w:val="20"/>
          <w:szCs w:val="20"/>
          <w:color w:val="auto"/>
        </w:rPr>
      </w:pPr>
      <w:r>
        <w:rPr>
          <w:rFonts w:ascii="Arial" w:cs="Arial" w:eastAsia="Arial" w:hAnsi="Arial"/>
          <w:sz w:val="15"/>
          <w:szCs w:val="15"/>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5"/>
          <w:szCs w:val="15"/>
          <w:i w:val="1"/>
          <w:iCs w:val="1"/>
          <w:color w:val="auto"/>
        </w:rPr>
        <w:t>i.e.</w:t>
      </w:r>
      <w:r>
        <w:rPr>
          <w:rFonts w:ascii="Arial" w:cs="Arial" w:eastAsia="Arial" w:hAnsi="Arial"/>
          <w:sz w:val="15"/>
          <w:szCs w:val="15"/>
          <w:color w:val="auto"/>
        </w:rPr>
        <w:t>, reinsurers continue providing coverage on all risk ceded prior to the termination date, with no new cessions going forward) or cut-off basis (</w:t>
      </w:r>
      <w:r>
        <w:rPr>
          <w:rFonts w:ascii="Arial" w:cs="Arial" w:eastAsia="Arial" w:hAnsi="Arial"/>
          <w:sz w:val="15"/>
          <w:szCs w:val="15"/>
          <w:i w:val="1"/>
          <w:iCs w:val="1"/>
          <w:color w:val="auto"/>
        </w:rPr>
        <w:t>i.e.</w:t>
      </w:r>
      <w:r>
        <w:rPr>
          <w:rFonts w:ascii="Arial" w:cs="Arial" w:eastAsia="Arial" w:hAnsi="Arial"/>
          <w:sz w:val="15"/>
          <w:szCs w:val="15"/>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99"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amounts related to the QSR Transactions: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3"/>
          </w:tcPr>
          <w:p>
            <w:pPr>
              <w:jc w:val="right"/>
              <w:ind w:right="335"/>
              <w:spacing w:after="0"/>
              <w:rPr>
                <w:sz w:val="20"/>
                <w:szCs w:val="20"/>
                <w:color w:val="auto"/>
              </w:rPr>
            </w:pPr>
            <w:r>
              <w:rPr>
                <w:rFonts w:ascii="Arial" w:cs="Arial" w:eastAsia="Arial" w:hAnsi="Arial"/>
                <w:sz w:val="14"/>
                <w:szCs w:val="14"/>
                <w:b w:val="1"/>
                <w:bCs w:val="1"/>
                <w:color w:val="auto"/>
                <w:w w:val="96"/>
              </w:rPr>
              <w:t>As of and for the six months ended</w:t>
            </w:r>
          </w:p>
        </w:tc>
      </w:tr>
      <w:tr>
        <w:trPr>
          <w:trHeight w:val="24"/>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7"/>
        </w:trPr>
        <w:tc>
          <w:tcPr>
            <w:tcW w:w="5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6"/>
              </w:rPr>
              <w:t>June 30, 2023</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June 30, 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6"/>
              </w:rPr>
              <w:t>June 30, 2023</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June 30, 2022</w:t>
            </w:r>
          </w:p>
        </w:tc>
      </w:tr>
      <w:tr>
        <w:trPr>
          <w:trHeight w:val="182"/>
        </w:trPr>
        <w:tc>
          <w:tcPr>
            <w:tcW w:w="5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tcPr>
          <w:p>
            <w:pPr>
              <w:jc w:val="right"/>
              <w:ind w:right="977"/>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risk-in-force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12,761,294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9,040,944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12,761,294</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9,040,944</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Ceded premiums earned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(42,002)</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(84,098)</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(59,236)</w:t>
            </w:r>
          </w:p>
        </w:tc>
      </w:tr>
      <w:tr>
        <w:trPr>
          <w:trHeight w:val="231"/>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claims and claim expenses (benefits)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2,768</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Ceding commission earned</w:t>
            </w: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9,877</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19,842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12,032</w:t>
            </w:r>
          </w:p>
        </w:tc>
      </w:tr>
      <w:tr>
        <w:trPr>
          <w:trHeight w:val="23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commission</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23,486</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45,765</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34,501</w:t>
            </w:r>
          </w:p>
        </w:tc>
      </w:tr>
    </w:tbl>
    <w:p>
      <w:pPr>
        <w:spacing w:after="0" w:line="225"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Ceded premiums written under the 2016 QSR Transaction are recorded on the balance sheet as prepaid reinsurance premiums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NMIC also receives a profit commission under each of the QSR Transactions, provided that the loss ratios on loans covered under the 2016, 2018, 2020, 2021, 2022, 2023 QSR and 2022 Seasoned QSR Transactions, generally remain below 60%, 61%, 50%, 57.5%, 62%, 62%, and 55% respectively, as measured annually. Ceded claims and claim expenses under each of the QSR Transactions reduce the respective profit commission received by NMIC on a dollar-for-dollar basis.</w:t>
      </w:r>
    </w:p>
    <w:p>
      <w:pPr>
        <w:spacing w:after="0" w:line="115"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$1.9 million and $2.6 million as of June 30, 2023 and December 31, 2022, respectively.</w:t>
      </w:r>
    </w:p>
    <w:p>
      <w:pPr>
        <w:spacing w:after="0" w:line="145"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In accordance with the terms of the 2018, 2020, 2021, 2022 and 2023 QSR and 2022 Seasoned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2023 QSR and 2022 Seasoned QSR Transactions was $22.1 million and $19.0 million as of June 30, 2023 and December 31, 2022, respectively.</w:t>
      </w:r>
    </w:p>
    <w:p>
      <w:pPr>
        <w:spacing w:after="0" w:line="145"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We remain directly liable for all claim payments if we are unable to collect reinsurance recoverable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our QSR Transactions. The allowance for credit loss established on our reinsurance recoverable was deemed immaterial at June 30, 2023 and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68"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June 30, 2023, we had 4,349 primary loans in default and held gross reserves for insurance claims and claim expenses of $110.4 million. During the six months ended June 30, 2023, we paid 67 claims totaling $1.7 million, including 65 claims covered under the QSR Transactions representing $0.3 million of ceded claims and claim expenses.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June 30, 2023, 37 loans in the pool were in default. These 37 loans represented approximately $2.8 million of RIF. Due to the size of the remaining deductible, our expectation that a limited number of loans in default will progress to a claim and the expected severity on such claim submissions (all loans in the pool had loan-to-value (LTV) ratios under 80% at origination), we did not establish any case or IBNR reserves for pool risk at June 30, 2023. In connection with the settlement of pool claims, we applied $1.0 million to the pool deductible through June 30, 2023. At June 30, 2023, the remaining pool deductible was $9.4 million. We have not paid any pool claims to date. 100% of our pool RIF is reinsured under the 2016 QSR Transaction.</w:t>
      </w:r>
    </w:p>
    <w:p>
      <w:pPr>
        <w:spacing w:after="0" w:line="115"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We had 4,349 loans in default in our primary insured portfolio as of June 30, 2023, which represented a 0.71% default rate against 611,441 total policies in-force and 4,449 loans in default in our primary portfolio as of December 31, 2022, which represented a 0.75% default rate against 594,142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115"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following table provides a reconciliation of the beginning and ending gross reserve balances for primary insurance claims and claim expenses (benefits):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8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For the six months ended June 30,</w:t>
            </w:r>
          </w:p>
        </w:tc>
        <w:tc>
          <w:tcPr>
            <w:tcW w:w="680" w:type="dxa"/>
            <w:vAlign w:val="bottom"/>
          </w:tcPr>
          <w:p>
            <w:pPr>
              <w:spacing w:after="0"/>
              <w:rPr>
                <w:sz w:val="15"/>
                <w:szCs w:val="15"/>
                <w:color w:val="auto"/>
              </w:rPr>
            </w:pPr>
          </w:p>
        </w:tc>
      </w:tr>
      <w:tr>
        <w:trPr>
          <w:trHeight w:val="24"/>
        </w:trPr>
        <w:tc>
          <w:tcPr>
            <w:tcW w:w="7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7"/>
        </w:trPr>
        <w:tc>
          <w:tcPr>
            <w:tcW w:w="768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r>
      <w:tr>
        <w:trPr>
          <w:trHeight w:val="182"/>
        </w:trPr>
        <w:tc>
          <w:tcPr>
            <w:tcW w:w="7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20" w:type="dxa"/>
            <w:vAlign w:val="bottom"/>
            <w:gridSpan w:val="3"/>
          </w:tcPr>
          <w:p>
            <w:pPr>
              <w:jc w:val="right"/>
              <w:ind w:right="680"/>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5"/>
                <w:szCs w:val="15"/>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1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103,551</w:t>
            </w:r>
          </w:p>
        </w:tc>
      </w:tr>
      <w:tr>
        <w:trPr>
          <w:trHeight w:val="237"/>
        </w:trPr>
        <w:tc>
          <w:tcPr>
            <w:tcW w:w="7680" w:type="dxa"/>
            <w:vAlign w:val="bottom"/>
            <w:tcBorders>
              <w:bottom w:val="single" w:sz="8" w:color="CCEEFF"/>
            </w:tcBorders>
          </w:tcPr>
          <w:p>
            <w:pPr>
              <w:ind w:left="20"/>
              <w:spacing w:after="0" w:line="237"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2"/>
                <w:szCs w:val="22"/>
                <w:color w:val="auto"/>
                <w:vertAlign w:val="superscript"/>
              </w:rPr>
              <w:t>(1)</w:t>
            </w: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(21,587)</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(20,320)</w:t>
            </w:r>
          </w:p>
        </w:tc>
      </w:tr>
      <w:tr>
        <w:trPr>
          <w:trHeight w:val="21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78,249</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83,231</w:t>
            </w:r>
          </w:p>
        </w:tc>
      </w:tr>
      <w:tr>
        <w:trPr>
          <w:trHeight w:val="244"/>
        </w:trPr>
        <w:tc>
          <w:tcPr>
            <w:tcW w:w="7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(benefits) incurred:</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7680" w:type="dxa"/>
            <w:vAlign w:val="bottom"/>
            <w:shd w:val="clear" w:color="auto" w:fill="CCEEFF"/>
          </w:tcPr>
          <w:p>
            <w:pPr>
              <w:ind w:left="460"/>
              <w:spacing w:after="0" w:line="224"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w:t>
            </w:r>
          </w:p>
        </w:tc>
      </w:tr>
      <w:tr>
        <w:trPr>
          <w:trHeight w:val="237"/>
        </w:trPr>
        <w:tc>
          <w:tcPr>
            <w:tcW w:w="7680" w:type="dxa"/>
            <w:vAlign w:val="bottom"/>
            <w:tcBorders>
              <w:bottom w:val="single" w:sz="8" w:color="CCEEFF"/>
            </w:tcBorders>
          </w:tcPr>
          <w:p>
            <w:pPr>
              <w:ind w:left="460"/>
              <w:spacing w:after="0" w:line="237"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(35,296)</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(22,442)</w:t>
            </w:r>
          </w:p>
        </w:tc>
      </w:tr>
      <w:tr>
        <w:trPr>
          <w:trHeight w:val="217"/>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(benefits) incurred</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w:t>
            </w:r>
          </w:p>
        </w:tc>
      </w:tr>
      <w:tr>
        <w:trPr>
          <w:trHeight w:val="125"/>
        </w:trPr>
        <w:tc>
          <w:tcPr>
            <w:tcW w:w="7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3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7680" w:type="dxa"/>
            <w:vAlign w:val="bottom"/>
            <w:shd w:val="clear" w:color="auto" w:fill="CCEEFF"/>
          </w:tcPr>
          <w:p>
            <w:pPr>
              <w:ind w:left="340"/>
              <w:spacing w:after="0" w:line="224"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4"/>
        </w:trPr>
        <w:tc>
          <w:tcPr>
            <w:tcW w:w="7680" w:type="dxa"/>
            <w:vAlign w:val="bottom"/>
          </w:tcPr>
          <w:p>
            <w:pPr>
              <w:ind w:left="34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r>
      <w:tr>
        <w:trPr>
          <w:trHeight w:val="217"/>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paid</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57"/>
        </w:trPr>
        <w:tc>
          <w:tcPr>
            <w:tcW w:w="7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78,874</w:t>
            </w:r>
          </w:p>
        </w:tc>
      </w:tr>
      <w:tr>
        <w:trPr>
          <w:trHeight w:val="237"/>
        </w:trPr>
        <w:tc>
          <w:tcPr>
            <w:tcW w:w="7680" w:type="dxa"/>
            <w:vAlign w:val="bottom"/>
            <w:tcBorders>
              <w:bottom w:val="single" w:sz="8" w:color="CCEEFF"/>
            </w:tcBorders>
          </w:tcPr>
          <w:p>
            <w:pPr>
              <w:ind w:left="20"/>
              <w:spacing w:after="0" w:line="237"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2"/>
                <w:szCs w:val="22"/>
                <w:color w:val="auto"/>
                <w:vertAlign w:val="superscript"/>
              </w:rPr>
              <w:t>(1)</w:t>
            </w: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24,023</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w:t>
            </w:r>
          </w:p>
        </w:tc>
      </w:tr>
      <w:tr>
        <w:trPr>
          <w:trHeight w:val="23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110,448</w:t>
            </w:r>
          </w:p>
        </w:tc>
        <w:tc>
          <w:tcPr>
            <w:tcW w:w="1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00" w:hanging="295"/>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Related to ceded losses recoverable under the QSR Transactions. See Note 5,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spacing w:after="0" w:line="9" w:lineRule="exact"/>
        <w:rPr>
          <w:rFonts w:ascii="Arial" w:cs="Arial" w:eastAsia="Arial" w:hAnsi="Arial"/>
          <w:sz w:val="14"/>
          <w:szCs w:val="14"/>
          <w:color w:val="auto"/>
        </w:rPr>
      </w:pPr>
    </w:p>
    <w:p>
      <w:pPr>
        <w:jc w:val="both"/>
        <w:ind w:left="320" w:hanging="315"/>
        <w:spacing w:after="0" w:line="295" w:lineRule="auto"/>
        <w:tabs>
          <w:tab w:leader="none" w:pos="325" w:val="left"/>
        </w:tabs>
        <w:numPr>
          <w:ilvl w:val="0"/>
          <w:numId w:val="8"/>
        </w:numPr>
        <w:rPr>
          <w:rFonts w:ascii="Arial" w:cs="Arial" w:eastAsia="Arial" w:hAnsi="Arial"/>
          <w:sz w:val="12"/>
          <w:szCs w:val="12"/>
          <w:color w:val="auto"/>
        </w:rPr>
      </w:pPr>
      <w:r>
        <w:rPr>
          <w:rFonts w:ascii="Arial" w:cs="Arial" w:eastAsia="Arial" w:hAnsi="Arial"/>
          <w:sz w:val="12"/>
          <w:szCs w:val="12"/>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$39.1 million attributed to net case reserves and $5.0 million attributed to net IBNR reserves for the six months ended June 30, 2023 and $14.0 million attributed to net case reserves and $4.5 million attributed to net IBNR reserves for the six months ended June 30, 2022.</w:t>
      </w:r>
    </w:p>
    <w:p>
      <w:pPr>
        <w:jc w:val="both"/>
        <w:ind w:left="320" w:hanging="315"/>
        <w:spacing w:after="0" w:line="253" w:lineRule="auto"/>
        <w:tabs>
          <w:tab w:leader="none" w:pos="311" w:val="left"/>
        </w:tabs>
        <w:numPr>
          <w:ilvl w:val="0"/>
          <w:numId w:val="8"/>
        </w:numPr>
        <w:rPr>
          <w:rFonts w:ascii="Arial" w:cs="Arial" w:eastAsia="Arial" w:hAnsi="Arial"/>
          <w:sz w:val="14"/>
          <w:szCs w:val="14"/>
          <w:color w:val="auto"/>
        </w:rPr>
      </w:pPr>
      <w:r>
        <w:rPr>
          <w:rFonts w:ascii="Arial" w:cs="Arial" w:eastAsia="Arial" w:hAnsi="Arial"/>
          <w:sz w:val="14"/>
          <w:szCs w:val="14"/>
          <w:color w:val="auto"/>
        </w:rPr>
        <w:t>Related to insured loans with defaults occurring in prior years, which have been continuously in default before the start of the current year. Amounts are presented net of reinsurance and included $30.3 million attributed to net case reserves and $4.5 million attributed to net IBNR reserves for the six months ended June 30, 2023 and $17.0 million attributed to net case reserves and $4.7 million attributed to net IBNR reserves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The "claims incurred" section of the table above shows claims and claim expenses (benefits) incurred on defaults occurring in current and prior years, including IBNR reserves, and is presented net of reinsurance. The amount of claims incurred relating to current year defaults increased during six months ended June 30, 2023, compared to the same period in the prior year, primarily driven by the establishment of initial reserves on newly defaulted loans and the increase in the average case reserve held against previously defaulted loans that have aged in their delinquency status. Our provision for claims and claim expenses during both six months ended June 30, 2023 and 2022 benefited from favorable development on prior year defaults. We recognized $35.3 million and $22.4 million of favorable prior year development during the six months ended June 30, 2023 and 2022,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$53.1 million related to prior year defaults remained as of June 30, 2023.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68"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 and outstanding warrants. The number of shares issuable for RSUs subject to performance and service-based vesting requirements are only included in diluted shares if the relevant performance measurement period has commenced and results during such period meet the necessary performance criteria.</w:t>
      </w:r>
    </w:p>
    <w:p>
      <w:pPr>
        <w:spacing w:after="0" w:line="112"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following table reconciles the net income and the weighted average shares of common stock outstanding used in the computations of basic and diluted EPS of common stock: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2920" w:type="dxa"/>
            <w:vAlign w:val="bottom"/>
            <w:gridSpan w:val="5"/>
          </w:tcPr>
          <w:p>
            <w:pPr>
              <w:jc w:val="right"/>
              <w:ind w:right="275"/>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4"/>
        </w:trPr>
        <w:tc>
          <w:tcPr>
            <w:tcW w:w="5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7"/>
        </w:trPr>
        <w:tc>
          <w:tcPr>
            <w:tcW w:w="53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182"/>
        </w:trPr>
        <w:tc>
          <w:tcPr>
            <w:tcW w:w="5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4"/>
          </w:tcPr>
          <w:p>
            <w:pPr>
              <w:jc w:val="right"/>
              <w:ind w:right="195"/>
              <w:spacing w:after="0"/>
              <w:rPr>
                <w:sz w:val="20"/>
                <w:szCs w:val="20"/>
                <w:color w:val="auto"/>
              </w:rPr>
            </w:pPr>
            <w:r>
              <w:rPr>
                <w:rFonts w:ascii="Arial" w:cs="Arial" w:eastAsia="Arial" w:hAnsi="Arial"/>
                <w:sz w:val="14"/>
                <w:szCs w:val="14"/>
                <w:i w:val="1"/>
                <w:iCs w:val="1"/>
                <w:color w:val="auto"/>
                <w:w w:val="93"/>
              </w:rPr>
              <w:t>(In Thousands, except for per share data)</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80,284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143,124</w:t>
            </w:r>
          </w:p>
        </w:tc>
      </w:tr>
      <w:tr>
        <w:trPr>
          <w:trHeight w:val="237"/>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82,958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83,277</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85,842</w:t>
            </w:r>
          </w:p>
        </w:tc>
      </w:tr>
      <w:tr>
        <w:trPr>
          <w:trHeight w:val="23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80,284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143,124</w:t>
            </w: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r>
      <w:tr>
        <w:trPr>
          <w:trHeight w:val="231"/>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80,284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142,011</w:t>
            </w:r>
          </w:p>
        </w:tc>
      </w:tr>
      <w:tr>
        <w:trPr>
          <w:trHeight w:val="237"/>
        </w:trPr>
        <w:tc>
          <w:tcPr>
            <w:tcW w:w="5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82,958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85,842</w:t>
            </w:r>
          </w:p>
        </w:tc>
      </w:tr>
      <w:tr>
        <w:trPr>
          <w:trHeight w:val="224"/>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issuable shares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84,190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86,943</w:t>
            </w:r>
          </w:p>
        </w:tc>
      </w:tr>
      <w:tr>
        <w:trPr>
          <w:trHeight w:val="237"/>
        </w:trPr>
        <w:tc>
          <w:tcPr>
            <w:tcW w:w="53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68"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We are a U.S. taxpayer and are subject to a statutory U.S. federal corporate income tax rate of 21%. Taxable income is reported on our consolidated U.S. federal and various state income tax returns, filed by NMIH on behalf of itself and its subsidiaries. Our effective tax rate on our pre-tax income was 22.8% and 22.7% for the three and six months ended June 30, 2023, respectively, compared to 22.4% and 22.2% for the three and six months ended June 30, 2022,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six months ended June 30, 2023 primarily represents a change in our net deferred tax liability. As of June 30, 2023 and December 31, 2022, we held $154.4 million of tax and loss bonds in "Prepaid federal income taxes" on our condensed consolidated balance sheets.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68"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On February 10, 2022, our Board of Directors approved a $125 million share repurchase program (excluding associated costs and applicable taxes) effective through December 31, 2023. The authorization provides us the flexibility, based on market and business conditions, stock price and other factors, to repurchase stock from time to time through open market purchases, privately negotiated transactions, or other means, including pursuant to Rule 10b5-1 trading plans. During the six months ended June 30, 2023, we repurchased 1.7 million shares at an average price of $23.80 per share (excluding associated costs and applicable taxes). During the year ended December 31, 2022, we repurchased 2.9 million shares at an average price of $19.34 per share (excluding associated costs). As of June 30, 2023, $27.7 million of repurchase authority remained under the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Litigation</w:t>
      </w:r>
    </w:p>
    <w:p>
      <w:pPr>
        <w:spacing w:after="0" w:line="168"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We record a litigation liability when we determine that it is probable a litigation loss will be incurred and the amount of such anticipated loss can be reasonably estimated. In the event we determine that a litigation loss is reasonably possible (though not probable), we disclose an estimate of the possible loss if such estimate can be reasonably established, or disclose the matter with no estimate if such estimate cannot be reasonably made. We evaluate litigation and other legal developments that could affect our accrual for probable losses or our estimated disclosure of possible losses, and make ongoing adjustments to our accruals and disclosures as appropriate. Significant judgment is required to determine both the likelihood and the estimated amount of potential losses related to such matters.</w:t>
      </w:r>
    </w:p>
    <w:p>
      <w:pPr>
        <w:spacing w:after="0" w:line="145"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We are currently monitoring litigation regarding the refund of certain mortgage insurance premiums as it pertains to provisions of the Homeowners Protection Act and have been named as a defendant in one such case. We are unable to assess the outcome of such litigation at this time or its potential impact on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Premiums Receivable</w:t>
      </w:r>
    </w:p>
    <w:p>
      <w:pPr>
        <w:spacing w:after="0" w:line="247"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June 30, 2023 and December 31, 2022.</w:t>
      </w:r>
    </w:p>
    <w:p>
      <w:pPr>
        <w:spacing w:after="0" w:line="224"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Premiums receivable may be written off prior to 120 days in the ordinary course of business for non-credit events including, but not limited to, the modification or refinancing of an underlying insured loan. We established a $2.7 million and $2.3 million reserve for premium write-offs at June 30, 2023 and December 31, 2022, respectively.</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Regulatory Information</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Statutory Requirements</w:t>
      </w:r>
    </w:p>
    <w:p>
      <w:pPr>
        <w:spacing w:after="0" w:line="162"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43"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NMIC and Re One generated combined statutory net income of $28.1 million and $49.9 million for the three and six months ended June 30, 2023, respectively, compared to $25.6 million and $44.2 million for the three and six months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112"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following table presents NMIC's statutory surplus, contingency reserve, statutory capital and risk-to-capital (RTC) ratio as of June 30, 2023 and December 31,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June 30, 2023</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tcPr>
          <w:p>
            <w:pPr>
              <w:jc w:val="right"/>
              <w:ind w:right="616"/>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60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75"/>
        </w:trPr>
        <w:tc>
          <w:tcPr>
            <w:tcW w:w="6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Pr>
          <w:p>
            <w:pPr>
              <w:spacing w:after="0"/>
              <w:rPr>
                <w:sz w:val="15"/>
                <w:szCs w:val="15"/>
                <w:color w:val="auto"/>
              </w:rPr>
            </w:pPr>
          </w:p>
        </w:tc>
      </w:tr>
      <w:tr>
        <w:trPr>
          <w:trHeight w:val="24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surplus</w:t>
            </w:r>
          </w:p>
        </w:tc>
        <w:tc>
          <w:tcPr>
            <w:tcW w:w="1760" w:type="dxa"/>
            <w:vAlign w:val="bottom"/>
            <w:shd w:val="clear" w:color="auto" w:fill="CCEEFF"/>
          </w:tcPr>
          <w:p>
            <w:pPr>
              <w:jc w:val="right"/>
              <w:ind w:right="1578"/>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924,081</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980,225</w:t>
            </w:r>
          </w:p>
        </w:tc>
      </w:tr>
      <w:tr>
        <w:trPr>
          <w:trHeight w:val="224"/>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w:t>
            </w:r>
          </w:p>
        </w:tc>
        <w:tc>
          <w:tcPr>
            <w:tcW w:w="1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1,416,528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1,266,038</w:t>
            </w:r>
          </w:p>
        </w:tc>
      </w:tr>
      <w:tr>
        <w:trPr>
          <w:trHeight w:val="237"/>
        </w:trPr>
        <w:tc>
          <w:tcPr>
            <w:tcW w:w="6000" w:type="dxa"/>
            <w:vAlign w:val="bottom"/>
            <w:shd w:val="clear" w:color="auto" w:fill="CCEEFF"/>
          </w:tcPr>
          <w:p>
            <w:pPr>
              <w:ind w:left="20"/>
              <w:spacing w:after="0" w:line="218" w:lineRule="exact"/>
              <w:rPr>
                <w:sz w:val="20"/>
                <w:szCs w:val="20"/>
                <w:color w:val="auto"/>
              </w:rPr>
            </w:pPr>
            <w:r>
              <w:rPr>
                <w:rFonts w:ascii="Arial" w:cs="Arial" w:eastAsia="Arial" w:hAnsi="Arial"/>
                <w:sz w:val="18"/>
                <w:szCs w:val="18"/>
                <w:color w:val="auto"/>
              </w:rPr>
              <w:t xml:space="preserve">Statutory capital </w:t>
            </w:r>
            <w:r>
              <w:rPr>
                <w:rFonts w:ascii="Arial" w:cs="Arial" w:eastAsia="Arial" w:hAnsi="Arial"/>
                <w:sz w:val="22"/>
                <w:szCs w:val="22"/>
                <w:color w:val="auto"/>
                <w:vertAlign w:val="superscript"/>
              </w:rPr>
              <w:t>(1)</w:t>
            </w:r>
          </w:p>
        </w:tc>
        <w:tc>
          <w:tcPr>
            <w:tcW w:w="1760" w:type="dxa"/>
            <w:vAlign w:val="bottom"/>
            <w:shd w:val="clear" w:color="auto" w:fill="CCEEFF"/>
          </w:tcPr>
          <w:p>
            <w:pPr>
              <w:jc w:val="right"/>
              <w:ind w:right="1578"/>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2,340,609</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2,246,263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Risk-to-capital</w:t>
            </w:r>
          </w:p>
        </w:tc>
        <w:tc>
          <w:tcPr>
            <w:tcW w:w="17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r>
    </w:tbl>
    <w:p>
      <w:pPr>
        <w:spacing w:after="0" w:line="21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Represents the total of the statutory surplus and contingency reserve.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 One had $5.6 million of statutory capital at June 30, 2023 and December 31, 2022.</w:t>
      </w:r>
    </w:p>
    <w:p>
      <w:pPr>
        <w:spacing w:after="0" w:line="162"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NMIC and Re One are subject to certain rules and regulations prescribed by jurisdictions in which they are authorized to operate and the GSEs that</w:t>
      </w:r>
    </w:p>
    <w:p>
      <w:pPr>
        <w:spacing w:after="0" w:line="66"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may restrict their ability to pay dividends to NMIH. NMIC has the capacity to pay $98.0 million of aggregate ordinary dividends to NMIH during the twelve-month period ending December 31, 2023, and on May 12, 2023, NMIC paid a $98.0 million ordinary course dividend to NMIH.</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2018 ILN Transaction termination</w:t>
      </w:r>
    </w:p>
    <w:p>
      <w:pPr>
        <w:spacing w:after="0" w:line="162"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Effective July 25, 2023, NMIC exercised its optional call to terminate the 2018 ILN Transaction. In connection with the termination of the transaction, NMIC’s excess of loss reinsurance agreement with Oaktown Re II Ltd. was commuted and the insurance-linked notes issued by Oaktown Re II Ltd. were redeemed in full with a distribution of remaining collateral assets.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Excess-of-loss reinsurance agreement</w:t>
      </w:r>
    </w:p>
    <w:p>
      <w:pPr>
        <w:spacing w:after="0" w:line="162"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Effective July 1, 2023, NMIC entered into a reinsurance agreement with a broad panel of highly rated reinsurers that provides for up to $95.8 million of aggregate excess-of-loss reinsurance coverage for delinquencies that emerge on mortgage insurance policies written between July 1, 2023 and December 31, 2023 (2023-2 XOL Transaction). For the reinsurance coverage period, NMIC will retain a first layer of aggregate losses on covered policies and the reinsurers then provide second layer loss protection up to $95.8 million. NMIC retains losses in excess of the outstanding reinsurance coverage amount.</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 repurchase program approval and extension of existing program</w:t>
      </w:r>
    </w:p>
    <w:p>
      <w:pPr>
        <w:spacing w:after="0" w:line="162"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On July 31, 2023, our Board of Directors authorized a new $200 million share repurchase program (excluding associated costs and applicable taxes) effective through December 31, 2025. The authorization provides us the flexibility, based on market and business conditions, stock price and other factors, to repurchase stock from time to time through open market repurchases, privately negotiated transactions, or other means, including pursuant to Rule 10b5-1 trading plans. Concurrent with the new authorization, our Board of Directors also approved an extension of our existing $125 million share repurchase program through December 31, 2025 to align its remaining tenor with that of the $200 million program.</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8" w:lineRule="exact"/>
        <w:rPr>
          <w:sz w:val="20"/>
          <w:szCs w:val="20"/>
          <w:color w:val="auto"/>
        </w:rPr>
      </w:pPr>
    </w:p>
    <w:p>
      <w:pPr>
        <w:jc w:val="both"/>
        <w:ind w:firstLine="197"/>
        <w:spacing w:after="0" w:line="283" w:lineRule="auto"/>
        <w:rPr>
          <w:sz w:val="20"/>
          <w:szCs w:val="20"/>
          <w:color w:val="auto"/>
        </w:rPr>
      </w:pPr>
      <w:r>
        <w:rPr>
          <w:rFonts w:ascii="Arial" w:cs="Arial" w:eastAsia="Arial" w:hAnsi="Arial"/>
          <w:sz w:val="16"/>
          <w:szCs w:val="16"/>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2022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2022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8"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2"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43"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June 30, 2023, we had issued master policies with 1,922 customers, including national and regional mortgage banks, money center banks, credit unions, community banks, builder-owned mortgage lenders, internet-sourced lenders and other non-bank lenders. As of June 30, 2023, we had $191.3 billion of primary insurance-in-force (IIF) and $49.9 billion of primary risk-in-force (RIF).</w:t>
      </w:r>
    </w:p>
    <w:p>
      <w:pPr>
        <w:spacing w:after="0" w:line="112" w:lineRule="exact"/>
        <w:rPr>
          <w:sz w:val="20"/>
          <w:szCs w:val="20"/>
          <w:color w:val="auto"/>
        </w:rPr>
      </w:pPr>
    </w:p>
    <w:p>
      <w:pPr>
        <w:jc w:val="both"/>
        <w:ind w:firstLine="632"/>
        <w:spacing w:after="0" w:line="252"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36"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June 30, 2023, we had 237 employees. Our corporate website is located at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36"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27" w:name="page28"/>
    <w:bookmarkEnd w:id="27"/>
    <w:p>
      <w:pPr>
        <w:jc w:val="center"/>
        <w:ind w:right="7760"/>
        <w:spacing w:after="0"/>
        <w:rPr>
          <w:sz w:val="20"/>
          <w:szCs w:val="20"/>
          <w:color w:val="auto"/>
        </w:rPr>
      </w:pPr>
      <w:r>
        <w:rPr>
          <w:rFonts w:ascii="Arial" w:cs="Arial" w:eastAsia="Arial" w:hAnsi="Arial"/>
          <w:sz w:val="15"/>
          <w:szCs w:val="15"/>
          <w:b w:val="1"/>
          <w:bCs w:val="1"/>
          <w:color w:val="auto"/>
        </w:rPr>
        <w:t>Conditions and Trends Affecting Our Business</w:t>
      </w:r>
    </w:p>
    <w:p>
      <w:pPr>
        <w:spacing w:after="0" w:line="202" w:lineRule="exact"/>
        <w:rPr>
          <w:sz w:val="20"/>
          <w:szCs w:val="20"/>
          <w:color w:val="auto"/>
        </w:rPr>
      </w:pPr>
    </w:p>
    <w:p>
      <w:pPr>
        <w:jc w:val="center"/>
        <w:ind w:right="7740"/>
        <w:spacing w:after="0"/>
        <w:rPr>
          <w:sz w:val="20"/>
          <w:szCs w:val="20"/>
          <w:color w:val="auto"/>
        </w:rPr>
      </w:pPr>
      <w:r>
        <w:rPr>
          <w:rFonts w:ascii="Arial" w:cs="Arial" w:eastAsia="Arial" w:hAnsi="Arial"/>
          <w:sz w:val="18"/>
          <w:szCs w:val="18"/>
          <w:b w:val="1"/>
          <w:bCs w:val="1"/>
          <w:i w:val="1"/>
          <w:iCs w:val="1"/>
          <w:color w:val="auto"/>
        </w:rPr>
        <w:t>Macroeconomic Developments</w:t>
      </w:r>
    </w:p>
    <w:p>
      <w:pPr>
        <w:spacing w:after="0" w:line="162"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Macroeconomic factors, including persistent inflation, increasing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new insurance written (NIW) volume, or contribute to an increase in our future default and claim experience.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62" w:lineRule="exact"/>
        <w:rPr>
          <w:sz w:val="20"/>
          <w:szCs w:val="20"/>
          <w:color w:val="auto"/>
        </w:rPr>
      </w:pPr>
    </w:p>
    <w:p>
      <w:pPr>
        <w:jc w:val="both"/>
        <w:ind w:firstLine="632"/>
        <w:spacing w:after="0" w:line="280" w:lineRule="auto"/>
        <w:rPr>
          <w:sz w:val="20"/>
          <w:szCs w:val="20"/>
          <w:color w:val="auto"/>
        </w:rPr>
      </w:pPr>
      <w:r>
        <w:rPr>
          <w:rFonts w:ascii="Arial" w:cs="Arial" w:eastAsia="Arial" w:hAnsi="Arial"/>
          <w:sz w:val="16"/>
          <w:szCs w:val="16"/>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62"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Arial" w:cs="Arial" w:eastAsia="Arial" w:hAnsi="Arial"/>
          <w:sz w:val="20"/>
          <w:szCs w:val="20"/>
          <w:color w:val="auto"/>
          <w:vertAlign w:val="superscript"/>
        </w:rPr>
        <w:t>®</w:t>
      </w:r>
      <w:r>
        <w:rPr>
          <w:rFonts w:ascii="Arial" w:cs="Arial" w:eastAsia="Arial" w:hAnsi="Arial"/>
          <w:sz w:val="16"/>
          <w:szCs w:val="16"/>
          <w:color w:val="auto"/>
        </w:rPr>
        <w:t>. Rate GPS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June 2018 to replace our previous rate card pricing system. While most of our new business is priced through Rate GPS</w:t>
      </w:r>
      <w:r>
        <w:rPr>
          <w:rFonts w:ascii="Arial" w:cs="Arial" w:eastAsia="Arial" w:hAnsi="Arial"/>
          <w:sz w:val="20"/>
          <w:szCs w:val="20"/>
          <w:color w:val="auto"/>
          <w:vertAlign w:val="superscript"/>
        </w:rPr>
        <w:t>®</w:t>
      </w:r>
      <w:r>
        <w:rPr>
          <w:rFonts w:ascii="Arial" w:cs="Arial" w:eastAsia="Arial" w:hAnsi="Arial"/>
          <w:sz w:val="16"/>
          <w:szCs w:val="16"/>
          <w:color w:val="auto"/>
        </w:rPr>
        <w:t>, we also continue to offer a rate card pricing option to a limited number of lender customers who require a rate card for operational reasons. We believe the introduction and utilization of Rate GPS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0"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36" w:lineRule="exact"/>
        <w:rPr>
          <w:sz w:val="20"/>
          <w:szCs w:val="20"/>
          <w:color w:val="auto"/>
        </w:rPr>
      </w:pPr>
    </w:p>
    <w:p>
      <w:pPr>
        <w:ind w:left="960" w:hanging="32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NIW;</w:t>
      </w:r>
    </w:p>
    <w:p>
      <w:pPr>
        <w:spacing w:after="0" w:line="161" w:lineRule="exact"/>
        <w:rPr>
          <w:rFonts w:ascii="Arial" w:cs="Arial" w:eastAsia="Arial" w:hAnsi="Arial"/>
          <w:sz w:val="18"/>
          <w:szCs w:val="18"/>
          <w:color w:val="auto"/>
        </w:rPr>
      </w:pPr>
    </w:p>
    <w:p>
      <w:pPr>
        <w:ind w:left="960" w:hanging="32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61"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35" w:lineRule="exact"/>
        <w:rPr>
          <w:rFonts w:ascii="Arial" w:cs="Arial" w:eastAsia="Arial" w:hAnsi="Arial"/>
          <w:sz w:val="18"/>
          <w:szCs w:val="18"/>
          <w:color w:val="auto"/>
        </w:rPr>
      </w:pPr>
    </w:p>
    <w:p>
      <w:pPr>
        <w:ind w:left="960" w:hanging="32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62"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June 30, 2023 were non-refundable under most cancellation scenarios. If non-refundable single premium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18"/>
          <w:szCs w:val="18"/>
          <w:color w:val="auto"/>
        </w:rPr>
        <w:t>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36"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Effect of reinsurance on our results</w:t>
      </w:r>
    </w:p>
    <w:p>
      <w:pPr>
        <w:spacing w:after="0" w:line="162" w:lineRule="exact"/>
        <w:rPr>
          <w:sz w:val="20"/>
          <w:szCs w:val="20"/>
          <w:color w:val="auto"/>
        </w:rPr>
      </w:pPr>
    </w:p>
    <w:p>
      <w:pPr>
        <w:jc w:val="both"/>
        <w:ind w:firstLine="632"/>
        <w:spacing w:after="0" w:line="301" w:lineRule="auto"/>
        <w:rPr>
          <w:sz w:val="20"/>
          <w:szCs w:val="20"/>
          <w:color w:val="auto"/>
        </w:rPr>
      </w:pPr>
      <w:r>
        <w:rPr>
          <w:rFonts w:ascii="Arial" w:cs="Arial" w:eastAsia="Arial" w:hAnsi="Arial"/>
          <w:sz w:val="15"/>
          <w:szCs w:val="15"/>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Excess-of-loss reinsurance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Insurance-linked notes</w:t>
      </w:r>
    </w:p>
    <w:p>
      <w:pPr>
        <w:spacing w:after="0" w:line="162"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39"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w:t>
      </w:r>
    </w:p>
    <w:p>
      <w:pPr>
        <w:spacing w:after="0" w:line="116"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45"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June 30, 2023.</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Current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4"/>
                <w:szCs w:val="14"/>
                <w:b w:val="1"/>
                <w:bCs w:val="1"/>
                <w:color w:val="auto"/>
              </w:rPr>
              <w:t>Initial First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Current First</w:t>
            </w:r>
          </w:p>
        </w:tc>
        <w:tc>
          <w:tcPr>
            <w:tcW w:w="0" w:type="dxa"/>
            <w:vAlign w:val="bottom"/>
          </w:tcPr>
          <w:p>
            <w:pPr>
              <w:spacing w:after="0"/>
              <w:rPr>
                <w:sz w:val="1"/>
                <w:szCs w:val="1"/>
                <w:color w:val="auto"/>
              </w:rPr>
            </w:pPr>
          </w:p>
        </w:tc>
      </w:tr>
      <w:tr>
        <w:trPr>
          <w:trHeight w:val="141"/>
        </w:trPr>
        <w:tc>
          <w:tcPr>
            <w:tcW w:w="2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Inception Date</w:t>
            </w:r>
          </w:p>
        </w:tc>
        <w:tc>
          <w:tcPr>
            <w:tcW w:w="2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Covered Production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1" w:lineRule="exact"/>
              <w:rPr>
                <w:sz w:val="20"/>
                <w:szCs w:val="20"/>
                <w:color w:val="auto"/>
              </w:rPr>
            </w:pPr>
            <w:r>
              <w:rPr>
                <w:rFonts w:ascii="Arial" w:cs="Arial" w:eastAsia="Arial" w:hAnsi="Arial"/>
                <w:sz w:val="14"/>
                <w:szCs w:val="14"/>
                <w:b w:val="1"/>
                <w:bCs w:val="1"/>
                <w:color w:val="auto"/>
                <w:w w:val="90"/>
              </w:rPr>
              <w:t>Reinsurance</w:t>
            </w:r>
          </w:p>
        </w:tc>
        <w:tc>
          <w:tcPr>
            <w:tcW w:w="100" w:type="dxa"/>
            <w:vAlign w:val="bottom"/>
          </w:tcPr>
          <w:p>
            <w:pPr>
              <w:spacing w:after="0"/>
              <w:rPr>
                <w:sz w:val="12"/>
                <w:szCs w:val="12"/>
                <w:color w:val="auto"/>
              </w:rPr>
            </w:pPr>
          </w:p>
        </w:tc>
        <w:tc>
          <w:tcPr>
            <w:tcW w:w="108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7"/>
              </w:rPr>
              <w:t>Layer Retained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39"/>
              <w:spacing w:after="0" w:line="141" w:lineRule="exact"/>
              <w:rPr>
                <w:sz w:val="20"/>
                <w:szCs w:val="20"/>
                <w:color w:val="auto"/>
              </w:rPr>
            </w:pPr>
            <w:r>
              <w:rPr>
                <w:rFonts w:ascii="Arial" w:cs="Arial" w:eastAsia="Arial" w:hAnsi="Arial"/>
                <w:sz w:val="14"/>
                <w:szCs w:val="14"/>
                <w:b w:val="1"/>
                <w:bCs w:val="1"/>
                <w:color w:val="auto"/>
                <w:w w:val="91"/>
              </w:rPr>
              <w:t>Layer Retained</w:t>
            </w:r>
          </w:p>
        </w:tc>
        <w:tc>
          <w:tcPr>
            <w:tcW w:w="0" w:type="dxa"/>
            <w:vAlign w:val="bottom"/>
          </w:tcPr>
          <w:p>
            <w:pPr>
              <w:spacing w:after="0"/>
              <w:rPr>
                <w:sz w:val="1"/>
                <w:szCs w:val="1"/>
                <w:color w:val="auto"/>
              </w:rPr>
            </w:pPr>
          </w:p>
        </w:tc>
      </w:tr>
      <w:tr>
        <w:trPr>
          <w:trHeight w:val="184"/>
        </w:trPr>
        <w:tc>
          <w:tcPr>
            <w:tcW w:w="232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Coverage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7"/>
              </w:rPr>
              <w:t>Coverage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8"/>
              </w:rPr>
              <w:t xml:space="preserve">Loss </w:t>
            </w:r>
            <w:r>
              <w:rPr>
                <w:rFonts w:ascii="Arial" w:cs="Arial" w:eastAsia="Arial" w:hAnsi="Arial"/>
                <w:sz w:val="9"/>
                <w:szCs w:val="9"/>
                <w:b w:val="1"/>
                <w:bCs w:val="1"/>
                <w:color w:val="auto"/>
                <w:w w:val="88"/>
              </w:rPr>
              <w:t>(1)</w:t>
            </w:r>
          </w:p>
        </w:tc>
        <w:tc>
          <w:tcPr>
            <w:tcW w:w="0" w:type="dxa"/>
            <w:vAlign w:val="bottom"/>
          </w:tcPr>
          <w:p>
            <w:pPr>
              <w:spacing w:after="0"/>
              <w:rPr>
                <w:sz w:val="1"/>
                <w:szCs w:val="1"/>
                <w:color w:val="auto"/>
              </w:rPr>
            </w:pPr>
          </w:p>
        </w:tc>
      </w:tr>
      <w:tr>
        <w:trPr>
          <w:trHeight w:val="231"/>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ILN Transaction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25, 2018</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1/1/2017 – 5/31/2018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121,966</w:t>
            </w: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Arial" w:cs="Arial" w:eastAsia="Arial" w:hAnsi="Arial"/>
                <w:sz w:val="18"/>
                <w:szCs w:val="18"/>
                <w:color w:val="auto"/>
              </w:rPr>
              <w:t>2019 ILN Transaction</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July 30, 2019</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6/1/2018 – 6/30/2019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326,905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176,647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122,085</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2020-2 ILN Transaction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29, 2020</w:t>
            </w:r>
          </w:p>
        </w:tc>
        <w:tc>
          <w:tcPr>
            <w:tcW w:w="2200" w:type="dxa"/>
            <w:vAlign w:val="bottom"/>
            <w:shd w:val="clear" w:color="auto" w:fill="CCEEFF"/>
          </w:tcPr>
          <w:p>
            <w:pPr>
              <w:jc w:val="center"/>
              <w:spacing w:after="0" w:line="224" w:lineRule="exact"/>
              <w:rPr>
                <w:sz w:val="20"/>
                <w:szCs w:val="20"/>
                <w:color w:val="auto"/>
              </w:rPr>
            </w:pPr>
            <w:r>
              <w:rPr>
                <w:rFonts w:ascii="Arial" w:cs="Arial" w:eastAsia="Arial" w:hAnsi="Arial"/>
                <w:sz w:val="18"/>
                <w:szCs w:val="18"/>
                <w:color w:val="auto"/>
                <w:w w:val="88"/>
              </w:rPr>
              <w:t xml:space="preserve">4/1/2020 – 9/30/2020 </w:t>
            </w:r>
            <w:r>
              <w:rPr>
                <w:rFonts w:ascii="Arial" w:cs="Arial" w:eastAsia="Arial" w:hAnsi="Arial"/>
                <w:sz w:val="22"/>
                <w:szCs w:val="22"/>
                <w:color w:val="auto"/>
                <w:w w:val="88"/>
                <w:vertAlign w:val="superscript"/>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121,177</w:t>
            </w:r>
          </w:p>
        </w:tc>
        <w:tc>
          <w:tcPr>
            <w:tcW w:w="0" w:type="dxa"/>
            <w:vAlign w:val="bottom"/>
          </w:tcPr>
          <w:p>
            <w:pPr>
              <w:spacing w:after="0"/>
              <w:rPr>
                <w:sz w:val="1"/>
                <w:szCs w:val="1"/>
                <w:color w:val="auto"/>
              </w:rPr>
            </w:pP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2021-1 ILN Transaction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April 27, 2021</w:t>
            </w:r>
          </w:p>
        </w:tc>
        <w:tc>
          <w:tcPr>
            <w:tcW w:w="2200" w:type="dxa"/>
            <w:vAlign w:val="bottom"/>
          </w:tcPr>
          <w:p>
            <w:pPr>
              <w:jc w:val="center"/>
              <w:spacing w:after="0" w:line="237" w:lineRule="exact"/>
              <w:rPr>
                <w:sz w:val="20"/>
                <w:szCs w:val="20"/>
                <w:color w:val="auto"/>
              </w:rPr>
            </w:pPr>
            <w:r>
              <w:rPr>
                <w:rFonts w:ascii="Arial" w:cs="Arial" w:eastAsia="Arial" w:hAnsi="Arial"/>
                <w:sz w:val="18"/>
                <w:szCs w:val="18"/>
                <w:color w:val="auto"/>
                <w:w w:val="87"/>
              </w:rPr>
              <w:t xml:space="preserve">10/1/2020 – 3/31/2021 </w:t>
            </w:r>
            <w:r>
              <w:rPr>
                <w:rFonts w:ascii="Arial" w:cs="Arial" w:eastAsia="Arial" w:hAnsi="Arial"/>
                <w:sz w:val="22"/>
                <w:szCs w:val="22"/>
                <w:color w:val="auto"/>
                <w:w w:val="87"/>
                <w:vertAlign w:val="superscript"/>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367,238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257,809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163,708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163,520</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2021-2 ILN Transaction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26, 2021</w:t>
            </w:r>
          </w:p>
        </w:tc>
        <w:tc>
          <w:tcPr>
            <w:tcW w:w="2200" w:type="dxa"/>
            <w:vAlign w:val="bottom"/>
            <w:shd w:val="clear" w:color="auto" w:fill="CCEEFF"/>
          </w:tcPr>
          <w:p>
            <w:pPr>
              <w:jc w:val="center"/>
              <w:spacing w:after="0" w:line="224" w:lineRule="exact"/>
              <w:rPr>
                <w:sz w:val="20"/>
                <w:szCs w:val="20"/>
                <w:color w:val="auto"/>
              </w:rPr>
            </w:pPr>
            <w:r>
              <w:rPr>
                <w:rFonts w:ascii="Arial" w:cs="Arial" w:eastAsia="Arial" w:hAnsi="Arial"/>
                <w:sz w:val="18"/>
                <w:szCs w:val="18"/>
                <w:color w:val="auto"/>
                <w:w w:val="88"/>
              </w:rPr>
              <w:t xml:space="preserve">4/1/2021 – 9/30/2021 </w:t>
            </w:r>
            <w:r>
              <w:rPr>
                <w:rFonts w:ascii="Arial" w:cs="Arial" w:eastAsia="Arial" w:hAnsi="Arial"/>
                <w:sz w:val="22"/>
                <w:szCs w:val="22"/>
                <w:color w:val="auto"/>
                <w:w w:val="88"/>
                <w:vertAlign w:val="superscript"/>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146,112</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20" w:hanging="315"/>
        <w:spacing w:after="0" w:line="254" w:lineRule="auto"/>
        <w:tabs>
          <w:tab w:leader="none" w:pos="393" w:val="left"/>
        </w:tabs>
        <w:numPr>
          <w:ilvl w:val="0"/>
          <w:numId w:val="10"/>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5"/>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2020-2 ILN Transaction has coverage reporting dates between July 1, 2019 and March 31, 2020.</w:t>
      </w:r>
    </w:p>
    <w:p>
      <w:pPr>
        <w:spacing w:after="0" w:line="6" w:lineRule="exact"/>
        <w:rPr>
          <w:rFonts w:ascii="Arial" w:cs="Arial" w:eastAsia="Arial" w:hAnsi="Arial"/>
          <w:sz w:val="14"/>
          <w:szCs w:val="14"/>
          <w:color w:val="auto"/>
        </w:rPr>
      </w:pPr>
    </w:p>
    <w:p>
      <w:pPr>
        <w:ind w:left="300" w:hanging="295"/>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2021-1 ILN Transaction has coverage reporting dates between July 1, 2019 and September 30, 2020.</w:t>
      </w:r>
    </w:p>
    <w:p>
      <w:pPr>
        <w:spacing w:after="0" w:line="10" w:lineRule="exact"/>
        <w:rPr>
          <w:rFonts w:ascii="Arial" w:cs="Arial" w:eastAsia="Arial" w:hAnsi="Arial"/>
          <w:sz w:val="14"/>
          <w:szCs w:val="14"/>
          <w:color w:val="auto"/>
        </w:rPr>
      </w:pPr>
    </w:p>
    <w:p>
      <w:pPr>
        <w:ind w:left="300" w:hanging="295"/>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Approximately 2% of the production covered by the 2021-2 ILN Transaction has coverage reporting dates between July 1, 2019 and March 31, 2021.</w:t>
      </w:r>
    </w:p>
    <w:p>
      <w:pPr>
        <w:spacing w:after="0" w:line="167"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Effective July 25, 2023, NMIC exercised its optional call to terminate the 2018 ILN Transaction. In connection with the termination of the transaction, NMIC’s excess of loss reinsurance agreement with Oaktown Re II Ltd. was commuted and the insurance-linked notes issued by Oaktown Re II Ltd. were redeemed in full with a distribution of remaining collateral assets.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Traditional reinsurance</w:t>
      </w:r>
    </w:p>
    <w:p>
      <w:pPr>
        <w:spacing w:after="0" w:line="162"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NMIC is a party to four excess-of-loss reinsurance agreements with broad panels of third-party reinsurers – the 2022-1 XOL Transaction, effective April 1, 2022, the 2022-2 XOL Transaction, effective July 1, 2022, the 2022-3 XOL Transaction, effective October 1, 2022, and the 2023-1 XOL Transaction, effective January 1, 2023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the inception of each respective agreement (except 2023-1 XOL, which decreases from the end of the covered production period) over a ten-year period in the event the PMIERs minimum required assets of the pool declines. NMIC retains losses in excess of the outstanding reinsurance coverage amount.</w:t>
      </w:r>
    </w:p>
    <w:p>
      <w:pPr>
        <w:spacing w:after="0" w:line="115"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of the third-party reinsurance providers that is party to the XOL Transactions has an insurer financial strength rating of A- or better by S&amp;P, 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Best or both.</w:t>
      </w:r>
    </w:p>
    <w:p>
      <w:pPr>
        <w:spacing w:after="0" w:line="150"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June 30,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Initial First</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Current First</w:t>
            </w:r>
          </w:p>
        </w:tc>
      </w:tr>
      <w:tr>
        <w:trPr>
          <w:trHeight w:val="133"/>
        </w:trPr>
        <w:tc>
          <w:tcPr>
            <w:tcW w:w="5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Reinsurance</w:t>
            </w:r>
          </w:p>
        </w:tc>
        <w:tc>
          <w:tcPr>
            <w:tcW w:w="1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Reinsurance</w:t>
            </w:r>
          </w:p>
        </w:tc>
        <w:tc>
          <w:tcPr>
            <w:tcW w:w="10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Layer Retained</w:t>
            </w:r>
          </w:p>
        </w:tc>
        <w:tc>
          <w:tcPr>
            <w:tcW w:w="8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Layer Retained</w:t>
            </w:r>
          </w:p>
        </w:tc>
      </w:tr>
      <w:tr>
        <w:trPr>
          <w:trHeight w:val="210"/>
        </w:trPr>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 values in thousands)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Inception Date</w:t>
            </w:r>
          </w:p>
        </w:tc>
        <w:tc>
          <w:tcPr>
            <w:tcW w:w="23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Coverage</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Coverage</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 xml:space="preserve">Loss </w:t>
            </w:r>
            <w:r>
              <w:rPr>
                <w:rFonts w:ascii="Arial" w:cs="Arial" w:eastAsia="Arial" w:hAnsi="Arial"/>
                <w:sz w:val="18"/>
                <w:szCs w:val="18"/>
                <w:b w:val="1"/>
                <w:bCs w:val="1"/>
                <w:color w:val="auto"/>
                <w:w w:val="81"/>
                <w:vertAlign w:val="superscript"/>
              </w:rPr>
              <w:t>(1)</w:t>
            </w:r>
          </w:p>
        </w:tc>
      </w:tr>
      <w:tr>
        <w:trPr>
          <w:trHeight w:val="217"/>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2022-1</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1, 2022</w:t>
            </w:r>
          </w:p>
        </w:tc>
        <w:tc>
          <w:tcPr>
            <w:tcW w:w="2300" w:type="dxa"/>
            <w:vAlign w:val="bottom"/>
            <w:shd w:val="clear" w:color="auto" w:fill="CCEEFF"/>
          </w:tcPr>
          <w:p>
            <w:pPr>
              <w:jc w:val="center"/>
              <w:spacing w:after="0" w:line="217" w:lineRule="exact"/>
              <w:rPr>
                <w:sz w:val="20"/>
                <w:szCs w:val="20"/>
                <w:color w:val="auto"/>
              </w:rPr>
            </w:pPr>
            <w:r>
              <w:rPr>
                <w:rFonts w:ascii="Arial" w:cs="Arial" w:eastAsia="Arial" w:hAnsi="Arial"/>
                <w:sz w:val="18"/>
                <w:szCs w:val="18"/>
                <w:color w:val="auto"/>
                <w:w w:val="87"/>
              </w:rPr>
              <w:t xml:space="preserve">10/1/2021 – 3/31/2022 </w:t>
            </w:r>
            <w:r>
              <w:rPr>
                <w:rFonts w:ascii="Arial" w:cs="Arial" w:eastAsia="Arial" w:hAnsi="Arial"/>
                <w:sz w:val="22"/>
                <w:szCs w:val="22"/>
                <w:color w:val="auto"/>
                <w:w w:val="87"/>
                <w:vertAlign w:val="superscript"/>
              </w:rPr>
              <w:t>(2)</w:t>
            </w:r>
          </w:p>
        </w:tc>
        <w:tc>
          <w:tcPr>
            <w:tcW w:w="11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$289,741</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$279,416</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$133,366</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$133,366</w:t>
            </w:r>
          </w:p>
        </w:tc>
      </w:tr>
      <w:tr>
        <w:trPr>
          <w:trHeight w:val="224"/>
        </w:trPr>
        <w:tc>
          <w:tcPr>
            <w:tcW w:w="540" w:type="dxa"/>
            <w:vAlign w:val="bottom"/>
          </w:tcPr>
          <w:p>
            <w:pPr>
              <w:ind w:left="20"/>
              <w:spacing w:after="0"/>
              <w:rPr>
                <w:sz w:val="20"/>
                <w:szCs w:val="20"/>
                <w:color w:val="auto"/>
              </w:rPr>
            </w:pPr>
            <w:r>
              <w:rPr>
                <w:rFonts w:ascii="Arial" w:cs="Arial" w:eastAsia="Arial" w:hAnsi="Arial"/>
                <w:sz w:val="18"/>
                <w:szCs w:val="18"/>
                <w:color w:val="auto"/>
                <w:w w:val="89"/>
              </w:rPr>
              <w:t>2022-2</w:t>
            </w:r>
          </w:p>
        </w:tc>
        <w:tc>
          <w:tcPr>
            <w:tcW w:w="2060" w:type="dxa"/>
            <w:vAlign w:val="bottom"/>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July 1, 2022</w:t>
            </w:r>
          </w:p>
        </w:tc>
        <w:tc>
          <w:tcPr>
            <w:tcW w:w="2300" w:type="dxa"/>
            <w:vAlign w:val="bottom"/>
          </w:tcPr>
          <w:p>
            <w:pPr>
              <w:jc w:val="center"/>
              <w:spacing w:after="0" w:line="224" w:lineRule="exact"/>
              <w:rPr>
                <w:sz w:val="20"/>
                <w:szCs w:val="20"/>
                <w:color w:val="auto"/>
              </w:rPr>
            </w:pPr>
            <w:r>
              <w:rPr>
                <w:rFonts w:ascii="Arial" w:cs="Arial" w:eastAsia="Arial" w:hAnsi="Arial"/>
                <w:sz w:val="18"/>
                <w:szCs w:val="18"/>
                <w:color w:val="auto"/>
                <w:w w:val="88"/>
              </w:rPr>
              <w:t xml:space="preserve">4/1/2022 – 6/30/2022 </w:t>
            </w:r>
            <w:r>
              <w:rPr>
                <w:rFonts w:ascii="Arial" w:cs="Arial" w:eastAsia="Arial" w:hAnsi="Arial"/>
                <w:sz w:val="22"/>
                <w:szCs w:val="22"/>
                <w:color w:val="auto"/>
                <w:w w:val="88"/>
                <w:vertAlign w:val="superscript"/>
              </w:rPr>
              <w:t>(3)</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w w:val="86"/>
              </w:rPr>
              <w:t>154,306</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152,347</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78,906</w:t>
            </w:r>
          </w:p>
        </w:tc>
        <w:tc>
          <w:tcPr>
            <w:tcW w:w="11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78,906</w:t>
            </w:r>
          </w:p>
        </w:tc>
      </w:tr>
      <w:tr>
        <w:trPr>
          <w:trHeight w:val="237"/>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2022-3</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XOL Transaction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1, 2022</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7/1/2022 – 9/30/2022</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96,779</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96,197</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106,265</w:t>
            </w:r>
          </w:p>
        </w:tc>
      </w:tr>
      <w:tr>
        <w:trPr>
          <w:trHeight w:val="298"/>
        </w:trPr>
        <w:tc>
          <w:tcPr>
            <w:tcW w:w="540" w:type="dxa"/>
            <w:vAlign w:val="bottom"/>
          </w:tcPr>
          <w:p>
            <w:pPr>
              <w:ind w:left="20"/>
              <w:spacing w:after="0"/>
              <w:rPr>
                <w:sz w:val="20"/>
                <w:szCs w:val="20"/>
                <w:color w:val="auto"/>
              </w:rPr>
            </w:pPr>
            <w:r>
              <w:rPr>
                <w:rFonts w:ascii="Arial" w:cs="Arial" w:eastAsia="Arial" w:hAnsi="Arial"/>
                <w:sz w:val="18"/>
                <w:szCs w:val="18"/>
                <w:color w:val="auto"/>
                <w:w w:val="89"/>
              </w:rPr>
              <w:t>2023-1</w:t>
            </w:r>
          </w:p>
        </w:tc>
        <w:tc>
          <w:tcPr>
            <w:tcW w:w="2060" w:type="dxa"/>
            <w:vAlign w:val="bottom"/>
          </w:tcPr>
          <w:p>
            <w:pPr>
              <w:ind w:left="20"/>
              <w:spacing w:after="0"/>
              <w:rPr>
                <w:sz w:val="20"/>
                <w:szCs w:val="20"/>
                <w:color w:val="auto"/>
              </w:rPr>
            </w:pPr>
            <w:r>
              <w:rPr>
                <w:rFonts w:ascii="Arial" w:cs="Arial" w:eastAsia="Arial" w:hAnsi="Arial"/>
                <w:sz w:val="18"/>
                <w:szCs w:val="18"/>
                <w:color w:val="auto"/>
              </w:rPr>
              <w:t xml:space="preserve">XOL Transaction </w:t>
            </w:r>
            <w:r>
              <w:rPr>
                <w:rFonts w:ascii="Arial" w:cs="Arial" w:eastAsia="Arial" w:hAnsi="Arial"/>
                <w:sz w:val="22"/>
                <w:szCs w:val="22"/>
                <w:color w:val="auto"/>
                <w:vertAlign w:val="superscript"/>
              </w:rPr>
              <w:t>(4)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January 1, 2023</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10/1/2022 – 6/30/2023</w:t>
            </w:r>
          </w:p>
        </w:tc>
        <w:tc>
          <w:tcPr>
            <w:tcW w:w="118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89,864</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89,864</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146,513</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146,513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0" w:name="page31"/>
    <w:bookmarkEnd w:id="30"/>
    <w:p>
      <w:pPr>
        <w:ind w:left="320" w:hanging="315"/>
        <w:spacing w:after="0" w:line="261" w:lineRule="auto"/>
        <w:tabs>
          <w:tab w:leader="none" w:pos="386" w:val="left"/>
        </w:tabs>
        <w:numPr>
          <w:ilvl w:val="0"/>
          <w:numId w:val="11"/>
        </w:numPr>
        <w:rPr>
          <w:rFonts w:ascii="Arial" w:cs="Arial" w:eastAsia="Arial" w:hAnsi="Arial"/>
          <w:sz w:val="14"/>
          <w:szCs w:val="14"/>
          <w:color w:val="auto"/>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2022-1 XOL Transaction has coverage reporting dates between October 21, 2019 and September 30, 2021.</w:t>
      </w:r>
    </w:p>
    <w:p>
      <w:pPr>
        <w:spacing w:after="0" w:line="1" w:lineRule="exact"/>
        <w:rPr>
          <w:rFonts w:ascii="Arial" w:cs="Arial" w:eastAsia="Arial" w:hAnsi="Arial"/>
          <w:sz w:val="14"/>
          <w:szCs w:val="14"/>
          <w:color w:val="auto"/>
        </w:rPr>
      </w:pPr>
    </w:p>
    <w:p>
      <w:pPr>
        <w:ind w:left="300" w:hanging="295"/>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Approximately 1% of the production covered by the 2022-2 XOL Transaction has coverage reporting dates between January 4, 2021 and March 31, 2022.</w:t>
      </w:r>
    </w:p>
    <w:p>
      <w:pPr>
        <w:spacing w:after="0" w:line="6" w:lineRule="exact"/>
        <w:rPr>
          <w:rFonts w:ascii="Arial" w:cs="Arial" w:eastAsia="Arial" w:hAnsi="Arial"/>
          <w:sz w:val="14"/>
          <w:szCs w:val="14"/>
          <w:color w:val="auto"/>
        </w:rPr>
      </w:pPr>
    </w:p>
    <w:p>
      <w:pPr>
        <w:ind w:left="320" w:hanging="315"/>
        <w:spacing w:after="0" w:line="270" w:lineRule="auto"/>
        <w:tabs>
          <w:tab w:leader="none" w:pos="321"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2023-1 XOL Transaction provides coverage for production generated between October 1, 2022 and June 30, 2023. The current reinsurance coverage and current first layer retained loss will decrease in future periods to the extent the PMIERs minimum required assets of the covered pool declines.</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Quota share reinsurance</w:t>
      </w:r>
    </w:p>
    <w:p>
      <w:pPr>
        <w:spacing w:after="0" w:line="162"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NMIC is a party to seven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the 2022 Seasoned QSR Transaction, effective July 1, 2022 and the 2023 QSR Transaction, effective January 1, 2023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45"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100"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6"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136"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100"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Under the terms of the 2022 QSR Transaction, NMIC cedes premiums earned related to 20% of the risk on eligible policies written between October 30, 2021 and December 31, 2022, in exchange for reimbursement of ceded claims and claim expenses on covered policies, a 20% ceding commission, and a profit commission of up to 62% that varies directly and inversely with ceded claims.</w:t>
      </w:r>
    </w:p>
    <w:p>
      <w:pPr>
        <w:spacing w:after="0" w:line="136"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In connection with the 2022 QSR Transaction, NMIC entered into the 2023 QSR Transaction as a springing back-to-back quota share agreement. Under the terms of the 2023 QSR Transactions, NMIC cedes premiums earned related to 20% of the risk on eligible policies written from January 1, 2023 to December 31, 2023, in exchange for reimbursement of ceded claims and claim expenses on covered policies, a 20% ceding commission, and a profit commission of up to 62% that varies directly and inversely with ceded claims.</w:t>
      </w:r>
    </w:p>
    <w:p>
      <w:pPr>
        <w:spacing w:after="0" w:line="139"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09"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to terminate its engagement with individual reinsurers on a run-off basis (i.e., reinsurers continue providing coverage on all risk ceded prior to the termination date, with no new cessions going forward) or cut-off basis (i.e., the reinsurance arrangement is completely terminated with NMIC recapturing all previously ceded risk) under certain circumstances. Such selective termination rights arise when, among other reasons, a reinsurer experiences 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1" w:name="page32"/>
    <w:bookmarkEnd w:id="31"/>
    <w:p>
      <w:pPr>
        <w:jc w:val="both"/>
        <w:spacing w:after="0" w:line="262" w:lineRule="auto"/>
        <w:rPr>
          <w:sz w:val="20"/>
          <w:szCs w:val="20"/>
          <w:color w:val="auto"/>
        </w:rPr>
      </w:pPr>
      <w:r>
        <w:rPr>
          <w:rFonts w:ascii="Arial" w:cs="Arial" w:eastAsia="Arial" w:hAnsi="Arial"/>
          <w:sz w:val="18"/>
          <w:szCs w:val="18"/>
          <w:color w:val="auto"/>
        </w:rPr>
        <w:t>deterioration in its capital position below a prescribed threshold and/or a reinsurer breaches (and fails to cure) its collateral posting obligations under the relevant agreement.</w:t>
      </w:r>
    </w:p>
    <w:p>
      <w:pPr>
        <w:spacing w:after="0" w:line="128"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09"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xml:space="preserve"> for further discussion of these third-party reinsurance arrangements.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Portfolio Data</w:t>
      </w:r>
    </w:p>
    <w:p>
      <w:pPr>
        <w:spacing w:after="0" w:line="162"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Primary and pool IIF and NIW</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4"/>
                <w:szCs w:val="14"/>
                <w:b w:val="1"/>
                <w:bCs w:val="1"/>
                <w:color w:val="auto"/>
                <w:w w:val="97"/>
              </w:rPr>
              <w:t>As of and for the three months ended</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For the six months ended</w:t>
            </w:r>
          </w:p>
        </w:tc>
      </w:tr>
      <w:tr>
        <w:trPr>
          <w:trHeight w:val="182"/>
        </w:trPr>
        <w:tc>
          <w:tcPr>
            <w:tcW w:w="3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 2022</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4"/>
              </w:rPr>
              <w:t>June 30, 2023</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June 30, 2022</w:t>
            </w:r>
          </w:p>
        </w:tc>
      </w:tr>
      <w:tr>
        <w:trPr>
          <w:trHeight w:val="185"/>
        </w:trPr>
        <w:tc>
          <w:tcPr>
            <w:tcW w:w="3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IIF</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NIW</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IIF</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NIW</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NIW</w:t>
            </w:r>
          </w:p>
        </w:tc>
        <w:tc>
          <w:tcPr>
            <w:tcW w:w="1120" w:type="dxa"/>
            <w:vAlign w:val="bottom"/>
            <w:tcBorders>
              <w:bottom w:val="single" w:sz="8" w:color="auto"/>
            </w:tcBorders>
          </w:tcPr>
          <w:p>
            <w:pPr>
              <w:spacing w:after="0"/>
              <w:rPr>
                <w:sz w:val="16"/>
                <w:szCs w:val="16"/>
                <w:color w:val="auto"/>
              </w:rPr>
            </w:pPr>
          </w:p>
        </w:tc>
      </w:tr>
      <w:tr>
        <w:trPr>
          <w:trHeight w:val="188"/>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171,685</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148,488</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28,789</w:t>
            </w: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Single</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r>
      <w:tr>
        <w:trPr>
          <w:trHeight w:val="231"/>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191,306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30,776</w:t>
            </w:r>
          </w:p>
        </w:tc>
      </w:tr>
      <w:tr>
        <w:trPr>
          <w:trHeight w:val="105"/>
        </w:trPr>
        <w:tc>
          <w:tcPr>
            <w:tcW w:w="3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2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00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192,306</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11,478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169,753</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16,611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20,212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30,776</w:t>
            </w:r>
          </w:p>
        </w:tc>
      </w:tr>
      <w:tr>
        <w:trPr>
          <w:trHeight w:val="20"/>
        </w:trPr>
        <w:tc>
          <w:tcPr>
            <w:tcW w:w="3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632"/>
        <w:spacing w:after="0" w:line="238" w:lineRule="auto"/>
        <w:rPr>
          <w:sz w:val="20"/>
          <w:szCs w:val="20"/>
          <w:color w:val="auto"/>
        </w:rPr>
      </w:pPr>
      <w:r>
        <w:rPr>
          <w:rFonts w:ascii="Arial" w:cs="Arial" w:eastAsia="Arial" w:hAnsi="Arial"/>
          <w:sz w:val="18"/>
          <w:szCs w:val="18"/>
          <w:color w:val="auto"/>
        </w:rPr>
        <w:t>NIW for the three months and six months ended June 30, 2023 was $11.5 billion and $20.2 billion, respectively, compared to $16.6 billion and $30.8 billion for the three and six months ended June 30, 2022, respectively. NIW decreased year-on-year primarily due to a decline in the size of the total mortgage insurance market.</w:t>
      </w:r>
    </w:p>
    <w:p>
      <w:pPr>
        <w:spacing w:after="0" w:line="227"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Total IIF increased 13% at June 30, 2023 compared to June 30, 2022, primarily due to the NIW generated between such measurement dates, partially offset by the run-off of in-force policies. Our persistency rate improved to 86.0% at June 30, 2023 from 76.0% at June 30, 2022, reflecting a slowdown in the pace of refinancing activity during the intervening twelve-month period driven by an increase in interest and mortgage note rates.</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w w:val="97"/>
              </w:rPr>
              <w:t>For the three months ended June 30,</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189"/>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r>
      <w:tr>
        <w:trPr>
          <w:trHeight w:val="188"/>
        </w:trPr>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117,144</w:t>
            </w:r>
          </w:p>
        </w:tc>
        <w:tc>
          <w:tcPr>
            <w:tcW w:w="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118,457</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230,120</w:t>
            </w:r>
          </w:p>
        </w:tc>
        <w:tc>
          <w:tcPr>
            <w:tcW w:w="4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234,491</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34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125,985</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120,870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247,739</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237,365</w:t>
            </w:r>
          </w:p>
        </w:tc>
      </w:tr>
    </w:tbl>
    <w:p>
      <w:pPr>
        <w:spacing w:after="0" w:line="239"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Net premiums written decreased 1% and 2% during the three and six months ended June 30, 2023, respectively, compared to the three and six months ended June 30, 2022, reflecting an increase in total premiums ceded under our reinsurance transactions and a decline in single premium policy production, partially offset by growth in our monthly IIF and monthly pay policy premium receipts.</w:t>
      </w:r>
    </w:p>
    <w:p>
      <w:pPr>
        <w:spacing w:after="0" w:line="136"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Net premiums earned during each of the three and six months ended June 30, 2023 increased 4% compared to the three and six months ended June 30, 2022, primarily driven by our NIW production and the growth of our IIF, partially offset by an increase in total premiums ceded under our reinsurance transactions and a decline in the contribution from single premium policy cancellations.</w:t>
      </w:r>
    </w:p>
    <w:p>
      <w:pPr>
        <w:spacing w:after="0" w:line="136"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Pool premiums written and earned for each of the three and six month periods ended June 30, 2023 and 2022 were $0.3 million and $0.6 million, respectively, before giving effect to the 2016 QSR Transaction, under which all of our written and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2" w:name="page33"/>
    <w:bookmarkEnd w:id="32"/>
    <w:p>
      <w:pPr>
        <w:ind w:right="1920"/>
        <w:spacing w:after="0" w:line="427" w:lineRule="auto"/>
        <w:rPr>
          <w:sz w:val="20"/>
          <w:szCs w:val="20"/>
          <w:color w:val="auto"/>
        </w:rPr>
      </w:pPr>
      <w:r>
        <w:rPr>
          <w:rFonts w:ascii="Arial" w:cs="Arial" w:eastAsia="Arial" w:hAnsi="Arial"/>
          <w:sz w:val="18"/>
          <w:szCs w:val="18"/>
          <w:color w:val="auto"/>
        </w:rPr>
        <w:t xml:space="preserve">earned pool premiums are ceded. A portion of our ceded pool premiums written and earned are recouped through profit commission. </w:t>
      </w:r>
      <w:r>
        <w:rPr>
          <w:rFonts w:ascii="Arial" w:cs="Arial" w:eastAsia="Arial" w:hAnsi="Arial"/>
          <w:sz w:val="18"/>
          <w:szCs w:val="18"/>
          <w:b w:val="1"/>
          <w:bCs w:val="1"/>
          <w:i w:val="1"/>
          <w:iCs w:val="1"/>
          <w:color w:val="auto"/>
        </w:rPr>
        <w:t>Portfolio Statistics</w:t>
      </w:r>
    </w:p>
    <w:p>
      <w:pPr>
        <w:spacing w:after="0" w:line="1"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center"/>
              <w:ind w:left="595"/>
              <w:spacing w:after="0"/>
              <w:rPr>
                <w:sz w:val="20"/>
                <w:szCs w:val="20"/>
                <w:color w:val="auto"/>
              </w:rPr>
            </w:pPr>
            <w:r>
              <w:rPr>
                <w:rFonts w:ascii="Arial" w:cs="Arial" w:eastAsia="Arial" w:hAnsi="Arial"/>
                <w:sz w:val="14"/>
                <w:szCs w:val="14"/>
                <w:b w:val="1"/>
                <w:bCs w:val="1"/>
                <w:color w:val="auto"/>
                <w:w w:val="89"/>
              </w:rPr>
              <w:t>As of and for the three months ended</w:t>
            </w: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82"/>
        </w:trPr>
        <w:tc>
          <w:tcPr>
            <w:tcW w:w="4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June 30, 2023</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4"/>
              </w:rPr>
              <w:t>March 31, 2023</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2022</w:t>
            </w:r>
          </w:p>
        </w:tc>
        <w:tc>
          <w:tcPr>
            <w:tcW w:w="13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4"/>
              </w:rPr>
              <w:t>September 30, 2022</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June 30, 2022</w:t>
            </w:r>
          </w:p>
        </w:tc>
      </w:tr>
      <w:tr>
        <w:trPr>
          <w:trHeight w:val="182"/>
        </w:trPr>
        <w:tc>
          <w:tcPr>
            <w:tcW w:w="4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00" w:type="dxa"/>
            <w:vAlign w:val="bottom"/>
            <w:gridSpan w:val="5"/>
          </w:tcPr>
          <w:p>
            <w:pPr>
              <w:jc w:val="center"/>
              <w:ind w:right="92"/>
              <w:spacing w:after="0"/>
              <w:rPr>
                <w:sz w:val="20"/>
                <w:szCs w:val="20"/>
                <w:color w:val="auto"/>
              </w:rPr>
            </w:pPr>
            <w:r>
              <w:rPr>
                <w:rFonts w:ascii="Arial" w:cs="Arial" w:eastAsia="Arial" w:hAnsi="Arial"/>
                <w:sz w:val="14"/>
                <w:szCs w:val="14"/>
                <w:i w:val="1"/>
                <w:iCs w:val="1"/>
                <w:color w:val="auto"/>
                <w:w w:val="90"/>
              </w:rPr>
              <w:t>($ Values In Millions, except as noted below)</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insurance written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11,478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8,734</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10,719</w:t>
            </w:r>
          </w:p>
        </w:tc>
        <w:tc>
          <w:tcPr>
            <w:tcW w:w="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17,239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16,611</w:t>
            </w:r>
          </w:p>
        </w:tc>
      </w:tr>
      <w:tr>
        <w:trPr>
          <w:trHeight w:val="230"/>
        </w:trPr>
        <w:tc>
          <w:tcPr>
            <w:tcW w:w="456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98 %</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98 %</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98 %</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97 %</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31"/>
        </w:trPr>
        <w:tc>
          <w:tcPr>
            <w:tcW w:w="4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4"/>
        </w:trPr>
        <w:tc>
          <w:tcPr>
            <w:tcW w:w="4560" w:type="dxa"/>
            <w:vAlign w:val="bottom"/>
          </w:tcPr>
          <w:p>
            <w:pPr>
              <w:ind w:left="220"/>
              <w:spacing w:after="0"/>
              <w:rPr>
                <w:sz w:val="20"/>
                <w:szCs w:val="20"/>
                <w:color w:val="auto"/>
              </w:rPr>
            </w:pPr>
            <w:r>
              <w:rPr>
                <w:rFonts w:ascii="Arial" w:cs="Arial" w:eastAsia="Arial" w:hAnsi="Arial"/>
                <w:sz w:val="18"/>
                <w:szCs w:val="18"/>
                <w:color w:val="auto"/>
              </w:rPr>
              <w:t>New risk written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3,022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5"/>
              <w:spacing w:after="0"/>
              <w:rPr>
                <w:sz w:val="20"/>
                <w:szCs w:val="20"/>
                <w:color w:val="auto"/>
              </w:rPr>
            </w:pPr>
            <w:r>
              <w:rPr>
                <w:rFonts w:ascii="Arial" w:cs="Arial" w:eastAsia="Arial" w:hAnsi="Arial"/>
                <w:sz w:val="18"/>
                <w:szCs w:val="18"/>
                <w:color w:val="auto"/>
              </w:rPr>
              <w:t>2,258</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2,797</w:t>
            </w:r>
          </w:p>
        </w:tc>
        <w:tc>
          <w:tcPr>
            <w:tcW w:w="4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4,616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4,386</w:t>
            </w:r>
          </w:p>
        </w:tc>
      </w:tr>
      <w:tr>
        <w:trPr>
          <w:trHeight w:val="237"/>
        </w:trPr>
        <w:tc>
          <w:tcPr>
            <w:tcW w:w="4560" w:type="dxa"/>
            <w:vAlign w:val="bottom"/>
            <w:shd w:val="clear" w:color="auto" w:fill="CCEEFF"/>
          </w:tcPr>
          <w:p>
            <w:pPr>
              <w:ind w:left="220"/>
              <w:spacing w:after="0" w:line="238" w:lineRule="exact"/>
              <w:rPr>
                <w:sz w:val="20"/>
                <w:szCs w:val="20"/>
                <w:color w:val="auto"/>
              </w:rPr>
            </w:pPr>
            <w:r>
              <w:rPr>
                <w:rFonts w:ascii="Arial" w:cs="Arial" w:eastAsia="Arial" w:hAnsi="Arial"/>
                <w:sz w:val="18"/>
                <w:szCs w:val="18"/>
                <w:color w:val="auto"/>
              </w:rPr>
              <w:t xml:space="preserve">Insurance-in-force </w:t>
            </w:r>
            <w:r>
              <w:rPr>
                <w:rFonts w:ascii="Arial" w:cs="Arial" w:eastAsia="Arial" w:hAnsi="Arial"/>
                <w:sz w:val="22"/>
                <w:szCs w:val="22"/>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191,306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186,724</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183,968</w:t>
            </w:r>
          </w:p>
        </w:tc>
        <w:tc>
          <w:tcPr>
            <w:tcW w:w="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2"/>
              </w:rPr>
              <w:t>179,173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168,639</w:t>
            </w:r>
          </w:p>
        </w:tc>
      </w:tr>
      <w:tr>
        <w:trPr>
          <w:trHeight w:val="224"/>
        </w:trPr>
        <w:tc>
          <w:tcPr>
            <w:tcW w:w="456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89 %</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89 %</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24"/>
        </w:trPr>
        <w:tc>
          <w:tcPr>
            <w:tcW w:w="4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7"/>
        </w:trPr>
        <w:tc>
          <w:tcPr>
            <w:tcW w:w="4560" w:type="dxa"/>
            <w:vAlign w:val="bottom"/>
          </w:tcPr>
          <w:p>
            <w:pPr>
              <w:ind w:left="220"/>
              <w:spacing w:after="0" w:line="237" w:lineRule="exact"/>
              <w:rPr>
                <w:sz w:val="20"/>
                <w:szCs w:val="20"/>
                <w:color w:val="auto"/>
              </w:rPr>
            </w:pPr>
            <w:r>
              <w:rPr>
                <w:rFonts w:ascii="Arial" w:cs="Arial" w:eastAsia="Arial" w:hAnsi="Arial"/>
                <w:sz w:val="18"/>
                <w:szCs w:val="18"/>
                <w:color w:val="auto"/>
              </w:rPr>
              <w:t xml:space="preserve">Risk-in-force </w:t>
            </w:r>
            <w:r>
              <w:rPr>
                <w:rFonts w:ascii="Arial" w:cs="Arial" w:eastAsia="Arial" w:hAnsi="Arial"/>
                <w:sz w:val="22"/>
                <w:szCs w:val="22"/>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49,875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5"/>
              <w:spacing w:after="0"/>
              <w:rPr>
                <w:sz w:val="20"/>
                <w:szCs w:val="20"/>
                <w:color w:val="auto"/>
              </w:rPr>
            </w:pPr>
            <w:r>
              <w:rPr>
                <w:rFonts w:ascii="Arial" w:cs="Arial" w:eastAsia="Arial" w:hAnsi="Arial"/>
                <w:sz w:val="18"/>
                <w:szCs w:val="18"/>
                <w:color w:val="auto"/>
              </w:rPr>
              <w:t>48,494</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47,648</w:t>
            </w:r>
          </w:p>
        </w:tc>
        <w:tc>
          <w:tcPr>
            <w:tcW w:w="4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46,259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43,260</w:t>
            </w:r>
          </w:p>
        </w:tc>
      </w:tr>
      <w:tr>
        <w:trPr>
          <w:trHeight w:val="224"/>
        </w:trPr>
        <w:tc>
          <w:tcPr>
            <w:tcW w:w="456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611,441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600,294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594,142</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2"/>
              </w:rPr>
              <w:t>580,525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551,543</w:t>
            </w:r>
          </w:p>
        </w:tc>
      </w:tr>
      <w:tr>
        <w:trPr>
          <w:trHeight w:val="237"/>
        </w:trPr>
        <w:tc>
          <w:tcPr>
            <w:tcW w:w="4560" w:type="dxa"/>
            <w:vAlign w:val="bottom"/>
          </w:tcPr>
          <w:p>
            <w:pPr>
              <w:ind w:left="220"/>
              <w:spacing w:after="0" w:line="237"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14"/>
                <w:szCs w:val="14"/>
                <w:i w:val="1"/>
                <w:iCs w:val="1"/>
                <w:color w:val="auto"/>
              </w:rPr>
              <w:t>($ value in thousands)</w:t>
            </w:r>
            <w:r>
              <w:rPr>
                <w:rFonts w:ascii="Arial" w:cs="Arial" w:eastAsia="Arial" w:hAnsi="Arial"/>
                <w:sz w:val="18"/>
                <w:szCs w:val="18"/>
                <w:color w:val="auto"/>
              </w:rPr>
              <w:t xml:space="preserve"> </w:t>
            </w:r>
            <w:r>
              <w:rPr>
                <w:rFonts w:ascii="Arial" w:cs="Arial" w:eastAsia="Arial" w:hAnsi="Arial"/>
                <w:sz w:val="22"/>
                <w:szCs w:val="22"/>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313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5"/>
              <w:spacing w:after="0"/>
              <w:rPr>
                <w:sz w:val="20"/>
                <w:szCs w:val="20"/>
                <w:color w:val="auto"/>
              </w:rPr>
            </w:pPr>
            <w:r>
              <w:rPr>
                <w:rFonts w:ascii="Arial" w:cs="Arial" w:eastAsia="Arial" w:hAnsi="Arial"/>
                <w:sz w:val="18"/>
                <w:szCs w:val="18"/>
                <w:color w:val="auto"/>
              </w:rPr>
              <w:t>311</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310</w:t>
            </w:r>
          </w:p>
        </w:tc>
        <w:tc>
          <w:tcPr>
            <w:tcW w:w="4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309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306</w:t>
            </w:r>
          </w:p>
        </w:tc>
      </w:tr>
      <w:tr>
        <w:trPr>
          <w:trHeight w:val="224"/>
        </w:trPr>
        <w:tc>
          <w:tcPr>
            <w:tcW w:w="456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r>
      <w:tr>
        <w:trPr>
          <w:trHeight w:val="224"/>
        </w:trPr>
        <w:tc>
          <w:tcPr>
            <w:tcW w:w="456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2"/>
                <w:szCs w:val="22"/>
                <w:color w:val="auto"/>
                <w:vertAlign w:val="superscript"/>
              </w:rPr>
              <w:t>(1)</w:t>
            </w:r>
          </w:p>
        </w:tc>
        <w:tc>
          <w:tcPr>
            <w:tcW w:w="16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4,349</w:t>
            </w:r>
          </w:p>
        </w:tc>
        <w:tc>
          <w:tcPr>
            <w:tcW w:w="180" w:type="dxa"/>
            <w:vAlign w:val="bottom"/>
          </w:tcPr>
          <w:p>
            <w:pPr>
              <w:spacing w:after="0"/>
              <w:rPr>
                <w:sz w:val="19"/>
                <w:szCs w:val="19"/>
                <w:color w:val="auto"/>
              </w:rPr>
            </w:pPr>
          </w:p>
        </w:tc>
        <w:tc>
          <w:tcPr>
            <w:tcW w:w="1180" w:type="dxa"/>
            <w:vAlign w:val="bottom"/>
          </w:tcPr>
          <w:p>
            <w:pPr>
              <w:jc w:val="right"/>
              <w:ind w:right="175"/>
              <w:spacing w:after="0"/>
              <w:rPr>
                <w:sz w:val="20"/>
                <w:szCs w:val="20"/>
                <w:color w:val="auto"/>
              </w:rPr>
            </w:pPr>
            <w:r>
              <w:rPr>
                <w:rFonts w:ascii="Arial" w:cs="Arial" w:eastAsia="Arial" w:hAnsi="Arial"/>
                <w:sz w:val="18"/>
                <w:szCs w:val="18"/>
                <w:color w:val="auto"/>
              </w:rPr>
              <w:t>4,475</w:t>
            </w:r>
          </w:p>
        </w:tc>
        <w:tc>
          <w:tcPr>
            <w:tcW w:w="34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4,449</w:t>
            </w:r>
          </w:p>
        </w:tc>
        <w:tc>
          <w:tcPr>
            <w:tcW w:w="48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4,096</w:t>
            </w:r>
          </w:p>
        </w:tc>
        <w:tc>
          <w:tcPr>
            <w:tcW w:w="2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4,271</w:t>
            </w:r>
          </w:p>
        </w:tc>
      </w:tr>
      <w:tr>
        <w:trPr>
          <w:trHeight w:val="237"/>
        </w:trPr>
        <w:tc>
          <w:tcPr>
            <w:tcW w:w="4560" w:type="dxa"/>
            <w:vAlign w:val="bottom"/>
            <w:shd w:val="clear" w:color="auto" w:fill="CCEEFF"/>
          </w:tcPr>
          <w:p>
            <w:pPr>
              <w:ind w:left="220"/>
              <w:spacing w:after="0" w:line="237" w:lineRule="exact"/>
              <w:rPr>
                <w:sz w:val="20"/>
                <w:szCs w:val="20"/>
                <w:color w:val="auto"/>
              </w:rPr>
            </w:pPr>
            <w:r>
              <w:rPr>
                <w:rFonts w:ascii="Arial" w:cs="Arial" w:eastAsia="Arial" w:hAnsi="Arial"/>
                <w:sz w:val="18"/>
                <w:szCs w:val="18"/>
                <w:color w:val="auto"/>
              </w:rPr>
              <w:t xml:space="preserve">Default rate </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0.71 %</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0.71 %</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0.77 %</w:t>
            </w:r>
          </w:p>
        </w:tc>
      </w:tr>
      <w:tr>
        <w:trPr>
          <w:trHeight w:val="224"/>
        </w:trPr>
        <w:tc>
          <w:tcPr>
            <w:tcW w:w="456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Risk-in-force on defaulted loans </w:t>
            </w:r>
            <w:r>
              <w:rPr>
                <w:rFonts w:ascii="Arial" w:cs="Arial" w:eastAsia="Arial" w:hAnsi="Arial"/>
                <w:sz w:val="22"/>
                <w:szCs w:val="22"/>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335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5"/>
              <w:spacing w:after="0"/>
              <w:rPr>
                <w:sz w:val="20"/>
                <w:szCs w:val="20"/>
                <w:color w:val="auto"/>
              </w:rPr>
            </w:pPr>
            <w:r>
              <w:rPr>
                <w:rFonts w:ascii="Arial" w:cs="Arial" w:eastAsia="Arial" w:hAnsi="Arial"/>
                <w:sz w:val="18"/>
                <w:szCs w:val="18"/>
                <w:color w:val="auto"/>
              </w:rPr>
              <w:t>337</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323</w:t>
            </w:r>
          </w:p>
        </w:tc>
        <w:tc>
          <w:tcPr>
            <w:tcW w:w="4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284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295</w:t>
            </w:r>
          </w:p>
        </w:tc>
      </w:tr>
      <w:tr>
        <w:trPr>
          <w:trHeight w:val="224"/>
        </w:trPr>
        <w:tc>
          <w:tcPr>
            <w:tcW w:w="456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Net premium yield </w:t>
            </w:r>
            <w:r>
              <w:rPr>
                <w:rFonts w:ascii="Arial" w:cs="Arial" w:eastAsia="Arial" w:hAnsi="Arial"/>
                <w:sz w:val="22"/>
                <w:szCs w:val="22"/>
                <w:color w:val="auto"/>
                <w:vertAlign w:val="superscript"/>
              </w:rPr>
              <w:t>(3)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0.30 %</w:t>
            </w:r>
          </w:p>
        </w:tc>
      </w:tr>
      <w:tr>
        <w:trPr>
          <w:trHeight w:val="230"/>
        </w:trPr>
        <w:tc>
          <w:tcPr>
            <w:tcW w:w="4560" w:type="dxa"/>
            <w:vAlign w:val="bottom"/>
          </w:tcPr>
          <w:p>
            <w:pPr>
              <w:ind w:left="220"/>
              <w:spacing w:after="0"/>
              <w:rPr>
                <w:sz w:val="20"/>
                <w:szCs w:val="20"/>
                <w:color w:val="auto"/>
              </w:rPr>
            </w:pPr>
            <w:r>
              <w:rPr>
                <w:rFonts w:ascii="Arial" w:cs="Arial" w:eastAsia="Arial" w:hAnsi="Arial"/>
                <w:sz w:val="18"/>
                <w:szCs w:val="18"/>
                <w:color w:val="auto"/>
              </w:rPr>
              <w:t>Earnings from cancellations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5"/>
              <w:spacing w:after="0"/>
              <w:rPr>
                <w:sz w:val="20"/>
                <w:szCs w:val="20"/>
                <w:color w:val="auto"/>
              </w:rPr>
            </w:pPr>
            <w:r>
              <w:rPr>
                <w:rFonts w:ascii="Arial" w:cs="Arial" w:eastAsia="Arial" w:hAnsi="Arial"/>
                <w:sz w:val="18"/>
                <w:szCs w:val="18"/>
                <w:color w:val="auto"/>
              </w:rPr>
              <w:t>1.4</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1.5</w:t>
            </w:r>
          </w:p>
        </w:tc>
        <w:tc>
          <w:tcPr>
            <w:tcW w:w="48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2.2</w:t>
            </w:r>
          </w:p>
        </w:tc>
      </w:tr>
      <w:tr>
        <w:trPr>
          <w:trHeight w:val="231"/>
        </w:trPr>
        <w:tc>
          <w:tcPr>
            <w:tcW w:w="4560" w:type="dxa"/>
            <w:vAlign w:val="bottom"/>
            <w:shd w:val="clear" w:color="auto" w:fill="CCEEFF"/>
          </w:tcPr>
          <w:p>
            <w:pPr>
              <w:ind w:left="220"/>
              <w:spacing w:after="0" w:line="231"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2"/>
                <w:szCs w:val="22"/>
                <w:color w:val="auto"/>
                <w:vertAlign w:val="superscript"/>
              </w:rPr>
              <w:t>(4)</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86.0 %</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85.1 %</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83.5 %</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76.0 %</w:t>
            </w:r>
          </w:p>
        </w:tc>
      </w:tr>
      <w:tr>
        <w:trPr>
          <w:trHeight w:val="298"/>
        </w:trPr>
        <w:tc>
          <w:tcPr>
            <w:tcW w:w="4560" w:type="dxa"/>
            <w:vAlign w:val="bottom"/>
          </w:tcPr>
          <w:p>
            <w:pPr>
              <w:ind w:left="22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2"/>
                <w:szCs w:val="22"/>
                <w:color w:val="auto"/>
                <w:vertAlign w:val="superscript"/>
              </w:rPr>
              <w:t>(5)</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3.7 %</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3.2 %</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3.3 %</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4.0 %</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4.3 %</w:t>
            </w:r>
          </w:p>
        </w:tc>
      </w:tr>
    </w:tbl>
    <w:p>
      <w:pPr>
        <w:spacing w:after="0" w:line="158" w:lineRule="exact"/>
        <w:rPr>
          <w:sz w:val="20"/>
          <w:szCs w:val="20"/>
          <w:color w:val="auto"/>
        </w:rPr>
      </w:pPr>
    </w:p>
    <w:p>
      <w:pPr>
        <w:ind w:left="300" w:hanging="295"/>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Reported as of the end of the period.</w:t>
      </w:r>
    </w:p>
    <w:p>
      <w:pPr>
        <w:spacing w:after="0" w:line="18" w:lineRule="exact"/>
        <w:rPr>
          <w:rFonts w:ascii="Arial" w:cs="Arial" w:eastAsia="Arial" w:hAnsi="Arial"/>
          <w:sz w:val="14"/>
          <w:szCs w:val="14"/>
          <w:color w:val="auto"/>
        </w:rPr>
      </w:pPr>
    </w:p>
    <w:p>
      <w:pPr>
        <w:ind w:left="300" w:hanging="295"/>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as end of period RIF divided by end of period IIF.</w:t>
      </w:r>
    </w:p>
    <w:p>
      <w:pPr>
        <w:spacing w:after="0" w:line="1" w:lineRule="exact"/>
        <w:rPr>
          <w:rFonts w:ascii="Arial" w:cs="Arial" w:eastAsia="Arial" w:hAnsi="Arial"/>
          <w:sz w:val="14"/>
          <w:szCs w:val="14"/>
          <w:color w:val="auto"/>
        </w:rPr>
      </w:pPr>
    </w:p>
    <w:p>
      <w:pPr>
        <w:ind w:left="300" w:hanging="295"/>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as net premiums earned divided by average primary IIF for the period, annualized.</w:t>
      </w:r>
    </w:p>
    <w:p>
      <w:pPr>
        <w:spacing w:after="0" w:line="6" w:lineRule="exact"/>
        <w:rPr>
          <w:rFonts w:ascii="Arial" w:cs="Arial" w:eastAsia="Arial" w:hAnsi="Arial"/>
          <w:sz w:val="14"/>
          <w:szCs w:val="14"/>
          <w:color w:val="auto"/>
        </w:rPr>
      </w:pPr>
    </w:p>
    <w:p>
      <w:pPr>
        <w:ind w:left="300" w:hanging="295"/>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Defined as the percentage of IIF that remains on our books after a given twelve-month period.</w:t>
      </w:r>
    </w:p>
    <w:p>
      <w:pPr>
        <w:spacing w:after="0" w:line="10" w:lineRule="exact"/>
        <w:rPr>
          <w:rFonts w:ascii="Arial" w:cs="Arial" w:eastAsia="Arial" w:hAnsi="Arial"/>
          <w:sz w:val="14"/>
          <w:szCs w:val="14"/>
          <w:color w:val="auto"/>
        </w:rPr>
      </w:pPr>
    </w:p>
    <w:p>
      <w:pPr>
        <w:ind w:left="300" w:hanging="295"/>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Defined as the percentage of IIF that is no longer on our books after a given three-month period.</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40" w:type="dxa"/>
            <w:vAlign w:val="bottom"/>
          </w:tcPr>
          <w:p>
            <w:pPr>
              <w:ind w:left="20"/>
              <w:spacing w:after="0"/>
              <w:rPr>
                <w:sz w:val="20"/>
                <w:szCs w:val="20"/>
                <w:color w:val="auto"/>
              </w:rPr>
            </w:pPr>
            <w:r>
              <w:rPr>
                <w:rFonts w:ascii="Arial" w:cs="Arial" w:eastAsia="Arial" w:hAnsi="Arial"/>
                <w:sz w:val="14"/>
                <w:szCs w:val="14"/>
                <w:b w:val="1"/>
                <w:bCs w:val="1"/>
                <w:color w:val="auto"/>
              </w:rPr>
              <w:t>Primary IIF</w:t>
            </w:r>
          </w:p>
        </w:tc>
        <w:tc>
          <w:tcPr>
            <w:tcW w:w="200" w:type="dxa"/>
            <w:vAlign w:val="bottom"/>
          </w:tcPr>
          <w:p>
            <w:pPr>
              <w:spacing w:after="0"/>
              <w:rPr>
                <w:sz w:val="15"/>
                <w:szCs w:val="15"/>
                <w:color w:val="auto"/>
              </w:rPr>
            </w:pPr>
          </w:p>
        </w:tc>
        <w:tc>
          <w:tcPr>
            <w:tcW w:w="2720" w:type="dxa"/>
            <w:vAlign w:val="bottom"/>
            <w:gridSpan w:val="4"/>
          </w:tcPr>
          <w:p>
            <w:pPr>
              <w:jc w:val="right"/>
              <w:ind w:right="278"/>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w w:val="96"/>
              </w:rPr>
              <w:t>As of and for the six months ended</w:t>
            </w:r>
          </w:p>
        </w:tc>
      </w:tr>
      <w:tr>
        <w:trPr>
          <w:trHeight w:val="24"/>
        </w:trPr>
        <w:tc>
          <w:tcPr>
            <w:tcW w:w="5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7"/>
        </w:trPr>
        <w:tc>
          <w:tcPr>
            <w:tcW w:w="5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8"/>
              </w:rPr>
              <w:t>June 30, 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8"/>
              </w:rPr>
              <w:t>June 30, 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6"/>
              </w:rPr>
              <w:t>June 30, 2022</w:t>
            </w:r>
          </w:p>
        </w:tc>
      </w:tr>
      <w:tr>
        <w:trPr>
          <w:trHeight w:val="182"/>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4"/>
          </w:tcPr>
          <w:p>
            <w:pPr>
              <w:jc w:val="right"/>
              <w:ind w:right="998"/>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186,724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152,343</w:t>
            </w:r>
          </w:p>
        </w:tc>
      </w:tr>
      <w:tr>
        <w:trPr>
          <w:trHeight w:val="224"/>
        </w:trPr>
        <w:tc>
          <w:tcPr>
            <w:tcW w:w="5340" w:type="dxa"/>
            <w:vAlign w:val="bottom"/>
          </w:tcPr>
          <w:p>
            <w:pPr>
              <w:ind w:left="220"/>
              <w:spacing w:after="0"/>
              <w:rPr>
                <w:sz w:val="20"/>
                <w:szCs w:val="20"/>
                <w:color w:val="auto"/>
              </w:rPr>
            </w:pPr>
            <w:r>
              <w:rPr>
                <w:rFonts w:ascii="Arial" w:cs="Arial" w:eastAsia="Arial" w:hAnsi="Arial"/>
                <w:sz w:val="18"/>
                <w:szCs w:val="18"/>
                <w:color w:val="auto"/>
              </w:rPr>
              <w:t>NIW</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30,776</w:t>
            </w:r>
          </w:p>
        </w:tc>
      </w:tr>
      <w:tr>
        <w:trPr>
          <w:trHeight w:val="23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Cancellations, principal repayments and other reductions</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(14,480)</w:t>
            </w:r>
          </w:p>
        </w:tc>
      </w:tr>
      <w:tr>
        <w:trPr>
          <w:trHeight w:val="217"/>
        </w:trPr>
        <w:tc>
          <w:tcPr>
            <w:tcW w:w="5340" w:type="dxa"/>
            <w:vAlign w:val="bottom"/>
          </w:tcPr>
          <w:p>
            <w:pPr>
              <w:ind w:left="20"/>
              <w:spacing w:after="0"/>
              <w:rPr>
                <w:sz w:val="20"/>
                <w:szCs w:val="20"/>
                <w:color w:val="auto"/>
              </w:rPr>
            </w:pPr>
            <w:r>
              <w:rPr>
                <w:rFonts w:ascii="Arial" w:cs="Arial" w:eastAsia="Arial" w:hAnsi="Arial"/>
                <w:sz w:val="18"/>
                <w:szCs w:val="18"/>
                <w:color w:val="auto"/>
              </w:rPr>
              <w:t>IIF,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191,306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168,639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191,306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168,639</w:t>
            </w:r>
          </w:p>
        </w:tc>
      </w:tr>
      <w:tr>
        <w:trPr>
          <w:trHeight w:val="20"/>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3" w:name="page34"/>
    <w:bookmarkEnd w:id="33"/>
    <w:p>
      <w:pPr>
        <w:ind w:left="64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9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June 30, 2023</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June 30, 2022</w:t>
            </w:r>
          </w:p>
        </w:tc>
        <w:tc>
          <w:tcPr>
            <w:tcW w:w="1060" w:type="dxa"/>
            <w:vAlign w:val="bottom"/>
            <w:tcBorders>
              <w:bottom w:val="single" w:sz="8" w:color="auto"/>
            </w:tcBorders>
          </w:tcPr>
          <w:p>
            <w:pPr>
              <w:spacing w:after="0"/>
              <w:rPr>
                <w:sz w:val="17"/>
                <w:szCs w:val="17"/>
                <w:color w:val="auto"/>
              </w:rPr>
            </w:pPr>
          </w:p>
        </w:tc>
      </w:tr>
      <w:tr>
        <w:trPr>
          <w:trHeight w:val="182"/>
        </w:trPr>
        <w:tc>
          <w:tcPr>
            <w:tcW w:w="41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IIF</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RIF</w:t>
            </w:r>
          </w:p>
        </w:tc>
      </w:tr>
      <w:tr>
        <w:trPr>
          <w:trHeight w:val="182"/>
        </w:trPr>
        <w:tc>
          <w:tcPr>
            <w:tcW w:w="4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2022</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54,739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14,496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30,249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7,972</w:t>
            </w:r>
          </w:p>
        </w:tc>
      </w:tr>
      <w:tr>
        <w:trPr>
          <w:trHeight w:val="231"/>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76,657</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19,522</w:t>
            </w:r>
          </w:p>
        </w:tc>
      </w:tr>
      <w:tr>
        <w:trPr>
          <w:trHeight w:val="224"/>
        </w:trPr>
        <w:tc>
          <w:tcPr>
            <w:tcW w:w="4180" w:type="dxa"/>
            <w:vAlign w:val="bottom"/>
          </w:tcPr>
          <w:p>
            <w:pPr>
              <w:ind w:left="20"/>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30,799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39,154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9,928</w:t>
            </w:r>
          </w:p>
        </w:tc>
      </w:tr>
      <w:tr>
        <w:trPr>
          <w:trHeight w:val="23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11"/>
        </w:trPr>
        <w:tc>
          <w:tcPr>
            <w:tcW w:w="4180" w:type="dxa"/>
            <w:vAlign w:val="bottom"/>
          </w:tcPr>
          <w:p>
            <w:pPr>
              <w:ind w:left="20"/>
              <w:spacing w:after="0"/>
              <w:rPr>
                <w:sz w:val="20"/>
                <w:szCs w:val="20"/>
                <w:color w:val="auto"/>
              </w:rPr>
            </w:pPr>
            <w:r>
              <w:rPr>
                <w:rFonts w:ascii="Arial" w:cs="Arial" w:eastAsia="Arial" w:hAnsi="Arial"/>
                <w:sz w:val="18"/>
                <w:szCs w:val="18"/>
                <w:color w:val="auto"/>
              </w:rPr>
              <w:t>2018 and before</w:t>
            </w: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9,556</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12,331</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r>
      <w:tr>
        <w:trPr>
          <w:trHeight w:val="25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191,306</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49,875</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168,639</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32"/>
        <w:spacing w:after="0" w:line="246" w:lineRule="auto"/>
        <w:rPr>
          <w:sz w:val="20"/>
          <w:szCs w:val="20"/>
          <w:color w:val="auto"/>
        </w:rPr>
      </w:pPr>
      <w:r>
        <w:rPr>
          <w:rFonts w:ascii="Arial" w:cs="Arial" w:eastAsia="Arial" w:hAnsi="Arial"/>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47"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3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w w:val="99"/>
              </w:rPr>
              <w:t>For the three months ended June 30,</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89"/>
        </w:trPr>
        <w:tc>
          <w:tcPr>
            <w:tcW w:w="4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r>
      <w:tr>
        <w:trPr>
          <w:trHeight w:val="182"/>
        </w:trPr>
        <w:tc>
          <w:tcPr>
            <w:tcW w:w="4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3"/>
          </w:tcPr>
          <w:p>
            <w:pPr>
              <w:jc w:val="right"/>
              <w:ind w:right="20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r>
      <w:tr>
        <w:trPr>
          <w:trHeight w:val="224"/>
        </w:trPr>
        <w:tc>
          <w:tcPr>
            <w:tcW w:w="4280" w:type="dxa"/>
            <w:vAlign w:val="bottom"/>
          </w:tcPr>
          <w:p>
            <w:pPr>
              <w:ind w:left="220"/>
              <w:spacing w:after="0"/>
              <w:rPr>
                <w:sz w:val="20"/>
                <w:szCs w:val="20"/>
                <w:color w:val="auto"/>
              </w:rPr>
            </w:pPr>
            <w:r>
              <w:rPr>
                <w:rFonts w:ascii="Arial" w:cs="Arial" w:eastAsia="Arial" w:hAnsi="Arial"/>
                <w:sz w:val="18"/>
                <w:szCs w:val="18"/>
                <w:color w:val="auto"/>
              </w:rPr>
              <w:t>740-759</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5,288</w:t>
            </w:r>
          </w:p>
        </w:tc>
      </w:tr>
      <w:tr>
        <w:trPr>
          <w:trHeight w:val="224"/>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700-719</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31"/>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224"/>
        </w:trPr>
        <w:tc>
          <w:tcPr>
            <w:tcW w:w="4280" w:type="dxa"/>
            <w:vAlign w:val="bottom"/>
          </w:tcPr>
          <w:p>
            <w:pPr>
              <w:ind w:left="220"/>
              <w:spacing w:after="0"/>
              <w:rPr>
                <w:sz w:val="20"/>
                <w:szCs w:val="20"/>
                <w:color w:val="auto"/>
              </w:rPr>
            </w:pPr>
            <w:r>
              <w:rPr>
                <w:rFonts w:ascii="Arial" w:cs="Arial" w:eastAsia="Arial" w:hAnsi="Arial"/>
                <w:sz w:val="18"/>
                <w:szCs w:val="18"/>
                <w:color w:val="auto"/>
              </w:rPr>
              <w:t>&lt;=679</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16,611</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30,776</w:t>
            </w:r>
          </w:p>
        </w:tc>
      </w:tr>
      <w:tr>
        <w:trPr>
          <w:trHeight w:val="217"/>
        </w:trPr>
        <w:tc>
          <w:tcPr>
            <w:tcW w:w="428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0"/>
        </w:trPr>
        <w:tc>
          <w:tcPr>
            <w:tcW w:w="4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Primary NIW by LTV</w:t>
            </w: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189"/>
        </w:trPr>
        <w:tc>
          <w:tcPr>
            <w:tcW w:w="4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188"/>
        </w:trPr>
        <w:tc>
          <w:tcPr>
            <w:tcW w:w="4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3"/>
          </w:tcPr>
          <w:p>
            <w:pPr>
              <w:jc w:val="right"/>
              <w:ind w:right="200"/>
              <w:spacing w:after="0"/>
              <w:rPr>
                <w:sz w:val="20"/>
                <w:szCs w:val="20"/>
                <w:color w:val="auto"/>
              </w:rPr>
            </w:pPr>
            <w:r>
              <w:rPr>
                <w:rFonts w:ascii="Arial" w:cs="Arial" w:eastAsia="Arial" w:hAnsi="Arial"/>
                <w:sz w:val="14"/>
                <w:szCs w:val="14"/>
                <w:i w:val="1"/>
                <w:iCs w:val="1"/>
                <w:color w:val="auto"/>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1,003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1,577</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1,361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2,943</w:t>
            </w:r>
          </w:p>
        </w:tc>
      </w:tr>
      <w:tr>
        <w:trPr>
          <w:trHeight w:val="224"/>
        </w:trPr>
        <w:tc>
          <w:tcPr>
            <w:tcW w:w="406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380" w:type="dxa"/>
            <w:vAlign w:val="bottom"/>
          </w:tcPr>
          <w:p>
            <w:pPr>
              <w:spacing w:after="0"/>
              <w:rPr>
                <w:sz w:val="19"/>
                <w:szCs w:val="19"/>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5,323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17"/>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15,308</w:t>
            </w:r>
          </w:p>
        </w:tc>
      </w:tr>
      <w:tr>
        <w:trPr>
          <w:trHeight w:val="237"/>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3,891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4,772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7,125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8,640</w:t>
            </w:r>
          </w:p>
        </w:tc>
      </w:tr>
      <w:tr>
        <w:trPr>
          <w:trHeight w:val="224"/>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3,885</w:t>
            </w: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11,478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16,611</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20,212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30,776</w:t>
            </w:r>
          </w:p>
        </w:tc>
      </w:tr>
      <w:tr>
        <w:trPr>
          <w:trHeight w:val="231"/>
        </w:trPr>
        <w:tc>
          <w:tcPr>
            <w:tcW w:w="40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Weighted average LTV</w:t>
            </w: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92.0 %</w:t>
            </w:r>
          </w:p>
        </w:tc>
        <w:tc>
          <w:tcPr>
            <w:tcW w:w="120" w:type="dxa"/>
            <w:vAlign w:val="bottom"/>
            <w:tcBorders>
              <w:top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92.2 %</w:t>
            </w:r>
          </w:p>
        </w:tc>
        <w:tc>
          <w:tcPr>
            <w:tcW w:w="100" w:type="dxa"/>
            <w:vAlign w:val="bottom"/>
            <w:tcBorders>
              <w:top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91.9 %</w:t>
            </w:r>
          </w:p>
        </w:tc>
        <w:tc>
          <w:tcPr>
            <w:tcW w:w="100" w:type="dxa"/>
            <w:vAlign w:val="bottom"/>
            <w:tcBorders>
              <w:top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92.1 %</w:t>
            </w:r>
          </w:p>
        </w:tc>
      </w:tr>
      <w:tr>
        <w:trPr>
          <w:trHeight w:val="20"/>
        </w:trPr>
        <w:tc>
          <w:tcPr>
            <w:tcW w:w="4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2"/>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Primary NIW by purchase/refinance mix</w:t>
            </w:r>
          </w:p>
        </w:tc>
        <w:tc>
          <w:tcPr>
            <w:tcW w:w="3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w w:val="98"/>
              </w:rPr>
              <w:t>For the three months ended June 30,</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182"/>
        </w:trPr>
        <w:tc>
          <w:tcPr>
            <w:tcW w:w="4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r>
      <w:tr>
        <w:trPr>
          <w:trHeight w:val="182"/>
        </w:trPr>
        <w:tc>
          <w:tcPr>
            <w:tcW w:w="4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16,203</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29,601</w:t>
            </w:r>
          </w:p>
        </w:tc>
      </w:tr>
      <w:tr>
        <w:trPr>
          <w:trHeight w:val="237"/>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Refinance</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r>
      <w:tr>
        <w:trPr>
          <w:trHeight w:val="23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16,611</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tables below present our total primary IIF and RIF by FICO and LTV, and total primary RIF by loan type as of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Primary IIF by FICO</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88"/>
              </w:rPr>
              <w:t>As of June 30,</w:t>
            </w: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9"/>
        </w:trPr>
        <w:tc>
          <w:tcPr>
            <w:tcW w:w="47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52"/>
              <w:spacing w:after="0"/>
              <w:rPr>
                <w:sz w:val="20"/>
                <w:szCs w:val="20"/>
                <w:color w:val="auto"/>
              </w:rPr>
            </w:pPr>
            <w:r>
              <w:rPr>
                <w:rFonts w:ascii="Arial" w:cs="Arial" w:eastAsia="Arial" w:hAnsi="Arial"/>
                <w:sz w:val="14"/>
                <w:szCs w:val="14"/>
                <w:b w:val="1"/>
                <w:bCs w:val="1"/>
                <w:color w:val="auto"/>
                <w:w w:val="89"/>
              </w:rPr>
              <w:t>2022</w:t>
            </w:r>
          </w:p>
        </w:tc>
      </w:tr>
      <w:tr>
        <w:trPr>
          <w:trHeight w:val="188"/>
        </w:trPr>
        <w:tc>
          <w:tcPr>
            <w:tcW w:w="4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gridSpan w:val="3"/>
          </w:tcPr>
          <w:p>
            <w:pPr>
              <w:jc w:val="center"/>
              <w:ind w:left="237"/>
              <w:spacing w:after="0"/>
              <w:rPr>
                <w:sz w:val="20"/>
                <w:szCs w:val="20"/>
                <w:color w:val="auto"/>
              </w:rPr>
            </w:pPr>
            <w:r>
              <w:rPr>
                <w:rFonts w:ascii="Arial" w:cs="Arial" w:eastAsia="Arial" w:hAnsi="Arial"/>
                <w:sz w:val="14"/>
                <w:szCs w:val="14"/>
                <w:i w:val="1"/>
                <w:iCs w:val="1"/>
                <w:color w:val="auto"/>
                <w:w w:val="93"/>
              </w:rPr>
              <w:t>($ Values In Millions)</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7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83,769</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4"/>
        </w:trPr>
        <w:tc>
          <w:tcPr>
            <w:tcW w:w="4740" w:type="dxa"/>
            <w:vAlign w:val="bottom"/>
          </w:tcPr>
          <w:p>
            <w:pPr>
              <w:ind w:left="220"/>
              <w:spacing w:after="0"/>
              <w:rPr>
                <w:sz w:val="20"/>
                <w:szCs w:val="20"/>
                <w:color w:val="auto"/>
              </w:rPr>
            </w:pPr>
            <w:r>
              <w:rPr>
                <w:rFonts w:ascii="Arial" w:cs="Arial" w:eastAsia="Arial" w:hAnsi="Arial"/>
                <w:sz w:val="18"/>
                <w:szCs w:val="18"/>
                <w:color w:val="auto"/>
              </w:rPr>
              <w:t>740-759</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29,195</w:t>
            </w:r>
          </w:p>
        </w:tc>
        <w:tc>
          <w:tcPr>
            <w:tcW w:w="1740" w:type="dxa"/>
            <w:vAlign w:val="bottom"/>
            <w:gridSpan w:val="3"/>
          </w:tcPr>
          <w:p>
            <w:pPr>
              <w:jc w:val="right"/>
              <w:ind w:right="132"/>
              <w:spacing w:after="0"/>
              <w:rPr>
                <w:sz w:val="20"/>
                <w:szCs w:val="20"/>
                <w:color w:val="auto"/>
              </w:rPr>
            </w:pPr>
            <w:r>
              <w:rPr>
                <w:rFonts w:ascii="Arial" w:cs="Arial" w:eastAsia="Arial" w:hAnsi="Arial"/>
                <w:sz w:val="18"/>
                <w:szCs w:val="18"/>
                <w:color w:val="auto"/>
              </w:rPr>
              <w:t>17</w:t>
            </w:r>
          </w:p>
        </w:tc>
      </w:tr>
      <w:tr>
        <w:trPr>
          <w:trHeight w:val="237"/>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w:t>
            </w:r>
          </w:p>
        </w:tc>
        <w:tc>
          <w:tcPr>
            <w:tcW w:w="17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24"/>
        </w:trPr>
        <w:tc>
          <w:tcPr>
            <w:tcW w:w="4740" w:type="dxa"/>
            <w:vAlign w:val="bottom"/>
          </w:tcPr>
          <w:p>
            <w:pPr>
              <w:ind w:left="220"/>
              <w:spacing w:after="0"/>
              <w:rPr>
                <w:sz w:val="20"/>
                <w:szCs w:val="20"/>
                <w:color w:val="auto"/>
              </w:rPr>
            </w:pPr>
            <w:r>
              <w:rPr>
                <w:rFonts w:ascii="Arial" w:cs="Arial" w:eastAsia="Arial" w:hAnsi="Arial"/>
                <w:sz w:val="18"/>
                <w:szCs w:val="18"/>
                <w:color w:val="auto"/>
              </w:rPr>
              <w:t>700-719</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16,221</w:t>
            </w:r>
          </w:p>
        </w:tc>
        <w:tc>
          <w:tcPr>
            <w:tcW w:w="1740" w:type="dxa"/>
            <w:vAlign w:val="bottom"/>
            <w:gridSpan w:val="3"/>
          </w:tcPr>
          <w:p>
            <w:pPr>
              <w:jc w:val="right"/>
              <w:ind w:right="132"/>
              <w:spacing w:after="0"/>
              <w:rPr>
                <w:sz w:val="20"/>
                <w:szCs w:val="20"/>
                <w:color w:val="auto"/>
              </w:rPr>
            </w:pPr>
            <w:r>
              <w:rPr>
                <w:rFonts w:ascii="Arial" w:cs="Arial" w:eastAsia="Arial" w:hAnsi="Arial"/>
                <w:sz w:val="18"/>
                <w:szCs w:val="18"/>
                <w:color w:val="auto"/>
              </w:rPr>
              <w:t>10</w:t>
            </w:r>
          </w:p>
        </w:tc>
      </w:tr>
      <w:tr>
        <w:trPr>
          <w:trHeight w:val="224"/>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17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r>
      <w:tr>
        <w:trPr>
          <w:trHeight w:val="237"/>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191,306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168,639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02"/>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88"/>
              </w:rPr>
              <w:t>As of June 30,</w:t>
            </w: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89"/>
        </w:trPr>
        <w:tc>
          <w:tcPr>
            <w:tcW w:w="47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52"/>
              <w:spacing w:after="0"/>
              <w:rPr>
                <w:sz w:val="20"/>
                <w:szCs w:val="20"/>
                <w:color w:val="auto"/>
              </w:rPr>
            </w:pPr>
            <w:r>
              <w:rPr>
                <w:rFonts w:ascii="Arial" w:cs="Arial" w:eastAsia="Arial" w:hAnsi="Arial"/>
                <w:sz w:val="14"/>
                <w:szCs w:val="14"/>
                <w:b w:val="1"/>
                <w:bCs w:val="1"/>
                <w:color w:val="auto"/>
                <w:w w:val="89"/>
              </w:rPr>
              <w:t>2022</w:t>
            </w:r>
          </w:p>
        </w:tc>
      </w:tr>
      <w:tr>
        <w:trPr>
          <w:trHeight w:val="188"/>
        </w:trPr>
        <w:tc>
          <w:tcPr>
            <w:tcW w:w="4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gridSpan w:val="3"/>
          </w:tcPr>
          <w:p>
            <w:pPr>
              <w:jc w:val="center"/>
              <w:ind w:left="237"/>
              <w:spacing w:after="0"/>
              <w:rPr>
                <w:sz w:val="20"/>
                <w:szCs w:val="20"/>
                <w:color w:val="auto"/>
              </w:rPr>
            </w:pPr>
            <w:r>
              <w:rPr>
                <w:rFonts w:ascii="Arial" w:cs="Arial" w:eastAsia="Arial" w:hAnsi="Arial"/>
                <w:sz w:val="14"/>
                <w:szCs w:val="14"/>
                <w:i w:val="1"/>
                <w:iCs w:val="1"/>
                <w:color w:val="auto"/>
                <w:w w:val="93"/>
              </w:rPr>
              <w:t>($ Values In Millions)</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7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21,159</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4"/>
        </w:trPr>
        <w:tc>
          <w:tcPr>
            <w:tcW w:w="4740" w:type="dxa"/>
            <w:vAlign w:val="bottom"/>
          </w:tcPr>
          <w:p>
            <w:pPr>
              <w:ind w:left="220"/>
              <w:spacing w:after="0"/>
              <w:rPr>
                <w:sz w:val="20"/>
                <w:szCs w:val="20"/>
                <w:color w:val="auto"/>
              </w:rPr>
            </w:pPr>
            <w:r>
              <w:rPr>
                <w:rFonts w:ascii="Arial" w:cs="Arial" w:eastAsia="Arial" w:hAnsi="Arial"/>
                <w:sz w:val="18"/>
                <w:szCs w:val="18"/>
                <w:color w:val="auto"/>
              </w:rPr>
              <w:t>740-759</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7,564</w:t>
            </w:r>
          </w:p>
        </w:tc>
        <w:tc>
          <w:tcPr>
            <w:tcW w:w="1740" w:type="dxa"/>
            <w:vAlign w:val="bottom"/>
            <w:gridSpan w:val="3"/>
          </w:tcPr>
          <w:p>
            <w:pPr>
              <w:jc w:val="right"/>
              <w:ind w:right="132"/>
              <w:spacing w:after="0"/>
              <w:rPr>
                <w:sz w:val="20"/>
                <w:szCs w:val="20"/>
                <w:color w:val="auto"/>
              </w:rPr>
            </w:pPr>
            <w:r>
              <w:rPr>
                <w:rFonts w:ascii="Arial" w:cs="Arial" w:eastAsia="Arial" w:hAnsi="Arial"/>
                <w:sz w:val="18"/>
                <w:szCs w:val="18"/>
                <w:color w:val="auto"/>
              </w:rPr>
              <w:t>17</w:t>
            </w:r>
          </w:p>
        </w:tc>
      </w:tr>
      <w:tr>
        <w:trPr>
          <w:trHeight w:val="224"/>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7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700-719</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4,289</w:t>
            </w:r>
          </w:p>
        </w:tc>
        <w:tc>
          <w:tcPr>
            <w:tcW w:w="1740" w:type="dxa"/>
            <w:vAlign w:val="bottom"/>
            <w:gridSpan w:val="3"/>
          </w:tcPr>
          <w:p>
            <w:pPr>
              <w:jc w:val="right"/>
              <w:ind w:right="132"/>
              <w:spacing w:after="0"/>
              <w:rPr>
                <w:sz w:val="20"/>
                <w:szCs w:val="20"/>
                <w:color w:val="auto"/>
              </w:rPr>
            </w:pPr>
            <w:r>
              <w:rPr>
                <w:rFonts w:ascii="Arial" w:cs="Arial" w:eastAsia="Arial" w:hAnsi="Arial"/>
                <w:sz w:val="18"/>
                <w:szCs w:val="18"/>
                <w:color w:val="auto"/>
              </w:rPr>
              <w:t>10</w:t>
            </w:r>
          </w:p>
        </w:tc>
      </w:tr>
      <w:tr>
        <w:trPr>
          <w:trHeight w:val="231"/>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7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24"/>
        </w:trPr>
        <w:tc>
          <w:tcPr>
            <w:tcW w:w="4740" w:type="dxa"/>
            <w:vAlign w:val="bottom"/>
          </w:tcPr>
          <w:p>
            <w:pPr>
              <w:ind w:left="220"/>
              <w:spacing w:after="0"/>
              <w:rPr>
                <w:sz w:val="20"/>
                <w:szCs w:val="20"/>
                <w:color w:val="auto"/>
              </w:rPr>
            </w:pPr>
            <w:r>
              <w:rPr>
                <w:rFonts w:ascii="Arial" w:cs="Arial" w:eastAsia="Arial" w:hAnsi="Arial"/>
                <w:sz w:val="18"/>
                <w:szCs w:val="18"/>
                <w:color w:val="auto"/>
              </w:rPr>
              <w:t>&lt;=679</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02"/>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88"/>
              </w:rPr>
              <w:t>As of June 30,</w:t>
            </w: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89"/>
        </w:trPr>
        <w:tc>
          <w:tcPr>
            <w:tcW w:w="47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52"/>
              <w:spacing w:after="0"/>
              <w:rPr>
                <w:sz w:val="20"/>
                <w:szCs w:val="20"/>
                <w:color w:val="auto"/>
              </w:rPr>
            </w:pPr>
            <w:r>
              <w:rPr>
                <w:rFonts w:ascii="Arial" w:cs="Arial" w:eastAsia="Arial" w:hAnsi="Arial"/>
                <w:sz w:val="14"/>
                <w:szCs w:val="14"/>
                <w:b w:val="1"/>
                <w:bCs w:val="1"/>
                <w:color w:val="auto"/>
                <w:w w:val="89"/>
              </w:rPr>
              <w:t>2022</w:t>
            </w:r>
          </w:p>
        </w:tc>
      </w:tr>
      <w:tr>
        <w:trPr>
          <w:trHeight w:val="182"/>
        </w:trPr>
        <w:tc>
          <w:tcPr>
            <w:tcW w:w="4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80" w:type="dxa"/>
            <w:vAlign w:val="bottom"/>
            <w:gridSpan w:val="3"/>
          </w:tcPr>
          <w:p>
            <w:pPr>
              <w:jc w:val="center"/>
              <w:ind w:left="237"/>
              <w:spacing w:after="0"/>
              <w:rPr>
                <w:sz w:val="20"/>
                <w:szCs w:val="20"/>
                <w:color w:val="auto"/>
              </w:rPr>
            </w:pPr>
            <w:r>
              <w:rPr>
                <w:rFonts w:ascii="Arial" w:cs="Arial" w:eastAsia="Arial" w:hAnsi="Arial"/>
                <w:sz w:val="14"/>
                <w:szCs w:val="14"/>
                <w:i w:val="1"/>
                <w:iCs w:val="1"/>
                <w:color w:val="auto"/>
                <w:w w:val="93"/>
              </w:rPr>
              <w:t>($ Values In Millions)</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7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16,068</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4"/>
        </w:trPr>
        <w:tc>
          <w:tcPr>
            <w:tcW w:w="474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77,804</w:t>
            </w:r>
          </w:p>
        </w:tc>
        <w:tc>
          <w:tcPr>
            <w:tcW w:w="1740" w:type="dxa"/>
            <w:vAlign w:val="bottom"/>
            <w:gridSpan w:val="3"/>
          </w:tcPr>
          <w:p>
            <w:pPr>
              <w:jc w:val="right"/>
              <w:ind w:right="132"/>
              <w:spacing w:after="0"/>
              <w:rPr>
                <w:sz w:val="20"/>
                <w:szCs w:val="20"/>
                <w:color w:val="auto"/>
              </w:rPr>
            </w:pPr>
            <w:r>
              <w:rPr>
                <w:rFonts w:ascii="Arial" w:cs="Arial" w:eastAsia="Arial" w:hAnsi="Arial"/>
                <w:sz w:val="18"/>
                <w:szCs w:val="18"/>
                <w:color w:val="auto"/>
              </w:rPr>
              <w:t>46</w:t>
            </w:r>
          </w:p>
        </w:tc>
      </w:tr>
      <w:tr>
        <w:trPr>
          <w:trHeight w:val="224"/>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51,029</w:t>
            </w:r>
          </w:p>
        </w:tc>
        <w:tc>
          <w:tcPr>
            <w:tcW w:w="17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r>
      <w:tr>
        <w:trPr>
          <w:trHeight w:val="237"/>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23,738</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w:t>
            </w: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191,306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168,639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02"/>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237"/>
              <w:spacing w:after="0"/>
              <w:rPr>
                <w:sz w:val="20"/>
                <w:szCs w:val="20"/>
                <w:color w:val="auto"/>
              </w:rPr>
            </w:pPr>
            <w:r>
              <w:rPr>
                <w:rFonts w:ascii="Arial" w:cs="Arial" w:eastAsia="Arial" w:hAnsi="Arial"/>
                <w:sz w:val="14"/>
                <w:szCs w:val="14"/>
                <w:b w:val="1"/>
                <w:bCs w:val="1"/>
                <w:color w:val="auto"/>
                <w:w w:val="90"/>
              </w:rPr>
              <w:t>As of June 30,</w:t>
            </w: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89"/>
        </w:trPr>
        <w:tc>
          <w:tcPr>
            <w:tcW w:w="47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52"/>
              <w:spacing w:after="0"/>
              <w:rPr>
                <w:sz w:val="20"/>
                <w:szCs w:val="20"/>
                <w:color w:val="auto"/>
              </w:rPr>
            </w:pPr>
            <w:r>
              <w:rPr>
                <w:rFonts w:ascii="Arial" w:cs="Arial" w:eastAsia="Arial" w:hAnsi="Arial"/>
                <w:sz w:val="14"/>
                <w:szCs w:val="14"/>
                <w:b w:val="1"/>
                <w:bCs w:val="1"/>
                <w:color w:val="auto"/>
                <w:w w:val="89"/>
              </w:rPr>
              <w:t>2022</w:t>
            </w:r>
          </w:p>
        </w:tc>
      </w:tr>
      <w:tr>
        <w:trPr>
          <w:trHeight w:val="188"/>
        </w:trPr>
        <w:tc>
          <w:tcPr>
            <w:tcW w:w="4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gridSpan w:val="3"/>
          </w:tcPr>
          <w:p>
            <w:pPr>
              <w:jc w:val="center"/>
              <w:ind w:left="237"/>
              <w:spacing w:after="0"/>
              <w:rPr>
                <w:sz w:val="20"/>
                <w:szCs w:val="20"/>
                <w:color w:val="auto"/>
              </w:rPr>
            </w:pPr>
            <w:r>
              <w:rPr>
                <w:rFonts w:ascii="Arial" w:cs="Arial" w:eastAsia="Arial" w:hAnsi="Arial"/>
                <w:sz w:val="14"/>
                <w:szCs w:val="14"/>
                <w:i w:val="1"/>
                <w:iCs w:val="1"/>
                <w:color w:val="auto"/>
                <w:w w:val="93"/>
              </w:rPr>
              <w:t>($ Values In Millions)</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7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474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22,974</w:t>
            </w:r>
          </w:p>
        </w:tc>
        <w:tc>
          <w:tcPr>
            <w:tcW w:w="1740" w:type="dxa"/>
            <w:vAlign w:val="bottom"/>
            <w:gridSpan w:val="3"/>
          </w:tcPr>
          <w:p>
            <w:pPr>
              <w:jc w:val="right"/>
              <w:ind w:right="132"/>
              <w:spacing w:after="0"/>
              <w:rPr>
                <w:sz w:val="20"/>
                <w:szCs w:val="20"/>
                <w:color w:val="auto"/>
              </w:rPr>
            </w:pPr>
            <w:r>
              <w:rPr>
                <w:rFonts w:ascii="Arial" w:cs="Arial" w:eastAsia="Arial" w:hAnsi="Arial"/>
                <w:sz w:val="18"/>
                <w:szCs w:val="18"/>
                <w:color w:val="auto"/>
              </w:rPr>
              <w:t>53</w:t>
            </w:r>
          </w:p>
        </w:tc>
      </w:tr>
      <w:tr>
        <w:trPr>
          <w:trHeight w:val="237"/>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17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r>
      <w:tr>
        <w:trPr>
          <w:trHeight w:val="224"/>
        </w:trPr>
        <w:tc>
          <w:tcPr>
            <w:tcW w:w="4740" w:type="dxa"/>
            <w:vAlign w:val="bottom"/>
          </w:tcPr>
          <w:p>
            <w:pPr>
              <w:ind w:left="220"/>
              <w:spacing w:after="0"/>
              <w:rPr>
                <w:sz w:val="20"/>
                <w:szCs w:val="20"/>
                <w:color w:val="auto"/>
              </w:rPr>
            </w:pPr>
            <w:r>
              <w:rPr>
                <w:rFonts w:ascii="Arial" w:cs="Arial" w:eastAsia="Arial" w:hAnsi="Arial"/>
                <w:sz w:val="18"/>
                <w:szCs w:val="18"/>
                <w:color w:val="auto"/>
              </w:rPr>
              <w:t>85.00% and below</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w:t>
            </w: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7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43,260</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26" w:right="3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2"/>
        </w:trPr>
        <w:tc>
          <w:tcPr>
            <w:tcW w:w="8620" w:type="dxa"/>
            <w:vAlign w:val="bottom"/>
            <w:gridSpan w:val="2"/>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1300" w:type="dxa"/>
            <w:vAlign w:val="bottom"/>
            <w:gridSpan w:val="3"/>
          </w:tcPr>
          <w:p>
            <w:pPr>
              <w:ind w:left="260"/>
              <w:spacing w:after="0"/>
              <w:rPr>
                <w:sz w:val="20"/>
                <w:szCs w:val="20"/>
                <w:color w:val="auto"/>
              </w:rPr>
            </w:pPr>
            <w:r>
              <w:rPr>
                <w:rFonts w:ascii="Arial" w:cs="Arial" w:eastAsia="Arial" w:hAnsi="Arial"/>
                <w:sz w:val="14"/>
                <w:szCs w:val="14"/>
                <w:b w:val="1"/>
                <w:bCs w:val="1"/>
                <w:color w:val="auto"/>
              </w:rPr>
              <w:t>As of June 30,</w:t>
            </w:r>
          </w:p>
        </w:tc>
        <w:tc>
          <w:tcPr>
            <w:tcW w:w="1260" w:type="dxa"/>
            <w:vAlign w:val="bottom"/>
          </w:tcPr>
          <w:p>
            <w:pPr>
              <w:spacing w:after="0"/>
              <w:rPr>
                <w:sz w:val="17"/>
                <w:szCs w:val="17"/>
                <w:color w:val="auto"/>
              </w:rPr>
            </w:pPr>
          </w:p>
        </w:tc>
      </w:tr>
      <w:tr>
        <w:trPr>
          <w:trHeight w:val="182"/>
        </w:trPr>
        <w:tc>
          <w:tcPr>
            <w:tcW w:w="7400" w:type="dxa"/>
            <w:vAlign w:val="bottom"/>
            <w:tcBorders>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r>
      <w:tr>
        <w:trPr>
          <w:trHeight w:val="218"/>
        </w:trPr>
        <w:tc>
          <w:tcPr>
            <w:tcW w:w="8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24"/>
        </w:trPr>
        <w:tc>
          <w:tcPr>
            <w:tcW w:w="8620" w:type="dxa"/>
            <w:vAlign w:val="bottom"/>
            <w:gridSpan w:val="2"/>
          </w:tcPr>
          <w:p>
            <w:pPr>
              <w:ind w:left="140"/>
              <w:spacing w:after="0"/>
              <w:rPr>
                <w:sz w:val="20"/>
                <w:szCs w:val="20"/>
                <w:color w:val="auto"/>
              </w:rPr>
            </w:pPr>
            <w:r>
              <w:rPr>
                <w:rFonts w:ascii="Arial" w:cs="Arial" w:eastAsia="Arial" w:hAnsi="Arial"/>
                <w:sz w:val="18"/>
                <w:szCs w:val="18"/>
                <w:color w:val="auto"/>
              </w:rPr>
              <w:t>Adjustable rate mortgages: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7"/>
        </w:trPr>
        <w:tc>
          <w:tcPr>
            <w:tcW w:w="8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than five years</w:t>
            </w:r>
          </w:p>
        </w:tc>
        <w:tc>
          <w:tcPr>
            <w:tcW w:w="13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r>
      <w:tr>
        <w:trPr>
          <w:trHeight w:val="224"/>
        </w:trPr>
        <w:tc>
          <w:tcPr>
            <w:tcW w:w="7400" w:type="dxa"/>
            <w:vAlign w:val="bottom"/>
          </w:tcPr>
          <w:p>
            <w:pPr>
              <w:ind w:left="220"/>
              <w:spacing w:after="0"/>
              <w:rPr>
                <w:sz w:val="20"/>
                <w:szCs w:val="20"/>
                <w:color w:val="auto"/>
              </w:rPr>
            </w:pPr>
            <w:r>
              <w:rPr>
                <w:rFonts w:ascii="Arial" w:cs="Arial" w:eastAsia="Arial" w:hAnsi="Arial"/>
                <w:sz w:val="18"/>
                <w:szCs w:val="18"/>
                <w:color w:val="auto"/>
              </w:rPr>
              <w:t>Five years and longer</w:t>
            </w: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w:t>
            </w:r>
          </w:p>
        </w:tc>
      </w:tr>
      <w:tr>
        <w:trPr>
          <w:trHeight w:val="237"/>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selected primary portfolio statistics, by book year, as of June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80" w:type="dxa"/>
            <w:vAlign w:val="bottom"/>
            <w:gridSpan w:val="3"/>
          </w:tcPr>
          <w:p>
            <w:pPr>
              <w:jc w:val="right"/>
              <w:ind w:right="106"/>
              <w:spacing w:after="0"/>
              <w:rPr>
                <w:sz w:val="20"/>
                <w:szCs w:val="20"/>
                <w:color w:val="auto"/>
              </w:rPr>
            </w:pPr>
            <w:r>
              <w:rPr>
                <w:rFonts w:ascii="Arial" w:cs="Arial" w:eastAsia="Arial" w:hAnsi="Arial"/>
                <w:sz w:val="14"/>
                <w:szCs w:val="14"/>
                <w:b w:val="1"/>
                <w:bCs w:val="1"/>
                <w:color w:val="auto"/>
              </w:rPr>
              <w:t>As of June 30, 2023</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4"/>
              </w:rPr>
              <w:t>Original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2"/>
              </w:rPr>
              <w:t>Remaining</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Remaining of</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 of</w:t>
            </w:r>
          </w:p>
        </w:tc>
        <w:tc>
          <w:tcPr>
            <w:tcW w:w="11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Incurred Loss</w:t>
            </w:r>
          </w:p>
        </w:tc>
        <w:tc>
          <w:tcPr>
            <w:tcW w:w="1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Policies Ever in</w:t>
            </w: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1"/>
              </w:rPr>
              <w:t>Ratio</w:t>
            </w:r>
          </w:p>
        </w:tc>
        <w:tc>
          <w:tcPr>
            <w:tcW w:w="11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Cumulative</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 Default</w:t>
            </w: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Book Year</w:t>
            </w:r>
          </w:p>
        </w:tc>
        <w:tc>
          <w:tcPr>
            <w:tcW w:w="160" w:type="dxa"/>
            <w:vAlign w:val="bottom"/>
          </w:tcPr>
          <w:p>
            <w:pPr>
              <w:spacing w:after="0"/>
              <w:rPr>
                <w:sz w:val="12"/>
                <w:szCs w:val="12"/>
                <w:color w:val="auto"/>
              </w:rPr>
            </w:pPr>
          </w:p>
        </w:tc>
        <w:tc>
          <w:tcPr>
            <w:tcW w:w="840" w:type="dxa"/>
            <w:vAlign w:val="bottom"/>
          </w:tcPr>
          <w:p>
            <w:pPr>
              <w:jc w:val="center"/>
              <w:ind w:right="76"/>
              <w:spacing w:after="0" w:line="142" w:lineRule="exact"/>
              <w:rPr>
                <w:sz w:val="20"/>
                <w:szCs w:val="20"/>
                <w:color w:val="auto"/>
              </w:rPr>
            </w:pPr>
            <w:r>
              <w:rPr>
                <w:rFonts w:ascii="Arial" w:cs="Arial" w:eastAsia="Arial" w:hAnsi="Arial"/>
                <w:sz w:val="14"/>
                <w:szCs w:val="14"/>
                <w:b w:val="1"/>
                <w:bCs w:val="1"/>
                <w:color w:val="auto"/>
                <w:w w:val="90"/>
              </w:rPr>
              <w:t>Insurance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92"/>
              </w:rPr>
              <w:t>Insurance in</w:t>
            </w: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Original</w:t>
            </w: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Policies in</w:t>
            </w:r>
          </w:p>
        </w:tc>
        <w:tc>
          <w:tcPr>
            <w:tcW w:w="12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Loans in</w:t>
            </w:r>
          </w:p>
        </w:tc>
        <w:tc>
          <w:tcPr>
            <w:tcW w:w="10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Claims</w:t>
            </w: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(Inception to</w:t>
            </w:r>
          </w:p>
        </w:tc>
        <w:tc>
          <w:tcPr>
            <w:tcW w:w="11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5"/>
              </w:rPr>
              <w:t>Written</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Force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Insurance</w:t>
            </w:r>
          </w:p>
        </w:tc>
        <w:tc>
          <w:tcPr>
            <w:tcW w:w="10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Force</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Force</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Paid</w:t>
            </w:r>
          </w:p>
        </w:tc>
        <w:tc>
          <w:tcPr>
            <w:tcW w:w="118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4"/>
                <w:szCs w:val="14"/>
                <w:b w:val="1"/>
                <w:bCs w:val="1"/>
                <w:color w:val="auto"/>
                <w:w w:val="85"/>
              </w:rPr>
              <w:t xml:space="preserve">Date) </w:t>
            </w:r>
            <w:r>
              <w:rPr>
                <w:rFonts w:ascii="Arial" w:cs="Arial" w:eastAsia="Arial" w:hAnsi="Arial"/>
                <w:sz w:val="18"/>
                <w:szCs w:val="18"/>
                <w:b w:val="1"/>
                <w:bCs w:val="1"/>
                <w:color w:val="auto"/>
                <w:w w:val="85"/>
                <w:vertAlign w:val="superscript"/>
              </w:rPr>
              <w:t>(1)</w:t>
            </w:r>
          </w:p>
        </w:tc>
        <w:tc>
          <w:tcPr>
            <w:tcW w:w="1140" w:type="dxa"/>
            <w:vAlign w:val="bottom"/>
            <w:tcBorders>
              <w:bottom w:val="single" w:sz="8" w:color="auto"/>
            </w:tcBorders>
          </w:tcPr>
          <w:p>
            <w:pPr>
              <w:jc w:val="right"/>
              <w:ind w:right="55"/>
              <w:spacing w:after="0" w:line="197" w:lineRule="exact"/>
              <w:rPr>
                <w:sz w:val="20"/>
                <w:szCs w:val="20"/>
                <w:color w:val="auto"/>
              </w:rPr>
            </w:pPr>
            <w:r>
              <w:rPr>
                <w:rFonts w:ascii="Arial" w:cs="Arial" w:eastAsia="Arial" w:hAnsi="Arial"/>
                <w:sz w:val="14"/>
                <w:szCs w:val="14"/>
                <w:b w:val="1"/>
                <w:bCs w:val="1"/>
                <w:color w:val="auto"/>
                <w:w w:val="97"/>
              </w:rPr>
              <w:t xml:space="preserve">Default Rate </w:t>
            </w:r>
            <w:r>
              <w:rPr>
                <w:rFonts w:ascii="Arial" w:cs="Arial" w:eastAsia="Arial" w:hAnsi="Arial"/>
                <w:sz w:val="18"/>
                <w:szCs w:val="18"/>
                <w:b w:val="1"/>
                <w:bCs w:val="1"/>
                <w:color w:val="auto"/>
                <w:w w:val="97"/>
                <w:vertAlign w:val="superscript"/>
              </w:rPr>
              <w:t>(2)</w:t>
            </w:r>
          </w:p>
        </w:tc>
        <w:tc>
          <w:tcPr>
            <w:tcW w:w="1080" w:type="dxa"/>
            <w:vAlign w:val="bottom"/>
            <w:tcBorders>
              <w:bottom w:val="single" w:sz="8" w:color="auto"/>
            </w:tcBorders>
          </w:tcPr>
          <w:p>
            <w:pPr>
              <w:jc w:val="right"/>
              <w:ind w:right="215"/>
              <w:spacing w:after="0" w:line="197"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345"/>
              <w:spacing w:after="0"/>
              <w:rPr>
                <w:sz w:val="20"/>
                <w:szCs w:val="20"/>
                <w:color w:val="auto"/>
              </w:rPr>
            </w:pPr>
            <w:r>
              <w:rPr>
                <w:rFonts w:ascii="Arial" w:cs="Arial" w:eastAsia="Arial" w:hAnsi="Arial"/>
                <w:sz w:val="14"/>
                <w:szCs w:val="14"/>
                <w:i w:val="1"/>
                <w:iCs w:val="1"/>
                <w:color w:val="auto"/>
              </w:rPr>
              <w:t>($ Values In Millions)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2014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5 %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15,441</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84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14</w:t>
            </w:r>
          </w:p>
        </w:tc>
        <w:tc>
          <w:tcPr>
            <w:tcW w:w="76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56</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6"/>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w:t>
            </w:r>
          </w:p>
        </w:tc>
        <w:tc>
          <w:tcPr>
            <w:tcW w:w="16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1,098</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9 %</w:t>
            </w:r>
          </w:p>
        </w:tc>
        <w:tc>
          <w:tcPr>
            <w:tcW w:w="1000" w:type="dxa"/>
            <w:vAlign w:val="bottom"/>
          </w:tcPr>
          <w:p>
            <w:pPr>
              <w:jc w:val="right"/>
              <w:spacing w:after="0"/>
              <w:rPr>
                <w:sz w:val="20"/>
                <w:szCs w:val="20"/>
                <w:color w:val="auto"/>
              </w:rPr>
            </w:pPr>
            <w:r>
              <w:rPr>
                <w:rFonts w:ascii="Arial" w:cs="Arial" w:eastAsia="Arial" w:hAnsi="Arial"/>
                <w:sz w:val="18"/>
                <w:szCs w:val="18"/>
                <w:color w:val="auto"/>
              </w:rPr>
              <w:t>52,548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6,170</w:t>
            </w: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104</w:t>
            </w:r>
          </w:p>
        </w:tc>
        <w:tc>
          <w:tcPr>
            <w:tcW w:w="760" w:type="dxa"/>
            <w:vAlign w:val="bottom"/>
            <w:gridSpan w:val="2"/>
          </w:tcPr>
          <w:p>
            <w:pPr>
              <w:jc w:val="right"/>
              <w:ind w:right="3"/>
              <w:spacing w:after="0"/>
              <w:rPr>
                <w:sz w:val="20"/>
                <w:szCs w:val="20"/>
                <w:color w:val="auto"/>
              </w:rPr>
            </w:pPr>
            <w:r>
              <w:rPr>
                <w:rFonts w:ascii="Arial" w:cs="Arial" w:eastAsia="Arial" w:hAnsi="Arial"/>
                <w:sz w:val="18"/>
                <w:szCs w:val="18"/>
                <w:color w:val="auto"/>
              </w:rPr>
              <w:t>131</w:t>
            </w:r>
          </w:p>
        </w:tc>
        <w:tc>
          <w:tcPr>
            <w:tcW w:w="1180" w:type="dxa"/>
            <w:vAlign w:val="bottom"/>
          </w:tcPr>
          <w:p>
            <w:pPr>
              <w:jc w:val="right"/>
              <w:spacing w:after="0"/>
              <w:rPr>
                <w:sz w:val="20"/>
                <w:szCs w:val="20"/>
                <w:color w:val="auto"/>
              </w:rPr>
            </w:pPr>
            <w:r>
              <w:rPr>
                <w:rFonts w:ascii="Arial" w:cs="Arial" w:eastAsia="Arial" w:hAnsi="Arial"/>
                <w:sz w:val="18"/>
                <w:szCs w:val="18"/>
                <w:color w:val="auto"/>
              </w:rPr>
              <w:t>2.5 %</w:t>
            </w:r>
          </w:p>
        </w:tc>
        <w:tc>
          <w:tcPr>
            <w:tcW w:w="1140" w:type="dxa"/>
            <w:vAlign w:val="bottom"/>
          </w:tcPr>
          <w:p>
            <w:pPr>
              <w:jc w:val="right"/>
              <w:spacing w:after="0"/>
              <w:rPr>
                <w:sz w:val="20"/>
                <w:szCs w:val="20"/>
                <w:color w:val="auto"/>
              </w:rPr>
            </w:pPr>
            <w:r>
              <w:rPr>
                <w:rFonts w:ascii="Arial" w:cs="Arial" w:eastAsia="Arial" w:hAnsi="Arial"/>
                <w:sz w:val="18"/>
                <w:szCs w:val="18"/>
                <w:color w:val="auto"/>
              </w:rPr>
              <w:t>0.4 %</w:t>
            </w:r>
          </w:p>
        </w:tc>
        <w:tc>
          <w:tcPr>
            <w:tcW w:w="108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11,926</w:t>
            </w: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220</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157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840" w:type="dxa"/>
            <w:vAlign w:val="bottom"/>
          </w:tcPr>
          <w:p>
            <w:pPr>
              <w:ind w:left="2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2,782</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13 %</w:t>
            </w:r>
          </w:p>
        </w:tc>
        <w:tc>
          <w:tcPr>
            <w:tcW w:w="1000" w:type="dxa"/>
            <w:vAlign w:val="bottom"/>
          </w:tcPr>
          <w:p>
            <w:pPr>
              <w:jc w:val="right"/>
              <w:spacing w:after="0"/>
              <w:rPr>
                <w:sz w:val="20"/>
                <w:szCs w:val="20"/>
                <w:color w:val="auto"/>
              </w:rPr>
            </w:pPr>
            <w:r>
              <w:rPr>
                <w:rFonts w:ascii="Arial" w:cs="Arial" w:eastAsia="Arial" w:hAnsi="Arial"/>
                <w:sz w:val="18"/>
                <w:szCs w:val="18"/>
                <w:color w:val="auto"/>
              </w:rPr>
              <w:t>85,897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14,989</w:t>
            </w: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403</w:t>
            </w:r>
          </w:p>
        </w:tc>
        <w:tc>
          <w:tcPr>
            <w:tcW w:w="760" w:type="dxa"/>
            <w:vAlign w:val="bottom"/>
            <w:gridSpan w:val="2"/>
          </w:tcPr>
          <w:p>
            <w:pPr>
              <w:jc w:val="right"/>
              <w:ind w:right="3"/>
              <w:spacing w:after="0"/>
              <w:rPr>
                <w:sz w:val="20"/>
                <w:szCs w:val="20"/>
                <w:color w:val="auto"/>
              </w:rPr>
            </w:pPr>
            <w:r>
              <w:rPr>
                <w:rFonts w:ascii="Arial" w:cs="Arial" w:eastAsia="Arial" w:hAnsi="Arial"/>
                <w:sz w:val="18"/>
                <w:szCs w:val="18"/>
                <w:color w:val="auto"/>
              </w:rPr>
              <w:t>129</w:t>
            </w:r>
          </w:p>
        </w:tc>
        <w:tc>
          <w:tcPr>
            <w:tcW w:w="1180" w:type="dxa"/>
            <w:vAlign w:val="bottom"/>
          </w:tcPr>
          <w:p>
            <w:pPr>
              <w:jc w:val="right"/>
              <w:spacing w:after="0"/>
              <w:rPr>
                <w:sz w:val="20"/>
                <w:szCs w:val="20"/>
                <w:color w:val="auto"/>
              </w:rPr>
            </w:pPr>
            <w:r>
              <w:rPr>
                <w:rFonts w:ascii="Arial" w:cs="Arial" w:eastAsia="Arial" w:hAnsi="Arial"/>
                <w:sz w:val="18"/>
                <w:szCs w:val="18"/>
                <w:color w:val="auto"/>
              </w:rPr>
              <w:t>2.4 %</w:t>
            </w:r>
          </w:p>
        </w:tc>
        <w:tc>
          <w:tcPr>
            <w:tcW w:w="1140" w:type="dxa"/>
            <w:vAlign w:val="bottom"/>
          </w:tcPr>
          <w:p>
            <w:pPr>
              <w:jc w:val="right"/>
              <w:spacing w:after="0"/>
              <w:rPr>
                <w:sz w:val="20"/>
                <w:szCs w:val="20"/>
                <w:color w:val="auto"/>
              </w:rPr>
            </w:pPr>
            <w:r>
              <w:rPr>
                <w:rFonts w:ascii="Arial" w:cs="Arial" w:eastAsia="Arial" w:hAnsi="Arial"/>
                <w:sz w:val="18"/>
                <w:szCs w:val="18"/>
                <w:color w:val="auto"/>
              </w:rPr>
              <w:t>0.6 %</w:t>
            </w:r>
          </w:p>
        </w:tc>
        <w:tc>
          <w:tcPr>
            <w:tcW w:w="108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1"/>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16,736</w:t>
            </w: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480</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8,385</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19 %</w:t>
            </w:r>
          </w:p>
        </w:tc>
        <w:tc>
          <w:tcPr>
            <w:tcW w:w="1000" w:type="dxa"/>
            <w:vAlign w:val="bottom"/>
          </w:tcPr>
          <w:p>
            <w:pPr>
              <w:jc w:val="right"/>
              <w:spacing w:after="0"/>
              <w:rPr>
                <w:sz w:val="20"/>
                <w:szCs w:val="20"/>
                <w:color w:val="auto"/>
              </w:rPr>
            </w:pPr>
            <w:r>
              <w:rPr>
                <w:rFonts w:ascii="Arial" w:cs="Arial" w:eastAsia="Arial" w:hAnsi="Arial"/>
                <w:sz w:val="18"/>
                <w:szCs w:val="18"/>
                <w:color w:val="auto"/>
              </w:rPr>
              <w:t>148,423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35,522</w:t>
            </w: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546</w:t>
            </w:r>
          </w:p>
        </w:tc>
        <w:tc>
          <w:tcPr>
            <w:tcW w:w="760" w:type="dxa"/>
            <w:vAlign w:val="bottom"/>
            <w:gridSpan w:val="2"/>
          </w:tcPr>
          <w:p>
            <w:pPr>
              <w:jc w:val="right"/>
              <w:ind w:right="3"/>
              <w:spacing w:after="0"/>
              <w:rPr>
                <w:sz w:val="20"/>
                <w:szCs w:val="20"/>
                <w:color w:val="auto"/>
              </w:rPr>
            </w:pPr>
            <w:r>
              <w:rPr>
                <w:rFonts w:ascii="Arial" w:cs="Arial" w:eastAsia="Arial" w:hAnsi="Arial"/>
                <w:sz w:val="18"/>
                <w:szCs w:val="18"/>
                <w:color w:val="auto"/>
              </w:rPr>
              <w:t>44</w:t>
            </w:r>
          </w:p>
        </w:tc>
        <w:tc>
          <w:tcPr>
            <w:tcW w:w="1180" w:type="dxa"/>
            <w:vAlign w:val="bottom"/>
          </w:tcPr>
          <w:p>
            <w:pPr>
              <w:jc w:val="right"/>
              <w:spacing w:after="0"/>
              <w:rPr>
                <w:sz w:val="20"/>
                <w:szCs w:val="20"/>
                <w:color w:val="auto"/>
              </w:rPr>
            </w:pPr>
            <w:r>
              <w:rPr>
                <w:rFonts w:ascii="Arial" w:cs="Arial" w:eastAsia="Arial" w:hAnsi="Arial"/>
                <w:sz w:val="18"/>
                <w:szCs w:val="18"/>
                <w:color w:val="auto"/>
              </w:rPr>
              <w:t>3.3 %</w:t>
            </w:r>
          </w:p>
        </w:tc>
        <w:tc>
          <w:tcPr>
            <w:tcW w:w="1140" w:type="dxa"/>
            <w:vAlign w:val="bottom"/>
          </w:tcPr>
          <w:p>
            <w:pPr>
              <w:jc w:val="right"/>
              <w:spacing w:after="0"/>
              <w:rPr>
                <w:sz w:val="20"/>
                <w:szCs w:val="20"/>
                <w:color w:val="auto"/>
              </w:rPr>
            </w:pPr>
            <w:r>
              <w:rPr>
                <w:rFonts w:ascii="Arial" w:cs="Arial" w:eastAsia="Arial" w:hAnsi="Arial"/>
                <w:sz w:val="18"/>
                <w:szCs w:val="18"/>
                <w:color w:val="auto"/>
              </w:rPr>
              <w:t>0.4 %</w:t>
            </w:r>
          </w:p>
        </w:tc>
        <w:tc>
          <w:tcPr>
            <w:tcW w:w="10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7"/>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30,799</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49 %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186,174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101,899</w:t>
            </w: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538</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85,574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68,016</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79 %</w:t>
            </w:r>
          </w:p>
        </w:tc>
        <w:tc>
          <w:tcPr>
            <w:tcW w:w="1000" w:type="dxa"/>
            <w:vAlign w:val="bottom"/>
          </w:tcPr>
          <w:p>
            <w:pPr>
              <w:jc w:val="right"/>
              <w:spacing w:after="0"/>
              <w:rPr>
                <w:sz w:val="20"/>
                <w:szCs w:val="20"/>
                <w:color w:val="auto"/>
              </w:rPr>
            </w:pPr>
            <w:r>
              <w:rPr>
                <w:rFonts w:ascii="Arial" w:cs="Arial" w:eastAsia="Arial" w:hAnsi="Arial"/>
                <w:sz w:val="18"/>
                <w:szCs w:val="18"/>
                <w:color w:val="auto"/>
              </w:rPr>
              <w:t>257,972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214,464</w:t>
            </w: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1,283</w:t>
            </w:r>
          </w:p>
        </w:tc>
        <w:tc>
          <w:tcPr>
            <w:tcW w:w="760" w:type="dxa"/>
            <w:vAlign w:val="bottom"/>
            <w:gridSpan w:val="2"/>
          </w:tcPr>
          <w:p>
            <w:pPr>
              <w:jc w:val="right"/>
              <w:ind w:right="3"/>
              <w:spacing w:after="0"/>
              <w:rPr>
                <w:sz w:val="20"/>
                <w:szCs w:val="20"/>
                <w:color w:val="auto"/>
              </w:rPr>
            </w:pPr>
            <w:r>
              <w:rPr>
                <w:rFonts w:ascii="Arial" w:cs="Arial" w:eastAsia="Arial" w:hAnsi="Arial"/>
                <w:sz w:val="18"/>
                <w:szCs w:val="18"/>
                <w:color w:val="auto"/>
              </w:rPr>
              <w:t>7</w:t>
            </w:r>
          </w:p>
        </w:tc>
        <w:tc>
          <w:tcPr>
            <w:tcW w:w="1180" w:type="dxa"/>
            <w:vAlign w:val="bottom"/>
          </w:tcPr>
          <w:p>
            <w:pPr>
              <w:jc w:val="right"/>
              <w:spacing w:after="0"/>
              <w:rPr>
                <w:sz w:val="20"/>
                <w:szCs w:val="20"/>
                <w:color w:val="auto"/>
              </w:rPr>
            </w:pPr>
            <w:r>
              <w:rPr>
                <w:rFonts w:ascii="Arial" w:cs="Arial" w:eastAsia="Arial" w:hAnsi="Arial"/>
                <w:sz w:val="18"/>
                <w:szCs w:val="18"/>
                <w:color w:val="auto"/>
              </w:rPr>
              <w:t>5.3 %</w:t>
            </w:r>
          </w:p>
        </w:tc>
        <w:tc>
          <w:tcPr>
            <w:tcW w:w="1140" w:type="dxa"/>
            <w:vAlign w:val="bottom"/>
          </w:tcPr>
          <w:p>
            <w:pPr>
              <w:jc w:val="right"/>
              <w:spacing w:after="0"/>
              <w:rPr>
                <w:sz w:val="20"/>
                <w:szCs w:val="20"/>
                <w:color w:val="auto"/>
              </w:rPr>
            </w:pPr>
            <w:r>
              <w:rPr>
                <w:rFonts w:ascii="Arial" w:cs="Arial" w:eastAsia="Arial" w:hAnsi="Arial"/>
                <w:sz w:val="18"/>
                <w:szCs w:val="18"/>
                <w:color w:val="auto"/>
              </w:rPr>
              <w:t>0.5 %</w:t>
            </w:r>
          </w:p>
        </w:tc>
        <w:tc>
          <w:tcPr>
            <w:tcW w:w="108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54,739</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93 %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154,826</w:t>
            </w: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7"/>
        </w:trPr>
        <w:tc>
          <w:tcPr>
            <w:tcW w:w="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19,811</w:t>
            </w:r>
          </w:p>
        </w:tc>
        <w:tc>
          <w:tcPr>
            <w:tcW w:w="124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98 %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54,625</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53,718</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191,306</w:t>
            </w:r>
          </w:p>
        </w:tc>
        <w:tc>
          <w:tcPr>
            <w:tcW w:w="1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611,441</w:t>
            </w: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4,349</w:t>
            </w:r>
          </w:p>
        </w:tc>
        <w:tc>
          <w:tcPr>
            <w:tcW w:w="7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655</w:t>
            </w:r>
          </w:p>
        </w:tc>
        <w:tc>
          <w:tcPr>
            <w:tcW w:w="1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00" w:hanging="29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Calculated as total claims incurred (paid and reserved) divided by cumulative premiums earned, net of reinsurance.</w:t>
      </w:r>
    </w:p>
    <w:p>
      <w:pPr>
        <w:spacing w:after="0" w:line="9" w:lineRule="exact"/>
        <w:rPr>
          <w:rFonts w:ascii="Arial" w:cs="Arial" w:eastAsia="Arial" w:hAnsi="Arial"/>
          <w:sz w:val="14"/>
          <w:szCs w:val="14"/>
          <w:color w:val="auto"/>
        </w:rPr>
      </w:pPr>
    </w:p>
    <w:p>
      <w:pPr>
        <w:ind w:left="300" w:hanging="29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Calculated as the sum of the number of claims paid ever to date and number of loans in default divided by policies ever in force.</w:t>
      </w:r>
    </w:p>
    <w:p>
      <w:pPr>
        <w:spacing w:after="0" w:line="6" w:lineRule="exact"/>
        <w:rPr>
          <w:rFonts w:ascii="Arial" w:cs="Arial" w:eastAsia="Arial" w:hAnsi="Arial"/>
          <w:sz w:val="14"/>
          <w:szCs w:val="14"/>
          <w:color w:val="auto"/>
        </w:rPr>
      </w:pPr>
    </w:p>
    <w:p>
      <w:pPr>
        <w:ind w:left="300" w:hanging="29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Calculated as the number of loans in default divided by number of policies in force.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Geographic Dispersion</w:t>
      </w:r>
    </w:p>
    <w:p>
      <w:pPr>
        <w:spacing w:after="0" w:line="162"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color w:val="auto"/>
        </w:rPr>
        <w:t>The following table shows the distribution by state of our primary RIF as of the dates indicated. The distribution of our primary RIF as of June 30, 2023 is not necessarily representative of the geographic distribution we expect in the future.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60" w:type="dxa"/>
            <w:vAlign w:val="bottom"/>
            <w:gridSpan w:val="2"/>
          </w:tcPr>
          <w:p>
            <w:pPr>
              <w:ind w:left="20"/>
              <w:spacing w:after="0"/>
              <w:rPr>
                <w:sz w:val="20"/>
                <w:szCs w:val="20"/>
                <w:color w:val="auto"/>
              </w:rPr>
            </w:pPr>
            <w:r>
              <w:rPr>
                <w:rFonts w:ascii="Arial" w:cs="Arial" w:eastAsia="Arial" w:hAnsi="Arial"/>
                <w:sz w:val="14"/>
                <w:szCs w:val="14"/>
                <w:b w:val="1"/>
                <w:bCs w:val="1"/>
                <w:color w:val="auto"/>
              </w:rPr>
              <w:t>Top 10 primary RIF by state</w:t>
            </w:r>
          </w:p>
        </w:tc>
        <w:tc>
          <w:tcPr>
            <w:tcW w:w="1320" w:type="dxa"/>
            <w:vAlign w:val="bottom"/>
            <w:gridSpan w:val="3"/>
          </w:tcPr>
          <w:p>
            <w:pPr>
              <w:ind w:left="280"/>
              <w:spacing w:after="0"/>
              <w:rPr>
                <w:sz w:val="20"/>
                <w:szCs w:val="20"/>
                <w:color w:val="auto"/>
              </w:rPr>
            </w:pPr>
            <w:r>
              <w:rPr>
                <w:rFonts w:ascii="Arial" w:cs="Arial" w:eastAsia="Arial" w:hAnsi="Arial"/>
                <w:sz w:val="14"/>
                <w:szCs w:val="14"/>
                <w:b w:val="1"/>
                <w:bCs w:val="1"/>
                <w:color w:val="auto"/>
              </w:rPr>
              <w:t>As of June 30,</w:t>
            </w:r>
          </w:p>
        </w:tc>
        <w:tc>
          <w:tcPr>
            <w:tcW w:w="1260" w:type="dxa"/>
            <w:vAlign w:val="bottom"/>
          </w:tcPr>
          <w:p>
            <w:pPr>
              <w:spacing w:after="0"/>
              <w:rPr>
                <w:sz w:val="17"/>
                <w:szCs w:val="17"/>
                <w:color w:val="auto"/>
              </w:rPr>
            </w:pPr>
          </w:p>
        </w:tc>
      </w:tr>
      <w:tr>
        <w:trPr>
          <w:trHeight w:val="182"/>
        </w:trPr>
        <w:tc>
          <w:tcPr>
            <w:tcW w:w="748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231"/>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9.0</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8.3</w:t>
            </w:r>
          </w:p>
        </w:tc>
      </w:tr>
      <w:tr>
        <w:trPr>
          <w:trHeight w:val="230"/>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4.0</w:t>
            </w:r>
          </w:p>
        </w:tc>
      </w:tr>
      <w:tr>
        <w:trPr>
          <w:trHeight w:val="231"/>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4.3</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Washington</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3.9</w:t>
            </w:r>
          </w:p>
        </w:tc>
      </w:tr>
      <w:tr>
        <w:trPr>
          <w:trHeight w:val="237"/>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w:t>
            </w:r>
          </w:p>
        </w:tc>
      </w:tr>
      <w:tr>
        <w:trPr>
          <w:trHeight w:val="224"/>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3.3</w:t>
            </w:r>
          </w:p>
        </w:tc>
      </w:tr>
      <w:tr>
        <w:trPr>
          <w:trHeight w:val="224"/>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3.7</w:t>
            </w:r>
          </w:p>
        </w:tc>
      </w:tr>
      <w:tr>
        <w:trPr>
          <w:trHeight w:val="224"/>
        </w:trPr>
        <w:tc>
          <w:tcPr>
            <w:tcW w:w="7480" w:type="dxa"/>
            <w:vAlign w:val="bottom"/>
          </w:tcPr>
          <w:p>
            <w:pPr>
              <w:ind w:left="20"/>
              <w:spacing w:after="0"/>
              <w:rPr>
                <w:sz w:val="20"/>
                <w:szCs w:val="20"/>
                <w:color w:val="auto"/>
              </w:rPr>
            </w:pPr>
            <w:r>
              <w:rPr>
                <w:rFonts w:ascii="Arial" w:cs="Arial" w:eastAsia="Arial" w:hAnsi="Arial"/>
                <w:sz w:val="18"/>
                <w:szCs w:val="18"/>
                <w:color w:val="auto"/>
              </w:rPr>
              <w:t>Maryland</w:t>
            </w: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3.5</w:t>
            </w:r>
          </w:p>
        </w:tc>
      </w:tr>
      <w:tr>
        <w:trPr>
          <w:trHeight w:val="237"/>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53.1 %</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6" w:name="page37"/>
    <w:bookmarkEnd w:id="36"/>
    <w:p>
      <w:pPr>
        <w:ind w:left="64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62"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09"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16"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16"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143"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In response to the COVID-19 pandemic, politicians, regulators, lenders, loan servicers and others offered extraordinary assistance to dislocated borrowers through, among other programs, the forbearance, foreclosure moratorium and other assistance programs codified under the Coronavirus Aid, Relief, and Economic Security Act (CARES Act). The FHFA and GSEs offered further assistance by introducing new repayment and loan modification options to assist borrowers with their transition out of forbearance programs and default status. We generally observe that forbearance, repayment and modification, and other assistance programs aid affected borrowers and drive higher cure rates on defaults than would otherwise be expected on similarly situated loans that did not benefit from broad-based assistance programs.</w:t>
      </w:r>
    </w:p>
    <w:p>
      <w:pPr>
        <w:spacing w:after="0" w:line="145"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09"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Emerging 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7" w:name="page38"/>
    <w:bookmarkEnd w:id="37"/>
    <w:p>
      <w:pPr>
        <w:ind w:firstLine="632"/>
        <w:spacing w:after="0" w:line="262" w:lineRule="auto"/>
        <w:rPr>
          <w:sz w:val="20"/>
          <w:szCs w:val="20"/>
          <w:color w:val="auto"/>
        </w:rPr>
      </w:pPr>
      <w:r>
        <w:rPr>
          <w:rFonts w:ascii="Arial" w:cs="Arial" w:eastAsia="Arial" w:hAnsi="Arial"/>
          <w:sz w:val="18"/>
          <w:szCs w:val="18"/>
          <w:color w:val="auto"/>
        </w:rPr>
        <w:t>The following table provides a reconciliation of the beginning and ending gross reserve balances for primary insurance claims and claim expenses (benefits):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3"/>
              </w:rPr>
              <w:t>For the three months ended June 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89"/>
              </w:rPr>
              <w:t>For the six months ended June 30,</w:t>
            </w:r>
          </w:p>
        </w:tc>
      </w:tr>
      <w:tr>
        <w:trPr>
          <w:trHeight w:val="24"/>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7"/>
        </w:trPr>
        <w:tc>
          <w:tcPr>
            <w:tcW w:w="5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182"/>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103,551</w:t>
            </w:r>
          </w:p>
        </w:tc>
      </w:tr>
      <w:tr>
        <w:trPr>
          <w:trHeight w:val="237"/>
        </w:trPr>
        <w:tc>
          <w:tcPr>
            <w:tcW w:w="5300" w:type="dxa"/>
            <w:vAlign w:val="bottom"/>
            <w:tcBorders>
              <w:bottom w:val="single" w:sz="8" w:color="CCEEFF"/>
            </w:tcBorders>
          </w:tcPr>
          <w:p>
            <w:pPr>
              <w:ind w:left="20"/>
              <w:spacing w:after="0" w:line="237"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(20,320)</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83,231</w:t>
            </w:r>
          </w:p>
        </w:tc>
      </w:tr>
      <w:tr>
        <w:trPr>
          <w:trHeight w:val="244"/>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4"/>
        </w:trPr>
        <w:tc>
          <w:tcPr>
            <w:tcW w:w="5300" w:type="dxa"/>
            <w:vAlign w:val="bottom"/>
          </w:tcPr>
          <w:p>
            <w:pPr>
              <w:ind w:left="220"/>
              <w:spacing w:after="0"/>
              <w:rPr>
                <w:sz w:val="20"/>
                <w:szCs w:val="20"/>
                <w:color w:val="auto"/>
              </w:rPr>
            </w:pPr>
            <w:r>
              <w:rPr>
                <w:rFonts w:ascii="Arial" w:cs="Arial" w:eastAsia="Arial" w:hAnsi="Arial"/>
                <w:sz w:val="18"/>
                <w:szCs w:val="18"/>
                <w:color w:val="auto"/>
              </w:rPr>
              <w:t>Claims and claim expenses (benefits) incurred:</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5300" w:type="dxa"/>
            <w:vAlign w:val="bottom"/>
            <w:shd w:val="clear" w:color="auto" w:fill="CCEEFF"/>
          </w:tcPr>
          <w:p>
            <w:pPr>
              <w:ind w:left="460"/>
              <w:spacing w:after="0" w:line="224"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w:t>
            </w:r>
          </w:p>
        </w:tc>
      </w:tr>
      <w:tr>
        <w:trPr>
          <w:trHeight w:val="237"/>
        </w:trPr>
        <w:tc>
          <w:tcPr>
            <w:tcW w:w="5300" w:type="dxa"/>
            <w:vAlign w:val="bottom"/>
            <w:tcBorders>
              <w:bottom w:val="single" w:sz="8" w:color="CCEEFF"/>
            </w:tcBorders>
          </w:tcPr>
          <w:p>
            <w:pPr>
              <w:ind w:left="460"/>
              <w:spacing w:after="0" w:line="237"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(22,442)</w:t>
            </w:r>
          </w:p>
        </w:tc>
      </w:tr>
      <w:tr>
        <w:trPr>
          <w:trHeight w:val="217"/>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(benefits) incurred</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w:t>
            </w:r>
          </w:p>
        </w:tc>
      </w:tr>
      <w:tr>
        <w:trPr>
          <w:trHeight w:val="257"/>
        </w:trPr>
        <w:tc>
          <w:tcPr>
            <w:tcW w:w="5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530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7"/>
        </w:trPr>
        <w:tc>
          <w:tcPr>
            <w:tcW w:w="5300" w:type="dxa"/>
            <w:vAlign w:val="bottom"/>
            <w:shd w:val="clear" w:color="auto" w:fill="CCEEFF"/>
          </w:tcPr>
          <w:p>
            <w:pPr>
              <w:ind w:left="460"/>
              <w:spacing w:after="0" w:line="238"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1"/>
        </w:trPr>
        <w:tc>
          <w:tcPr>
            <w:tcW w:w="5300" w:type="dxa"/>
            <w:vAlign w:val="bottom"/>
          </w:tcPr>
          <w:p>
            <w:pPr>
              <w:ind w:left="460"/>
              <w:spacing w:after="0" w:line="21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paid</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44"/>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78,874</w:t>
            </w:r>
          </w:p>
        </w:tc>
      </w:tr>
      <w:tr>
        <w:trPr>
          <w:trHeight w:val="224"/>
        </w:trPr>
        <w:tc>
          <w:tcPr>
            <w:tcW w:w="530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w:t>
            </w: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hanging="315"/>
        <w:spacing w:after="0" w:line="254" w:lineRule="auto"/>
        <w:tabs>
          <w:tab w:leader="none" w:pos="387"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Related to ceded losses recoverable under the QSR Transactions. See Item 1, "</w:t>
      </w:r>
      <w:r>
        <w:rPr>
          <w:rFonts w:ascii="Arial" w:cs="Arial" w:eastAsia="Arial" w:hAnsi="Arial"/>
          <w:sz w:val="14"/>
          <w:szCs w:val="14"/>
          <w:i w:val="1"/>
          <w:iCs w:val="1"/>
          <w:color w:val="auto"/>
        </w:rPr>
        <w:t>Financial Statements - Notes to Condensed Consolidated Financial Statements - Note 5, Reinsurance</w:t>
      </w:r>
      <w:r>
        <w:rPr>
          <w:rFonts w:ascii="Arial" w:cs="Arial" w:eastAsia="Arial" w:hAnsi="Arial"/>
          <w:sz w:val="14"/>
          <w:szCs w:val="14"/>
          <w:color w:val="auto"/>
        </w:rPr>
        <w:t>" for additional information.</w:t>
      </w:r>
    </w:p>
    <w:p>
      <w:pPr>
        <w:jc w:val="both"/>
        <w:ind w:left="320" w:hanging="315"/>
        <w:spacing w:after="0" w:line="295" w:lineRule="auto"/>
        <w:tabs>
          <w:tab w:leader="none" w:pos="325"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$39.1 million attributed to net case reserves and $5.0 million attributed to net IBNR reserves for the six months ended June 30, 2023 and $14.0 million attributed to net case reserves and $4.5 million attributed to net IBNR reserves for the six months ended June 30, 2022.</w:t>
      </w:r>
    </w:p>
    <w:p>
      <w:pPr>
        <w:jc w:val="both"/>
        <w:ind w:left="320" w:hanging="315"/>
        <w:spacing w:after="0" w:line="253" w:lineRule="auto"/>
        <w:tabs>
          <w:tab w:leader="none" w:pos="311"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Related to insured loans with defaults occurring in prior years, which have been continuously in default before the start of the current year. Amounts are presented net of reinsurance and included $30.3 million attributed to net case reserves and $4.5 million attributed to net IBNR reserves for the six months ended June 30, 2023 and $17.0 million attributed to net case reserves and $4.7 million attributed to net IBNR reserves for the six months ended June 30, 2022.</w:t>
      </w:r>
    </w:p>
    <w:p>
      <w:pPr>
        <w:spacing w:after="0" w:line="385"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"claims incurred" section of the table above shows claims and claim expenses (benefits)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$53.1 million related to prior year defaults remained as of June 30, 2023.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8" w:name="page39"/>
    <w:bookmarkEnd w:id="38"/>
    <w:p>
      <w:pPr>
        <w:ind w:left="64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3080" w:type="dxa"/>
            <w:vAlign w:val="bottom"/>
            <w:gridSpan w:val="4"/>
          </w:tcPr>
          <w:p>
            <w:pPr>
              <w:jc w:val="right"/>
              <w:ind w:right="358"/>
              <w:spacing w:after="0"/>
              <w:rPr>
                <w:sz w:val="20"/>
                <w:szCs w:val="20"/>
                <w:color w:val="auto"/>
              </w:rPr>
            </w:pPr>
            <w:r>
              <w:rPr>
                <w:rFonts w:ascii="Arial" w:cs="Arial" w:eastAsia="Arial" w:hAnsi="Arial"/>
                <w:sz w:val="14"/>
                <w:szCs w:val="14"/>
                <w:b w:val="1"/>
                <w:bCs w:val="1"/>
                <w:color w:val="auto"/>
              </w:rPr>
              <w:t>For the three months ended June 30,</w:t>
            </w:r>
          </w:p>
        </w:tc>
        <w:tc>
          <w:tcPr>
            <w:tcW w:w="80" w:type="dxa"/>
            <w:vAlign w:val="bottom"/>
          </w:tcPr>
          <w:p>
            <w:pPr>
              <w:spacing w:after="0"/>
              <w:rPr>
                <w:sz w:val="15"/>
                <w:szCs w:val="15"/>
                <w:color w:val="auto"/>
              </w:rPr>
            </w:pPr>
          </w:p>
        </w:tc>
        <w:tc>
          <w:tcPr>
            <w:tcW w:w="3100" w:type="dxa"/>
            <w:vAlign w:val="bottom"/>
            <w:gridSpan w:val="3"/>
          </w:tcPr>
          <w:p>
            <w:pPr>
              <w:jc w:val="right"/>
              <w:ind w:right="438"/>
              <w:spacing w:after="0"/>
              <w:rPr>
                <w:sz w:val="20"/>
                <w:szCs w:val="20"/>
                <w:color w:val="auto"/>
              </w:rPr>
            </w:pPr>
            <w:r>
              <w:rPr>
                <w:rFonts w:ascii="Arial" w:cs="Arial" w:eastAsia="Arial" w:hAnsi="Arial"/>
                <w:sz w:val="14"/>
                <w:szCs w:val="14"/>
                <w:b w:val="1"/>
                <w:bCs w:val="1"/>
                <w:color w:val="auto"/>
              </w:rPr>
              <w:t>For the six months ended June 30,</w:t>
            </w:r>
          </w:p>
        </w:tc>
      </w:tr>
      <w:tr>
        <w:trPr>
          <w:trHeight w:val="24"/>
        </w:trPr>
        <w:tc>
          <w:tcPr>
            <w:tcW w:w="59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77"/>
        </w:trPr>
        <w:tc>
          <w:tcPr>
            <w:tcW w:w="498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31"/>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6,227</w:t>
            </w:r>
          </w:p>
        </w:tc>
      </w:tr>
      <w:tr>
        <w:trPr>
          <w:trHeight w:val="224"/>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Plus: new defaults</w:t>
            </w:r>
          </w:p>
        </w:tc>
        <w:tc>
          <w:tcPr>
            <w:tcW w:w="580" w:type="dxa"/>
            <w:vAlign w:val="bottom"/>
          </w:tcPr>
          <w:p>
            <w:pPr>
              <w:jc w:val="right"/>
              <w:spacing w:after="0"/>
              <w:rPr>
                <w:sz w:val="20"/>
                <w:szCs w:val="20"/>
                <w:color w:val="auto"/>
              </w:rPr>
            </w:pPr>
            <w:r>
              <w:rPr>
                <w:rFonts w:ascii="Arial" w:cs="Arial" w:eastAsia="Arial" w:hAnsi="Arial"/>
                <w:sz w:val="18"/>
                <w:szCs w:val="18"/>
                <w:color w:val="auto"/>
              </w:rPr>
              <w:t>1,417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2,975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2,232</w:t>
            </w:r>
          </w:p>
        </w:tc>
      </w:tr>
      <w:tr>
        <w:trPr>
          <w:trHeight w:val="224"/>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(1,493)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(4,143)</w:t>
            </w: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Less: claims paid</w:t>
            </w: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rescission and claims denied</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r>
    </w:tbl>
    <w:p>
      <w:pPr>
        <w:spacing w:after="0" w:line="225" w:lineRule="exact"/>
        <w:rPr>
          <w:sz w:val="20"/>
          <w:szCs w:val="20"/>
          <w:color w:val="auto"/>
        </w:rPr>
      </w:pPr>
    </w:p>
    <w:p>
      <w:pPr>
        <w:ind w:right="220" w:firstLine="632"/>
        <w:spacing w:after="0" w:line="262" w:lineRule="auto"/>
        <w:rPr>
          <w:sz w:val="20"/>
          <w:szCs w:val="20"/>
          <w:color w:val="auto"/>
        </w:rPr>
      </w:pPr>
      <w:r>
        <w:rPr>
          <w:rFonts w:ascii="Arial" w:cs="Arial" w:eastAsia="Arial" w:hAnsi="Arial"/>
          <w:sz w:val="18"/>
          <w:szCs w:val="18"/>
          <w:color w:val="auto"/>
        </w:rPr>
        <w:t>Ending default inventory increased from June 30, 2022 to June 30, 2023, primarily due to the growth and natural seasoning of our insured portfolio, largely offset by cure activity amongst our previous default population.</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details of our claims paid, before giving effect to claims ceded under the QSR Transactions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27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24"/>
        </w:trPr>
        <w:tc>
          <w:tcPr>
            <w:tcW w:w="4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46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182"/>
        </w:trPr>
        <w:tc>
          <w:tcPr>
            <w:tcW w:w="4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40" w:type="dxa"/>
            <w:vAlign w:val="bottom"/>
            <w:gridSpan w:val="5"/>
          </w:tcPr>
          <w:p>
            <w:pPr>
              <w:jc w:val="right"/>
              <w:ind w:right="918"/>
              <w:spacing w:after="0"/>
              <w:rPr>
                <w:sz w:val="20"/>
                <w:szCs w:val="20"/>
                <w:color w:val="auto"/>
              </w:rPr>
            </w:pPr>
            <w:r>
              <w:rPr>
                <w:rFonts w:ascii="Arial" w:cs="Arial" w:eastAsia="Arial" w:hAnsi="Arial"/>
                <w:sz w:val="14"/>
                <w:szCs w:val="14"/>
                <w:i w:val="1"/>
                <w:iCs w:val="1"/>
                <w:color w:val="auto"/>
              </w:rPr>
              <w:t>($ Values In Thousands)</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0"/>
        </w:trPr>
        <w:tc>
          <w:tcPr>
            <w:tcW w:w="468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43</w:t>
            </w:r>
          </w:p>
        </w:tc>
      </w:tr>
      <w:tr>
        <w:trPr>
          <w:trHeight w:val="224"/>
        </w:trPr>
        <w:tc>
          <w:tcPr>
            <w:tcW w:w="4680" w:type="dxa"/>
            <w:vAlign w:val="bottom"/>
          </w:tcPr>
          <w:p>
            <w:pPr>
              <w:ind w:left="20"/>
              <w:spacing w:after="0"/>
              <w:rPr>
                <w:sz w:val="20"/>
                <w:szCs w:val="20"/>
                <w:color w:val="auto"/>
              </w:rPr>
            </w:pPr>
            <w:r>
              <w:rPr>
                <w:rFonts w:ascii="Arial" w:cs="Arial" w:eastAsia="Arial" w:hAnsi="Arial"/>
                <w:sz w:val="18"/>
                <w:szCs w:val="18"/>
                <w:color w:val="auto"/>
              </w:rPr>
              <w:t>Total amount paid for claims</w:t>
            </w:r>
          </w:p>
        </w:tc>
        <w:tc>
          <w:tcPr>
            <w:tcW w:w="960" w:type="dxa"/>
            <w:vAlign w:val="bottom"/>
          </w:tcPr>
          <w:p>
            <w:pPr>
              <w:jc w:val="right"/>
              <w:ind w:right="761"/>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w w:val="88"/>
              </w:rPr>
              <w:t>1,386</w:t>
            </w:r>
          </w:p>
        </w:tc>
        <w:tc>
          <w:tcPr>
            <w:tcW w:w="1120" w:type="dxa"/>
            <w:vAlign w:val="bottom"/>
          </w:tcPr>
          <w:p>
            <w:pPr>
              <w:jc w:val="right"/>
              <w:ind w:right="881"/>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w w:val="86"/>
              </w:rPr>
              <w:t>471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8"/>
              <w:spacing w:after="0"/>
              <w:rPr>
                <w:sz w:val="20"/>
                <w:szCs w:val="20"/>
                <w:color w:val="auto"/>
              </w:rPr>
            </w:pPr>
            <w:r>
              <w:rPr>
                <w:rFonts w:ascii="Arial" w:cs="Arial" w:eastAsia="Arial" w:hAnsi="Arial"/>
                <w:sz w:val="18"/>
                <w:szCs w:val="18"/>
                <w:color w:val="auto"/>
              </w:rPr>
              <w:t>1,730</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873</w:t>
            </w: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amount paid per claim</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112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w:t>
            </w:r>
          </w:p>
        </w:tc>
      </w:tr>
      <w:tr>
        <w:trPr>
          <w:trHeight w:val="305"/>
        </w:trPr>
        <w:tc>
          <w:tcPr>
            <w:tcW w:w="4680" w:type="dxa"/>
            <w:vAlign w:val="bottom"/>
          </w:tcPr>
          <w:p>
            <w:pPr>
              <w:ind w:left="20"/>
              <w:spacing w:after="0"/>
              <w:rPr>
                <w:sz w:val="20"/>
                <w:szCs w:val="20"/>
                <w:color w:val="auto"/>
              </w:rPr>
            </w:pPr>
            <w:r>
              <w:rPr>
                <w:rFonts w:ascii="Arial" w:cs="Arial" w:eastAsia="Arial" w:hAnsi="Arial"/>
                <w:sz w:val="18"/>
                <w:szCs w:val="18"/>
                <w:color w:val="auto"/>
              </w:rPr>
              <w:t xml:space="preserve">Severity </w:t>
            </w:r>
            <w:r>
              <w:rPr>
                <w:rFonts w:ascii="Arial" w:cs="Arial" w:eastAsia="Arial" w:hAnsi="Arial"/>
                <w:sz w:val="22"/>
                <w:szCs w:val="22"/>
                <w:color w:val="auto"/>
                <w:vertAlign w:val="superscript"/>
              </w:rPr>
              <w:t>(2)</w:t>
            </w:r>
          </w:p>
        </w:tc>
        <w:tc>
          <w:tcPr>
            <w:tcW w:w="9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62 %</w:t>
            </w:r>
          </w:p>
        </w:tc>
        <w:tc>
          <w:tcPr>
            <w:tcW w:w="1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56 %</w:t>
            </w: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43 %</w:t>
            </w:r>
          </w:p>
        </w:tc>
      </w:tr>
    </w:tbl>
    <w:p>
      <w:pPr>
        <w:spacing w:after="0" w:line="151" w:lineRule="exact"/>
        <w:rPr>
          <w:sz w:val="20"/>
          <w:szCs w:val="20"/>
          <w:color w:val="auto"/>
        </w:rPr>
      </w:pPr>
    </w:p>
    <w:p>
      <w:pPr>
        <w:ind w:left="320" w:hanging="315"/>
        <w:spacing w:after="0" w:line="261"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Count includes 17 and 24 claims settled without payment during the three and six months ended June 30, 2023, respectively, and 10 and 16 claims settled without payment during the three and six months ended June 30, 2022, respectively.</w:t>
      </w:r>
    </w:p>
    <w:p>
      <w:pPr>
        <w:ind w:left="320" w:hanging="315"/>
        <w:spacing w:after="0" w:line="270" w:lineRule="auto"/>
        <w:tabs>
          <w:tab w:leader="none" w:pos="3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16" w:lineRule="exact"/>
        <w:rPr>
          <w:sz w:val="20"/>
          <w:szCs w:val="20"/>
          <w:color w:val="auto"/>
        </w:rPr>
      </w:pPr>
    </w:p>
    <w:p>
      <w:pPr>
        <w:jc w:val="both"/>
        <w:ind w:firstLine="632"/>
        <w:spacing w:after="0" w:line="281" w:lineRule="auto"/>
        <w:rPr>
          <w:sz w:val="20"/>
          <w:szCs w:val="20"/>
          <w:color w:val="auto"/>
        </w:rPr>
      </w:pPr>
      <w:r>
        <w:rPr>
          <w:rFonts w:ascii="Arial" w:cs="Arial" w:eastAsia="Arial" w:hAnsi="Arial"/>
          <w:sz w:val="16"/>
          <w:szCs w:val="16"/>
          <w:color w:val="auto"/>
        </w:rPr>
        <w:t>We paid 46 and 67 claims during the three and six months ended June 30, 2023, respectively, and 24 and 43 claims during the three and six months ended June 30, 2022, respectively. The number of claims paid was modest relative to the size of our insured portfolio and number of defaulted loans we reported in each period, primarily due to the forbearance program and foreclosure moratorium implemented by the GSEs in response to the COVID-19 pandemic and codified under the CARES Act. Such forbearance and foreclosure programs remain available and may ultimately interrupt the timeline over which loans would otherwise progress through the default cycle to a paid claim. Our claims paid experience for the three and six months ended June 30, 2023 and 2022, further benefited from broad national house price appreciation observed through June 2022. An increase in the value of the homes collateralizing the mortgages we insure provides defaulted borrowers with alternative paths and incentives to cure their loan prior to the development of a claim. Although national house prices have contracted from their peak, the scale of decline has been modest relative to the quantum of previous gains, and many borrowers still retain significant net price gains and appreciated equity in their homes.</w:t>
      </w:r>
    </w:p>
    <w:p>
      <w:pPr>
        <w:spacing w:after="0" w:line="195"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Our claims severity for the three and six months ended June 30, 2023 was 62% and 56%, respectively, compared to 46% and 43% for the three and six months ended June 30, 2022, respectively. Claims severity for the three and six months ended June 30, 2023 and 2022 benefited from the same broad national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43"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The number of claims paid and our severity experience in future periods may be impacted by developing economic cycles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9" w:name="page40"/>
    <w:bookmarkEnd w:id="39"/>
    <w:p>
      <w:pPr>
        <w:ind w:firstLine="632"/>
        <w:spacing w:after="0" w:line="262"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Average reserve per default:</w:t>
            </w:r>
          </w:p>
        </w:tc>
        <w:tc>
          <w:tcPr>
            <w:tcW w:w="1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As of June 30,</w:t>
            </w:r>
          </w:p>
        </w:tc>
        <w:tc>
          <w:tcPr>
            <w:tcW w:w="1500" w:type="dxa"/>
            <w:vAlign w:val="bottom"/>
            <w:tcBorders>
              <w:bottom w:val="single" w:sz="8" w:color="auto"/>
            </w:tcBorders>
          </w:tcPr>
          <w:p>
            <w:pPr>
              <w:spacing w:after="0"/>
              <w:rPr>
                <w:sz w:val="17"/>
                <w:szCs w:val="17"/>
                <w:color w:val="auto"/>
              </w:rPr>
            </w:pPr>
          </w:p>
        </w:tc>
      </w:tr>
      <w:tr>
        <w:trPr>
          <w:trHeight w:val="182"/>
        </w:trPr>
        <w:tc>
          <w:tcPr>
            <w:tcW w:w="6820" w:type="dxa"/>
            <w:vAlign w:val="bottom"/>
          </w:tcPr>
          <w:p>
            <w:pPr>
              <w:spacing w:after="0"/>
              <w:rPr>
                <w:sz w:val="15"/>
                <w:szCs w:val="15"/>
                <w:color w:val="auto"/>
              </w:rPr>
            </w:pPr>
          </w:p>
        </w:tc>
        <w:tc>
          <w:tcPr>
            <w:tcW w:w="15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2022</w:t>
            </w:r>
          </w:p>
        </w:tc>
      </w:tr>
      <w:tr>
        <w:trPr>
          <w:trHeight w:val="182"/>
        </w:trPr>
        <w:tc>
          <w:tcPr>
            <w:tcW w:w="6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gridSpan w:val="3"/>
          </w:tcPr>
          <w:p>
            <w:pPr>
              <w:jc w:val="right"/>
              <w:ind w:right="192"/>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Pr>
          <w:p>
            <w:pPr>
              <w:spacing w:after="0"/>
              <w:rPr>
                <w:sz w:val="15"/>
                <w:szCs w:val="15"/>
                <w:color w:val="auto"/>
              </w:rPr>
            </w:pPr>
          </w:p>
        </w:tc>
      </w:tr>
      <w:tr>
        <w:trPr>
          <w:trHeight w:val="233"/>
        </w:trPr>
        <w:tc>
          <w:tcPr>
            <w:tcW w:w="68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2"/>
                <w:szCs w:val="22"/>
                <w:color w:val="auto"/>
                <w:vertAlign w:val="superscript"/>
              </w:rPr>
              <w:t>(1)</w:t>
            </w:r>
          </w:p>
        </w:tc>
        <w:tc>
          <w:tcPr>
            <w:tcW w:w="1500" w:type="dxa"/>
            <w:vAlign w:val="bottom"/>
            <w:shd w:val="clear" w:color="auto" w:fill="CCEEFF"/>
          </w:tcPr>
          <w:p>
            <w:pPr>
              <w:jc w:val="right"/>
              <w:ind w:right="131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7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7"/>
        </w:trPr>
        <w:tc>
          <w:tcPr>
            <w:tcW w:w="6820" w:type="dxa"/>
            <w:vAlign w:val="bottom"/>
            <w:tcBorders>
              <w:bottom w:val="single" w:sz="8" w:color="CCEEFF"/>
            </w:tcBorders>
          </w:tcPr>
          <w:p>
            <w:pPr>
              <w:ind w:left="20"/>
              <w:spacing w:after="0" w:line="237" w:lineRule="exact"/>
              <w:rPr>
                <w:sz w:val="20"/>
                <w:szCs w:val="20"/>
                <w:color w:val="auto"/>
              </w:rPr>
            </w:pPr>
            <w:r>
              <w:rPr>
                <w:rFonts w:ascii="Arial" w:cs="Arial" w:eastAsia="Arial" w:hAnsi="Arial"/>
                <w:sz w:val="27"/>
                <w:szCs w:val="27"/>
                <w:color w:val="auto"/>
                <w:vertAlign w:val="subscript"/>
              </w:rPr>
              <w:t>IBNR</w:t>
            </w:r>
            <w:r>
              <w:rPr>
                <w:rFonts w:ascii="Arial" w:cs="Arial" w:eastAsia="Arial" w:hAnsi="Arial"/>
                <w:sz w:val="10"/>
                <w:szCs w:val="10"/>
                <w:color w:val="auto"/>
              </w:rPr>
              <w:t xml:space="preserve"> (1)(2)</w:t>
            </w:r>
          </w:p>
        </w:tc>
        <w:tc>
          <w:tcPr>
            <w:tcW w:w="1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131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bl>
    <w:p>
      <w:pPr>
        <w:spacing w:after="0" w:line="232" w:lineRule="exact"/>
        <w:rPr>
          <w:sz w:val="20"/>
          <w:szCs w:val="20"/>
          <w:color w:val="auto"/>
        </w:rPr>
      </w:pPr>
    </w:p>
    <w:p>
      <w:pPr>
        <w:ind w:left="300" w:hanging="295"/>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Defined as the gross reserve per insured loan in default.</w:t>
      </w:r>
    </w:p>
    <w:p>
      <w:pPr>
        <w:spacing w:after="0" w:line="9" w:lineRule="exact"/>
        <w:rPr>
          <w:rFonts w:ascii="Arial" w:cs="Arial" w:eastAsia="Arial" w:hAnsi="Arial"/>
          <w:sz w:val="14"/>
          <w:szCs w:val="14"/>
          <w:color w:val="auto"/>
        </w:rPr>
      </w:pPr>
    </w:p>
    <w:p>
      <w:pPr>
        <w:ind w:left="300" w:hanging="295"/>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 includes claims adjustment expenses.</w:t>
      </w:r>
    </w:p>
    <w:p>
      <w:pPr>
        <w:spacing w:after="0" w:line="163"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Average reserve per default increased from June 30, 2022 to June 30, 2023, primarily due to changes in the composition of our default inventory as measured by the size, vintage and current estimated LTV of defaulted loans, as well as the proportion of such loans benefiting from a forbearance program granted in response to a financial hardship related to COVID-19. Average reserves per default were further impacted by changes in observed and forecasted housing market conditions and macroeconomic factors between the measurement dates.</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GSE Oversight</w:t>
      </w:r>
    </w:p>
    <w:p>
      <w:pPr>
        <w:spacing w:after="0" w:line="162" w:lineRule="exact"/>
        <w:rPr>
          <w:sz w:val="20"/>
          <w:szCs w:val="20"/>
          <w:color w:val="auto"/>
        </w:rPr>
      </w:pPr>
    </w:p>
    <w:p>
      <w:pPr>
        <w:jc w:val="both"/>
        <w:ind w:firstLine="672"/>
        <w:spacing w:after="0" w:line="287"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established by each of the GSEs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xml:space="preserve"> current vs. delinquent), LTV ratio and other risk features. In general, higher quality loans carry lower asset charges.</w:t>
      </w:r>
    </w:p>
    <w:p>
      <w:pPr>
        <w:spacing w:after="0" w:line="112" w:lineRule="exact"/>
        <w:rPr>
          <w:sz w:val="20"/>
          <w:szCs w:val="20"/>
          <w:color w:val="auto"/>
        </w:rPr>
      </w:pPr>
    </w:p>
    <w:p>
      <w:pPr>
        <w:jc w:val="both"/>
        <w:ind w:firstLine="672"/>
        <w:spacing w:after="0" w:line="247"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insurer's </w:t>
      </w:r>
      <w:r>
        <w:rPr>
          <w:rFonts w:ascii="Arial" w:cs="Arial" w:eastAsia="Arial" w:hAnsi="Arial"/>
          <w:sz w:val="18"/>
          <w:szCs w:val="18"/>
          <w:color w:val="auto"/>
        </w:rPr>
        <w:t>RIF, assessed on a loan-by-loan basis and considered against certain risk-based factors derived from tables set out in the PMIERs, which is then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adjusted on an aggregate basis for reinsurance transactions approved by the GSEs, such as with respect to our ILN Transactions, XOL Transactions and QSR Transactions. The </w:t>
      </w:r>
      <w:r>
        <w:rPr>
          <w:rFonts w:ascii="Arial" w:cs="Arial" w:eastAsia="Arial" w:hAnsi="Arial"/>
          <w:sz w:val="18"/>
          <w:szCs w:val="18"/>
          <w:i w:val="1"/>
          <w:iCs w:val="1"/>
          <w:color w:val="auto"/>
        </w:rPr>
        <w:t>aggregate gross 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RIF</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risk-based required asset amount </w:t>
      </w:r>
      <w:r>
        <w:rPr>
          <w:rFonts w:ascii="Arial" w:cs="Arial" w:eastAsia="Arial" w:hAnsi="Arial"/>
          <w:sz w:val="18"/>
          <w:szCs w:val="18"/>
          <w:color w:val="auto"/>
        </w:rPr>
        <w:t>for pool insurance considers both factors in the PMIERs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pool insurance policy.</w:t>
      </w:r>
    </w:p>
    <w:p>
      <w:pPr>
        <w:spacing w:after="0" w:line="142"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By April 15th of each year, NMIC must certify it met all PMIERs requirements as of December 31st of the prior year. We certified to the GSEs by April 15, 2023 that NMIC was in full compliance with the PMIERs as of December 31, 2022. NMIC also has an ongoing obligation to immediately notify the GSEs in writing upon discovery of a failure to meet one or more of the PMIERs requirements. We continuously monitor NMIC's compliance with the PMIERs.</w:t>
      </w:r>
    </w:p>
    <w:p>
      <w:pPr>
        <w:spacing w:after="0" w:line="100"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 xml:space="preserve">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60" w:type="dxa"/>
            <w:vAlign w:val="bottom"/>
            <w:gridSpan w:val="2"/>
          </w:tcPr>
          <w:p>
            <w:pPr>
              <w:ind w:left="940"/>
              <w:spacing w:after="0"/>
              <w:rPr>
                <w:sz w:val="20"/>
                <w:szCs w:val="20"/>
                <w:color w:val="auto"/>
              </w:rPr>
            </w:pPr>
            <w:r>
              <w:rPr>
                <w:rFonts w:ascii="Arial" w:cs="Arial" w:eastAsia="Arial" w:hAnsi="Arial"/>
                <w:sz w:val="14"/>
                <w:szCs w:val="14"/>
                <w:b w:val="1"/>
                <w:bCs w:val="1"/>
                <w:color w:val="auto"/>
              </w:rPr>
              <w:t>As of June 30,</w:t>
            </w:r>
          </w:p>
        </w:tc>
        <w:tc>
          <w:tcPr>
            <w:tcW w:w="1160" w:type="dxa"/>
            <w:vAlign w:val="bottom"/>
          </w:tcPr>
          <w:p>
            <w:pPr>
              <w:spacing w:after="0"/>
              <w:rPr>
                <w:sz w:val="15"/>
                <w:szCs w:val="15"/>
                <w:color w:val="auto"/>
              </w:rPr>
            </w:pPr>
          </w:p>
        </w:tc>
      </w:tr>
      <w:tr>
        <w:trPr>
          <w:trHeight w:val="24"/>
        </w:trPr>
        <w:tc>
          <w:tcPr>
            <w:tcW w:w="7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6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2022</w:t>
            </w:r>
          </w:p>
        </w:tc>
      </w:tr>
      <w:tr>
        <w:trPr>
          <w:trHeight w:val="182"/>
        </w:trPr>
        <w:tc>
          <w:tcPr>
            <w:tcW w:w="7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60" w:type="dxa"/>
            <w:vAlign w:val="bottom"/>
            <w:gridSpan w:val="2"/>
          </w:tcPr>
          <w:p>
            <w:pPr>
              <w:ind w:left="9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5"/>
                <w:szCs w:val="15"/>
                <w:color w:val="auto"/>
              </w:rPr>
            </w:pPr>
          </w:p>
        </w:tc>
      </w:tr>
      <w:tr>
        <w:trPr>
          <w:trHeight w:val="24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assets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2,491,280</w:t>
            </w:r>
          </w:p>
        </w:tc>
        <w:tc>
          <w:tcPr>
            <w:tcW w:w="6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2,169,388</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Risk-based required assets</w:t>
            </w:r>
          </w:p>
        </w:tc>
        <w:tc>
          <w:tcPr>
            <w:tcW w:w="40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Arial" w:cs="Arial" w:eastAsia="Arial" w:hAnsi="Arial"/>
                <w:sz w:val="18"/>
                <w:szCs w:val="18"/>
                <w:color w:val="auto"/>
              </w:rPr>
              <w:t>1,317,961</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1,240,143</w:t>
            </w:r>
          </w:p>
        </w:tc>
      </w:tr>
    </w:tbl>
    <w:p>
      <w:pPr>
        <w:spacing w:after="0" w:line="200" w:lineRule="exact"/>
        <w:rPr>
          <w:sz w:val="20"/>
          <w:szCs w:val="20"/>
          <w:color w:val="auto"/>
        </w:rPr>
      </w:pPr>
    </w:p>
    <w:p>
      <w:pPr>
        <w:spacing w:after="0" w:line="263"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$2.5 billion at June 30, 2023, compared to $2.2 billion at June 30, 2022. The $322 million increase in</w:t>
      </w:r>
      <w:r>
        <w:rPr>
          <w:rFonts w:ascii="Arial" w:cs="Arial" w:eastAsia="Arial" w:hAnsi="Arial"/>
          <w:sz w:val="18"/>
          <w:szCs w:val="18"/>
          <w:i w:val="1"/>
          <w:iCs w:val="1"/>
          <w:color w:val="auto"/>
        </w:rPr>
        <w:t xml:space="preserve"> available assets </w:t>
      </w:r>
      <w:r>
        <w:rPr>
          <w:rFonts w:ascii="Arial" w:cs="Arial" w:eastAsia="Arial" w:hAnsi="Arial"/>
          <w:sz w:val="18"/>
          <w:szCs w:val="18"/>
          <w:color w:val="auto"/>
        </w:rPr>
        <w:t>between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dates presented was primarily driven by NMIC's positive cash flow from operations during the intervening period, partially offset by the payment of an ordinary course dividend from NMIC to NMIH in May 2023.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0" w:name="page41"/>
    <w:bookmarkEnd w:id="40"/>
    <w:p>
      <w:pPr>
        <w:jc w:val="both"/>
        <w:ind w:firstLine="632"/>
        <w:spacing w:after="0" w:line="325" w:lineRule="auto"/>
        <w:rPr>
          <w:sz w:val="20"/>
          <w:szCs w:val="20"/>
          <w:color w:val="auto"/>
        </w:rPr>
      </w:pPr>
      <w:r>
        <w:rPr>
          <w:rFonts w:ascii="Arial" w:cs="Arial" w:eastAsia="Arial" w:hAnsi="Arial"/>
          <w:sz w:val="16"/>
          <w:szCs w:val="16"/>
          <w:color w:val="auto"/>
        </w:rPr>
        <w:t xml:space="preserve">The increase in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between the dates presented was primarily due to the growth in our gross RIF and aggregate gross-risk based required asset amount, partially offset by an increase in the risk ceded under our third-party reinsurance agreements.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LIBOR Transition</w:t>
      </w:r>
    </w:p>
    <w:p>
      <w:pPr>
        <w:spacing w:after="0" w:line="162"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On March 5, 2021, ICE Benchmark Administration Limited (IBA), the administrator for LIBOR, confirmed it would permanently cease the publication of overnight, one-month, three-month, six-month and twelve-month USD LIBOR settings in their current form after June 30, 2023. The U.K. Financial Conduct Authority, the regulator of IBA, announced on the same day that it intends to stop requiring panel banks to continue to submit to LIBOR and all USD LIBOR settings in their current form will either cease to be provided by any administrator or no longer be representative after June 30, 2023. We have exposure to USD LIBOR-based financial instruments, such as LIBOR-based securities held in our investment portfolio. We reviewed our LIBOR-based contracts and each contains provisions that dictate a transition to an alternative reference rate at the time of the discontinuance of LIBOR. As of June 30, 2023, substantially all of our LIBOR-indexed financial contracts have been transitioned to a SOFR base. The impact of the transition from LIBOR to SOFR has not and is not expected to have a material impact on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1"/>
              </w:rPr>
              <w:t>For the three months ended June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2"/>
        </w:trPr>
        <w:tc>
          <w:tcPr>
            <w:tcW w:w="5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6"/>
          </w:tcPr>
          <w:p>
            <w:pPr>
              <w:jc w:val="right"/>
              <w:ind w:right="115"/>
              <w:spacing w:after="0"/>
              <w:rPr>
                <w:sz w:val="20"/>
                <w:szCs w:val="20"/>
                <w:color w:val="auto"/>
              </w:rPr>
            </w:pPr>
            <w:r>
              <w:rPr>
                <w:rFonts w:ascii="Arial" w:cs="Arial" w:eastAsia="Arial" w:hAnsi="Arial"/>
                <w:sz w:val="14"/>
                <w:szCs w:val="14"/>
                <w:i w:val="1"/>
                <w:iCs w:val="1"/>
                <w:color w:val="auto"/>
                <w:w w:val="93"/>
              </w:rPr>
              <w:t>($ In Thousands, except for per share data)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125,985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120,870</w:t>
            </w:r>
          </w:p>
        </w:tc>
        <w:tc>
          <w:tcPr>
            <w:tcW w:w="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247,739</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237,365</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16,518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10,921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21,120</w:t>
            </w: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investment gains (losses)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4"/>
        </w:trPr>
        <w:tc>
          <w:tcPr>
            <w:tcW w:w="5020" w:type="dxa"/>
            <w:vAlign w:val="bottom"/>
          </w:tcPr>
          <w:p>
            <w:pPr>
              <w:ind w:left="22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376</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142,685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132,220</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279,464</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259,661</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line="203" w:lineRule="exact"/>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claims and claim expenses (benefits)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24"/>
        </w:trPr>
        <w:tc>
          <w:tcPr>
            <w:tcW w:w="5020" w:type="dxa"/>
            <w:vAlign w:val="bottom"/>
          </w:tcPr>
          <w:p>
            <w:pPr>
              <w:ind w:left="220"/>
              <w:spacing w:after="0"/>
              <w:rPr>
                <w:sz w:val="20"/>
                <w:szCs w:val="20"/>
                <w:color w:val="auto"/>
              </w:rPr>
            </w:pPr>
            <w:r>
              <w:rPr>
                <w:rFonts w:ascii="Arial" w:cs="Arial" w:eastAsia="Arial" w:hAnsi="Arial"/>
                <w:sz w:val="18"/>
                <w:szCs w:val="18"/>
                <w:color w:val="auto"/>
              </w:rPr>
              <w:t>Underwriting and operating expenses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27,448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30,700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63,635</w:t>
            </w: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expenses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4"/>
        </w:trPr>
        <w:tc>
          <w:tcPr>
            <w:tcW w:w="50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8,048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8,051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16,092</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from change in fair value of warrant liability</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7"/>
        </w:trPr>
        <w:tc>
          <w:tcPr>
            <w:tcW w:w="50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38,636</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35,031</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79,242</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75,725</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104,049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97,189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200,222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183,936</w:t>
            </w:r>
          </w:p>
        </w:tc>
        <w:tc>
          <w:tcPr>
            <w:tcW w:w="0" w:type="dxa"/>
            <w:vAlign w:val="bottom"/>
          </w:tcPr>
          <w:p>
            <w:pPr>
              <w:spacing w:after="0"/>
              <w:rPr>
                <w:sz w:val="1"/>
                <w:szCs w:val="1"/>
                <w:color w:val="auto"/>
              </w:rPr>
            </w:pPr>
          </w:p>
        </w:tc>
      </w:tr>
      <w:tr>
        <w:trPr>
          <w:trHeight w:val="224"/>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23,765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21,745</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45,480</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40,812</w:t>
            </w:r>
          </w:p>
        </w:tc>
        <w:tc>
          <w:tcPr>
            <w:tcW w:w="0" w:type="dxa"/>
            <w:vAlign w:val="bottom"/>
          </w:tcPr>
          <w:p>
            <w:pPr>
              <w:spacing w:after="0"/>
              <w:rPr>
                <w:sz w:val="1"/>
                <w:szCs w:val="1"/>
                <w:color w:val="auto"/>
              </w:rPr>
            </w:pPr>
          </w:p>
        </w:tc>
      </w:tr>
      <w:tr>
        <w:trPr>
          <w:trHeight w:val="231"/>
        </w:trPr>
        <w:tc>
          <w:tcPr>
            <w:tcW w:w="5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80,284</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75,444</w:t>
            </w:r>
          </w:p>
        </w:tc>
        <w:tc>
          <w:tcPr>
            <w:tcW w:w="8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154,742</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143,124</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Earnings per share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19"/>
                <w:szCs w:val="19"/>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0.86</w:t>
            </w:r>
          </w:p>
        </w:tc>
        <w:tc>
          <w:tcPr>
            <w:tcW w:w="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Loss ratio</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50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Expense ratio</w:t>
            </w:r>
            <w:r>
              <w:rPr>
                <w:rFonts w:ascii="Arial" w:cs="Arial" w:eastAsia="Arial" w:hAnsi="Arial"/>
                <w:sz w:val="22"/>
                <w:szCs w:val="22"/>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25.4 %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shd w:val="clear" w:color="auto" w:fill="CCEEFF"/>
          </w:tcPr>
          <w:p>
            <w:pPr>
              <w:ind w:left="20"/>
              <w:spacing w:after="0" w:line="217" w:lineRule="exact"/>
              <w:rPr>
                <w:sz w:val="20"/>
                <w:szCs w:val="20"/>
                <w:color w:val="auto"/>
              </w:rPr>
            </w:pPr>
            <w:r>
              <w:rPr>
                <w:rFonts w:ascii="Arial" w:cs="Arial" w:eastAsia="Arial" w:hAnsi="Arial"/>
                <w:sz w:val="18"/>
                <w:szCs w:val="18"/>
                <w:color w:val="auto"/>
              </w:rPr>
              <w:t xml:space="preserve">Combined ratio </w:t>
            </w:r>
            <w:r>
              <w:rPr>
                <w:rFonts w:ascii="Arial" w:cs="Arial" w:eastAsia="Arial" w:hAnsi="Arial"/>
                <w:sz w:val="22"/>
                <w:szCs w:val="22"/>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444"/>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For the three months ended 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24"/>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18"/>
                <w:szCs w:val="18"/>
                <w:b w:val="1"/>
                <w:bCs w:val="1"/>
                <w:color w:val="auto"/>
                <w:vertAlign w:val="superscript"/>
              </w:rPr>
              <w:t>(4)</w:t>
            </w: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175"/>
              <w:spacing w:after="0"/>
              <w:rPr>
                <w:sz w:val="20"/>
                <w:szCs w:val="20"/>
                <w:color w:val="auto"/>
              </w:rPr>
            </w:pPr>
            <w:r>
              <w:rPr>
                <w:rFonts w:ascii="Arial" w:cs="Arial" w:eastAsia="Arial" w:hAnsi="Arial"/>
                <w:sz w:val="14"/>
                <w:szCs w:val="14"/>
                <w:i w:val="1"/>
                <w:iCs w:val="1"/>
                <w:color w:val="auto"/>
                <w:w w:val="91"/>
              </w:rPr>
              <w:t>($ In Thousands, except for per share data)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before tax</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96,061</w:t>
            </w: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200,255</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182,567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74,339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154,768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141,809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00" w:hanging="29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Loss ratio is calculated by dividing insurance claims and claim expenses (benefits) by net premiums earned.</w:t>
      </w:r>
    </w:p>
    <w:p>
      <w:pPr>
        <w:spacing w:after="0" w:line="18" w:lineRule="exact"/>
        <w:rPr>
          <w:rFonts w:ascii="Arial" w:cs="Arial" w:eastAsia="Arial" w:hAnsi="Arial"/>
          <w:sz w:val="14"/>
          <w:szCs w:val="14"/>
          <w:color w:val="auto"/>
        </w:rPr>
      </w:pPr>
    </w:p>
    <w:p>
      <w:pPr>
        <w:ind w:left="300" w:hanging="29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Expense ratio is calculated by dividing underwriting and operating expenses by net premiums earned.</w:t>
      </w:r>
    </w:p>
    <w:p>
      <w:pPr>
        <w:spacing w:after="0" w:line="10" w:lineRule="exact"/>
        <w:rPr>
          <w:rFonts w:ascii="Arial" w:cs="Arial" w:eastAsia="Arial" w:hAnsi="Arial"/>
          <w:sz w:val="14"/>
          <w:szCs w:val="14"/>
          <w:color w:val="auto"/>
        </w:rPr>
      </w:pPr>
    </w:p>
    <w:p>
      <w:pPr>
        <w:ind w:left="300" w:hanging="29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Combined ratio may not foot due to rounding.</w:t>
      </w:r>
    </w:p>
    <w:p>
      <w:pPr>
        <w:spacing w:after="0" w:line="10" w:lineRule="exact"/>
        <w:rPr>
          <w:rFonts w:ascii="Arial" w:cs="Arial" w:eastAsia="Arial" w:hAnsi="Arial"/>
          <w:sz w:val="14"/>
          <w:szCs w:val="14"/>
          <w:color w:val="auto"/>
        </w:rPr>
      </w:pPr>
    </w:p>
    <w:p>
      <w:pPr>
        <w:ind w:left="300" w:hanging="29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Explanation and Reconciliation of Our Use of Non-GAAP Financial Measures,</w:t>
      </w:r>
      <w:r>
        <w:rPr>
          <w:rFonts w:ascii="Arial" w:cs="Arial" w:eastAsia="Arial" w:hAnsi="Arial"/>
          <w:sz w:val="14"/>
          <w:szCs w:val="14"/>
          <w:color w:val="auto"/>
        </w:rPr>
        <w:t>"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62"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Net premiums earned were $126.0 million and $247.7 million for the three and six months ended June 30, 2023, respectively, compared to $120.9 million and $237.4 million for the three and six months ended June 30, 2022, respectively. The year-on-year increase in net premiums earned in each respective period was primarily driven by our NIW production and the growth of our IIF, partially offset by an increase in total premiums ceded under our reinsurance transactions and a decline in the contribution from single premium policy cancellations.</w:t>
      </w:r>
    </w:p>
    <w:p>
      <w:pPr>
        <w:spacing w:after="0" w:line="109"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Net investment income was $16.5 million and $31.4 million for the three and six months ended June 30, 2023, respectively, compared to $10.9 million and $21.1 million for the three and six months ended June 30, 2022, respectively. The year-on-year increase in net investment income in each respective period was primarily driven by the growth in the size of our total invested asset base, as well as an increase in the book yield of the investment portfolio tied to the deployment of new cash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flows and reinvestment of rolling maturities at incrementally higher rates.</w:t>
      </w:r>
    </w:p>
    <w:p>
      <w:pPr>
        <w:spacing w:after="0" w:line="162"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Other revenues were $0.2 million and $0.3 million for the three and six months ended June 30, 2023, respectively, compared to $0.4 million and $0.7 million for the three and six months ended June 30, 2022, respectively. Other revenues represent underwriting fee revenue generated by our subsidiary, NMIS, which provides outsourced loan review services to mortgage loan originators. The year-on-year decrease in other revenues in each respective period reflects a decline in NMIS' outsourced loan review volume. Amounts recognized in other revenues generally correspond with amounts incurred as service expenses for outsourced loan review activities in the same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62"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00"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Insurance claims and claim expenses were $2.9 million and $9.6 million for the three and six months ended June 30, 2023, respectively, compared to insurance claims and claim benefits of $3.0 million and $3.7 million for the three and six months ended June 30, 2022, respectively. The increase in insurance claims and claim expenses in each respective period was primarily driven by the establishment of initial reserves on newly defaulted loans, as well as an increase in the average case reserve held against previously defaulted loans that have aged in their delinquency status, and was partially offset by the release of a portion of the reserves we established for anticipated claims payments in prior periods in connection with cure activity and ongoing analysis of recent loss development trends.</w:t>
      </w:r>
    </w:p>
    <w:p>
      <w:pPr>
        <w:spacing w:after="0" w:line="145"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Underwriting and operating expenses were $27.4 million and $53.2 million for the three and six months ended June 30, 2023, respectively, compared to $30.7 million and $63.6 million for the three and six months ended June 30, 2022, respectively. The year-on-year decline in underwriting and operating expenses in each respective period primarily reflects an increase in ceding commissions received upon the introduction of the 2022 Seasoned QSR Transaction effective July 1, 2022, a decrease in the amortization of deferred acquisition costs tied to the increased persistency of our IIF, and a step-down in outsourced technology costs related to our agreement with Tata Consultancy Services, partially offset by an increase in employee compensation costs and miscellaneous IT expenses.</w:t>
      </w:r>
    </w:p>
    <w:p>
      <w:pPr>
        <w:spacing w:after="0" w:line="145"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Service expenses were $0.3 million for both the three and six month periods ended June 30, 2023, compared to $0.3 million and $0.8 million for the three and six months ended June 30, 2022, respectively. Service expenses represent third-party costs incurred by NMIS in connection with the services it provides. The year-on-year decline in service expenses in each respective period was primarily driven by a decrease in NMIS' outsourced loan review volume. Amounts incurred as service expenses generally correspond with amounts recognized in other revenues in the same periods.</w:t>
      </w:r>
    </w:p>
    <w:p>
      <w:pPr>
        <w:spacing w:after="0" w:line="109"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Interest expense was $8.0 million and $16.1 million for the three and six months ended June 30, 2023, respectively, compared to $8.1 million and $16.1 million for the three and six months ended June 30, 2022, respectively. Interest expense primarily reflects the carrying costs of the Notes. See Item 1, "</w:t>
      </w:r>
      <w:r>
        <w:rPr>
          <w:rFonts w:ascii="Arial" w:cs="Arial" w:eastAsia="Arial" w:hAnsi="Arial"/>
          <w:sz w:val="18"/>
          <w:szCs w:val="18"/>
          <w:i w:val="1"/>
          <w:iCs w:val="1"/>
          <w:color w:val="auto"/>
        </w:rPr>
        <w:t>Financial Statements - Notes to Condensed Consolidated Financial Statements - Note 4, Debt.</w:t>
      </w:r>
      <w:r>
        <w:rPr>
          <w:rFonts w:ascii="Arial" w:cs="Arial" w:eastAsia="Arial" w:hAnsi="Arial"/>
          <w:sz w:val="18"/>
          <w:szCs w:val="18"/>
          <w:color w:val="auto"/>
        </w:rPr>
        <w:t>"</w:t>
      </w:r>
    </w:p>
    <w:p>
      <w:pPr>
        <w:spacing w:after="0" w:line="136"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 xml:space="preserve">Income tax expense was $23.8 million and $45.5 million for the three and six months ended June 30, 2023, respectively, compared to $21.7 million and $40.8 million for the three and six months ended June 30, 2022, respectively. The year-on-year increase in income tax expense in each respective period was primarily driven by growth in our pre-tax income. Our effective tax rate on pre-tax income was 22.8% and 22.7% for the three and six months ended June 30, 2023, respectively, compared to 22.4% and 22.2% for the three and six months ended June 30, 2022, respectively.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and six months ended June 30, 2023 and 2022 reflect the discrete tax effects of the vesting of RSUs and exercise of options. See Item 1, </w:t>
      </w:r>
      <w:r>
        <w:rPr>
          <w:rFonts w:ascii="Arial" w:cs="Arial" w:eastAsia="Arial" w:hAnsi="Arial"/>
          <w:sz w:val="16"/>
          <w:szCs w:val="16"/>
          <w:i w:val="1"/>
          <w:iCs w:val="1"/>
          <w:color w:val="auto"/>
        </w:rPr>
        <w:t>"Financial Statements - Notes</w:t>
      </w:r>
      <w:r>
        <w:rPr>
          <w:rFonts w:ascii="Arial" w:cs="Arial" w:eastAsia="Arial" w:hAnsi="Arial"/>
          <w:sz w:val="16"/>
          <w:szCs w:val="16"/>
          <w:color w:val="auto"/>
        </w:rPr>
        <w:t xml:space="preserve"> </w:t>
      </w:r>
      <w:r>
        <w:rPr>
          <w:rFonts w:ascii="Arial" w:cs="Arial" w:eastAsia="Arial" w:hAnsi="Arial"/>
          <w:sz w:val="16"/>
          <w:szCs w:val="16"/>
          <w:i w:val="1"/>
          <w:iCs w:val="1"/>
          <w:color w:val="auto"/>
        </w:rPr>
        <w:t>to Condensed Consolidated Financial Statements - Note 8, Income Taxes.</w:t>
      </w:r>
      <w:r>
        <w:rPr>
          <w:rFonts w:ascii="Arial" w:cs="Arial" w:eastAsia="Arial" w:hAnsi="Arial"/>
          <w:sz w:val="16"/>
          <w:szCs w:val="16"/>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62"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Net income was $80.3 million and $154.7 million for the three and six months ended June 30, 2023, respectively, compared to $75.4 million and $143.1 million for the three and six months ended June 30, 2022, respectively. Adjusted net income was $80.3 million and $154.8 million for the three and six months ended June 30, 2023, respectively, compared to $74.3 million and $141.8 million for the three and six months ended June 30, 2022, respectively. The year-on-year increases in net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3" w:name="page44"/>
    <w:bookmarkEnd w:id="43"/>
    <w:p>
      <w:pPr>
        <w:jc w:val="both"/>
        <w:ind w:left="74"/>
        <w:spacing w:after="0" w:line="262" w:lineRule="auto"/>
        <w:rPr>
          <w:sz w:val="20"/>
          <w:szCs w:val="20"/>
          <w:color w:val="auto"/>
        </w:rPr>
      </w:pPr>
      <w:r>
        <w:rPr>
          <w:rFonts w:ascii="Arial" w:cs="Arial" w:eastAsia="Arial" w:hAnsi="Arial"/>
          <w:sz w:val="18"/>
          <w:szCs w:val="18"/>
          <w:color w:val="auto"/>
        </w:rPr>
        <w:t>income and adjusted net income in each respective period were primarily driven by growth in our total revenues, as well as a decline in our underwriting and operating expenses, partially offset by increases in our insurance claims and claim expenses and income tax expense.</w:t>
      </w:r>
    </w:p>
    <w:p>
      <w:pPr>
        <w:spacing w:after="0" w:line="128" w:lineRule="exact"/>
        <w:rPr>
          <w:sz w:val="20"/>
          <w:szCs w:val="20"/>
          <w:color w:val="auto"/>
        </w:rPr>
      </w:pPr>
    </w:p>
    <w:p>
      <w:pPr>
        <w:jc w:val="both"/>
        <w:ind w:left="74" w:firstLine="632"/>
        <w:spacing w:after="0" w:line="316" w:lineRule="auto"/>
        <w:rPr>
          <w:sz w:val="20"/>
          <w:szCs w:val="20"/>
          <w:color w:val="auto"/>
        </w:rPr>
      </w:pPr>
      <w:r>
        <w:rPr>
          <w:rFonts w:ascii="Arial" w:cs="Arial" w:eastAsia="Arial" w:hAnsi="Arial"/>
          <w:sz w:val="15"/>
          <w:szCs w:val="15"/>
          <w:color w:val="auto"/>
        </w:rPr>
        <w:t>Diluted EPS was $0.95 and $1.83 for the three and six months ended June 30, 2023, respectively, compared to $0.86 and $1.63 for the three and six months ended June 30, 2022, respectively. Adjusted diluted EPS was $0.95 and $1.83 for the three and six months ended June 30, 2023, respectively, compared to $0.86 and $1.63 for the three and six months ended June 30, 2022, respectively. Diluted and adjusted diluted EPS increased primarily due to growth in our net income and adjusted net income, as well as a decline in the number of weighted average diluted shares outstanding tied to share repurchase activity.</w:t>
      </w:r>
    </w:p>
    <w:p>
      <w:pPr>
        <w:spacing w:after="0" w:line="93" w:lineRule="exact"/>
        <w:rPr>
          <w:sz w:val="20"/>
          <w:szCs w:val="20"/>
          <w:color w:val="auto"/>
        </w:rPr>
      </w:pPr>
    </w:p>
    <w:p>
      <w:pPr>
        <w:jc w:val="both"/>
        <w:ind w:left="74" w:firstLine="632"/>
        <w:spacing w:after="0" w:line="262" w:lineRule="auto"/>
        <w:rPr>
          <w:sz w:val="20"/>
          <w:szCs w:val="20"/>
          <w:color w:val="auto"/>
        </w:rPr>
      </w:pPr>
      <w:r>
        <w:rPr>
          <w:rFonts w:ascii="Arial" w:cs="Arial" w:eastAsia="Arial" w:hAnsi="Arial"/>
          <w:sz w:val="18"/>
          <w:szCs w:val="18"/>
          <w:color w:val="auto"/>
        </w:rPr>
        <w:t>The non-GAAP financial measures of adjusted income before tax, adjusted net income and adjusted diluted EPS are presented to enhance the comparability of financial results between periods.</w:t>
      </w:r>
    </w:p>
    <w:p>
      <w:pPr>
        <w:spacing w:after="0" w:line="166" w:lineRule="exact"/>
        <w:rPr>
          <w:sz w:val="20"/>
          <w:szCs w:val="20"/>
          <w:color w:val="auto"/>
        </w:rPr>
      </w:pPr>
    </w:p>
    <w:tbl>
      <w:tblPr>
        <w:tblLayout w:type="fixed"/>
        <w:tblInd w:w="74" w:type="dxa"/>
        <w:tblCellMar>
          <w:top w:w="0" w:type="dxa"/>
          <w:left w:w="0" w:type="dxa"/>
          <w:bottom w:w="0" w:type="dxa"/>
          <w:right w:w="0" w:type="dxa"/>
        </w:tblCellMar>
      </w:tblPr>
      <w:tr>
        <w:trPr>
          <w:trHeight w:val="208"/>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Non-GAAP Financial Measure Reconciliations</w:t>
            </w:r>
          </w:p>
        </w:tc>
        <w:tc>
          <w:tcPr>
            <w:tcW w:w="2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3"/>
              </w:rPr>
              <w:t>For the three months ended June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180"/>
        </w:trPr>
        <w:tc>
          <w:tcPr>
            <w:tcW w:w="5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21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As reported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4"/>
          </w:tcPr>
          <w:p>
            <w:pPr>
              <w:jc w:val="right"/>
              <w:ind w:right="135"/>
              <w:spacing w:after="0"/>
              <w:rPr>
                <w:sz w:val="20"/>
                <w:szCs w:val="20"/>
                <w:color w:val="auto"/>
              </w:rPr>
            </w:pPr>
            <w:r>
              <w:rPr>
                <w:rFonts w:ascii="Arial" w:cs="Arial" w:eastAsia="Arial" w:hAnsi="Arial"/>
                <w:sz w:val="14"/>
                <w:szCs w:val="14"/>
                <w:i w:val="1"/>
                <w:iCs w:val="1"/>
                <w:color w:val="auto"/>
                <w:w w:val="92"/>
              </w:rPr>
              <w:t>($ In Thousands, except for per share data)</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183,936</w:t>
            </w:r>
          </w:p>
        </w:tc>
      </w:tr>
      <w:tr>
        <w:trPr>
          <w:trHeight w:val="23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40,812</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143,124</w:t>
            </w:r>
          </w:p>
        </w:tc>
      </w:tr>
      <w:tr>
        <w:trPr>
          <w:trHeight w:val="263"/>
        </w:trPr>
        <w:tc>
          <w:tcPr>
            <w:tcW w:w="5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realized investment (gains) losses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31"/>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change in fair value warrant liability</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2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market transaction costs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 before tax</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182,567</w:t>
            </w:r>
          </w:p>
        </w:tc>
      </w:tr>
      <w:tr>
        <w:trPr>
          <w:trHeight w:val="198"/>
        </w:trPr>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53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Income tax (benefit) expense on adjustments </w:t>
            </w:r>
            <w:r>
              <w:rPr>
                <w:rFonts w:ascii="Arial" w:cs="Arial" w:eastAsia="Arial" w:hAnsi="Arial"/>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7"/>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80,284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74,339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154,768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141,809</w:t>
            </w:r>
          </w:p>
        </w:tc>
      </w:tr>
      <w:tr>
        <w:trPr>
          <w:trHeight w:val="211"/>
        </w:trPr>
        <w:tc>
          <w:tcPr>
            <w:tcW w:w="5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86,943</w:t>
            </w:r>
          </w:p>
        </w:tc>
      </w:tr>
      <w:tr>
        <w:trPr>
          <w:trHeight w:val="23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bl>
    <w:p>
      <w:pPr>
        <w:spacing w:after="0" w:line="113" w:lineRule="exact"/>
        <w:rPr>
          <w:sz w:val="20"/>
          <w:szCs w:val="20"/>
          <w:color w:val="auto"/>
        </w:rPr>
      </w:pPr>
    </w:p>
    <w:p>
      <w:pPr>
        <w:ind w:left="314" w:hanging="314"/>
        <w:spacing w:after="0" w:line="282"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Marginal tax impact of non-GAAP adjustments is calculated based on our statutory U.S. federal corporate income tax rate of 21%, except for those items that are not eligible for an income tax deduction.</w:t>
      </w:r>
    </w:p>
    <w:p>
      <w:pPr>
        <w:spacing w:after="0" w:line="201" w:lineRule="exact"/>
        <w:rPr>
          <w:sz w:val="20"/>
          <w:szCs w:val="20"/>
          <w:color w:val="auto"/>
        </w:rPr>
      </w:pPr>
    </w:p>
    <w:p>
      <w:pPr>
        <w:ind w:left="74"/>
        <w:spacing w:after="0"/>
        <w:rPr>
          <w:sz w:val="20"/>
          <w:szCs w:val="20"/>
          <w:color w:val="auto"/>
        </w:rPr>
      </w:pPr>
      <w:r>
        <w:rPr>
          <w:rFonts w:ascii="Arial" w:cs="Arial" w:eastAsia="Arial" w:hAnsi="Arial"/>
          <w:sz w:val="18"/>
          <w:szCs w:val="18"/>
          <w:b w:val="1"/>
          <w:bCs w:val="1"/>
          <w:color w:val="auto"/>
        </w:rPr>
        <w:t>Explanation and Reconciliation of Our Use of Non-GAAP Financial Measures</w:t>
      </w:r>
    </w:p>
    <w:p>
      <w:pPr>
        <w:spacing w:after="0" w:line="168" w:lineRule="exact"/>
        <w:rPr>
          <w:sz w:val="20"/>
          <w:szCs w:val="20"/>
          <w:color w:val="auto"/>
        </w:rPr>
      </w:pPr>
    </w:p>
    <w:p>
      <w:pPr>
        <w:jc w:val="both"/>
        <w:ind w:left="74" w:firstLine="632"/>
        <w:spacing w:after="0" w:line="247" w:lineRule="auto"/>
        <w:rPr>
          <w:sz w:val="20"/>
          <w:szCs w:val="20"/>
          <w:color w:val="auto"/>
        </w:rPr>
      </w:pPr>
      <w:r>
        <w:rPr>
          <w:rFonts w:ascii="Arial" w:cs="Arial" w:eastAsia="Arial" w:hAnsi="Arial"/>
          <w:sz w:val="18"/>
          <w:szCs w:val="18"/>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9" w:lineRule="exact"/>
        <w:rPr>
          <w:sz w:val="20"/>
          <w:szCs w:val="20"/>
          <w:color w:val="auto"/>
        </w:rPr>
      </w:pPr>
    </w:p>
    <w:p>
      <w:pPr>
        <w:jc w:val="both"/>
        <w:ind w:left="74" w:firstLine="632"/>
        <w:spacing w:after="0" w:line="256" w:lineRule="auto"/>
        <w:rPr>
          <w:sz w:val="20"/>
          <w:szCs w:val="20"/>
          <w:color w:val="auto"/>
        </w:rPr>
      </w:pPr>
      <w:r>
        <w:rPr>
          <w:rFonts w:ascii="Arial" w:cs="Arial" w:eastAsia="Arial" w:hAnsi="Arial"/>
          <w:sz w:val="18"/>
          <w:szCs w:val="18"/>
          <w:b w:val="1"/>
          <w:bCs w:val="1"/>
          <w:color w:val="auto"/>
        </w:rPr>
        <w:t xml:space="preserve">Adjusted income before tax </w:t>
      </w:r>
      <w:r>
        <w:rPr>
          <w:rFonts w:ascii="Arial" w:cs="Arial" w:eastAsia="Arial" w:hAnsi="Arial"/>
          <w:sz w:val="18"/>
          <w:szCs w:val="18"/>
          <w:color w:val="auto"/>
        </w:rPr>
        <w:t>is defined as GAAP income before tax, excluding the pre-tax effects of the gain or loss related to the change in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warrant liability, periodic costs incurred in connection with capital markets transactions, net realized gains or losses from our investment portfolio, and other infrequent, unusual or non-operating items in the periods in which such items are incurred.</w:t>
      </w:r>
    </w:p>
    <w:p>
      <w:pPr>
        <w:spacing w:after="0" w:line="128" w:lineRule="exact"/>
        <w:rPr>
          <w:sz w:val="20"/>
          <w:szCs w:val="20"/>
          <w:color w:val="auto"/>
        </w:rPr>
      </w:pPr>
    </w:p>
    <w:p>
      <w:pPr>
        <w:jc w:val="both"/>
        <w:ind w:left="74" w:firstLine="632"/>
        <w:spacing w:after="0" w:line="252"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defined as GAAP net income, excluding the after-tax effects of the gain or loss related to the change in fair value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liability, periodic costs incurred in connection with capital markets transactions, net realized gains or losses from our investment portfolio, and other infrequent, unusual or non-operating items in the periods in which such items are incurred. Adjustments to components of pre-tax income are tax effected using the applicable federal statutory tax rate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3"/>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14"/>
          </w:cols>
          <w:pgMar w:left="246" w:top="997" w:right="339" w:bottom="1440" w:gutter="0" w:footer="0" w:header="0"/>
        </w:sectPr>
      </w:pPr>
    </w:p>
    <w:bookmarkStart w:id="44" w:name="page45"/>
    <w:bookmarkEnd w:id="44"/>
    <w:p>
      <w:pPr>
        <w:jc w:val="both"/>
        <w:ind w:firstLine="632"/>
        <w:spacing w:after="0" w:line="294" w:lineRule="auto"/>
        <w:rPr>
          <w:sz w:val="20"/>
          <w:szCs w:val="20"/>
          <w:color w:val="auto"/>
        </w:rPr>
      </w:pPr>
      <w:r>
        <w:rPr>
          <w:rFonts w:ascii="Arial" w:cs="Arial" w:eastAsia="Arial" w:hAnsi="Arial"/>
          <w:sz w:val="16"/>
          <w:szCs w:val="16"/>
          <w:b w:val="1"/>
          <w:bCs w:val="1"/>
          <w:color w:val="auto"/>
        </w:rPr>
        <w:t xml:space="preserve">Adjusted diluted EPS </w:t>
      </w:r>
      <w:r>
        <w:rPr>
          <w:rFonts w:ascii="Arial" w:cs="Arial" w:eastAsia="Arial" w:hAnsi="Arial"/>
          <w:sz w:val="16"/>
          <w:szCs w:val="16"/>
          <w:color w:val="auto"/>
        </w:rPr>
        <w:t>is defined as adjusted net income divided by adjusted weighted average diluted shares outstanding. Adjusted weighted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06"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139" w:lineRule="exact"/>
        <w:rPr>
          <w:sz w:val="20"/>
          <w:szCs w:val="20"/>
          <w:color w:val="auto"/>
        </w:rPr>
      </w:pPr>
    </w:p>
    <w:p>
      <w:pPr>
        <w:jc w:val="both"/>
        <w:ind w:left="640" w:hanging="318"/>
        <w:spacing w:after="0" w:line="24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 Outstanding warrants at the end of each reporting period are revalued, and any change in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Furthermore, all unexercised warrants expired in April 2022 and, as such, no change in fair value will be recognized in future reporting periods thereafter. We believe trends in our operating performance can be more clearly identified by excluding fluctuations related to the change in fair value of our warrant liability.</w:t>
      </w:r>
    </w:p>
    <w:p>
      <w:pPr>
        <w:spacing w:after="0" w:line="144" w:lineRule="exact"/>
        <w:rPr>
          <w:rFonts w:ascii="Arial" w:cs="Arial" w:eastAsia="Arial" w:hAnsi="Arial"/>
          <w:sz w:val="18"/>
          <w:szCs w:val="18"/>
          <w:color w:val="auto"/>
        </w:rPr>
      </w:pPr>
    </w:p>
    <w:p>
      <w:pPr>
        <w:jc w:val="both"/>
        <w:ind w:left="640" w:hanging="318"/>
        <w:spacing w:after="0" w:line="253"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Capital markets transaction costs</w:t>
      </w:r>
      <w:r>
        <w:rPr>
          <w:rFonts w:ascii="Arial" w:cs="Arial" w:eastAsia="Arial" w:hAnsi="Arial"/>
          <w:sz w:val="18"/>
          <w:szCs w:val="18"/>
          <w:color w:val="auto"/>
        </w:rPr>
        <w:t>. Capital markets transaction costs result from activities that are undertaken to improve our debt profile or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135" w:lineRule="exact"/>
        <w:rPr>
          <w:rFonts w:ascii="Arial" w:cs="Arial" w:eastAsia="Arial" w:hAnsi="Arial"/>
          <w:sz w:val="18"/>
          <w:szCs w:val="18"/>
          <w:color w:val="auto"/>
        </w:rPr>
      </w:pPr>
    </w:p>
    <w:p>
      <w:pPr>
        <w:jc w:val="both"/>
        <w:ind w:left="640" w:hanging="318"/>
        <w:spacing w:after="0" w:line="253"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Net realized investment gains and losses</w:t>
      </w:r>
      <w:r>
        <w:rPr>
          <w:rFonts w:ascii="Arial" w:cs="Arial" w:eastAsia="Arial" w:hAnsi="Arial"/>
          <w:sz w:val="18"/>
          <w:szCs w:val="18"/>
          <w:color w:val="auto"/>
        </w:rPr>
        <w:t>. The recognition of the net realized investment gains or losses can vary significantly across periods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35" w:lineRule="exact"/>
        <w:rPr>
          <w:rFonts w:ascii="Arial" w:cs="Arial" w:eastAsia="Arial" w:hAnsi="Arial"/>
          <w:sz w:val="18"/>
          <w:szCs w:val="18"/>
          <w:color w:val="auto"/>
        </w:rPr>
      </w:pPr>
    </w:p>
    <w:p>
      <w:pPr>
        <w:jc w:val="both"/>
        <w:ind w:left="640" w:hanging="318"/>
        <w:spacing w:after="0" w:line="283"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Other infrequent, unusual or non-operating items</w:t>
      </w:r>
      <w:r>
        <w:rPr>
          <w:rFonts w:ascii="Arial" w:cs="Arial" w:eastAsia="Arial" w:hAnsi="Arial"/>
          <w:sz w:val="16"/>
          <w:szCs w:val="16"/>
          <w:color w:val="auto"/>
        </w:rPr>
        <w:t>. Items that are the result of unforeseen or uncommon events, and are not expected to recur with</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2"/>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80"/>
        </w:trPr>
        <w:tc>
          <w:tcPr>
            <w:tcW w:w="7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gridSpan w:val="4"/>
          </w:tcPr>
          <w:p>
            <w:pPr>
              <w:jc w:val="right"/>
              <w:ind w:right="1193"/>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4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 portfolio</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2,233,656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2,099,389</w:t>
            </w:r>
          </w:p>
        </w:tc>
        <w:tc>
          <w:tcPr>
            <w:tcW w:w="0" w:type="dxa"/>
            <w:vAlign w:val="bottom"/>
          </w:tcPr>
          <w:p>
            <w:pPr>
              <w:spacing w:after="0"/>
              <w:rPr>
                <w:sz w:val="1"/>
                <w:szCs w:val="1"/>
                <w:color w:val="auto"/>
              </w:rPr>
            </w:pPr>
          </w:p>
        </w:tc>
      </w:tr>
      <w:tr>
        <w:trPr>
          <w:trHeight w:val="224"/>
        </w:trPr>
        <w:tc>
          <w:tcPr>
            <w:tcW w:w="78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73,319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44,426</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69,680</w:t>
            </w:r>
          </w:p>
        </w:tc>
        <w:tc>
          <w:tcPr>
            <w:tcW w:w="0" w:type="dxa"/>
            <w:vAlign w:val="bottom"/>
          </w:tcPr>
          <w:p>
            <w:pPr>
              <w:spacing w:after="0"/>
              <w:rPr>
                <w:sz w:val="1"/>
                <w:szCs w:val="1"/>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58,564</w:t>
            </w:r>
          </w:p>
        </w:tc>
        <w:tc>
          <w:tcPr>
            <w:tcW w:w="0" w:type="dxa"/>
            <w:vAlign w:val="bottom"/>
          </w:tcPr>
          <w:p>
            <w:pPr>
              <w:spacing w:after="0"/>
              <w:rPr>
                <w:sz w:val="1"/>
                <w:szCs w:val="1"/>
                <w:color w:val="auto"/>
              </w:rPr>
            </w:pPr>
          </w:p>
        </w:tc>
      </w:tr>
      <w:tr>
        <w:trPr>
          <w:trHeight w:val="231"/>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31,930</w:t>
            </w:r>
          </w:p>
        </w:tc>
        <w:tc>
          <w:tcPr>
            <w:tcW w:w="0" w:type="dxa"/>
            <w:vAlign w:val="bottom"/>
          </w:tcPr>
          <w:p>
            <w:pPr>
              <w:spacing w:after="0"/>
              <w:rPr>
                <w:sz w:val="1"/>
                <w:szCs w:val="1"/>
                <w:color w:val="auto"/>
              </w:rPr>
            </w:pPr>
          </w:p>
        </w:tc>
      </w:tr>
      <w:tr>
        <w:trPr>
          <w:trHeight w:val="224"/>
        </w:trPr>
        <w:tc>
          <w:tcPr>
            <w:tcW w:w="7800" w:type="dxa"/>
            <w:vAlign w:val="bottom"/>
          </w:tcPr>
          <w:p>
            <w:pPr>
              <w:ind w:left="220"/>
              <w:spacing w:after="0"/>
              <w:rPr>
                <w:sz w:val="20"/>
                <w:szCs w:val="20"/>
                <w:color w:val="auto"/>
              </w:rPr>
            </w:pPr>
            <w:r>
              <w:rPr>
                <w:rFonts w:ascii="Arial" w:cs="Arial" w:eastAsia="Arial" w:hAnsi="Arial"/>
                <w:sz w:val="18"/>
                <w:szCs w:val="18"/>
                <w:color w:val="auto"/>
              </w:rPr>
              <w:t>Reinsurance recoverable</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21,587</w:t>
            </w:r>
          </w:p>
        </w:tc>
        <w:tc>
          <w:tcPr>
            <w:tcW w:w="0" w:type="dxa"/>
            <w:vAlign w:val="bottom"/>
          </w:tcPr>
          <w:p>
            <w:pPr>
              <w:spacing w:after="0"/>
              <w:rPr>
                <w:sz w:val="1"/>
                <w:szCs w:val="1"/>
                <w:color w:val="auto"/>
              </w:rPr>
            </w:pPr>
          </w:p>
        </w:tc>
      </w:tr>
      <w:tr>
        <w:trPr>
          <w:trHeight w:val="23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federal income tax</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154,409</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2,689,850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20"/>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vMerge w:val="continue"/>
          </w:tcPr>
          <w:p>
            <w:pPr>
              <w:spacing w:after="0"/>
              <w:rPr>
                <w:sz w:val="17"/>
                <w:szCs w:val="17"/>
                <w:color w:val="auto"/>
              </w:rPr>
            </w:pPr>
          </w:p>
        </w:tc>
        <w:tc>
          <w:tcPr>
            <w:tcW w:w="280" w:type="dxa"/>
            <w:vAlign w:val="bottom"/>
          </w:tcPr>
          <w:p>
            <w:pPr>
              <w:jc w:val="right"/>
              <w:ind w:right="72"/>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396,808</w:t>
            </w:r>
          </w:p>
        </w:tc>
        <w:tc>
          <w:tcPr>
            <w:tcW w:w="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396,051</w:t>
            </w:r>
          </w:p>
        </w:tc>
        <w:tc>
          <w:tcPr>
            <w:tcW w:w="0" w:type="dxa"/>
            <w:vAlign w:val="bottom"/>
          </w:tcPr>
          <w:p>
            <w:pPr>
              <w:spacing w:after="0"/>
              <w:rPr>
                <w:sz w:val="1"/>
                <w:szCs w:val="1"/>
                <w:color w:val="auto"/>
              </w:rPr>
            </w:pPr>
          </w:p>
        </w:tc>
      </w:tr>
      <w:tr>
        <w:trPr>
          <w:trHeight w:val="231"/>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123,035</w:t>
            </w:r>
          </w:p>
        </w:tc>
        <w:tc>
          <w:tcPr>
            <w:tcW w:w="0" w:type="dxa"/>
            <w:vAlign w:val="bottom"/>
          </w:tcPr>
          <w:p>
            <w:pPr>
              <w:spacing w:after="0"/>
              <w:rPr>
                <w:sz w:val="1"/>
                <w:szCs w:val="1"/>
                <w:color w:val="auto"/>
              </w:rPr>
            </w:pPr>
          </w:p>
        </w:tc>
      </w:tr>
      <w:tr>
        <w:trPr>
          <w:trHeight w:val="224"/>
        </w:trPr>
        <w:tc>
          <w:tcPr>
            <w:tcW w:w="780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72,506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74,576</w:t>
            </w:r>
          </w:p>
        </w:tc>
        <w:tc>
          <w:tcPr>
            <w:tcW w:w="0" w:type="dxa"/>
            <w:vAlign w:val="bottom"/>
          </w:tcPr>
          <w:p>
            <w:pPr>
              <w:spacing w:after="0"/>
              <w:rPr>
                <w:sz w:val="1"/>
                <w:szCs w:val="1"/>
                <w:color w:val="auto"/>
              </w:rPr>
            </w:pPr>
          </w:p>
        </w:tc>
      </w:tr>
      <w:tr>
        <w:trPr>
          <w:trHeight w:val="23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99,836</w:t>
            </w:r>
          </w:p>
        </w:tc>
        <w:tc>
          <w:tcPr>
            <w:tcW w:w="0" w:type="dxa"/>
            <w:vAlign w:val="bottom"/>
          </w:tcPr>
          <w:p>
            <w:pPr>
              <w:spacing w:after="0"/>
              <w:rPr>
                <w:sz w:val="1"/>
                <w:szCs w:val="1"/>
                <w:color w:val="auto"/>
              </w:rPr>
            </w:pPr>
          </w:p>
        </w:tc>
      </w:tr>
      <w:tr>
        <w:trPr>
          <w:trHeight w:val="224"/>
        </w:trPr>
        <w:tc>
          <w:tcPr>
            <w:tcW w:w="7800" w:type="dxa"/>
            <w:vAlign w:val="bottom"/>
          </w:tcPr>
          <w:p>
            <w:pPr>
              <w:ind w:left="220"/>
              <w:spacing w:after="0"/>
              <w:rPr>
                <w:sz w:val="20"/>
                <w:szCs w:val="20"/>
                <w:color w:val="auto"/>
              </w:rPr>
            </w:pPr>
            <w:r>
              <w:rPr>
                <w:rFonts w:ascii="Arial" w:cs="Arial" w:eastAsia="Arial" w:hAnsi="Arial"/>
                <w:sz w:val="18"/>
                <w:szCs w:val="18"/>
                <w:color w:val="auto"/>
              </w:rPr>
              <w:t>Reinsurance funds withheld</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liability, net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193,859</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940,895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902,303</w:t>
            </w:r>
          </w:p>
        </w:tc>
        <w:tc>
          <w:tcPr>
            <w:tcW w:w="0" w:type="dxa"/>
            <w:vAlign w:val="bottom"/>
          </w:tcPr>
          <w:p>
            <w:pPr>
              <w:spacing w:after="0"/>
              <w:rPr>
                <w:sz w:val="1"/>
                <w:szCs w:val="1"/>
                <w:color w:val="auto"/>
              </w:rPr>
            </w:pPr>
          </w:p>
        </w:tc>
      </w:tr>
      <w:tr>
        <w:trPr>
          <w:trHeight w:val="217"/>
        </w:trPr>
        <w:tc>
          <w:tcPr>
            <w:tcW w:w="780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1,748,955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1,613,727</w:t>
            </w:r>
          </w:p>
        </w:tc>
        <w:tc>
          <w:tcPr>
            <w:tcW w:w="0" w:type="dxa"/>
            <w:vAlign w:val="bottom"/>
          </w:tcPr>
          <w:p>
            <w:pPr>
              <w:spacing w:after="0"/>
              <w:rPr>
                <w:sz w:val="1"/>
                <w:szCs w:val="1"/>
                <w:color w:val="auto"/>
              </w:rPr>
            </w:pPr>
          </w:p>
        </w:tc>
      </w:tr>
      <w:tr>
        <w:trPr>
          <w:trHeight w:val="25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2,516,030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Total cash and investments were $2.3 billion as of June 30, 2023, compared to $2.1 billion as of December 31, 2022. Cash and investments at June 30, 2023 included $138.9 million held by NMIH. The increase in total cash and investments reflects the addition of incremental cash provided by operating activities, as well as a decrease in the unrealized loss position of our fixed income portfolio, partially offset by share repurchase activity during the six months ended June 30, 2023.</w:t>
      </w:r>
    </w:p>
    <w:p>
      <w:pPr>
        <w:spacing w:after="0" w:line="139"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Premiums receivable was $72.4 million as of June 30, 2023, compared to $69.7 million as of December 31, 2022. The increase was primarily driven by growth in our monthly premium policies in force, where premiums are generally paid one month in arrears.</w:t>
      </w:r>
    </w:p>
    <w:p>
      <w:pPr>
        <w:spacing w:after="0" w:line="128"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Net deferred policy acquisition costs were $61.2 million as of June 30, 2023, compared to $58.6 million as of December 31, 2022. The increase was primarily driven by the deferral of certain costs associated with the origination of new policies between the respective balance sheet dates, partially offset by the recognition of previously deferred policy acquisition costs.</w:t>
      </w:r>
    </w:p>
    <w:p>
      <w:pPr>
        <w:spacing w:after="0" w:line="136"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Reinsurance recoverable was $24.0 million as of June 30, 2023, compared to $21.6 million as of December 31, 2022. The increase was driven by an increase in ceded losses recoverable under our QSR Transactions.</w:t>
      </w:r>
    </w:p>
    <w:p>
      <w:pPr>
        <w:spacing w:after="0" w:line="128"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Prepaid federal income tax was $154.4 million as of both June 30, 2023 and December 31, 2022. Prepaid federal income tax represents tax and loss bonds purchased in connection with our claimed tax deduction for our statutory contingency reserve position. See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8, Income Taxes.</w:t>
      </w:r>
      <w:r>
        <w:rPr>
          <w:rFonts w:ascii="Arial" w:cs="Arial" w:eastAsia="Arial" w:hAnsi="Arial"/>
          <w:sz w:val="18"/>
          <w:szCs w:val="18"/>
          <w:color w:val="auto"/>
        </w:rPr>
        <w:t>"</w:t>
      </w:r>
    </w:p>
    <w:p>
      <w:pPr>
        <w:spacing w:after="0" w:line="136"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Other assets were $38.7 million as of June 30, 2023, compared to $36.0 million as of December 31, 2022. The increase was primarily driven by increases in our accrued investment income and prepaid expenses.</w:t>
      </w:r>
    </w:p>
    <w:p>
      <w:pPr>
        <w:spacing w:after="0" w:line="128"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Unearned premiums were $105.1 million as of June 30, 2023, compared to $123.0 million as of December 31, 2022. The decrease was driven by the amortization of existing unearned premiums through earnings in accordance with the expiration of risk on related single premium policies and the cancellations of other single premium policies, partially offset by single premium policy originations during the six months ended June 30, 2023.</w:t>
      </w:r>
    </w:p>
    <w:p>
      <w:pPr>
        <w:spacing w:after="0" w:line="100"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Accounts payable and accrued expenses were $72.5 million as of June 30, 2023, compared to $74.6 million as of December 31, 2022. The decrease was primarily driven by the settlement of previously accrued compensation expenses and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certain contractual payables during the six months ended June 30, 2023, partially offset by increases in our reinsurance premium and current tax payables.</w:t>
      </w:r>
    </w:p>
    <w:p>
      <w:pPr>
        <w:spacing w:after="0" w:line="185"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Reserve for insurance claims and claim expenses was $110.4 million as of June 30, 2023, compared to $99.8 million as of December 31, 2022. The increase was primarily driven by the establishment of initial reserves on newly defaulted loans during the six months ended June 30, 2023, as well as an increase in the average case reserve held against previously defaulted loans that have aged in their delinquency status. The increase in the reserves for insurance claims and claim expenses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Arial" w:cs="Arial" w:eastAsia="Arial" w:hAnsi="Arial"/>
          <w:sz w:val="16"/>
          <w:szCs w:val="16"/>
          <w:i w:val="1"/>
          <w:iCs w:val="1"/>
          <w:color w:val="auto"/>
        </w:rPr>
        <w:t>Insurance Claims and Claim Expenses</w:t>
      </w:r>
      <w:r>
        <w:rPr>
          <w:rFonts w:ascii="Arial" w:cs="Arial" w:eastAsia="Arial" w:hAnsi="Arial"/>
          <w:sz w:val="16"/>
          <w:szCs w:val="16"/>
          <w:color w:val="auto"/>
        </w:rPr>
        <w:t>," above for further details.</w:t>
      </w:r>
    </w:p>
    <w:p>
      <w:pPr>
        <w:spacing w:after="0" w:line="116"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Reinsurance funds withheld, which represents our ceded reinsurance premiums written, less our profit and ceding commission receivables related to the 2016 QSR Transaction was $1.7 million as of June 30, 2023, compared to $2.7 million as of December 31, 2022. The decrease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6"/>
          <w:szCs w:val="16"/>
          <w:i w:val="1"/>
          <w:iCs w:val="1"/>
          <w:color w:val="auto"/>
        </w:rPr>
        <w:t>Financial Statements - Notes to Condensed Consolidated Financial Statements - Note 5, Reinsurance</w:t>
      </w:r>
      <w:r>
        <w:rPr>
          <w:rFonts w:ascii="Arial" w:cs="Arial" w:eastAsia="Arial" w:hAnsi="Arial"/>
          <w:sz w:val="16"/>
          <w:szCs w:val="16"/>
          <w:color w:val="auto"/>
        </w:rPr>
        <w:t>."</w:t>
      </w:r>
    </w:p>
    <w:p>
      <w:pPr>
        <w:spacing w:after="0" w:line="109"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Net deferred tax liability was $242.1 million as of June 30, 2023, compared to $193.9 million as of December 31, 2022. The increase was primarily due to an increase in the claimed deductibility of our statutory contingency reserve and the decrease in unrealized losses recorded in other comprehensive income. For further information regarding income taxes and their impact on our results of operations and financial position, see Item 1, "</w:t>
      </w:r>
      <w:r>
        <w:rPr>
          <w:rFonts w:ascii="Arial" w:cs="Arial" w:eastAsia="Arial" w:hAnsi="Arial"/>
          <w:sz w:val="18"/>
          <w:szCs w:val="18"/>
          <w:i w:val="1"/>
          <w:iCs w:val="1"/>
          <w:color w:val="auto"/>
        </w:rPr>
        <w:t>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Notes to Condensed Consolidated Financial Statements - Note 8, Income Taxes</w:t>
      </w:r>
      <w:r>
        <w:rPr>
          <w:rFonts w:ascii="Arial" w:cs="Arial" w:eastAsia="Arial" w:hAnsi="Arial"/>
          <w:sz w:val="18"/>
          <w:szCs w:val="18"/>
          <w:color w:val="auto"/>
        </w:rPr>
        <w:t>."</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Consolidated cash flows</w:t>
            </w:r>
          </w:p>
        </w:tc>
        <w:tc>
          <w:tcPr>
            <w:tcW w:w="4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For the six months ended June 30,</w:t>
            </w:r>
          </w:p>
        </w:tc>
      </w:tr>
      <w:tr>
        <w:trPr>
          <w:trHeight w:val="182"/>
        </w:trPr>
        <w:tc>
          <w:tcPr>
            <w:tcW w:w="76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r>
      <w:tr>
        <w:trPr>
          <w:trHeight w:val="218"/>
        </w:trPr>
        <w:tc>
          <w:tcPr>
            <w:tcW w:w="766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420" w:type="dxa"/>
            <w:vAlign w:val="bottom"/>
          </w:tcPr>
          <w:p>
            <w:pPr>
              <w:spacing w:after="0"/>
              <w:rPr>
                <w:sz w:val="18"/>
                <w:szCs w:val="18"/>
                <w:color w:val="auto"/>
              </w:rPr>
            </w:pPr>
          </w:p>
        </w:tc>
        <w:tc>
          <w:tcPr>
            <w:tcW w:w="1980" w:type="dxa"/>
            <w:vAlign w:val="bottom"/>
            <w:gridSpan w:val="3"/>
          </w:tcPr>
          <w:p>
            <w:pPr>
              <w:jc w:val="right"/>
              <w:ind w:right="18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8"/>
                <w:szCs w:val="18"/>
                <w:color w:val="auto"/>
              </w:rPr>
            </w:pPr>
          </w:p>
        </w:tc>
      </w:tr>
      <w:tr>
        <w:trPr>
          <w:trHeight w:val="224"/>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191,740</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173,834</w:t>
            </w:r>
          </w:p>
        </w:tc>
      </w:tr>
      <w:tr>
        <w:trPr>
          <w:trHeight w:val="230"/>
        </w:trPr>
        <w:tc>
          <w:tcPr>
            <w:tcW w:w="76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(119,470)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(147,756)</w:t>
            </w:r>
          </w:p>
        </w:tc>
      </w:tr>
      <w:tr>
        <w:trPr>
          <w:trHeight w:val="231"/>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(30,326)</w:t>
            </w:r>
          </w:p>
        </w:tc>
      </w:tr>
      <w:tr>
        <w:trPr>
          <w:trHeight w:val="217"/>
        </w:trPr>
        <w:tc>
          <w:tcPr>
            <w:tcW w:w="76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28,893</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(4,248)</w:t>
            </w:r>
          </w:p>
        </w:tc>
      </w:tr>
      <w:tr>
        <w:trPr>
          <w:trHeight w:val="20"/>
        </w:trPr>
        <w:tc>
          <w:tcPr>
            <w:tcW w:w="7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Net cash provided by operating activities was $191.7 million for the six months ended June 30, 2023, compared to $173.8 million for the six months ended June 30, 2022. Cash provided by operating activities increased during the six months ended June 30, 2023, primarily due to the growth in our investment income, an increase in net premiums receipts and a reduction in the payment of incentive compensation.</w:t>
      </w:r>
    </w:p>
    <w:p>
      <w:pPr>
        <w:spacing w:after="0" w:line="136"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Cash used in investing activities for the six months ended June 30, 2023 and June 30, 2022 reflects the purchase of fixed and short-term maturities with cash provided by operating activities, and the reinvestment of coupon payments, maturities and sale proceeds within our investment portfolio.</w:t>
      </w:r>
    </w:p>
    <w:p>
      <w:pPr>
        <w:spacing w:after="0" w:line="81"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Cash used in financing activities was $43.4 million for the six months ended June 30, 2023, compared to $30.3 million for the six months ended June 30, 2022. Cash used in financing activities primarily relates to the repurchase of common stock.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8"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2021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16"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As of June 30, 2023, NMIH had $138.9 million of cash and investments. NMIH's principal sources of net cash are dividends from its subsidiaries and investment income. NMIC paid a $98.0 million ordinary course dividend to NMIH in May 2023, representing its full ordinary course dividend capacity payable under Wisconsin law for the twelve-month period ending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7" w:name="page48"/>
    <w:bookmarkEnd w:id="47"/>
    <w:p>
      <w:pPr>
        <w:jc w:val="both"/>
        <w:spacing w:after="0" w:line="262" w:lineRule="auto"/>
        <w:rPr>
          <w:sz w:val="20"/>
          <w:szCs w:val="20"/>
          <w:color w:val="auto"/>
        </w:rPr>
      </w:pPr>
      <w:r>
        <w:rPr>
          <w:rFonts w:ascii="Arial" w:cs="Arial" w:eastAsia="Arial" w:hAnsi="Arial"/>
          <w:sz w:val="18"/>
          <w:szCs w:val="18"/>
          <w:color w:val="auto"/>
        </w:rPr>
        <w:t>December 31, 2023. NMIH also has access to $250 million of undrawn revolving credit capacity under the 2021 Revolving Credit Facility. See Item 1, "</w:t>
      </w:r>
      <w:r>
        <w:rPr>
          <w:rFonts w:ascii="Arial" w:cs="Arial" w:eastAsia="Arial" w:hAnsi="Arial"/>
          <w:sz w:val="18"/>
          <w:szCs w:val="18"/>
          <w:i w:val="1"/>
          <w:iCs w:val="1"/>
          <w:color w:val="auto"/>
        </w:rPr>
        <w:t>Financial Statements - Notes to Condensed Consolidated Financial Statements - Note 4, Debt."</w:t>
      </w:r>
    </w:p>
    <w:p>
      <w:pPr>
        <w:spacing w:after="0" w:line="128"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On February 10, 2022, our Board of Directors approved a $125 million share repurchase program (excluding associated costs and applicable taxes) through December 31, 2023, that enables the company to repurchase its common stock. The authorization provides NMIH the flexibility, based on market and business conditions, stock price and other factors, to repurchase stock from time to time through open market repurchases, privately negotiated transactions, or other means, including pursuant to Rule 10b5-1 trading plans. During the six months ended June 30, 2023, NMIH repurchased 1.7 million shares of common stock at a total cost of $41.1 million, including associated costs and applicable taxes. As of June 30, 2023, $27.7 million of repurchase authority remained available under the program.</w:t>
      </w:r>
    </w:p>
    <w:p>
      <w:pPr>
        <w:spacing w:after="0" w:line="145"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On July 31, 2023, our Board of Directors approved a new $200 million share repurchase program (excluding associated costs and applicable taxes) effective through December 31, 2025. Concurrent with the new authorization, our Board also approved an extension of our existing $125 million share repurchase program through December 31, 2025 to align its remaining tenor with that of the new $200 million program.</w:t>
      </w:r>
    </w:p>
    <w:p>
      <w:pPr>
        <w:spacing w:after="0" w:line="100"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09"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The Notes mature on June 1, 2025 and bear interest at a rate of 7.375%, payable semi-annually on June 1 and December 1. The 2021 Revolving Credit Facility matures on the earlier of (x) November 29, 2025 or (y) if any existing senior secured notes remain outstanding on such date, February 28, 2025, and accrues interest at a variable rate equal to, at our discretion, (i) a Base Rate (as defined in the 2021 Revolving Credit Facility, subject to a floor of 1.00% per annum) plus a margin of 0.375% to 1.875% per annum, or (ii) the Adjusted Term SOFR Rate (as defined in the 2021 Revolving Credit Facility) plus a margin of 1.375% to 2.875% per annum, with the margin in each of (i) or (ii) based on our applicable corporate credit rating at the time. Borrowings under the 2021 Revolving Credit Facility may be used for general corporate purposes, including to support the growth of our new business production and operations.</w:t>
      </w:r>
    </w:p>
    <w:p>
      <w:pPr>
        <w:spacing w:after="0" w:line="116"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Under the 2021 Revolving Credit Facility, NMIH is required to pay a quarterly commitment fee on the average daily undrawn amount of 0.175% to 0.525%, based on the applicable corporate credit rating at the time. As of June 30, 2023, the applicable commitment fee was 0.30%.</w:t>
      </w:r>
    </w:p>
    <w:p>
      <w:pPr>
        <w:spacing w:after="0" w:line="81"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We are subject to certain covenants under the 2021 Revolving Credit Facility, including: a maximum debt-to-total capitalization ratio of 35%, a requirement to maintain compliance with the PMIERs financial requirements (subject to any GSE approved waivers), and minimum consolidated net worth and statutory capital requirements (respectively, as defined therein). We were in compliance with all covenants at June 30, 2023.</w:t>
      </w:r>
    </w:p>
    <w:p>
      <w:pPr>
        <w:spacing w:after="0" w:line="100" w:lineRule="exact"/>
        <w:rPr>
          <w:sz w:val="20"/>
          <w:szCs w:val="20"/>
          <w:color w:val="auto"/>
        </w:rPr>
      </w:pPr>
    </w:p>
    <w:p>
      <w:pPr>
        <w:jc w:val="both"/>
        <w:ind w:firstLine="632"/>
        <w:spacing w:after="0" w:line="283" w:lineRule="auto"/>
        <w:rPr>
          <w:sz w:val="20"/>
          <w:szCs w:val="20"/>
          <w:color w:val="auto"/>
        </w:rPr>
      </w:pPr>
      <w:r>
        <w:rPr>
          <w:rFonts w:ascii="Arial" w:cs="Arial" w:eastAsia="Arial" w:hAnsi="Arial"/>
          <w:sz w:val="16"/>
          <w:szCs w:val="16"/>
          <w:color w:val="auto"/>
        </w:rPr>
        <w:t>NMIC and Re One are subject to certain capital and dividend rules and regulations prescribed by jurisdictions in which they are authorized to operate and by the GSEs. Under Wisconsin law, NMIC and Re One may pay dividends up to specified levels (</w:t>
      </w:r>
      <w:r>
        <w:rPr>
          <w:rFonts w:ascii="Arial" w:cs="Arial" w:eastAsia="Arial" w:hAnsi="Arial"/>
          <w:sz w:val="16"/>
          <w:szCs w:val="16"/>
          <w:i w:val="1"/>
          <w:iCs w:val="1"/>
          <w:color w:val="auto"/>
        </w:rPr>
        <w:t>i.e.,</w:t>
      </w:r>
      <w:r>
        <w:rPr>
          <w:rFonts w:ascii="Arial" w:cs="Arial" w:eastAsia="Arial" w:hAnsi="Arial"/>
          <w:sz w:val="16"/>
          <w:szCs w:val="16"/>
          <w:color w:val="auto"/>
        </w:rPr>
        <w:t xml:space="preserv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On May 12, 2023, NMIC paid a $98.0 million ordinary course dividend to NMIH, representing its full ordinary course dividend capacity payable under Wisconsin law for the twelve-month period ending December 31, 2023.</w:t>
      </w:r>
    </w:p>
    <w:p>
      <w:pPr>
        <w:spacing w:after="0" w:line="115" w:lineRule="exact"/>
        <w:rPr>
          <w:sz w:val="20"/>
          <w:szCs w:val="20"/>
          <w:color w:val="auto"/>
        </w:rPr>
      </w:pPr>
    </w:p>
    <w:p>
      <w:pPr>
        <w:jc w:val="both"/>
        <w:ind w:firstLine="632"/>
        <w:spacing w:after="0" w:line="253"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136"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6"/>
          <w:szCs w:val="16"/>
          <w:i w:val="1"/>
          <w:iCs w:val="1"/>
          <w:color w:val="auto"/>
        </w:rPr>
        <w:t xml:space="preserve">minimum required asset </w:t>
      </w:r>
      <w:r>
        <w:rPr>
          <w:rFonts w:ascii="Arial" w:cs="Arial" w:eastAsia="Arial" w:hAnsi="Arial"/>
          <w:sz w:val="16"/>
          <w:szCs w:val="16"/>
          <w:color w:val="auto"/>
        </w:rPr>
        <w:t>thresholds under the PMIERs and minimum state capital requirements (respectively, as defined therein).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8" w:name="page49"/>
    <w:bookmarkEnd w:id="48"/>
    <w:p>
      <w:pPr>
        <w:jc w:val="both"/>
        <w:ind w:firstLine="632"/>
        <w:spacing w:after="0" w:line="291" w:lineRule="auto"/>
        <w:rPr>
          <w:sz w:val="20"/>
          <w:szCs w:val="20"/>
          <w:color w:val="auto"/>
        </w:rPr>
      </w:pPr>
      <w:r>
        <w:rPr>
          <w:rFonts w:ascii="Arial" w:cs="Arial" w:eastAsia="Arial" w:hAnsi="Arial"/>
          <w:sz w:val="16"/>
          <w:szCs w:val="16"/>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June 30, 2023, NMIC reported $2,491 million available assets against $1,318 million risk-based required assets for a $1,173 million "excess" funding position.</w:t>
      </w:r>
    </w:p>
    <w:p>
      <w:pPr>
        <w:spacing w:after="0" w:line="109" w:lineRule="exact"/>
        <w:rPr>
          <w:sz w:val="20"/>
          <w:szCs w:val="20"/>
          <w:color w:val="auto"/>
        </w:rPr>
      </w:pPr>
    </w:p>
    <w:p>
      <w:pPr>
        <w:jc w:val="both"/>
        <w:ind w:firstLine="632"/>
        <w:spacing w:after="0" w:line="282" w:lineRule="auto"/>
        <w:rPr>
          <w:sz w:val="20"/>
          <w:szCs w:val="20"/>
          <w:color w:val="auto"/>
        </w:rPr>
      </w:pPr>
      <w:r>
        <w:rPr>
          <w:rFonts w:ascii="Arial" w:cs="Arial" w:eastAsia="Arial" w:hAnsi="Arial"/>
          <w:sz w:val="16"/>
          <w:szCs w:val="16"/>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 In June 2020, the GSEs issued guidance (which was subsequently amended and restated) on the risk-based treatment of loans affected by the COVID-19 pandemic.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115"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and XOL Transactions, it generally receives credit for the PMIERs risk-based required asset amount on ceded RIF to the extent such requirement is within the subordinated coverage (excess of loss detachment threshold) afforded by the transaction.</w:t>
      </w:r>
    </w:p>
    <w:p>
      <w:pPr>
        <w:spacing w:after="0" w:line="112"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June 30, 2023, NMIC's performing primary RIF, net of reinsurance, was approximately $26.4 billion. NMIC ceded 100% of its pool RIF</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2016 QSR Transaction. Based on NMIC's total statutory capital of $2.3 billion (including contingency reserves) as of June 30, 2023, NMIC's RTC ratio was 11.3:1. Re One has no risk in force remaining and no longer reports a RTC ratio.</w:t>
      </w:r>
    </w:p>
    <w:p>
      <w:pPr>
        <w:spacing w:after="0" w:line="128" w:lineRule="exact"/>
        <w:rPr>
          <w:sz w:val="20"/>
          <w:szCs w:val="20"/>
          <w:color w:val="auto"/>
        </w:rPr>
      </w:pPr>
    </w:p>
    <w:p>
      <w:pPr>
        <w:jc w:val="both"/>
        <w:ind w:firstLine="632"/>
        <w:spacing w:after="0" w:line="279" w:lineRule="auto"/>
        <w:rPr>
          <w:sz w:val="20"/>
          <w:szCs w:val="20"/>
          <w:color w:val="auto"/>
        </w:rPr>
      </w:pPr>
      <w:r>
        <w:rPr>
          <w:rFonts w:ascii="Arial" w:cs="Arial" w:eastAsia="Arial" w:hAnsi="Arial"/>
          <w:sz w:val="16"/>
          <w:szCs w:val="16"/>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June 30, 2023, NMIC had $2.2 billion of cash and investments, including $16.1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June 30, 2023, NMIC generated $338 million of cash flow from operations and received an additional $300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6"/>
          <w:szCs w:val="16"/>
          <w:i w:val="1"/>
          <w:iCs w:val="1"/>
          <w:color w:val="auto"/>
        </w:rPr>
        <w:t>i.e.</w:t>
      </w:r>
      <w:r>
        <w:rPr>
          <w:rFonts w:ascii="Arial" w:cs="Arial" w:eastAsia="Arial" w:hAnsi="Arial"/>
          <w:sz w:val="16"/>
          <w:szCs w:val="16"/>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remain available, and the general duration of the default to foreclosure to claim cycle, we do not expect NMIC to use a meaningful amount of cash to settle claims in the near-term.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Financial Strength Ratings</w:t>
      </w:r>
    </w:p>
    <w:p>
      <w:pPr>
        <w:spacing w:after="0" w:line="168"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NMIC's financial strength is rated "Baa1" by Moody's and "BBB" by S&amp;P. NMIH’s Notes are rated “Ba1” by Moody’s and its long-term counter-party credit profile is rated “BB” by S&amp;P. The outlook for all ratings provided by Moody's and S&amp;P is stable.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6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9"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Our investment portfolio is comprised entirely of fixed maturity instruments. As of June 30, 2023, the fair value of our investment portfolio was $2.2 billion and we held an additional $73.3 million of cash and cash equivalents. Pre-tax book yield on the investment portfolio for the six months ended June 30, 2023 was 2.5%.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present a breakdown of our investment portfolio and cash and cash equivalents by investment type and credit rating: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Percentage of portfolio's fair value</w:t>
            </w:r>
          </w:p>
        </w:tc>
        <w:tc>
          <w:tcPr>
            <w:tcW w:w="18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December 31, 2022</w:t>
            </w:r>
          </w:p>
        </w:tc>
      </w:tr>
      <w:tr>
        <w:trPr>
          <w:trHeight w:val="222"/>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4"/>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w:t>
            </w:r>
          </w:p>
        </w:tc>
        <w:tc>
          <w:tcPr>
            <w:tcW w:w="1820" w:type="dxa"/>
            <w:vAlign w:val="bottom"/>
          </w:tcPr>
          <w:p>
            <w:pPr>
              <w:jc w:val="right"/>
              <w:ind w:right="135"/>
              <w:spacing w:after="0"/>
              <w:rPr>
                <w:sz w:val="20"/>
                <w:szCs w:val="20"/>
                <w:color w:val="auto"/>
              </w:rPr>
            </w:pPr>
            <w:r>
              <w:rPr>
                <w:rFonts w:ascii="Arial" w:cs="Arial" w:eastAsia="Arial" w:hAnsi="Arial"/>
                <w:sz w:val="18"/>
                <w:szCs w:val="18"/>
                <w:color w:val="auto"/>
              </w:rPr>
              <w:t>26</w:t>
            </w:r>
          </w:p>
        </w:tc>
        <w:tc>
          <w:tcPr>
            <w:tcW w:w="1940" w:type="dxa"/>
            <w:vAlign w:val="bottom"/>
            <w:gridSpan w:val="2"/>
          </w:tcPr>
          <w:p>
            <w:pPr>
              <w:jc w:val="right"/>
              <w:ind w:right="121"/>
              <w:spacing w:after="0"/>
              <w:rPr>
                <w:sz w:val="20"/>
                <w:szCs w:val="20"/>
                <w:color w:val="auto"/>
              </w:rPr>
            </w:pPr>
            <w:r>
              <w:rPr>
                <w:rFonts w:ascii="Arial" w:cs="Arial" w:eastAsia="Arial" w:hAnsi="Arial"/>
                <w:sz w:val="18"/>
                <w:szCs w:val="18"/>
                <w:color w:val="auto"/>
              </w:rPr>
              <w:t>23</w:t>
            </w:r>
          </w:p>
        </w:tc>
      </w:tr>
      <w:tr>
        <w:trPr>
          <w:trHeight w:val="23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1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w:t>
            </w:r>
          </w:p>
        </w:tc>
        <w:tc>
          <w:tcPr>
            <w:tcW w:w="1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w:t>
            </w:r>
          </w:p>
        </w:tc>
      </w:tr>
      <w:tr>
        <w:trPr>
          <w:trHeight w:val="224"/>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820" w:type="dxa"/>
            <w:vAlign w:val="bottom"/>
          </w:tcPr>
          <w:p>
            <w:pPr>
              <w:jc w:val="right"/>
              <w:ind w:right="135"/>
              <w:spacing w:after="0"/>
              <w:rPr>
                <w:sz w:val="20"/>
                <w:szCs w:val="20"/>
                <w:color w:val="auto"/>
              </w:rPr>
            </w:pPr>
            <w:r>
              <w:rPr>
                <w:rFonts w:ascii="Arial" w:cs="Arial" w:eastAsia="Arial" w:hAnsi="Arial"/>
                <w:sz w:val="18"/>
                <w:szCs w:val="18"/>
                <w:color w:val="auto"/>
              </w:rPr>
              <w:t>4</w:t>
            </w:r>
          </w:p>
        </w:tc>
        <w:tc>
          <w:tcPr>
            <w:tcW w:w="1940" w:type="dxa"/>
            <w:vAlign w:val="bottom"/>
            <w:gridSpan w:val="2"/>
          </w:tcPr>
          <w:p>
            <w:pPr>
              <w:jc w:val="right"/>
              <w:ind w:right="121"/>
              <w:spacing w:after="0"/>
              <w:rPr>
                <w:sz w:val="20"/>
                <w:szCs w:val="20"/>
                <w:color w:val="auto"/>
              </w:rPr>
            </w:pPr>
            <w:r>
              <w:rPr>
                <w:rFonts w:ascii="Arial" w:cs="Arial" w:eastAsia="Arial" w:hAnsi="Arial"/>
                <w:sz w:val="18"/>
                <w:szCs w:val="18"/>
                <w:color w:val="auto"/>
              </w:rPr>
              <w:t>4</w:t>
            </w:r>
          </w:p>
        </w:tc>
      </w:tr>
      <w:tr>
        <w:trPr>
          <w:trHeight w:val="224"/>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8"/>
                <w:szCs w:val="18"/>
                <w:color w:val="auto"/>
              </w:rPr>
              <w:t>3</w:t>
            </w:r>
          </w:p>
        </w:tc>
      </w:tr>
      <w:tr>
        <w:trPr>
          <w:trHeight w:val="231"/>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Pr>
          <w:p>
            <w:pPr>
              <w:jc w:val="right"/>
              <w:spacing w:after="0"/>
              <w:rPr>
                <w:sz w:val="20"/>
                <w:szCs w:val="20"/>
                <w:color w:val="auto"/>
              </w:rPr>
            </w:pPr>
            <w:r>
              <w:rPr>
                <w:rFonts w:ascii="Arial" w:cs="Arial" w:eastAsia="Arial" w:hAnsi="Arial"/>
                <w:sz w:val="18"/>
                <w:szCs w:val="18"/>
                <w:color w:val="auto"/>
              </w:rPr>
              <w:t>100 %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r>
        <w:trPr>
          <w:trHeight w:val="454"/>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18"/>
                <w:szCs w:val="18"/>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December 31, 2022</w:t>
            </w:r>
          </w:p>
        </w:tc>
      </w:tr>
      <w:tr>
        <w:trPr>
          <w:trHeight w:val="21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7"/>
        </w:trPr>
        <w:tc>
          <w:tcPr>
            <w:tcW w:w="7480" w:type="dxa"/>
            <w:vAlign w:val="bottom"/>
            <w:gridSpan w:val="2"/>
          </w:tcPr>
          <w:p>
            <w:pPr>
              <w:ind w:left="20"/>
              <w:spacing w:after="0" w:line="237" w:lineRule="exact"/>
              <w:rPr>
                <w:sz w:val="20"/>
                <w:szCs w:val="20"/>
                <w:color w:val="auto"/>
              </w:rPr>
            </w:pPr>
            <w:r>
              <w:rPr>
                <w:rFonts w:ascii="Arial" w:cs="Arial" w:eastAsia="Arial" w:hAnsi="Arial"/>
                <w:sz w:val="27"/>
                <w:szCs w:val="27"/>
                <w:color w:val="auto"/>
                <w:vertAlign w:val="subscript"/>
              </w:rPr>
              <w:t>AA</w:t>
            </w:r>
            <w:r>
              <w:rPr>
                <w:rFonts w:ascii="Arial" w:cs="Arial" w:eastAsia="Arial" w:hAnsi="Arial"/>
                <w:sz w:val="10"/>
                <w:szCs w:val="10"/>
                <w:color w:val="auto"/>
              </w:rPr>
              <w:t>(2)</w:t>
            </w:r>
          </w:p>
        </w:tc>
        <w:tc>
          <w:tcPr>
            <w:tcW w:w="1820" w:type="dxa"/>
            <w:vAlign w:val="bottom"/>
          </w:tcPr>
          <w:p>
            <w:pPr>
              <w:jc w:val="right"/>
              <w:ind w:right="135"/>
              <w:spacing w:after="0"/>
              <w:rPr>
                <w:sz w:val="20"/>
                <w:szCs w:val="20"/>
                <w:color w:val="auto"/>
              </w:rPr>
            </w:pPr>
            <w:r>
              <w:rPr>
                <w:rFonts w:ascii="Arial" w:cs="Arial" w:eastAsia="Arial" w:hAnsi="Arial"/>
                <w:sz w:val="18"/>
                <w:szCs w:val="18"/>
                <w:color w:val="auto"/>
              </w:rPr>
              <w:t>29</w:t>
            </w:r>
          </w:p>
        </w:tc>
        <w:tc>
          <w:tcPr>
            <w:tcW w:w="1940" w:type="dxa"/>
            <w:vAlign w:val="bottom"/>
            <w:gridSpan w:val="2"/>
          </w:tcPr>
          <w:p>
            <w:pPr>
              <w:jc w:val="right"/>
              <w:ind w:right="121"/>
              <w:spacing w:after="0"/>
              <w:rPr>
                <w:sz w:val="20"/>
                <w:szCs w:val="20"/>
                <w:color w:val="auto"/>
              </w:rPr>
            </w:pPr>
            <w:r>
              <w:rPr>
                <w:rFonts w:ascii="Arial" w:cs="Arial" w:eastAsia="Arial" w:hAnsi="Arial"/>
                <w:sz w:val="18"/>
                <w:szCs w:val="18"/>
                <w:color w:val="auto"/>
              </w:rPr>
              <w:t>25</w:t>
            </w:r>
          </w:p>
        </w:tc>
      </w:tr>
      <w:tr>
        <w:trPr>
          <w:trHeight w:val="224"/>
        </w:trPr>
        <w:tc>
          <w:tcPr>
            <w:tcW w:w="74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25"/>
                <w:szCs w:val="25"/>
                <w:color w:val="auto"/>
                <w:vertAlign w:val="subscript"/>
              </w:rPr>
              <w:t>A</w:t>
            </w:r>
            <w:r>
              <w:rPr>
                <w:rFonts w:ascii="Arial" w:cs="Arial" w:eastAsia="Arial" w:hAnsi="Arial"/>
                <w:sz w:val="10"/>
                <w:szCs w:val="10"/>
                <w:color w:val="auto"/>
              </w:rPr>
              <w:t>(2)</w:t>
            </w:r>
          </w:p>
        </w:tc>
        <w:tc>
          <w:tcPr>
            <w:tcW w:w="1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43</w:t>
            </w:r>
          </w:p>
        </w:tc>
        <w:tc>
          <w:tcPr>
            <w:tcW w:w="1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41</w:t>
            </w:r>
          </w:p>
        </w:tc>
      </w:tr>
      <w:tr>
        <w:trPr>
          <w:trHeight w:val="224"/>
        </w:trPr>
        <w:tc>
          <w:tcPr>
            <w:tcW w:w="748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BBB</w:t>
            </w:r>
            <w:r>
              <w:rPr>
                <w:rFonts w:ascii="Arial" w:cs="Arial" w:eastAsia="Arial" w:hAnsi="Arial"/>
                <w:sz w:val="22"/>
                <w:szCs w:val="22"/>
                <w:color w:val="auto"/>
                <w:vertAlign w:val="superscript"/>
              </w:rPr>
              <w:t>(2)</w:t>
            </w:r>
          </w:p>
        </w:tc>
        <w:tc>
          <w:tcPr>
            <w:tcW w:w="1820" w:type="dxa"/>
            <w:vAlign w:val="bottom"/>
          </w:tcPr>
          <w:p>
            <w:pPr>
              <w:jc w:val="right"/>
              <w:ind w:right="135"/>
              <w:spacing w:after="0"/>
              <w:rPr>
                <w:sz w:val="20"/>
                <w:szCs w:val="20"/>
                <w:color w:val="auto"/>
              </w:rPr>
            </w:pPr>
            <w:r>
              <w:rPr>
                <w:rFonts w:ascii="Arial" w:cs="Arial" w:eastAsia="Arial" w:hAnsi="Arial"/>
                <w:sz w:val="18"/>
                <w:szCs w:val="18"/>
                <w:color w:val="auto"/>
              </w:rPr>
              <w:t>14</w:t>
            </w:r>
          </w:p>
        </w:tc>
        <w:tc>
          <w:tcPr>
            <w:tcW w:w="1940" w:type="dxa"/>
            <w:vAlign w:val="bottom"/>
            <w:gridSpan w:val="2"/>
          </w:tcPr>
          <w:p>
            <w:pPr>
              <w:jc w:val="right"/>
              <w:ind w:right="121"/>
              <w:spacing w:after="0"/>
              <w:rPr>
                <w:sz w:val="20"/>
                <w:szCs w:val="20"/>
                <w:color w:val="auto"/>
              </w:rPr>
            </w:pPr>
            <w:r>
              <w:rPr>
                <w:rFonts w:ascii="Arial" w:cs="Arial" w:eastAsia="Arial" w:hAnsi="Arial"/>
                <w:sz w:val="18"/>
                <w:szCs w:val="18"/>
                <w:color w:val="auto"/>
              </w:rPr>
              <w:t>15</w:t>
            </w:r>
          </w:p>
        </w:tc>
      </w:tr>
      <w:tr>
        <w:trPr>
          <w:trHeight w:val="224"/>
        </w:trPr>
        <w:tc>
          <w:tcPr>
            <w:tcW w:w="74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25"/>
                <w:szCs w:val="25"/>
                <w:color w:val="auto"/>
                <w:vertAlign w:val="subscript"/>
              </w:rPr>
              <w:t>BB</w:t>
            </w:r>
            <w:r>
              <w:rPr>
                <w:rFonts w:ascii="Arial" w:cs="Arial" w:eastAsia="Arial" w:hAnsi="Arial"/>
                <w:sz w:val="10"/>
                <w:szCs w:val="10"/>
                <w:color w:val="auto"/>
              </w:rPr>
              <w:t xml:space="preserve"> (3)</w:t>
            </w:r>
          </w:p>
        </w:tc>
        <w:tc>
          <w:tcPr>
            <w:tcW w:w="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7"/>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Pr>
          <w:p>
            <w:pPr>
              <w:jc w:val="right"/>
              <w:spacing w:after="0"/>
              <w:rPr>
                <w:sz w:val="20"/>
                <w:szCs w:val="20"/>
                <w:color w:val="auto"/>
              </w:rPr>
            </w:pPr>
            <w:r>
              <w:rPr>
                <w:rFonts w:ascii="Arial" w:cs="Arial" w:eastAsia="Arial" w:hAnsi="Arial"/>
                <w:sz w:val="18"/>
                <w:szCs w:val="18"/>
                <w:color w:val="auto"/>
              </w:rPr>
              <w:t>100 %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00" w:hanging="295"/>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Excluding certain operating cash accounts.</w:t>
      </w:r>
    </w:p>
    <w:p>
      <w:pPr>
        <w:spacing w:after="0" w:line="18" w:lineRule="exact"/>
        <w:rPr>
          <w:rFonts w:ascii="Arial" w:cs="Arial" w:eastAsia="Arial" w:hAnsi="Arial"/>
          <w:sz w:val="14"/>
          <w:szCs w:val="14"/>
          <w:color w:val="auto"/>
        </w:rPr>
      </w:pPr>
    </w:p>
    <w:p>
      <w:pPr>
        <w:ind w:left="300" w:hanging="295"/>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 ratings.</w:t>
      </w:r>
    </w:p>
    <w:p>
      <w:pPr>
        <w:spacing w:after="0" w:line="10" w:lineRule="exact"/>
        <w:rPr>
          <w:rFonts w:ascii="Arial" w:cs="Arial" w:eastAsia="Arial" w:hAnsi="Arial"/>
          <w:sz w:val="14"/>
          <w:szCs w:val="14"/>
          <w:color w:val="auto"/>
        </w:rPr>
      </w:pPr>
    </w:p>
    <w:p>
      <w:pPr>
        <w:ind w:left="300" w:hanging="295"/>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held one security with a BB+ rating at June 30, 2023 and December 31, 2022, which is not identifiable in the table due to rounding.</w:t>
      </w:r>
    </w:p>
    <w:p>
      <w:pPr>
        <w:spacing w:after="0" w:line="233"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Securities - Allowance for credit losses</w:t>
      </w:r>
    </w:p>
    <w:p>
      <w:pPr>
        <w:spacing w:after="0" w:line="162"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We did not recognize an allowance for credit loss for any security in the investment portfolio as of June 30, 2023 or December 31, 2022, and we did not record any provision for credit loss for investment securities during the three or six month periods ended June 30, 2023 or June 30, 2022.</w:t>
      </w:r>
    </w:p>
    <w:p>
      <w:pPr>
        <w:spacing w:after="0" w:line="81"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As of June 30, 2023, the investment portfolio had gross unrealized losses of $234.6 million, of which $224.9 million were associated with securities that had been in an unrealized loss position for a period of twelve months or longer. As of December 31, 2022, the investment portfolio had gross unrealized losses of $254.7 million, of which $218.5 million were associated with securities that had been in an unrealized loss position for a period of twelve months or longer.</w:t>
      </w:r>
    </w:p>
    <w:p>
      <w:pPr>
        <w:spacing w:after="0" w:line="139" w:lineRule="exact"/>
        <w:rPr>
          <w:sz w:val="20"/>
          <w:szCs w:val="20"/>
          <w:color w:val="auto"/>
        </w:rPr>
      </w:pPr>
    </w:p>
    <w:p>
      <w:pPr>
        <w:jc w:val="both"/>
        <w:ind w:firstLine="632"/>
        <w:spacing w:after="0" w:line="248" w:lineRule="auto"/>
        <w:rPr>
          <w:sz w:val="20"/>
          <w:szCs w:val="20"/>
          <w:color w:val="auto"/>
        </w:rPr>
      </w:pPr>
      <w:r>
        <w:rPr>
          <w:rFonts w:ascii="Arial" w:cs="Arial" w:eastAsia="Arial" w:hAnsi="Arial"/>
          <w:sz w:val="18"/>
          <w:szCs w:val="18"/>
          <w:color w:val="auto"/>
        </w:rPr>
        <w:t>We evaluated the securities in an unrealized loss position as of June 30, 2023, assessing their credit ratings as well as any adverse conditions specifically related to the security. Based upon our estimate of the amount and timing of cash flows to be collected over the remaining life of each instrument, we believe the unrealized losses as of June 30, 2023 are not indicative of the ultimate collectability of the current amortized cost of the securities. Rather, the unrealized losses on securities held as of June 30, 2023 were primarily driven by fluctuations in interest rates, and to a lesser extent, movements in credit spreads following the purchase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9"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2022 10-K.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8" w:lineRule="exact"/>
        <w:rPr>
          <w:sz w:val="20"/>
          <w:szCs w:val="20"/>
          <w:color w:val="auto"/>
        </w:rPr>
      </w:pPr>
    </w:p>
    <w:p>
      <w:pPr>
        <w:ind w:firstLine="632"/>
        <w:spacing w:after="0" w:line="325" w:lineRule="auto"/>
        <w:rPr>
          <w:sz w:val="20"/>
          <w:szCs w:val="20"/>
          <w:color w:val="auto"/>
        </w:rPr>
      </w:pPr>
      <w:r>
        <w:rPr>
          <w:rFonts w:ascii="Arial" w:cs="Arial" w:eastAsia="Arial" w:hAnsi="Arial"/>
          <w:sz w:val="16"/>
          <w:szCs w:val="16"/>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manage market risk via a defined investment policy implemented by our treasury function with oversight from our Board's Risk Committee.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0" w:lineRule="exact"/>
        <w:rPr>
          <w:sz w:val="20"/>
          <w:szCs w:val="20"/>
          <w:color w:val="auto"/>
        </w:rPr>
      </w:pPr>
    </w:p>
    <w:p>
      <w:pPr>
        <w:jc w:val="both"/>
        <w:ind w:left="960" w:hanging="322"/>
        <w:spacing w:after="0" w:line="24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144" w:lineRule="exact"/>
        <w:rPr>
          <w:rFonts w:ascii="Arial" w:cs="Arial" w:eastAsia="Arial" w:hAnsi="Arial"/>
          <w:sz w:val="18"/>
          <w:szCs w:val="18"/>
          <w:color w:val="auto"/>
        </w:rPr>
      </w:pPr>
    </w:p>
    <w:p>
      <w:pPr>
        <w:ind w:left="960" w:hanging="322"/>
        <w:spacing w:after="0" w:line="262" w:lineRule="auto"/>
        <w:tabs>
          <w:tab w:leader="none" w:pos="9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27" w:lineRule="exact"/>
        <w:rPr>
          <w:rFonts w:ascii="Arial" w:cs="Arial" w:eastAsia="Arial" w:hAnsi="Arial"/>
          <w:sz w:val="18"/>
          <w:szCs w:val="18"/>
          <w:i w:val="1"/>
          <w:iCs w:val="1"/>
          <w:color w:val="auto"/>
        </w:rPr>
      </w:pPr>
    </w:p>
    <w:p>
      <w:pPr>
        <w:ind w:left="960" w:hanging="322"/>
        <w:spacing w:after="0" w:line="325"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81" w:lineRule="exact"/>
        <w:rPr>
          <w:rFonts w:ascii="Arial" w:cs="Arial" w:eastAsia="Arial" w:hAnsi="Arial"/>
          <w:sz w:val="16"/>
          <w:szCs w:val="16"/>
          <w:color w:val="auto"/>
        </w:rPr>
      </w:pPr>
    </w:p>
    <w:p>
      <w:pPr>
        <w:ind w:left="960" w:hanging="322"/>
        <w:spacing w:after="0" w:line="325"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81" w:lineRule="exact"/>
        <w:rPr>
          <w:rFonts w:ascii="Arial" w:cs="Arial" w:eastAsia="Arial" w:hAnsi="Arial"/>
          <w:sz w:val="16"/>
          <w:szCs w:val="16"/>
          <w:color w:val="auto"/>
        </w:rPr>
      </w:pPr>
    </w:p>
    <w:p>
      <w:pPr>
        <w:ind w:left="960" w:hanging="322"/>
        <w:spacing w:after="0" w:line="262"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2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The carrying value of our investment portfolio as of June 30, 2023 and December 31, 2022 was $2.2 billion and $2.1 billion, respectively, all of which were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9" w:lineRule="exact"/>
        <w:rPr>
          <w:sz w:val="20"/>
          <w:szCs w:val="20"/>
          <w:color w:val="auto"/>
        </w:rPr>
      </w:pPr>
    </w:p>
    <w:p>
      <w:pPr>
        <w:jc w:val="both"/>
        <w:ind w:firstLine="632"/>
        <w:spacing w:after="0" w:line="291" w:lineRule="auto"/>
        <w:rPr>
          <w:sz w:val="20"/>
          <w:szCs w:val="20"/>
          <w:color w:val="auto"/>
        </w:rPr>
      </w:pPr>
      <w:r>
        <w:rPr>
          <w:rFonts w:ascii="Arial" w:cs="Arial" w:eastAsia="Arial" w:hAnsi="Arial"/>
          <w:sz w:val="16"/>
          <w:szCs w:val="16"/>
          <w:color w:val="auto"/>
        </w:rPr>
        <w:t>As of June 30, 2023, the duration of our fixed income portfolio, including cash and cash equivalents, was 3.81 years, which means that an instantaneous parallel shift (movement up or down) in the yield curve of 100 basis points would result in a change of 3.81% in fair value of our fixed income portfolio. Excluding cash, our fixed income portfolio duration was 3.83 years, which means that an instantaneous parallel shift (movement up or down) in the yield curve of 100 basis points would result in a change of 3.83% in fair value of our fixed income portfolio.</w:t>
      </w:r>
    </w:p>
    <w:p>
      <w:pPr>
        <w:spacing w:after="0" w:line="109"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We are also subject to market risk related to the 2021 Revolving Credit Facility and the ILN Transactions. As discussed in Item 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 Notes to Condensed Consolidated Financial Statements - Note 4, Debt</w:t>
      </w:r>
      <w:r>
        <w:rPr>
          <w:rFonts w:ascii="Arial" w:cs="Arial" w:eastAsia="Arial" w:hAnsi="Arial"/>
          <w:sz w:val="16"/>
          <w:szCs w:val="16"/>
          <w:color w:val="auto"/>
        </w:rPr>
        <w:t>" the 2021 Revolving Credit Facility bears interest at a variable rate and,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increases in market interest rates would generally result in increased interest expense on any outstanding drawn balances.</w:t>
      </w:r>
    </w:p>
    <w:p>
      <w:pPr>
        <w:spacing w:after="0" w:line="100"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8" w:lineRule="exact"/>
        <w:rPr>
          <w:sz w:val="20"/>
          <w:szCs w:val="20"/>
          <w:color w:val="auto"/>
        </w:rPr>
      </w:pPr>
    </w:p>
    <w:p>
      <w:pPr>
        <w:jc w:val="both"/>
        <w:ind w:firstLine="632"/>
        <w:spacing w:after="0" w:line="250"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9"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June 30, 2023,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45" w:lineRule="exact"/>
        <w:rPr>
          <w:sz w:val="20"/>
          <w:szCs w:val="20"/>
          <w:color w:val="auto"/>
        </w:rPr>
      </w:pPr>
    </w:p>
    <w:p>
      <w:pPr>
        <w:jc w:val="both"/>
        <w:ind w:firstLine="632"/>
        <w:spacing w:after="0" w:line="300" w:lineRule="auto"/>
        <w:rPr>
          <w:sz w:val="20"/>
          <w:szCs w:val="20"/>
          <w:color w:val="auto"/>
        </w:rPr>
      </w:pPr>
      <w:r>
        <w:rPr>
          <w:rFonts w:ascii="Arial" w:cs="Arial" w:eastAsia="Arial" w:hAnsi="Arial"/>
          <w:sz w:val="16"/>
          <w:szCs w:val="16"/>
          <w:color w:val="auto"/>
        </w:rPr>
        <w:t>Based upon that evaluation, our Chief Executive Officer and Chief Financial Officer concluded that, as of June 30, 2023,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8" w:lineRule="exact"/>
        <w:rPr>
          <w:sz w:val="20"/>
          <w:szCs w:val="20"/>
          <w:color w:val="auto"/>
        </w:rPr>
      </w:pPr>
    </w:p>
    <w:p>
      <w:pPr>
        <w:jc w:val="both"/>
        <w:ind w:firstLine="632"/>
        <w:spacing w:after="0" w:line="262"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8"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45" w:lineRule="exact"/>
        <w:rPr>
          <w:sz w:val="20"/>
          <w:szCs w:val="20"/>
          <w:color w:val="auto"/>
        </w:rPr>
      </w:pPr>
    </w:p>
    <w:p>
      <w:pPr>
        <w:jc w:val="both"/>
        <w:ind w:firstLine="632"/>
        <w:spacing w:after="0" w:line="287" w:lineRule="auto"/>
        <w:rPr>
          <w:sz w:val="20"/>
          <w:szCs w:val="20"/>
          <w:color w:val="auto"/>
        </w:rPr>
      </w:pPr>
      <w:r>
        <w:rPr>
          <w:rFonts w:ascii="Arial" w:cs="Arial" w:eastAsia="Arial" w:hAnsi="Arial"/>
          <w:sz w:val="16"/>
          <w:szCs w:val="16"/>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2" w:lineRule="exact"/>
        <w:rPr>
          <w:sz w:val="20"/>
          <w:szCs w:val="20"/>
          <w:color w:val="auto"/>
        </w:rPr>
      </w:pPr>
    </w:p>
    <w:p>
      <w:pPr>
        <w:jc w:val="both"/>
        <w:ind w:firstLine="632"/>
        <w:spacing w:after="0" w:line="284" w:lineRule="auto"/>
        <w:rPr>
          <w:sz w:val="20"/>
          <w:szCs w:val="20"/>
          <w:color w:val="auto"/>
        </w:rPr>
      </w:pPr>
      <w:r>
        <w:rPr>
          <w:rFonts w:ascii="Arial" w:cs="Arial" w:eastAsia="Arial" w:hAnsi="Arial"/>
          <w:sz w:val="16"/>
          <w:szCs w:val="16"/>
          <w:color w:val="auto"/>
        </w:rPr>
        <w:t>We have been named as a defendant in one litigation case that involves refunds of mortgage insurance premiums under the Homeowners Protection Act. We currently are unable to assess the outcome of this litigation nor whether this litigation may become material over time.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5" w:lineRule="exact"/>
        <w:rPr>
          <w:sz w:val="20"/>
          <w:szCs w:val="20"/>
          <w:color w:val="auto"/>
        </w:rPr>
      </w:pPr>
    </w:p>
    <w:p>
      <w:pPr>
        <w:jc w:val="both"/>
        <w:ind w:firstLine="632"/>
        <w:spacing w:after="0" w:line="233"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2022 10-K. As of the date of this report, other than as included below, we are not aware of any material changes in our risk factors from the risk factors disclosed in our 2022 10-K. You should carefully consider the risks and uncertainties described herein and in our 2022 10-K, which have the potential to affect our business, financial condition, results of operations, cash flows or prospects in a material and adverse manner. The risks described herein and in our 2022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recent SEC proposal on conflicted transactions could materially adversely affect our business, results of operations and financial condition.</w:t>
      </w:r>
    </w:p>
    <w:p>
      <w:pPr>
        <w:spacing w:after="0" w:line="264" w:lineRule="exact"/>
        <w:rPr>
          <w:sz w:val="20"/>
          <w:szCs w:val="20"/>
          <w:color w:val="auto"/>
        </w:rPr>
      </w:pPr>
    </w:p>
    <w:p>
      <w:pPr>
        <w:jc w:val="both"/>
        <w:ind w:firstLine="632"/>
        <w:spacing w:after="0" w:line="247" w:lineRule="auto"/>
        <w:rPr>
          <w:sz w:val="20"/>
          <w:szCs w:val="20"/>
          <w:color w:val="auto"/>
        </w:rPr>
      </w:pPr>
      <w:r>
        <w:rPr>
          <w:rFonts w:ascii="Arial" w:cs="Arial" w:eastAsia="Arial" w:hAnsi="Arial"/>
          <w:sz w:val="18"/>
          <w:szCs w:val="18"/>
          <w:color w:val="auto"/>
        </w:rPr>
        <w:t>The SEC issued a proposed rule in January 2023 that, among other things, prohibits certain participants in an asset-backed security, including a synthetic asset-backed security (synthetic ABS), from engaging in transactions that would involve or result in any material conflict of interest with respect to any investor in a transaction arising out of such activity (conflicted transaction). The definition of conflicted transactions is broadly defined and synthetic ABS could be broadly interpreted to include ILN Transactions. If this SEC proposal is adopted as proposed, it could affect or prohibit our ability to enter into credit risk transfer transactions using ILN Transactions. We are still assessing the potential impact of the rule on our credit risk transfer transactions if the rule is adopted as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information about purchases of NMI Holdings, Inc. common stock by us during the three months ended June 30,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 Shares</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1"/>
        </w:trPr>
        <w:tc>
          <w:tcPr>
            <w:tcW w:w="3500" w:type="dxa"/>
            <w:vAlign w:val="bottom"/>
          </w:tcPr>
          <w:p>
            <w:pPr>
              <w:spacing w:after="0"/>
              <w:rPr>
                <w:sz w:val="12"/>
                <w:szCs w:val="12"/>
                <w:color w:val="auto"/>
              </w:rPr>
            </w:pPr>
          </w:p>
        </w:tc>
        <w:tc>
          <w:tcPr>
            <w:tcW w:w="188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Purchased as Part of Publicly</w:t>
            </w:r>
          </w:p>
        </w:tc>
        <w:tc>
          <w:tcPr>
            <w:tcW w:w="260" w:type="dxa"/>
            <w:vAlign w:val="bottom"/>
          </w:tcPr>
          <w:p>
            <w:pPr>
              <w:spacing w:after="0"/>
              <w:rPr>
                <w:sz w:val="12"/>
                <w:szCs w:val="12"/>
                <w:color w:val="auto"/>
              </w:rPr>
            </w:pPr>
          </w:p>
        </w:tc>
        <w:tc>
          <w:tcPr>
            <w:tcW w:w="1700" w:type="dxa"/>
            <w:vAlign w:val="bottom"/>
          </w:tcPr>
          <w:p>
            <w:pPr>
              <w:jc w:val="center"/>
              <w:ind w:right="79"/>
              <w:spacing w:after="0" w:line="141"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Average Price Paid per Share</w:t>
            </w:r>
          </w:p>
        </w:tc>
        <w:tc>
          <w:tcPr>
            <w:tcW w:w="8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Announced Plans or</w:t>
            </w:r>
          </w:p>
        </w:tc>
        <w:tc>
          <w:tcPr>
            <w:tcW w:w="1960" w:type="dxa"/>
            <w:vAlign w:val="bottom"/>
            <w:gridSpan w:val="2"/>
          </w:tcPr>
          <w:p>
            <w:pPr>
              <w:jc w:val="center"/>
              <w:ind w:left="24"/>
              <w:spacing w:after="0" w:line="133" w:lineRule="exact"/>
              <w:rPr>
                <w:sz w:val="20"/>
                <w:szCs w:val="20"/>
                <w:color w:val="auto"/>
              </w:rPr>
            </w:pPr>
            <w:r>
              <w:rPr>
                <w:rFonts w:ascii="Arial" w:cs="Arial" w:eastAsia="Arial" w:hAnsi="Arial"/>
                <w:sz w:val="14"/>
                <w:szCs w:val="14"/>
                <w:b w:val="1"/>
                <w:bCs w:val="1"/>
                <w:color w:val="auto"/>
                <w:w w:val="89"/>
              </w:rPr>
              <w:t>Purchased Under the Plans or</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 except for per share data)</w:t>
            </w:r>
          </w:p>
        </w:tc>
        <w:tc>
          <w:tcPr>
            <w:tcW w:w="18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8"/>
                <w:szCs w:val="18"/>
                <w:b w:val="1"/>
                <w:bCs w:val="1"/>
                <w:color w:val="auto"/>
                <w:w w:val="88"/>
                <w:vertAlign w:val="superscript"/>
              </w:rPr>
              <w:t>(1)</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6"/>
              </w:rPr>
              <w:t xml:space="preserve">Program </w:t>
            </w:r>
            <w:r>
              <w:rPr>
                <w:rFonts w:ascii="Arial" w:cs="Arial" w:eastAsia="Arial" w:hAnsi="Arial"/>
                <w:sz w:val="18"/>
                <w:szCs w:val="18"/>
                <w:b w:val="1"/>
                <w:bCs w:val="1"/>
                <w:color w:val="auto"/>
                <w:w w:val="86"/>
                <w:vertAlign w:val="superscript"/>
              </w:rPr>
              <w:t>(1)</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Period:</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color w:val="auto"/>
              </w:rPr>
              <w:t>4/1/2023 to 4/30/2023</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53,697</w:t>
            </w: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5/1/2023 to 5/31/2023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564,735</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40,028</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6/1/2023 to 6/30/2023</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481,249</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8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481,249</w:t>
            </w:r>
          </w:p>
        </w:tc>
        <w:tc>
          <w:tcPr>
            <w:tcW w:w="26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27,725</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1,045,984</w:t>
            </w:r>
          </w:p>
        </w:tc>
        <w:tc>
          <w:tcPr>
            <w:tcW w:w="8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1,045,984</w:t>
            </w:r>
          </w:p>
        </w:tc>
        <w:tc>
          <w:tcPr>
            <w:tcW w:w="2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left="320" w:hanging="315"/>
        <w:spacing w:after="0" w:line="257" w:lineRule="auto"/>
        <w:tabs>
          <w:tab w:leader="none" w:pos="337" w:val="left"/>
        </w:tabs>
        <w:numPr>
          <w:ilvl w:val="0"/>
          <w:numId w:val="22"/>
        </w:numPr>
        <w:rPr>
          <w:rFonts w:ascii="Arial" w:cs="Arial" w:eastAsia="Arial" w:hAnsi="Arial"/>
          <w:sz w:val="14"/>
          <w:szCs w:val="14"/>
          <w:color w:val="auto"/>
        </w:rPr>
      </w:pPr>
      <w:r>
        <w:rPr>
          <w:rFonts w:ascii="Arial" w:cs="Arial" w:eastAsia="Arial" w:hAnsi="Arial"/>
          <w:sz w:val="14"/>
          <w:szCs w:val="14"/>
          <w:color w:val="auto"/>
        </w:rPr>
        <w:t>On February 10, 2022, our Board of Directors approved a $125 million share repurchase program effective through December 31, 2023, excluding associated costs and applicable taxes. As of June 30, 2023, $27.7 million of repurchase authority remained available under the program. On July 31, 2023, our Board of Directors approved an extension of the existing $125 million repurchase program through December 31, 2025. The Board also approved a new $200 million share repurchase program (excluding associated costs and applicable taxes) effective through December 31, 2025. See Part I, Item 1, "</w:t>
      </w:r>
      <w:r>
        <w:rPr>
          <w:rFonts w:ascii="Arial" w:cs="Arial" w:eastAsia="Arial" w:hAnsi="Arial"/>
          <w:sz w:val="14"/>
          <w:szCs w:val="14"/>
          <w:i w:val="1"/>
          <w:iCs w:val="1"/>
          <w:color w:val="auto"/>
        </w:rPr>
        <w:t>Financial Statements - Notes to Condensed Consolidated Financial Statements - Note 9, Stockholder's Equity and Note 13, Subsequent Events,</w:t>
      </w:r>
      <w:r>
        <w:rPr>
          <w:rFonts w:ascii="Arial" w:cs="Arial" w:eastAsia="Arial" w:hAnsi="Arial"/>
          <w:sz w:val="14"/>
          <w:szCs w:val="14"/>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20" w:type="dxa"/>
            <w:vAlign w:val="bottom"/>
          </w:tcPr>
          <w:p>
            <w:pPr>
              <w:jc w:val="center"/>
              <w:ind w:right="2292"/>
              <w:spacing w:after="0" w:line="198" w:lineRule="exact"/>
              <w:rPr>
                <w:sz w:val="20"/>
                <w:szCs w:val="20"/>
                <w:color w:val="auto"/>
              </w:rPr>
            </w:pPr>
            <w:r>
              <w:rPr>
                <w:rFonts w:ascii="Arial" w:cs="Arial" w:eastAsia="Arial" w:hAnsi="Arial"/>
                <w:sz w:val="18"/>
                <w:szCs w:val="18"/>
                <w:b w:val="1"/>
                <w:bCs w:val="1"/>
                <w:color w:val="auto"/>
                <w:w w:val="93"/>
              </w:rPr>
              <w:t>Exhibit</w:t>
            </w:r>
          </w:p>
        </w:tc>
        <w:tc>
          <w:tcPr>
            <w:tcW w:w="3080" w:type="dxa"/>
            <w:vAlign w:val="bottom"/>
            <w:vMerge w:val="restart"/>
          </w:tcPr>
          <w:p>
            <w:pPr>
              <w:ind w:left="2220"/>
              <w:spacing w:after="0"/>
              <w:rPr>
                <w:sz w:val="20"/>
                <w:szCs w:val="20"/>
                <w:color w:val="auto"/>
              </w:rPr>
            </w:pPr>
            <w:r>
              <w:rPr>
                <w:rFonts w:ascii="Arial" w:cs="Arial" w:eastAsia="Arial" w:hAnsi="Arial"/>
                <w:sz w:val="18"/>
                <w:szCs w:val="18"/>
                <w:b w:val="1"/>
                <w:bCs w:val="1"/>
                <w:color w:val="auto"/>
                <w:w w:val="84"/>
              </w:rPr>
              <w:t>Description</w:t>
            </w:r>
          </w:p>
        </w:tc>
        <w:tc>
          <w:tcPr>
            <w:tcW w:w="0" w:type="dxa"/>
            <w:vAlign w:val="bottom"/>
          </w:tcPr>
          <w:p>
            <w:pPr>
              <w:spacing w:after="0"/>
              <w:rPr>
                <w:sz w:val="1"/>
                <w:szCs w:val="1"/>
                <w:color w:val="auto"/>
              </w:rPr>
            </w:pPr>
          </w:p>
        </w:tc>
      </w:tr>
      <w:tr>
        <w:trPr>
          <w:trHeight w:val="228"/>
        </w:trPr>
        <w:tc>
          <w:tcPr>
            <w:tcW w:w="3420" w:type="dxa"/>
            <w:vAlign w:val="bottom"/>
          </w:tcPr>
          <w:p>
            <w:pPr>
              <w:jc w:val="center"/>
              <w:ind w:right="2272"/>
              <w:spacing w:after="0"/>
              <w:rPr>
                <w:sz w:val="20"/>
                <w:szCs w:val="20"/>
                <w:color w:val="auto"/>
              </w:rPr>
            </w:pPr>
            <w:r>
              <w:rPr>
                <w:rFonts w:ascii="Arial" w:cs="Arial" w:eastAsia="Arial" w:hAnsi="Arial"/>
                <w:sz w:val="18"/>
                <w:szCs w:val="18"/>
                <w:b w:val="1"/>
                <w:bCs w:val="1"/>
                <w:color w:val="auto"/>
                <w:w w:val="91"/>
              </w:rPr>
              <w:t>Number</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69684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pacing w:after="0" w:line="187" w:lineRule="exact"/>
        <w:rPr>
          <w:sz w:val="20"/>
          <w:szCs w:val="20"/>
          <w:color w:val="auto"/>
        </w:rPr>
      </w:pPr>
    </w:p>
    <w:p>
      <w:pPr>
        <w:jc w:val="both"/>
        <w:ind w:left="1160" w:hanging="755"/>
        <w:spacing w:after="0" w:line="228"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66">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 Registration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Statement (Registration No. 333-191635), filed on October 9, 2013)</w:t>
      </w:r>
    </w:p>
    <w:p>
      <w:pPr>
        <w:spacing w:after="0" w:line="2" w:lineRule="exact"/>
        <w:rPr>
          <w:sz w:val="20"/>
          <w:szCs w:val="20"/>
          <w:color w:val="auto"/>
        </w:rPr>
      </w:pPr>
    </w:p>
    <w:p>
      <w:pPr>
        <w:ind w:left="42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67">
        <w:r>
          <w:rPr>
            <w:rFonts w:ascii="Arial" w:cs="Arial" w:eastAsia="Arial" w:hAnsi="Arial"/>
            <w:sz w:val="16"/>
            <w:szCs w:val="16"/>
            <w:u w:val="single" w:color="auto"/>
            <w:color w:val="0000FF"/>
          </w:rPr>
          <w:t xml:space="preserve">Fourth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3.2 to our Form 8-K, filed on November 10, 2022)</w:t>
      </w:r>
    </w:p>
    <w:p>
      <w:pPr>
        <w:spacing w:after="0" w:line="30" w:lineRule="exact"/>
        <w:rPr>
          <w:sz w:val="20"/>
          <w:szCs w:val="20"/>
          <w:color w:val="auto"/>
        </w:rPr>
      </w:pPr>
    </w:p>
    <w:p>
      <w:pPr>
        <w:jc w:val="both"/>
        <w:ind w:left="1160" w:hanging="755"/>
        <w:spacing w:after="0" w:line="218" w:lineRule="auto"/>
        <w:tabs>
          <w:tab w:leader="none" w:pos="1140" w:val="left"/>
        </w:tabs>
        <w:rPr>
          <w:rFonts w:ascii="Arial" w:cs="Arial" w:eastAsia="Arial" w:hAnsi="Arial"/>
          <w:sz w:val="18"/>
          <w:szCs w:val="18"/>
          <w:color w:val="0000FF"/>
        </w:rPr>
      </w:pPr>
      <w:r>
        <w:rPr>
          <w:rFonts w:ascii="Arial" w:cs="Arial" w:eastAsia="Arial" w:hAnsi="Arial"/>
          <w:sz w:val="18"/>
          <w:szCs w:val="18"/>
          <w:color w:val="auto"/>
        </w:rPr>
        <w:t>4.1</w:t>
      </w:r>
      <w:r>
        <w:rPr>
          <w:sz w:val="20"/>
          <w:szCs w:val="20"/>
          <w:color w:val="auto"/>
        </w:rPr>
        <w:tab/>
      </w:r>
      <w:hyperlink r:id="rId68">
        <w:r>
          <w:rPr>
            <w:rFonts w:ascii="Arial" w:cs="Arial" w:eastAsia="Arial" w:hAnsi="Arial"/>
            <w:sz w:val="18"/>
            <w:szCs w:val="18"/>
            <w:u w:val="single" w:color="auto"/>
            <w:color w:val="0000FF"/>
          </w:rPr>
          <w:t>Indenture, dated as of June 19, 2020, among NMI Holdings, Inc., NMI Services, Inc. as the Initial Guarantor, and the Bank of New York</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Mellon Trust Company, N.A. as Trustee and Notes Collateral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w:t>
        </w:r>
      </w:hyperlink>
      <w:r>
        <w:rPr>
          <w:rFonts w:ascii="Arial" w:cs="Arial" w:eastAsia="Arial" w:hAnsi="Arial"/>
          <w:sz w:val="18"/>
          <w:szCs w:val="18"/>
          <w:color w:val="0000FF"/>
        </w:rPr>
        <w:t xml:space="preserve"> </w:t>
      </w:r>
      <w:r>
        <w:rPr>
          <w:rFonts w:ascii="Arial" w:cs="Arial" w:eastAsia="Arial" w:hAnsi="Arial"/>
          <w:sz w:val="18"/>
          <w:szCs w:val="18"/>
          <w:color w:val="000000"/>
        </w:rPr>
        <w:t>on June 19, 2020)</w:t>
      </w:r>
    </w:p>
    <w:p>
      <w:pPr>
        <w:spacing w:after="0" w:line="16" w:lineRule="exact"/>
        <w:rPr>
          <w:sz w:val="20"/>
          <w:szCs w:val="20"/>
          <w:color w:val="auto"/>
        </w:rPr>
      </w:pPr>
    </w:p>
    <w:p>
      <w:pPr>
        <w:ind w:left="42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69">
        <w:r>
          <w:rPr>
            <w:rFonts w:ascii="Arial" w:cs="Arial" w:eastAsia="Arial" w:hAnsi="Arial"/>
            <w:sz w:val="16"/>
            <w:szCs w:val="16"/>
            <w:u w:val="single" w:color="auto"/>
            <w:color w:val="0000FF"/>
          </w:rPr>
          <w:t xml:space="preserve">Description of Securities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by reference to Exhibit 4.8 to our Form 10-8, filed on February 16, 2022)</w:t>
      </w:r>
    </w:p>
    <w:p>
      <w:pPr>
        <w:spacing w:after="0" w:line="17" w:lineRule="exact"/>
        <w:rPr>
          <w:sz w:val="20"/>
          <w:szCs w:val="20"/>
          <w:color w:val="auto"/>
        </w:rPr>
      </w:pPr>
    </w:p>
    <w:p>
      <w:pPr>
        <w:ind w:left="1160" w:hanging="868"/>
        <w:spacing w:after="0" w:line="228"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70">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15" w:lineRule="exact"/>
        <w:rPr>
          <w:sz w:val="20"/>
          <w:szCs w:val="20"/>
          <w:color w:val="auto"/>
        </w:rPr>
      </w:pPr>
    </w:p>
    <w:p>
      <w:pPr>
        <w:ind w:left="1160" w:right="120" w:hanging="868"/>
        <w:spacing w:after="0" w:line="218"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 ~</w:t>
      </w:r>
      <w:r>
        <w:rPr>
          <w:sz w:val="20"/>
          <w:szCs w:val="20"/>
          <w:color w:val="auto"/>
        </w:rPr>
        <w:tab/>
      </w:r>
      <w:hyperlink r:id="rId71">
        <w:r>
          <w:rPr>
            <w:rFonts w:ascii="Arial" w:cs="Arial" w:eastAsia="Arial" w:hAnsi="Arial"/>
            <w:sz w:val="18"/>
            <w:szCs w:val="18"/>
            <w:u w:val="single" w:color="auto"/>
            <w:color w:val="0000FF"/>
          </w:rPr>
          <w:t xml:space="preserve">Form of NMI Holdings, Inc. 2012 Stock Incentive Plan Restricted Stock Unit Award Agreement (For Management) </w:t>
        </w:r>
      </w:hyperlink>
      <w:r>
        <w:rPr>
          <w:rFonts w:ascii="Arial" w:cs="Arial" w:eastAsia="Arial" w:hAnsi="Arial"/>
          <w:sz w:val="18"/>
          <w:szCs w:val="18"/>
          <w:color w:val="000000"/>
        </w:rPr>
        <w:t>(Other</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than CEO and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CFO) (incorporated herein by reference to Exhibit 10.3 to our Form S-1 Registration Statement (Registration No. 333-191635), filed on October 9, 2013)</w:t>
      </w:r>
    </w:p>
    <w:p>
      <w:pPr>
        <w:spacing w:after="0" w:line="16" w:lineRule="exact"/>
        <w:rPr>
          <w:sz w:val="20"/>
          <w:szCs w:val="20"/>
          <w:color w:val="auto"/>
        </w:rPr>
      </w:pPr>
    </w:p>
    <w:p>
      <w:pPr>
        <w:ind w:left="1160" w:right="180" w:hanging="868"/>
        <w:spacing w:after="0" w:line="257" w:lineRule="auto"/>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10.3 ~</w:t>
      </w:r>
      <w:r>
        <w:rPr>
          <w:sz w:val="20"/>
          <w:szCs w:val="20"/>
          <w:color w:val="auto"/>
        </w:rPr>
        <w:tab/>
      </w:r>
      <w:hyperlink r:id="rId72">
        <w:r>
          <w:rPr>
            <w:rFonts w:ascii="Arial" w:cs="Arial" w:eastAsia="Arial" w:hAnsi="Arial"/>
            <w:sz w:val="16"/>
            <w:szCs w:val="16"/>
            <w:u w:val="single" w:color="auto"/>
            <w:color w:val="0000FF"/>
          </w:rPr>
          <w:t xml:space="preserve">Form of NMI Holdings, Inc. 2012 Stock Incentive Plan Nonqualified Stock Option Award Agreement (For CEO and CFO)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10.5 to our Form S-1 Registration Statement (Registration No. 333-191635), filed on October 9, 2013)</w:t>
      </w:r>
    </w:p>
    <w:p>
      <w:pPr>
        <w:spacing w:after="0" w:line="1" w:lineRule="exact"/>
        <w:rPr>
          <w:sz w:val="20"/>
          <w:szCs w:val="20"/>
          <w:color w:val="auto"/>
        </w:rPr>
      </w:pPr>
    </w:p>
    <w:p>
      <w:pPr>
        <w:ind w:left="1160" w:right="280" w:hanging="868"/>
        <w:spacing w:after="0" w:line="266" w:lineRule="auto"/>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10.4 ~</w:t>
      </w:r>
      <w:r>
        <w:rPr>
          <w:sz w:val="20"/>
          <w:szCs w:val="20"/>
          <w:color w:val="auto"/>
        </w:rPr>
        <w:tab/>
      </w:r>
      <w:hyperlink r:id="rId73">
        <w:r>
          <w:rPr>
            <w:rFonts w:ascii="Arial" w:cs="Arial" w:eastAsia="Arial" w:hAnsi="Arial"/>
            <w:sz w:val="16"/>
            <w:szCs w:val="16"/>
            <w:u w:val="single" w:color="auto"/>
            <w:color w:val="0000FF"/>
          </w:rPr>
          <w:t xml:space="preserve">Form of NMI Holdings, Inc. 2012 Stock Incentive Plan Nonqualified Stock Option Award Agreement (For Management)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1160" w:right="80" w:hanging="868"/>
        <w:spacing w:after="0" w:line="241" w:lineRule="auto"/>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74">
        <w:r>
          <w:rPr>
            <w:rFonts w:ascii="Arial" w:cs="Arial" w:eastAsia="Arial" w:hAnsi="Arial"/>
            <w:sz w:val="16"/>
            <w:szCs w:val="16"/>
            <w:u w:val="single" w:color="auto"/>
            <w:color w:val="0000FF"/>
          </w:rPr>
          <w:t>Form of NMI Holdings, Inc. 2012 Stock Incentive Plan Nonqualified Stock Option Award Agreement (For Non-Employee Directors)</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(incorporated herein by reference to Exhibit 10.7 to our Form S-1 Registration Statement (Registration No. 333-191635), filed on October</w:t>
      </w:r>
    </w:p>
    <w:p>
      <w:pPr>
        <w:ind w:left="1160"/>
        <w:spacing w:after="0"/>
        <w:rPr>
          <w:sz w:val="20"/>
          <w:szCs w:val="20"/>
          <w:color w:val="auto"/>
        </w:rPr>
      </w:pPr>
      <w:r>
        <w:rPr>
          <w:rFonts w:ascii="Arial" w:cs="Arial" w:eastAsia="Arial" w:hAnsi="Arial"/>
          <w:sz w:val="18"/>
          <w:szCs w:val="18"/>
          <w:color w:val="auto"/>
        </w:rPr>
        <w:t>9, 2013)</w:t>
      </w:r>
    </w:p>
    <w:p>
      <w:pPr>
        <w:spacing w:after="0" w:line="3" w:lineRule="exact"/>
        <w:rPr>
          <w:sz w:val="20"/>
          <w:szCs w:val="20"/>
          <w:color w:val="auto"/>
        </w:rPr>
      </w:pPr>
    </w:p>
    <w:p>
      <w:pPr>
        <w:ind w:left="1160" w:right="460" w:hanging="868"/>
        <w:spacing w:after="0" w:line="228"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10.6 ~</w:t>
      </w:r>
      <w:r>
        <w:rPr>
          <w:sz w:val="20"/>
          <w:szCs w:val="20"/>
          <w:color w:val="auto"/>
        </w:rPr>
        <w:tab/>
      </w:r>
      <w:hyperlink r:id="rId75">
        <w:r>
          <w:rPr>
            <w:rFonts w:ascii="Arial" w:cs="Arial" w:eastAsia="Arial" w:hAnsi="Arial"/>
            <w:sz w:val="18"/>
            <w:szCs w:val="18"/>
            <w:u w:val="single" w:color="auto"/>
            <w:color w:val="0000FF"/>
          </w:rPr>
          <w:t xml:space="preserve">Form of NMI Holdings, Inc. 2012 Stock Incentive Plan Nonqualified Stock Option Award Agreement (For CEO/CFO)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10.8 to our Form 10-K, filed on February 17, 2017)</w:t>
      </w:r>
    </w:p>
    <w:p>
      <w:pPr>
        <w:spacing w:after="0" w:line="15" w:lineRule="exact"/>
        <w:rPr>
          <w:sz w:val="20"/>
          <w:szCs w:val="20"/>
          <w:color w:val="auto"/>
        </w:rPr>
      </w:pPr>
    </w:p>
    <w:p>
      <w:pPr>
        <w:ind w:left="1160" w:right="420" w:hanging="868"/>
        <w:spacing w:after="0" w:line="228"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10.7 ~</w:t>
      </w:r>
      <w:r>
        <w:rPr>
          <w:sz w:val="20"/>
          <w:szCs w:val="20"/>
          <w:color w:val="auto"/>
        </w:rPr>
        <w:tab/>
      </w:r>
      <w:hyperlink r:id="rId76">
        <w:r>
          <w:rPr>
            <w:rFonts w:ascii="Arial" w:cs="Arial" w:eastAsia="Arial" w:hAnsi="Arial"/>
            <w:sz w:val="18"/>
            <w:szCs w:val="18"/>
            <w:u w:val="single" w:color="auto"/>
            <w:color w:val="0000FF"/>
          </w:rPr>
          <w:t xml:space="preserve">Form of NMI Holdings, Inc. 2012 Stock Incentive Plan Nonqualified Stock Option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10.9 to our Form 10-K, filed on February 17, 2017)</w:t>
      </w:r>
    </w:p>
    <w:p>
      <w:pPr>
        <w:spacing w:after="0" w:line="2" w:lineRule="exact"/>
        <w:rPr>
          <w:sz w:val="20"/>
          <w:szCs w:val="20"/>
          <w:color w:val="auto"/>
        </w:rPr>
      </w:pPr>
    </w:p>
    <w:p>
      <w:pPr>
        <w:ind w:left="1160" w:right="20" w:hanging="868"/>
        <w:spacing w:after="0" w:line="235"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10.8 ~</w:t>
      </w:r>
      <w:r>
        <w:rPr>
          <w:sz w:val="20"/>
          <w:szCs w:val="20"/>
          <w:color w:val="auto"/>
        </w:rPr>
        <w:tab/>
      </w:r>
      <w:hyperlink r:id="rId77">
        <w:r>
          <w:rPr>
            <w:rFonts w:ascii="Arial" w:cs="Arial" w:eastAsia="Arial" w:hAnsi="Arial"/>
            <w:sz w:val="18"/>
            <w:szCs w:val="18"/>
            <w:u w:val="single" w:color="auto"/>
            <w:color w:val="0000FF"/>
          </w:rPr>
          <w:t xml:space="preserve">Form of NMI Holdings, Inc. 2012 Stock Incentive Plan Restricted Stock Unit Award Agreement (For Independent Directors)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10.30 to our Form 10-Q, filed on May 2, 2019)</w:t>
      </w:r>
    </w:p>
    <w:p>
      <w:pPr>
        <w:spacing w:after="0" w:line="3" w:lineRule="exact"/>
        <w:rPr>
          <w:sz w:val="20"/>
          <w:szCs w:val="20"/>
          <w:color w:val="auto"/>
        </w:rPr>
      </w:pPr>
    </w:p>
    <w:p>
      <w:pPr>
        <w:ind w:left="1160" w:right="120" w:hanging="868"/>
        <w:spacing w:after="0" w:line="228"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10.9 ~</w:t>
      </w:r>
      <w:r>
        <w:rPr>
          <w:sz w:val="20"/>
          <w:szCs w:val="20"/>
          <w:color w:val="auto"/>
        </w:rPr>
        <w:tab/>
      </w:r>
      <w:hyperlink r:id="rId78">
        <w:r>
          <w:rPr>
            <w:rFonts w:ascii="Arial" w:cs="Arial" w:eastAsia="Arial" w:hAnsi="Arial"/>
            <w:sz w:val="18"/>
            <w:szCs w:val="18"/>
            <w:u w:val="single" w:color="auto"/>
            <w:color w:val="0000FF"/>
          </w:rPr>
          <w:t xml:space="preserve">Form of NMI Holdings, Inc. 2012 Stock Incentive Plan Restricted Stock Unit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10.31 to our Form 10-Q, filed on May 2, 2019)</w:t>
      </w:r>
    </w:p>
    <w:p>
      <w:pPr>
        <w:spacing w:after="0" w:line="15" w:lineRule="exact"/>
        <w:rPr>
          <w:sz w:val="20"/>
          <w:szCs w:val="20"/>
          <w:color w:val="auto"/>
        </w:rPr>
      </w:pPr>
    </w:p>
    <w:p>
      <w:pPr>
        <w:ind w:left="1160" w:right="220" w:hanging="912"/>
        <w:spacing w:after="0" w:line="228"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10.10 ~</w:t>
      </w:r>
      <w:r>
        <w:rPr>
          <w:sz w:val="20"/>
          <w:szCs w:val="20"/>
          <w:color w:val="auto"/>
        </w:rPr>
        <w:tab/>
      </w:r>
      <w:hyperlink r:id="rId79">
        <w:r>
          <w:rPr>
            <w:rFonts w:ascii="Arial" w:cs="Arial" w:eastAsia="Arial" w:hAnsi="Arial"/>
            <w:sz w:val="18"/>
            <w:szCs w:val="18"/>
            <w:u w:val="single" w:color="auto"/>
            <w:color w:val="0000FF"/>
          </w:rPr>
          <w:t xml:space="preserve">Form of NMI Holdings, Inc. 2012 Stock Incentive Plan Nonqualified Stock Option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10.32 to our Form 10-Q, filed on May 2, 2019)</w:t>
      </w:r>
    </w:p>
    <w:p>
      <w:pPr>
        <w:spacing w:after="0" w:line="2" w:lineRule="exact"/>
        <w:rPr>
          <w:sz w:val="20"/>
          <w:szCs w:val="20"/>
          <w:color w:val="auto"/>
        </w:rPr>
      </w:pPr>
    </w:p>
    <w:p>
      <w:pPr>
        <w:ind w:left="1160" w:hanging="909"/>
        <w:spacing w:after="0" w:line="235" w:lineRule="auto"/>
        <w:tabs>
          <w:tab w:leader="none" w:pos="1140" w:val="left"/>
        </w:tabs>
        <w:rPr>
          <w:sz w:val="20"/>
          <w:szCs w:val="20"/>
          <w:color w:val="auto"/>
        </w:rPr>
      </w:pPr>
      <w:r>
        <w:rPr>
          <w:rFonts w:ascii="Arial" w:cs="Arial" w:eastAsia="Arial" w:hAnsi="Arial"/>
          <w:sz w:val="18"/>
          <w:szCs w:val="18"/>
          <w:color w:val="auto"/>
        </w:rPr>
        <w:t>10.11 ~</w:t>
      </w:r>
      <w:r>
        <w:rPr>
          <w:sz w:val="20"/>
          <w:szCs w:val="20"/>
          <w:color w:val="auto"/>
        </w:rPr>
        <w:tab/>
      </w:r>
      <w:r>
        <w:rPr>
          <w:rFonts w:ascii="Arial" w:cs="Arial" w:eastAsia="Arial" w:hAnsi="Arial"/>
          <w:sz w:val="18"/>
          <w:szCs w:val="18"/>
          <w:u w:val="single" w:color="auto"/>
          <w:color w:val="0000FF"/>
        </w:rPr>
        <w:t xml:space="preserve">NMI Holdings, Inc. Amended and Restated 2014 Omnibus Incentive Plan </w:t>
      </w:r>
      <w:r>
        <w:rPr>
          <w:rFonts w:ascii="Arial" w:cs="Arial" w:eastAsia="Arial" w:hAnsi="Arial"/>
          <w:sz w:val="18"/>
          <w:szCs w:val="18"/>
          <w:color w:val="000000"/>
        </w:rPr>
        <w:t>(incorporated herein by reference to Appendix A to our 2022</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29, 2022)</w:t>
      </w:r>
    </w:p>
    <w:p>
      <w:pPr>
        <w:ind w:left="26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10.12 ~</w:t>
      </w:r>
      <w:r>
        <w:rPr>
          <w:sz w:val="20"/>
          <w:szCs w:val="20"/>
          <w:color w:val="auto"/>
        </w:rPr>
        <w:tab/>
      </w:r>
      <w:hyperlink r:id="rId80">
        <w:r>
          <w:rPr>
            <w:rFonts w:ascii="Arial" w:cs="Arial" w:eastAsia="Arial" w:hAnsi="Arial"/>
            <w:sz w:val="16"/>
            <w:szCs w:val="16"/>
            <w:u w:val="single" w:color="auto"/>
            <w:color w:val="0000FF"/>
          </w:rPr>
          <w:t>Form of NMI Holdings, Inc. Amended and Restated 2014 Omnibus Incentive Plan Restricted Stock Unit Award Agreement (For CEO)</w:t>
        </w:r>
      </w:hyperlink>
    </w:p>
    <w:p>
      <w:pPr>
        <w:ind w:left="1160"/>
        <w:spacing w:after="0"/>
        <w:rPr>
          <w:sz w:val="20"/>
          <w:szCs w:val="20"/>
          <w:color w:val="auto"/>
        </w:rPr>
      </w:pPr>
      <w:r>
        <w:rPr>
          <w:rFonts w:ascii="Arial" w:cs="Arial" w:eastAsia="Arial" w:hAnsi="Arial"/>
          <w:sz w:val="18"/>
          <w:szCs w:val="18"/>
          <w:color w:val="auto"/>
        </w:rPr>
        <w:t>(incorporated herein by reference to Exhibit 10.19 to our Form 10-Q filed on August 1, 2017)</w:t>
      </w:r>
    </w:p>
    <w:p>
      <w:pPr>
        <w:spacing w:after="0" w:line="16" w:lineRule="exact"/>
        <w:rPr>
          <w:sz w:val="20"/>
          <w:szCs w:val="20"/>
          <w:color w:val="auto"/>
        </w:rPr>
      </w:pPr>
    </w:p>
    <w:p>
      <w:pPr>
        <w:ind w:left="1160" w:hanging="912"/>
        <w:spacing w:after="0" w:line="228" w:lineRule="auto"/>
        <w:tabs>
          <w:tab w:leader="none" w:pos="1140" w:val="left"/>
        </w:tabs>
        <w:rPr>
          <w:rFonts w:ascii="Arial" w:cs="Arial" w:eastAsia="Arial" w:hAnsi="Arial"/>
          <w:sz w:val="18"/>
          <w:szCs w:val="18"/>
          <w:color w:val="0000FF"/>
        </w:rPr>
      </w:pPr>
      <w:r>
        <w:rPr>
          <w:rFonts w:ascii="Arial" w:cs="Arial" w:eastAsia="Arial" w:hAnsi="Arial"/>
          <w:sz w:val="18"/>
          <w:szCs w:val="18"/>
          <w:color w:val="auto"/>
        </w:rPr>
        <w:t>10.13 ~</w:t>
      </w:r>
      <w:r>
        <w:rPr>
          <w:sz w:val="20"/>
          <w:szCs w:val="20"/>
          <w:color w:val="auto"/>
        </w:rPr>
        <w:tab/>
      </w:r>
      <w:hyperlink r:id="rId81">
        <w:r>
          <w:rPr>
            <w:rFonts w:ascii="Arial" w:cs="Arial" w:eastAsia="Arial" w:hAnsi="Arial"/>
            <w:sz w:val="18"/>
            <w:szCs w:val="18"/>
            <w:u w:val="single" w:color="auto"/>
            <w:color w:val="0000FF"/>
          </w:rPr>
          <w:t>Form of NMI Holdings, Inc. Amended and Restated 2014 Omnibus Incentive Plan Restricted Stock Unit Award Agreement (For Executive</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Officers</w:t>
        </w:r>
        <w:r>
          <w:rPr>
            <w:rFonts w:ascii="Arial" w:cs="Arial" w:eastAsia="Arial" w:hAnsi="Arial"/>
            <w:sz w:val="18"/>
            <w:szCs w:val="18"/>
            <w:color w:val="000000"/>
          </w:rPr>
          <w:t>) (incorporated herein by reference to Exhibit 10.20 to our Form 10-Q filed on August 1, 2017)</w:t>
        </w:r>
      </w:hyperlink>
    </w:p>
    <w:p>
      <w:pPr>
        <w:spacing w:after="0" w:line="2" w:lineRule="exact"/>
        <w:rPr>
          <w:sz w:val="20"/>
          <w:szCs w:val="20"/>
          <w:color w:val="auto"/>
        </w:rPr>
      </w:pPr>
    </w:p>
    <w:p>
      <w:pPr>
        <w:ind w:left="1160" w:hanging="912"/>
        <w:spacing w:after="0" w:line="235" w:lineRule="auto"/>
        <w:tabs>
          <w:tab w:leader="none" w:pos="1140" w:val="left"/>
        </w:tabs>
        <w:rPr>
          <w:rFonts w:ascii="Arial" w:cs="Arial" w:eastAsia="Arial" w:hAnsi="Arial"/>
          <w:sz w:val="18"/>
          <w:szCs w:val="18"/>
          <w:color w:val="0000FF"/>
        </w:rPr>
      </w:pPr>
      <w:r>
        <w:rPr>
          <w:rFonts w:ascii="Arial" w:cs="Arial" w:eastAsia="Arial" w:hAnsi="Arial"/>
          <w:sz w:val="18"/>
          <w:szCs w:val="18"/>
          <w:color w:val="auto"/>
        </w:rPr>
        <w:t>10.14 ~</w:t>
      </w:r>
      <w:r>
        <w:rPr>
          <w:sz w:val="20"/>
          <w:szCs w:val="20"/>
          <w:color w:val="auto"/>
        </w:rPr>
        <w:tab/>
      </w:r>
      <w:hyperlink r:id="rId82">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Employees</w:t>
        </w:r>
        <w:r>
          <w:rPr>
            <w:rFonts w:ascii="Arial" w:cs="Arial" w:eastAsia="Arial" w:hAnsi="Arial"/>
            <w:sz w:val="18"/>
            <w:szCs w:val="18"/>
            <w:color w:val="000000"/>
          </w:rPr>
          <w:t>) (incorporated herein by reference to Exhibit 10.21 to our Form 10-Q filed on August 1, 2017)</w:t>
        </w:r>
      </w:hyperlink>
    </w:p>
    <w:p>
      <w:pPr>
        <w:spacing w:after="0" w:line="3" w:lineRule="exact"/>
        <w:rPr>
          <w:sz w:val="20"/>
          <w:szCs w:val="20"/>
          <w:color w:val="auto"/>
        </w:rPr>
      </w:pPr>
    </w:p>
    <w:p>
      <w:pPr>
        <w:ind w:left="1160" w:hanging="912"/>
        <w:spacing w:after="0" w:line="228" w:lineRule="auto"/>
        <w:tabs>
          <w:tab w:leader="none" w:pos="1140" w:val="left"/>
        </w:tabs>
        <w:rPr>
          <w:rFonts w:ascii="Arial" w:cs="Arial" w:eastAsia="Arial" w:hAnsi="Arial"/>
          <w:sz w:val="18"/>
          <w:szCs w:val="18"/>
          <w:color w:val="0000FF"/>
        </w:rPr>
      </w:pPr>
      <w:r>
        <w:rPr>
          <w:rFonts w:ascii="Arial" w:cs="Arial" w:eastAsia="Arial" w:hAnsi="Arial"/>
          <w:sz w:val="18"/>
          <w:szCs w:val="18"/>
          <w:color w:val="auto"/>
        </w:rPr>
        <w:t>10.15 ~</w:t>
      </w:r>
      <w:r>
        <w:rPr>
          <w:sz w:val="20"/>
          <w:szCs w:val="20"/>
          <w:color w:val="auto"/>
        </w:rPr>
        <w:tab/>
      </w:r>
      <w:hyperlink r:id="rId83">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Independent Directors</w:t>
        </w:r>
        <w:r>
          <w:rPr>
            <w:rFonts w:ascii="Arial" w:cs="Arial" w:eastAsia="Arial" w:hAnsi="Arial"/>
            <w:sz w:val="18"/>
            <w:szCs w:val="18"/>
            <w:color w:val="000000"/>
          </w:rPr>
          <w:t>) (incorporated herein by reference to Exhibit 10.22 to our Form 10-Q filed on August 1, 2017)</w:t>
        </w:r>
      </w:hyperlink>
    </w:p>
    <w:p>
      <w:pPr>
        <w:spacing w:after="0" w:line="15" w:lineRule="exact"/>
        <w:rPr>
          <w:sz w:val="20"/>
          <w:szCs w:val="20"/>
          <w:color w:val="auto"/>
        </w:rPr>
      </w:pPr>
    </w:p>
    <w:p>
      <w:pPr>
        <w:ind w:left="1160" w:hanging="912"/>
        <w:spacing w:after="0" w:line="228" w:lineRule="auto"/>
        <w:tabs>
          <w:tab w:leader="none" w:pos="1140" w:val="left"/>
        </w:tabs>
        <w:rPr>
          <w:rFonts w:ascii="Arial" w:cs="Arial" w:eastAsia="Arial" w:hAnsi="Arial"/>
          <w:sz w:val="18"/>
          <w:szCs w:val="18"/>
          <w:color w:val="0000FF"/>
        </w:rPr>
      </w:pPr>
      <w:r>
        <w:rPr>
          <w:rFonts w:ascii="Arial" w:cs="Arial" w:eastAsia="Arial" w:hAnsi="Arial"/>
          <w:sz w:val="18"/>
          <w:szCs w:val="18"/>
          <w:color w:val="auto"/>
        </w:rPr>
        <w:t>10.16 ~</w:t>
      </w:r>
      <w:r>
        <w:rPr>
          <w:sz w:val="20"/>
          <w:szCs w:val="20"/>
          <w:color w:val="auto"/>
        </w:rPr>
        <w:tab/>
      </w:r>
      <w:hyperlink r:id="rId84">
        <w:r>
          <w:rPr>
            <w:rFonts w:ascii="Arial" w:cs="Arial" w:eastAsia="Arial" w:hAnsi="Arial"/>
            <w:sz w:val="18"/>
            <w:szCs w:val="18"/>
            <w:u w:val="single" w:color="auto"/>
            <w:color w:val="0000FF"/>
          </w:rPr>
          <w:t>Form of NMI Holdings, Inc. Amended and Restated 2014 Omnibus Incentive Plan Nonqualified Stock Option Award Agreement (For</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CEO)</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10.23 to our Form 10-Q filed on August 1, 2017)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991" w:right="6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900" w:type="dxa"/>
            <w:vAlign w:val="bottom"/>
          </w:tcPr>
          <w:p>
            <w:pPr>
              <w:jc w:val="center"/>
              <w:ind w:right="292"/>
              <w:spacing w:after="0"/>
              <w:rPr>
                <w:sz w:val="20"/>
                <w:szCs w:val="20"/>
                <w:color w:val="auto"/>
              </w:rPr>
            </w:pPr>
            <w:r>
              <w:rPr>
                <w:rFonts w:ascii="Arial" w:cs="Arial" w:eastAsia="Arial" w:hAnsi="Arial"/>
                <w:sz w:val="18"/>
                <w:szCs w:val="18"/>
                <w:color w:val="auto"/>
                <w:w w:val="85"/>
              </w:rPr>
              <w:t>10.17 ~</w:t>
            </w:r>
          </w:p>
        </w:tc>
        <w:tc>
          <w:tcPr>
            <w:tcW w:w="9820" w:type="dxa"/>
            <w:vAlign w:val="bottom"/>
            <w:gridSpan w:val="22"/>
          </w:tcPr>
          <w:p>
            <w:pPr>
              <w:spacing w:after="0"/>
              <w:rPr>
                <w:rFonts w:ascii="Arial" w:cs="Arial" w:eastAsia="Arial" w:hAnsi="Arial"/>
                <w:sz w:val="18"/>
                <w:szCs w:val="18"/>
                <w:color w:val="0000FF"/>
                <w:w w:val="93"/>
              </w:rPr>
            </w:pPr>
            <w:hyperlink r:id="rId86">
              <w:r>
                <w:rPr>
                  <w:rFonts w:ascii="Arial" w:cs="Arial" w:eastAsia="Arial" w:hAnsi="Arial"/>
                  <w:sz w:val="18"/>
                  <w:szCs w:val="18"/>
                  <w:color w:val="0000FF"/>
                  <w:w w:val="93"/>
                </w:rPr>
                <w:t>Form of NMI Holdings, Inc. Amended and Restated 2014 Omnibus Incentive Plan Nonqualified Stock Option Award Agreement (For</w:t>
              </w:r>
            </w:hyperlink>
          </w:p>
        </w:tc>
      </w:tr>
      <w:tr>
        <w:trPr>
          <w:trHeight w:val="151"/>
        </w:trPr>
        <w:tc>
          <w:tcPr>
            <w:tcW w:w="90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86">
              <w:r>
                <w:rPr>
                  <w:rFonts w:ascii="Arial" w:cs="Arial" w:eastAsia="Arial" w:hAnsi="Arial"/>
                  <w:sz w:val="16"/>
                  <w:szCs w:val="16"/>
                  <w:color w:val="0000FF"/>
                </w:rPr>
                <w:t>Executive Officers and Employees</w:t>
              </w:r>
              <w:r>
                <w:rPr>
                  <w:rFonts w:ascii="Arial" w:cs="Arial" w:eastAsia="Arial" w:hAnsi="Arial"/>
                  <w:sz w:val="16"/>
                  <w:szCs w:val="16"/>
                  <w:color w:val="000000"/>
                </w:rPr>
                <w:t>) (incorporated herein by reference to Exhibit 10.24 to our Form 10-Q filed on August 1, 2017)</w:t>
              </w:r>
            </w:hyperlink>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7"/>
        </w:trPr>
        <w:tc>
          <w:tcPr>
            <w:tcW w:w="900" w:type="dxa"/>
            <w:vAlign w:val="bottom"/>
          </w:tcPr>
          <w:p>
            <w:pPr>
              <w:jc w:val="center"/>
              <w:ind w:right="292"/>
              <w:spacing w:after="0"/>
              <w:rPr>
                <w:sz w:val="20"/>
                <w:szCs w:val="20"/>
                <w:color w:val="auto"/>
              </w:rPr>
            </w:pPr>
            <w:r>
              <w:rPr>
                <w:rFonts w:ascii="Arial" w:cs="Arial" w:eastAsia="Arial" w:hAnsi="Arial"/>
                <w:sz w:val="18"/>
                <w:szCs w:val="18"/>
                <w:color w:val="auto"/>
                <w:w w:val="85"/>
              </w:rPr>
              <w:t>10.18 ~</w:t>
            </w:r>
          </w:p>
        </w:tc>
        <w:tc>
          <w:tcPr>
            <w:tcW w:w="9820" w:type="dxa"/>
            <w:vAlign w:val="bottom"/>
            <w:gridSpan w:val="22"/>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Form of NMI Holdings, Inc. Amended and Restated 2014 Omnibus Incentive Plan Restricted Stock Unit Award Agreement (Performance</w:t>
              </w:r>
            </w:hyperlink>
          </w:p>
        </w:tc>
      </w:tr>
      <w:tr>
        <w:trPr>
          <w:trHeight w:val="151"/>
        </w:trPr>
        <w:tc>
          <w:tcPr>
            <w:tcW w:w="90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87">
              <w:r>
                <w:rPr>
                  <w:rFonts w:ascii="Arial" w:cs="Arial" w:eastAsia="Arial" w:hAnsi="Arial"/>
                  <w:sz w:val="16"/>
                  <w:szCs w:val="16"/>
                  <w:color w:val="0000FF"/>
                </w:rPr>
                <w:t xml:space="preserve">Based) </w:t>
              </w:r>
              <w:r>
                <w:rPr>
                  <w:rFonts w:ascii="Arial" w:cs="Arial" w:eastAsia="Arial" w:hAnsi="Arial"/>
                  <w:sz w:val="16"/>
                  <w:szCs w:val="16"/>
                  <w:color w:val="000000"/>
                </w:rPr>
                <w:t>(incorporated herein by reference to Exhibit 10.38 to our Form 10-Q, filed on May 7, 2020)</w:t>
              </w:r>
            </w:hyperlink>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4"/>
        </w:trPr>
        <w:tc>
          <w:tcPr>
            <w:tcW w:w="900" w:type="dxa"/>
            <w:vAlign w:val="bottom"/>
          </w:tcPr>
          <w:p>
            <w:pPr>
              <w:jc w:val="center"/>
              <w:ind w:right="292"/>
              <w:spacing w:after="0" w:line="204" w:lineRule="exact"/>
              <w:rPr>
                <w:sz w:val="20"/>
                <w:szCs w:val="20"/>
                <w:color w:val="auto"/>
              </w:rPr>
            </w:pPr>
            <w:r>
              <w:rPr>
                <w:rFonts w:ascii="Arial" w:cs="Arial" w:eastAsia="Arial" w:hAnsi="Arial"/>
                <w:sz w:val="18"/>
                <w:szCs w:val="18"/>
                <w:color w:val="auto"/>
                <w:w w:val="85"/>
              </w:rPr>
              <w:t>10.19 ~</w:t>
            </w:r>
          </w:p>
        </w:tc>
        <w:tc>
          <w:tcPr>
            <w:tcW w:w="9820" w:type="dxa"/>
            <w:vAlign w:val="bottom"/>
            <w:gridSpan w:val="22"/>
          </w:tcPr>
          <w:p>
            <w:pPr>
              <w:spacing w:after="0" w:line="204" w:lineRule="exact"/>
              <w:rPr>
                <w:rFonts w:ascii="Arial" w:cs="Arial" w:eastAsia="Arial" w:hAnsi="Arial"/>
                <w:sz w:val="18"/>
                <w:szCs w:val="18"/>
                <w:color w:val="0000FF"/>
                <w:w w:val="97"/>
              </w:rPr>
            </w:pPr>
            <w:hyperlink r:id="rId88">
              <w:r>
                <w:rPr>
                  <w:rFonts w:ascii="Arial" w:cs="Arial" w:eastAsia="Arial" w:hAnsi="Arial"/>
                  <w:sz w:val="18"/>
                  <w:szCs w:val="18"/>
                  <w:color w:val="0000FF"/>
                  <w:w w:val="97"/>
                </w:rPr>
                <w:t>Form of NMI Holdings, Inc. Amended and Restated 2014 Omnibus Incentive Plan Restricted Stock Unit Award Agreement (For</w:t>
              </w:r>
            </w:hyperlink>
          </w:p>
        </w:tc>
      </w:tr>
      <w:tr>
        <w:trPr>
          <w:trHeight w:val="164"/>
        </w:trPr>
        <w:tc>
          <w:tcPr>
            <w:tcW w:w="900" w:type="dxa"/>
            <w:vAlign w:val="bottom"/>
          </w:tcPr>
          <w:p>
            <w:pPr>
              <w:spacing w:after="0"/>
              <w:rPr>
                <w:sz w:val="14"/>
                <w:szCs w:val="14"/>
                <w:color w:val="auto"/>
              </w:rPr>
            </w:pPr>
          </w:p>
        </w:tc>
        <w:tc>
          <w:tcPr>
            <w:tcW w:w="9800" w:type="dxa"/>
            <w:vAlign w:val="bottom"/>
            <w:tcBorders>
              <w:top w:val="single" w:sz="8" w:color="0000FF"/>
            </w:tcBorders>
            <w:gridSpan w:val="21"/>
          </w:tcPr>
          <w:p>
            <w:pPr>
              <w:spacing w:after="0" w:line="164" w:lineRule="exact"/>
              <w:rPr>
                <w:rFonts w:ascii="Arial" w:cs="Arial" w:eastAsia="Arial" w:hAnsi="Arial"/>
                <w:sz w:val="18"/>
                <w:szCs w:val="18"/>
                <w:color w:val="0000FF"/>
              </w:rPr>
            </w:pPr>
            <w:hyperlink r:id="rId88">
              <w:r>
                <w:rPr>
                  <w:rFonts w:ascii="Arial" w:cs="Arial" w:eastAsia="Arial" w:hAnsi="Arial"/>
                  <w:sz w:val="18"/>
                  <w:szCs w:val="18"/>
                  <w:color w:val="0000FF"/>
                </w:rPr>
                <w:t>Independent Directors</w:t>
              </w:r>
              <w:r>
                <w:rPr>
                  <w:rFonts w:ascii="Arial" w:cs="Arial" w:eastAsia="Arial" w:hAnsi="Arial"/>
                  <w:sz w:val="18"/>
                  <w:szCs w:val="18"/>
                  <w:color w:val="000000"/>
                </w:rPr>
                <w:t>) (incorporated herein by reference to Exhibit 10.33 to our Form 10-Q, filed on May 2, 2019)</w:t>
              </w:r>
            </w:hyperlink>
          </w:p>
        </w:tc>
        <w:tc>
          <w:tcPr>
            <w:tcW w:w="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4"/>
        </w:trPr>
        <w:tc>
          <w:tcPr>
            <w:tcW w:w="900" w:type="dxa"/>
            <w:vAlign w:val="bottom"/>
          </w:tcPr>
          <w:p>
            <w:pPr>
              <w:jc w:val="center"/>
              <w:ind w:right="292"/>
              <w:spacing w:after="0" w:line="204" w:lineRule="exact"/>
              <w:rPr>
                <w:sz w:val="20"/>
                <w:szCs w:val="20"/>
                <w:color w:val="auto"/>
              </w:rPr>
            </w:pPr>
            <w:r>
              <w:rPr>
                <w:rFonts w:ascii="Arial" w:cs="Arial" w:eastAsia="Arial" w:hAnsi="Arial"/>
                <w:sz w:val="18"/>
                <w:szCs w:val="18"/>
                <w:color w:val="auto"/>
                <w:w w:val="85"/>
              </w:rPr>
              <w:t>10.20 ~</w:t>
            </w:r>
          </w:p>
        </w:tc>
        <w:tc>
          <w:tcPr>
            <w:tcW w:w="9820" w:type="dxa"/>
            <w:vAlign w:val="bottom"/>
            <w:gridSpan w:val="22"/>
          </w:tcPr>
          <w:p>
            <w:pPr>
              <w:spacing w:after="0" w:line="204" w:lineRule="exact"/>
              <w:rPr>
                <w:rFonts w:ascii="Arial" w:cs="Arial" w:eastAsia="Arial" w:hAnsi="Arial"/>
                <w:sz w:val="18"/>
                <w:szCs w:val="18"/>
                <w:color w:val="0000FF"/>
                <w:w w:val="97"/>
              </w:rPr>
            </w:pPr>
            <w:hyperlink r:id="rId89">
              <w:r>
                <w:rPr>
                  <w:rFonts w:ascii="Arial" w:cs="Arial" w:eastAsia="Arial" w:hAnsi="Arial"/>
                  <w:sz w:val="18"/>
                  <w:szCs w:val="18"/>
                  <w:color w:val="0000FF"/>
                  <w:w w:val="97"/>
                </w:rPr>
                <w:t>Form of NMI Holdings, Inc. Amended and Restated 2014 Omnibus Incentive Plan Restricted Stock Unit Award Agreement (For</w:t>
              </w:r>
            </w:hyperlink>
          </w:p>
        </w:tc>
      </w:tr>
      <w:tr>
        <w:trPr>
          <w:trHeight w:val="151"/>
        </w:trPr>
        <w:tc>
          <w:tcPr>
            <w:tcW w:w="90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89">
              <w:r>
                <w:rPr>
                  <w:rFonts w:ascii="Arial" w:cs="Arial" w:eastAsia="Arial" w:hAnsi="Arial"/>
                  <w:sz w:val="16"/>
                  <w:szCs w:val="16"/>
                  <w:color w:val="0000FF"/>
                </w:rPr>
                <w:t>Employees</w:t>
              </w:r>
              <w:r>
                <w:rPr>
                  <w:rFonts w:ascii="Arial" w:cs="Arial" w:eastAsia="Arial" w:hAnsi="Arial"/>
                  <w:sz w:val="16"/>
                  <w:szCs w:val="16"/>
                  <w:color w:val="000000"/>
                </w:rPr>
                <w:t>) (incorporated herein by reference to Exhibit 10.34 to our Form 10-Q, filed on May 2, 2019)</w:t>
              </w:r>
            </w:hyperlink>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7"/>
        </w:trPr>
        <w:tc>
          <w:tcPr>
            <w:tcW w:w="900" w:type="dxa"/>
            <w:vAlign w:val="bottom"/>
          </w:tcPr>
          <w:p>
            <w:pPr>
              <w:jc w:val="center"/>
              <w:ind w:right="292"/>
              <w:spacing w:after="0"/>
              <w:rPr>
                <w:sz w:val="20"/>
                <w:szCs w:val="20"/>
                <w:color w:val="auto"/>
              </w:rPr>
            </w:pPr>
            <w:r>
              <w:rPr>
                <w:rFonts w:ascii="Arial" w:cs="Arial" w:eastAsia="Arial" w:hAnsi="Arial"/>
                <w:sz w:val="18"/>
                <w:szCs w:val="18"/>
                <w:color w:val="auto"/>
                <w:w w:val="85"/>
              </w:rPr>
              <w:t>10.21 ~</w:t>
            </w:r>
          </w:p>
        </w:tc>
        <w:tc>
          <w:tcPr>
            <w:tcW w:w="9820" w:type="dxa"/>
            <w:vAlign w:val="bottom"/>
            <w:gridSpan w:val="22"/>
          </w:tcPr>
          <w:p>
            <w:pPr>
              <w:spacing w:after="0"/>
              <w:rPr>
                <w:rFonts w:ascii="Arial" w:cs="Arial" w:eastAsia="Arial" w:hAnsi="Arial"/>
                <w:sz w:val="18"/>
                <w:szCs w:val="18"/>
                <w:color w:val="0000FF"/>
                <w:w w:val="89"/>
              </w:rPr>
            </w:pPr>
            <w:hyperlink r:id="rId90">
              <w:r>
                <w:rPr>
                  <w:rFonts w:ascii="Arial" w:cs="Arial" w:eastAsia="Arial" w:hAnsi="Arial"/>
                  <w:sz w:val="18"/>
                  <w:szCs w:val="18"/>
                  <w:color w:val="0000FF"/>
                  <w:w w:val="89"/>
                </w:rPr>
                <w:t>Form of NMI Holdings, Inc. Amended and Restated 2014 Omnibus Incentive Plan Nonqualified Stock Option Agreement (For Employees</w:t>
              </w:r>
            </w:hyperlink>
            <w:r>
              <w:rPr>
                <w:rFonts w:ascii="Arial" w:cs="Arial" w:eastAsia="Arial" w:hAnsi="Arial"/>
                <w:sz w:val="18"/>
                <w:szCs w:val="18"/>
                <w:color w:val="000000"/>
                <w:w w:val="89"/>
              </w:rPr>
              <w:t>)</w:t>
            </w:r>
          </w:p>
        </w:tc>
      </w:tr>
      <w:tr>
        <w:trPr>
          <w:trHeight w:val="192"/>
        </w:trPr>
        <w:tc>
          <w:tcPr>
            <w:tcW w:w="900" w:type="dxa"/>
            <w:vAlign w:val="bottom"/>
          </w:tcPr>
          <w:p>
            <w:pPr>
              <w:spacing w:after="0"/>
              <w:rPr>
                <w:sz w:val="16"/>
                <w:szCs w:val="16"/>
                <w:color w:val="auto"/>
              </w:rPr>
            </w:pPr>
          </w:p>
        </w:tc>
        <w:tc>
          <w:tcPr>
            <w:tcW w:w="9740" w:type="dxa"/>
            <w:vAlign w:val="bottom"/>
            <w:tcBorders>
              <w:top w:val="single" w:sz="8" w:color="0000FF"/>
            </w:tcBorders>
            <w:gridSpan w:val="20"/>
          </w:tcPr>
          <w:p>
            <w:pPr>
              <w:spacing w:after="0" w:line="192" w:lineRule="exact"/>
              <w:rPr>
                <w:sz w:val="20"/>
                <w:szCs w:val="20"/>
                <w:color w:val="auto"/>
              </w:rPr>
            </w:pPr>
            <w:r>
              <w:rPr>
                <w:rFonts w:ascii="Arial" w:cs="Arial" w:eastAsia="Arial" w:hAnsi="Arial"/>
                <w:sz w:val="18"/>
                <w:szCs w:val="18"/>
                <w:color w:val="auto"/>
              </w:rPr>
              <w:t>(incorporated herein by reference to Exhibit 10.35 to our Form 10-Q, filed on May 2, 2019)</w:t>
            </w:r>
          </w:p>
        </w:tc>
        <w:tc>
          <w:tcPr>
            <w:tcW w:w="80" w:type="dxa"/>
            <w:vAlign w:val="bottom"/>
            <w:gridSpan w:val="2"/>
          </w:tcPr>
          <w:p>
            <w:pPr>
              <w:spacing w:after="0"/>
              <w:rPr>
                <w:sz w:val="16"/>
                <w:szCs w:val="16"/>
                <w:color w:val="auto"/>
              </w:rPr>
            </w:pPr>
          </w:p>
        </w:tc>
      </w:tr>
      <w:tr>
        <w:trPr>
          <w:trHeight w:val="184"/>
        </w:trPr>
        <w:tc>
          <w:tcPr>
            <w:tcW w:w="900" w:type="dxa"/>
            <w:vAlign w:val="bottom"/>
          </w:tcPr>
          <w:p>
            <w:pPr>
              <w:jc w:val="center"/>
              <w:ind w:right="292"/>
              <w:spacing w:after="0" w:line="183" w:lineRule="exact"/>
              <w:rPr>
                <w:sz w:val="20"/>
                <w:szCs w:val="20"/>
                <w:color w:val="auto"/>
              </w:rPr>
            </w:pPr>
            <w:r>
              <w:rPr>
                <w:rFonts w:ascii="Arial" w:cs="Arial" w:eastAsia="Arial" w:hAnsi="Arial"/>
                <w:sz w:val="18"/>
                <w:szCs w:val="18"/>
                <w:color w:val="auto"/>
                <w:w w:val="85"/>
              </w:rPr>
              <w:t>10.22 ~</w:t>
            </w:r>
          </w:p>
        </w:tc>
        <w:tc>
          <w:tcPr>
            <w:tcW w:w="9820" w:type="dxa"/>
            <w:vAlign w:val="bottom"/>
            <w:gridSpan w:val="22"/>
          </w:tcPr>
          <w:p>
            <w:pPr>
              <w:spacing w:after="0" w:line="183"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 xml:space="preserve">Form of Indemnification Agreement between NMI Holdings, Inc. and its directors and certain executive officers </w:t>
              </w:r>
            </w:hyperlink>
            <w:r>
              <w:rPr>
                <w:rFonts w:ascii="Arial" w:cs="Arial" w:eastAsia="Arial" w:hAnsi="Arial"/>
                <w:sz w:val="18"/>
                <w:szCs w:val="18"/>
                <w:color w:val="000000"/>
                <w:w w:val="91"/>
              </w:rPr>
              <w:t>(incorporated</w:t>
            </w:r>
            <w:r>
              <w:rPr>
                <w:rFonts w:ascii="Arial" w:cs="Arial" w:eastAsia="Arial" w:hAnsi="Arial"/>
                <w:sz w:val="18"/>
                <w:szCs w:val="18"/>
                <w:color w:val="0000FF"/>
                <w:w w:val="91"/>
              </w:rPr>
              <w:t xml:space="preserve"> </w:t>
            </w:r>
            <w:r>
              <w:rPr>
                <w:rFonts w:ascii="Arial" w:cs="Arial" w:eastAsia="Arial" w:hAnsi="Arial"/>
                <w:sz w:val="18"/>
                <w:szCs w:val="18"/>
                <w:color w:val="000000"/>
                <w:w w:val="91"/>
              </w:rPr>
              <w:t>herein by</w:t>
            </w:r>
          </w:p>
        </w:tc>
      </w:tr>
      <w:tr>
        <w:trPr>
          <w:trHeight w:val="205"/>
        </w:trPr>
        <w:tc>
          <w:tcPr>
            <w:tcW w:w="900" w:type="dxa"/>
            <w:vAlign w:val="bottom"/>
          </w:tcPr>
          <w:p>
            <w:pPr>
              <w:spacing w:after="0"/>
              <w:rPr>
                <w:sz w:val="17"/>
                <w:szCs w:val="17"/>
                <w:color w:val="auto"/>
              </w:rPr>
            </w:pPr>
          </w:p>
        </w:tc>
        <w:tc>
          <w:tcPr>
            <w:tcW w:w="8080" w:type="dxa"/>
            <w:vAlign w:val="bottom"/>
            <w:tcBorders>
              <w:top w:val="single" w:sz="8" w:color="0000FF"/>
            </w:tcBorders>
            <w:gridSpan w:val="18"/>
          </w:tcPr>
          <w:p>
            <w:pPr>
              <w:spacing w:after="0" w:line="205" w:lineRule="exact"/>
              <w:rPr>
                <w:sz w:val="20"/>
                <w:szCs w:val="20"/>
                <w:color w:val="auto"/>
              </w:rPr>
            </w:pPr>
            <w:r>
              <w:rPr>
                <w:rFonts w:ascii="Arial" w:cs="Arial" w:eastAsia="Arial" w:hAnsi="Arial"/>
                <w:sz w:val="18"/>
                <w:szCs w:val="18"/>
                <w:color w:val="auto"/>
              </w:rPr>
              <w:t>reference to Exhibit 10.1 to our Form 8-K, filed on November 25, 2014)</w:t>
            </w:r>
          </w:p>
        </w:tc>
        <w:tc>
          <w:tcPr>
            <w:tcW w:w="20" w:type="dxa"/>
            <w:vAlign w:val="bottom"/>
          </w:tcPr>
          <w:p>
            <w:pPr>
              <w:spacing w:after="0"/>
              <w:rPr>
                <w:sz w:val="17"/>
                <w:szCs w:val="17"/>
                <w:color w:val="auto"/>
              </w:rPr>
            </w:pPr>
          </w:p>
        </w:tc>
        <w:tc>
          <w:tcPr>
            <w:tcW w:w="1720" w:type="dxa"/>
            <w:vAlign w:val="bottom"/>
            <w:gridSpan w:val="3"/>
          </w:tcPr>
          <w:p>
            <w:pPr>
              <w:spacing w:after="0"/>
              <w:rPr>
                <w:sz w:val="17"/>
                <w:szCs w:val="17"/>
                <w:color w:val="auto"/>
              </w:rPr>
            </w:pPr>
          </w:p>
        </w:tc>
      </w:tr>
      <w:tr>
        <w:trPr>
          <w:trHeight w:val="184"/>
        </w:trPr>
        <w:tc>
          <w:tcPr>
            <w:tcW w:w="900" w:type="dxa"/>
            <w:vAlign w:val="bottom"/>
          </w:tcPr>
          <w:p>
            <w:pPr>
              <w:jc w:val="center"/>
              <w:ind w:right="292"/>
              <w:spacing w:after="0" w:line="183" w:lineRule="exact"/>
              <w:rPr>
                <w:sz w:val="20"/>
                <w:szCs w:val="20"/>
                <w:color w:val="auto"/>
              </w:rPr>
            </w:pPr>
            <w:r>
              <w:rPr>
                <w:rFonts w:ascii="Arial" w:cs="Arial" w:eastAsia="Arial" w:hAnsi="Arial"/>
                <w:sz w:val="18"/>
                <w:szCs w:val="18"/>
                <w:color w:val="auto"/>
                <w:w w:val="85"/>
              </w:rPr>
              <w:t>10.23 ~</w:t>
            </w:r>
          </w:p>
        </w:tc>
        <w:tc>
          <w:tcPr>
            <w:tcW w:w="9820" w:type="dxa"/>
            <w:vAlign w:val="bottom"/>
            <w:gridSpan w:val="22"/>
          </w:tcPr>
          <w:p>
            <w:pPr>
              <w:spacing w:after="0" w:line="183"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 xml:space="preserve">NMI Holdings, Inc. Severance Benefit Plan </w:t>
              </w:r>
            </w:hyperlink>
            <w:r>
              <w:rPr>
                <w:rFonts w:ascii="Arial" w:cs="Arial" w:eastAsia="Arial" w:hAnsi="Arial"/>
                <w:sz w:val="18"/>
                <w:szCs w:val="18"/>
                <w:color w:val="000000"/>
                <w:w w:val="90"/>
              </w:rPr>
              <w:t>(incorporated</w:t>
            </w:r>
            <w:r>
              <w:rPr>
                <w:rFonts w:ascii="Arial" w:cs="Arial" w:eastAsia="Arial" w:hAnsi="Arial"/>
                <w:sz w:val="18"/>
                <w:szCs w:val="18"/>
                <w:color w:val="0000FF"/>
                <w:w w:val="90"/>
              </w:rPr>
              <w:t xml:space="preserve"> </w:t>
            </w:r>
            <w:r>
              <w:rPr>
                <w:rFonts w:ascii="Arial" w:cs="Arial" w:eastAsia="Arial" w:hAnsi="Arial"/>
                <w:sz w:val="18"/>
                <w:szCs w:val="18"/>
                <w:color w:val="000000"/>
                <w:w w:val="90"/>
              </w:rPr>
              <w:t>herein by reference to Exhibit 10.1 to our Form 8-K, filed on February 17, 2016)</w:t>
            </w: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r>
      <w:tr>
        <w:trPr>
          <w:trHeight w:val="204"/>
        </w:trPr>
        <w:tc>
          <w:tcPr>
            <w:tcW w:w="900" w:type="dxa"/>
            <w:vAlign w:val="bottom"/>
          </w:tcPr>
          <w:p>
            <w:pPr>
              <w:jc w:val="center"/>
              <w:ind w:right="292"/>
              <w:spacing w:after="0" w:line="204" w:lineRule="exact"/>
              <w:rPr>
                <w:sz w:val="20"/>
                <w:szCs w:val="20"/>
                <w:color w:val="auto"/>
              </w:rPr>
            </w:pPr>
            <w:r>
              <w:rPr>
                <w:rFonts w:ascii="Arial" w:cs="Arial" w:eastAsia="Arial" w:hAnsi="Arial"/>
                <w:sz w:val="18"/>
                <w:szCs w:val="18"/>
                <w:color w:val="auto"/>
                <w:w w:val="85"/>
              </w:rPr>
              <w:t>10.24 ~</w:t>
            </w:r>
          </w:p>
        </w:tc>
        <w:tc>
          <w:tcPr>
            <w:tcW w:w="9820" w:type="dxa"/>
            <w:vAlign w:val="bottom"/>
            <w:gridSpan w:val="22"/>
          </w:tcPr>
          <w:p>
            <w:pPr>
              <w:spacing w:after="0" w:line="204"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 xml:space="preserve">NMI Holdings, Inc. Amended and Restated Change in Control Severance Benefit Plan </w:t>
              </w:r>
            </w:hyperlink>
            <w:r>
              <w:rPr>
                <w:rFonts w:ascii="Arial" w:cs="Arial" w:eastAsia="Arial" w:hAnsi="Arial"/>
                <w:sz w:val="18"/>
                <w:szCs w:val="18"/>
                <w:color w:val="000000"/>
                <w:w w:val="90"/>
              </w:rPr>
              <w:t>(incorporated</w:t>
            </w:r>
            <w:r>
              <w:rPr>
                <w:rFonts w:ascii="Arial" w:cs="Arial" w:eastAsia="Arial" w:hAnsi="Arial"/>
                <w:sz w:val="18"/>
                <w:szCs w:val="18"/>
                <w:color w:val="0000FF"/>
                <w:w w:val="90"/>
              </w:rPr>
              <w:t xml:space="preserve"> </w:t>
            </w:r>
            <w:r>
              <w:rPr>
                <w:rFonts w:ascii="Arial" w:cs="Arial" w:eastAsia="Arial" w:hAnsi="Arial"/>
                <w:sz w:val="18"/>
                <w:szCs w:val="18"/>
                <w:color w:val="000000"/>
                <w:w w:val="90"/>
              </w:rPr>
              <w:t>herein by reference to Exhibit 10.30</w:t>
            </w:r>
          </w:p>
        </w:tc>
      </w:tr>
      <w:tr>
        <w:trPr>
          <w:trHeight w:val="205"/>
        </w:trPr>
        <w:tc>
          <w:tcPr>
            <w:tcW w:w="900" w:type="dxa"/>
            <w:vAlign w:val="bottom"/>
          </w:tcPr>
          <w:p>
            <w:pPr>
              <w:spacing w:after="0"/>
              <w:rPr>
                <w:sz w:val="17"/>
                <w:szCs w:val="17"/>
                <w:color w:val="auto"/>
              </w:rPr>
            </w:pPr>
          </w:p>
        </w:tc>
        <w:tc>
          <w:tcPr>
            <w:tcW w:w="6180" w:type="dxa"/>
            <w:vAlign w:val="bottom"/>
            <w:tcBorders>
              <w:top w:val="single" w:sz="8" w:color="0000FF"/>
            </w:tcBorders>
            <w:gridSpan w:val="12"/>
          </w:tcPr>
          <w:p>
            <w:pPr>
              <w:spacing w:after="0" w:line="205" w:lineRule="exact"/>
              <w:rPr>
                <w:sz w:val="20"/>
                <w:szCs w:val="20"/>
                <w:color w:val="auto"/>
              </w:rPr>
            </w:pPr>
            <w:r>
              <w:rPr>
                <w:rFonts w:ascii="Arial" w:cs="Arial" w:eastAsia="Arial" w:hAnsi="Arial"/>
                <w:sz w:val="18"/>
                <w:szCs w:val="18"/>
                <w:color w:val="auto"/>
              </w:rPr>
              <w:t>to our Form 10-Q, filed on October 30, 2018)</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720" w:type="dxa"/>
            <w:vAlign w:val="bottom"/>
            <w:gridSpan w:val="3"/>
          </w:tcPr>
          <w:p>
            <w:pPr>
              <w:spacing w:after="0"/>
              <w:rPr>
                <w:sz w:val="17"/>
                <w:szCs w:val="17"/>
                <w:color w:val="auto"/>
              </w:rPr>
            </w:pPr>
          </w:p>
        </w:tc>
      </w:tr>
      <w:tr>
        <w:trPr>
          <w:trHeight w:val="184"/>
        </w:trPr>
        <w:tc>
          <w:tcPr>
            <w:tcW w:w="900" w:type="dxa"/>
            <w:vAlign w:val="bottom"/>
          </w:tcPr>
          <w:p>
            <w:pPr>
              <w:jc w:val="center"/>
              <w:ind w:right="292"/>
              <w:spacing w:after="0" w:line="183" w:lineRule="exact"/>
              <w:rPr>
                <w:sz w:val="20"/>
                <w:szCs w:val="20"/>
                <w:color w:val="auto"/>
              </w:rPr>
            </w:pPr>
            <w:r>
              <w:rPr>
                <w:rFonts w:ascii="Arial" w:cs="Arial" w:eastAsia="Arial" w:hAnsi="Arial"/>
                <w:sz w:val="18"/>
                <w:szCs w:val="18"/>
                <w:color w:val="auto"/>
                <w:w w:val="85"/>
              </w:rPr>
              <w:t>10.25 ~</w:t>
            </w:r>
          </w:p>
        </w:tc>
        <w:tc>
          <w:tcPr>
            <w:tcW w:w="9820" w:type="dxa"/>
            <w:vAlign w:val="bottom"/>
            <w:gridSpan w:val="22"/>
          </w:tcPr>
          <w:p>
            <w:pPr>
              <w:spacing w:after="0" w:line="183" w:lineRule="exact"/>
              <w:rPr>
                <w:rFonts w:ascii="Arial" w:cs="Arial" w:eastAsia="Arial" w:hAnsi="Arial"/>
                <w:sz w:val="18"/>
                <w:szCs w:val="18"/>
                <w:color w:val="0000FF"/>
                <w:w w:val="95"/>
              </w:rPr>
            </w:pPr>
            <w:hyperlink r:id="rId94">
              <w:r>
                <w:rPr>
                  <w:rFonts w:ascii="Arial" w:cs="Arial" w:eastAsia="Arial" w:hAnsi="Arial"/>
                  <w:sz w:val="18"/>
                  <w:szCs w:val="18"/>
                  <w:color w:val="0000FF"/>
                  <w:w w:val="95"/>
                </w:rPr>
                <w:t xml:space="preserve">NMI Holdings, Inc. Clawback Policy </w:t>
              </w:r>
            </w:hyperlink>
            <w:r>
              <w:rPr>
                <w:rFonts w:ascii="Arial" w:cs="Arial" w:eastAsia="Arial" w:hAnsi="Arial"/>
                <w:sz w:val="18"/>
                <w:szCs w:val="18"/>
                <w:color w:val="000000"/>
                <w:w w:val="95"/>
              </w:rPr>
              <w:t>(incorporated</w:t>
            </w:r>
            <w:r>
              <w:rPr>
                <w:rFonts w:ascii="Arial" w:cs="Arial" w:eastAsia="Arial" w:hAnsi="Arial"/>
                <w:sz w:val="18"/>
                <w:szCs w:val="18"/>
                <w:color w:val="0000FF"/>
                <w:w w:val="95"/>
              </w:rPr>
              <w:t xml:space="preserve"> </w:t>
            </w:r>
            <w:r>
              <w:rPr>
                <w:rFonts w:ascii="Arial" w:cs="Arial" w:eastAsia="Arial" w:hAnsi="Arial"/>
                <w:sz w:val="18"/>
                <w:szCs w:val="18"/>
                <w:color w:val="000000"/>
                <w:w w:val="95"/>
              </w:rPr>
              <w:t>herein by reference to Exhibit 10.2 to our Form 8-K, filed on February 23, 2017)</w:t>
            </w: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r>
      <w:tr>
        <w:trPr>
          <w:trHeight w:val="204"/>
        </w:trPr>
        <w:tc>
          <w:tcPr>
            <w:tcW w:w="900" w:type="dxa"/>
            <w:vAlign w:val="bottom"/>
          </w:tcPr>
          <w:p>
            <w:pPr>
              <w:jc w:val="center"/>
              <w:ind w:right="292"/>
              <w:spacing w:after="0" w:line="204" w:lineRule="exact"/>
              <w:rPr>
                <w:sz w:val="20"/>
                <w:szCs w:val="20"/>
                <w:color w:val="auto"/>
              </w:rPr>
            </w:pPr>
            <w:r>
              <w:rPr>
                <w:rFonts w:ascii="Arial" w:cs="Arial" w:eastAsia="Arial" w:hAnsi="Arial"/>
                <w:sz w:val="18"/>
                <w:szCs w:val="18"/>
                <w:color w:val="auto"/>
                <w:w w:val="85"/>
              </w:rPr>
              <w:t>10.26 ~</w:t>
            </w:r>
          </w:p>
        </w:tc>
        <w:tc>
          <w:tcPr>
            <w:tcW w:w="9820" w:type="dxa"/>
            <w:vAlign w:val="bottom"/>
            <w:gridSpan w:val="22"/>
          </w:tcPr>
          <w:p>
            <w:pPr>
              <w:spacing w:after="0" w:line="204" w:lineRule="exact"/>
              <w:rPr>
                <w:rFonts w:ascii="Arial" w:cs="Arial" w:eastAsia="Arial" w:hAnsi="Arial"/>
                <w:sz w:val="18"/>
                <w:szCs w:val="18"/>
                <w:color w:val="0000FF"/>
                <w:w w:val="94"/>
              </w:rPr>
            </w:pPr>
            <w:hyperlink r:id="rId95">
              <w:r>
                <w:rPr>
                  <w:rFonts w:ascii="Arial" w:cs="Arial" w:eastAsia="Arial" w:hAnsi="Arial"/>
                  <w:sz w:val="18"/>
                  <w:szCs w:val="18"/>
                  <w:color w:val="0000FF"/>
                  <w:w w:val="94"/>
                </w:rPr>
                <w:t xml:space="preserve">Offer Letter by and between NMI Holdings, Inc. and William Leatherberry, dated July 11, 2014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herein by reference to</w:t>
            </w:r>
          </w:p>
        </w:tc>
      </w:tr>
      <w:tr>
        <w:trPr>
          <w:trHeight w:val="205"/>
        </w:trPr>
        <w:tc>
          <w:tcPr>
            <w:tcW w:w="900" w:type="dxa"/>
            <w:vAlign w:val="bottom"/>
          </w:tcPr>
          <w:p>
            <w:pPr>
              <w:spacing w:after="0"/>
              <w:rPr>
                <w:sz w:val="17"/>
                <w:szCs w:val="17"/>
                <w:color w:val="auto"/>
              </w:rPr>
            </w:pPr>
          </w:p>
        </w:tc>
        <w:tc>
          <w:tcPr>
            <w:tcW w:w="7100" w:type="dxa"/>
            <w:vAlign w:val="bottom"/>
            <w:tcBorders>
              <w:top w:val="single" w:sz="8" w:color="0000FF"/>
            </w:tcBorders>
            <w:gridSpan w:val="15"/>
          </w:tcPr>
          <w:p>
            <w:pPr>
              <w:spacing w:after="0" w:line="205" w:lineRule="exact"/>
              <w:rPr>
                <w:sz w:val="20"/>
                <w:szCs w:val="20"/>
                <w:color w:val="auto"/>
              </w:rPr>
            </w:pPr>
            <w:r>
              <w:rPr>
                <w:rFonts w:ascii="Arial" w:cs="Arial" w:eastAsia="Arial" w:hAnsi="Arial"/>
                <w:sz w:val="18"/>
                <w:szCs w:val="18"/>
                <w:color w:val="auto"/>
              </w:rPr>
              <w:t>Exhibit 10.10 to our Form 10-Q, filed on April 28, 2016)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720" w:type="dxa"/>
            <w:vAlign w:val="bottom"/>
            <w:gridSpan w:val="3"/>
          </w:tcPr>
          <w:p>
            <w:pPr>
              <w:spacing w:after="0"/>
              <w:rPr>
                <w:sz w:val="17"/>
                <w:szCs w:val="17"/>
                <w:color w:val="auto"/>
              </w:rPr>
            </w:pPr>
          </w:p>
        </w:tc>
      </w:tr>
      <w:tr>
        <w:trPr>
          <w:trHeight w:val="184"/>
        </w:trPr>
        <w:tc>
          <w:tcPr>
            <w:tcW w:w="900" w:type="dxa"/>
            <w:vAlign w:val="bottom"/>
          </w:tcPr>
          <w:p>
            <w:pPr>
              <w:jc w:val="center"/>
              <w:ind w:right="292"/>
              <w:spacing w:after="0" w:line="183" w:lineRule="exact"/>
              <w:rPr>
                <w:sz w:val="20"/>
                <w:szCs w:val="20"/>
                <w:color w:val="auto"/>
              </w:rPr>
            </w:pPr>
            <w:r>
              <w:rPr>
                <w:rFonts w:ascii="Arial" w:cs="Arial" w:eastAsia="Arial" w:hAnsi="Arial"/>
                <w:sz w:val="18"/>
                <w:szCs w:val="18"/>
                <w:color w:val="auto"/>
                <w:w w:val="85"/>
              </w:rPr>
              <w:t>10.27 ~</w:t>
            </w:r>
          </w:p>
        </w:tc>
        <w:tc>
          <w:tcPr>
            <w:tcW w:w="9820" w:type="dxa"/>
            <w:vAlign w:val="bottom"/>
            <w:gridSpan w:val="22"/>
          </w:tcPr>
          <w:p>
            <w:pPr>
              <w:spacing w:after="0" w:line="183"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 xml:space="preserve">Employment Letter by and between NMI Holdings, Inc. and Bradley M. Shuster, effective as of January 1, 2019 </w:t>
              </w:r>
            </w:hyperlink>
            <w:r>
              <w:rPr>
                <w:rFonts w:ascii="Arial" w:cs="Arial" w:eastAsia="Arial" w:hAnsi="Arial"/>
                <w:sz w:val="18"/>
                <w:szCs w:val="18"/>
                <w:color w:val="000000"/>
                <w:w w:val="91"/>
              </w:rPr>
              <w:t>(incorporated</w:t>
            </w:r>
            <w:r>
              <w:rPr>
                <w:rFonts w:ascii="Arial" w:cs="Arial" w:eastAsia="Arial" w:hAnsi="Arial"/>
                <w:sz w:val="18"/>
                <w:szCs w:val="18"/>
                <w:color w:val="0000FF"/>
                <w:w w:val="91"/>
              </w:rPr>
              <w:t xml:space="preserve"> </w:t>
            </w:r>
            <w:r>
              <w:rPr>
                <w:rFonts w:ascii="Arial" w:cs="Arial" w:eastAsia="Arial" w:hAnsi="Arial"/>
                <w:sz w:val="18"/>
                <w:szCs w:val="18"/>
                <w:color w:val="000000"/>
                <w:w w:val="91"/>
              </w:rPr>
              <w:t>herein by</w:t>
            </w:r>
          </w:p>
        </w:tc>
      </w:tr>
      <w:tr>
        <w:trPr>
          <w:trHeight w:val="205"/>
        </w:trPr>
        <w:tc>
          <w:tcPr>
            <w:tcW w:w="900" w:type="dxa"/>
            <w:vAlign w:val="bottom"/>
          </w:tcPr>
          <w:p>
            <w:pPr>
              <w:spacing w:after="0"/>
              <w:rPr>
                <w:sz w:val="17"/>
                <w:szCs w:val="17"/>
                <w:color w:val="auto"/>
              </w:rPr>
            </w:pPr>
          </w:p>
        </w:tc>
        <w:tc>
          <w:tcPr>
            <w:tcW w:w="8100" w:type="dxa"/>
            <w:vAlign w:val="bottom"/>
            <w:tcBorders>
              <w:top w:val="single" w:sz="8" w:color="0000FF"/>
            </w:tcBorders>
            <w:gridSpan w:val="19"/>
          </w:tcPr>
          <w:p>
            <w:pPr>
              <w:spacing w:after="0" w:line="205" w:lineRule="exact"/>
              <w:rPr>
                <w:sz w:val="20"/>
                <w:szCs w:val="20"/>
                <w:color w:val="auto"/>
              </w:rPr>
            </w:pPr>
            <w:r>
              <w:rPr>
                <w:rFonts w:ascii="Arial" w:cs="Arial" w:eastAsia="Arial" w:hAnsi="Arial"/>
                <w:sz w:val="18"/>
                <w:szCs w:val="18"/>
                <w:color w:val="auto"/>
              </w:rPr>
              <w:t>reference to Exhibit 10.1 to our Form 8-K, filed on December 28, 2018)</w:t>
            </w:r>
          </w:p>
        </w:tc>
        <w:tc>
          <w:tcPr>
            <w:tcW w:w="1720" w:type="dxa"/>
            <w:vAlign w:val="bottom"/>
            <w:gridSpan w:val="3"/>
          </w:tcPr>
          <w:p>
            <w:pPr>
              <w:spacing w:after="0"/>
              <w:rPr>
                <w:sz w:val="17"/>
                <w:szCs w:val="17"/>
                <w:color w:val="auto"/>
              </w:rPr>
            </w:pPr>
          </w:p>
        </w:tc>
      </w:tr>
      <w:tr>
        <w:trPr>
          <w:trHeight w:val="184"/>
        </w:trPr>
        <w:tc>
          <w:tcPr>
            <w:tcW w:w="900" w:type="dxa"/>
            <w:vAlign w:val="bottom"/>
          </w:tcPr>
          <w:p>
            <w:pPr>
              <w:jc w:val="center"/>
              <w:ind w:right="292"/>
              <w:spacing w:after="0" w:line="183" w:lineRule="exact"/>
              <w:rPr>
                <w:sz w:val="20"/>
                <w:szCs w:val="20"/>
                <w:color w:val="auto"/>
              </w:rPr>
            </w:pPr>
            <w:r>
              <w:rPr>
                <w:rFonts w:ascii="Arial" w:cs="Arial" w:eastAsia="Arial" w:hAnsi="Arial"/>
                <w:sz w:val="18"/>
                <w:szCs w:val="18"/>
                <w:color w:val="auto"/>
                <w:w w:val="85"/>
              </w:rPr>
              <w:t>10.28 ~</w:t>
            </w:r>
          </w:p>
        </w:tc>
        <w:tc>
          <w:tcPr>
            <w:tcW w:w="9820" w:type="dxa"/>
            <w:vAlign w:val="bottom"/>
            <w:gridSpan w:val="22"/>
          </w:tcPr>
          <w:p>
            <w:pPr>
              <w:spacing w:after="0" w:line="183"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 xml:space="preserve">Offer Letter by and between NMI Holdings, Inc. and Adam Pollitzer, dated September 9, 2021 </w:t>
              </w:r>
            </w:hyperlink>
            <w:r>
              <w:rPr>
                <w:rFonts w:ascii="Arial" w:cs="Arial" w:eastAsia="Arial" w:hAnsi="Arial"/>
                <w:sz w:val="18"/>
                <w:szCs w:val="18"/>
                <w:color w:val="000000"/>
                <w:w w:val="89"/>
              </w:rPr>
              <w:t>(incorporated</w:t>
            </w:r>
            <w:r>
              <w:rPr>
                <w:rFonts w:ascii="Arial" w:cs="Arial" w:eastAsia="Arial" w:hAnsi="Arial"/>
                <w:sz w:val="18"/>
                <w:szCs w:val="18"/>
                <w:color w:val="0000FF"/>
                <w:w w:val="89"/>
              </w:rPr>
              <w:t xml:space="preserve"> </w:t>
            </w:r>
            <w:r>
              <w:rPr>
                <w:rFonts w:ascii="Arial" w:cs="Arial" w:eastAsia="Arial" w:hAnsi="Arial"/>
                <w:sz w:val="18"/>
                <w:szCs w:val="18"/>
                <w:color w:val="000000"/>
                <w:w w:val="89"/>
              </w:rPr>
              <w:t>herein by reference to Exhibit</w:t>
            </w:r>
          </w:p>
        </w:tc>
      </w:tr>
      <w:tr>
        <w:trPr>
          <w:trHeight w:val="192"/>
        </w:trPr>
        <w:tc>
          <w:tcPr>
            <w:tcW w:w="900" w:type="dxa"/>
            <w:vAlign w:val="bottom"/>
          </w:tcPr>
          <w:p>
            <w:pPr>
              <w:spacing w:after="0"/>
              <w:rPr>
                <w:sz w:val="16"/>
                <w:szCs w:val="16"/>
                <w:color w:val="auto"/>
              </w:rPr>
            </w:pPr>
          </w:p>
        </w:tc>
        <w:tc>
          <w:tcPr>
            <w:tcW w:w="6720" w:type="dxa"/>
            <w:vAlign w:val="bottom"/>
            <w:tcBorders>
              <w:top w:val="single" w:sz="8" w:color="0000FF"/>
            </w:tcBorders>
            <w:gridSpan w:val="14"/>
          </w:tcPr>
          <w:p>
            <w:pPr>
              <w:spacing w:after="0" w:line="192" w:lineRule="exact"/>
              <w:rPr>
                <w:sz w:val="20"/>
                <w:szCs w:val="20"/>
                <w:color w:val="auto"/>
              </w:rPr>
            </w:pPr>
            <w:r>
              <w:rPr>
                <w:rFonts w:ascii="Arial" w:cs="Arial" w:eastAsia="Arial" w:hAnsi="Arial"/>
                <w:sz w:val="18"/>
                <w:szCs w:val="18"/>
                <w:color w:val="auto"/>
              </w:rPr>
              <w:t>10.1 to our Form 8-K, filed on September 9, 2021)</w:t>
            </w:r>
          </w:p>
        </w:tc>
        <w:tc>
          <w:tcPr>
            <w:tcW w:w="4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660" w:type="dxa"/>
            <w:vAlign w:val="bottom"/>
            <w:gridSpan w:val="5"/>
          </w:tcPr>
          <w:p>
            <w:pPr>
              <w:spacing w:after="0"/>
              <w:rPr>
                <w:sz w:val="16"/>
                <w:szCs w:val="16"/>
                <w:color w:val="auto"/>
              </w:rPr>
            </w:pPr>
          </w:p>
        </w:tc>
      </w:tr>
      <w:tr>
        <w:trPr>
          <w:trHeight w:val="184"/>
        </w:trPr>
        <w:tc>
          <w:tcPr>
            <w:tcW w:w="900" w:type="dxa"/>
            <w:vAlign w:val="bottom"/>
          </w:tcPr>
          <w:p>
            <w:pPr>
              <w:jc w:val="center"/>
              <w:ind w:right="292"/>
              <w:spacing w:after="0" w:line="183" w:lineRule="exact"/>
              <w:rPr>
                <w:sz w:val="20"/>
                <w:szCs w:val="20"/>
                <w:color w:val="auto"/>
              </w:rPr>
            </w:pPr>
            <w:r>
              <w:rPr>
                <w:rFonts w:ascii="Arial" w:cs="Arial" w:eastAsia="Arial" w:hAnsi="Arial"/>
                <w:sz w:val="18"/>
                <w:szCs w:val="18"/>
                <w:color w:val="auto"/>
                <w:w w:val="85"/>
              </w:rPr>
              <w:t>10.29 ~</w:t>
            </w:r>
          </w:p>
        </w:tc>
        <w:tc>
          <w:tcPr>
            <w:tcW w:w="9820" w:type="dxa"/>
            <w:vAlign w:val="bottom"/>
            <w:gridSpan w:val="22"/>
          </w:tcPr>
          <w:p>
            <w:pPr>
              <w:spacing w:after="0" w:line="183"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 xml:space="preserve">Offer letter by and between NMI Holdings, Inc. and Ravi Mallela, dated December 20, 2021 </w:t>
              </w:r>
            </w:hyperlink>
            <w:r>
              <w:rPr>
                <w:rFonts w:ascii="Arial" w:cs="Arial" w:eastAsia="Arial" w:hAnsi="Arial"/>
                <w:sz w:val="18"/>
                <w:szCs w:val="18"/>
                <w:color w:val="000000"/>
                <w:w w:val="91"/>
              </w:rPr>
              <w:t>(incorporated</w:t>
            </w:r>
            <w:r>
              <w:rPr>
                <w:rFonts w:ascii="Arial" w:cs="Arial" w:eastAsia="Arial" w:hAnsi="Arial"/>
                <w:sz w:val="18"/>
                <w:szCs w:val="18"/>
                <w:color w:val="0000FF"/>
                <w:w w:val="91"/>
              </w:rPr>
              <w:t xml:space="preserve"> </w:t>
            </w:r>
            <w:r>
              <w:rPr>
                <w:rFonts w:ascii="Arial" w:cs="Arial" w:eastAsia="Arial" w:hAnsi="Arial"/>
                <w:sz w:val="18"/>
                <w:szCs w:val="18"/>
                <w:color w:val="000000"/>
                <w:w w:val="91"/>
              </w:rPr>
              <w:t>herein by reference to Exhibit</w:t>
            </w:r>
          </w:p>
        </w:tc>
      </w:tr>
      <w:tr>
        <w:trPr>
          <w:trHeight w:val="205"/>
        </w:trPr>
        <w:tc>
          <w:tcPr>
            <w:tcW w:w="900" w:type="dxa"/>
            <w:vAlign w:val="bottom"/>
          </w:tcPr>
          <w:p>
            <w:pPr>
              <w:spacing w:after="0"/>
              <w:rPr>
                <w:sz w:val="17"/>
                <w:szCs w:val="17"/>
                <w:color w:val="auto"/>
              </w:rPr>
            </w:pPr>
          </w:p>
        </w:tc>
        <w:tc>
          <w:tcPr>
            <w:tcW w:w="6620" w:type="dxa"/>
            <w:vAlign w:val="bottom"/>
            <w:tcBorders>
              <w:top w:val="single" w:sz="8" w:color="0000FF"/>
            </w:tcBorders>
            <w:gridSpan w:val="13"/>
          </w:tcPr>
          <w:p>
            <w:pPr>
              <w:spacing w:after="0" w:line="205" w:lineRule="exact"/>
              <w:rPr>
                <w:sz w:val="20"/>
                <w:szCs w:val="20"/>
                <w:color w:val="auto"/>
              </w:rPr>
            </w:pPr>
            <w:r>
              <w:rPr>
                <w:rFonts w:ascii="Arial" w:cs="Arial" w:eastAsia="Arial" w:hAnsi="Arial"/>
                <w:sz w:val="18"/>
                <w:szCs w:val="18"/>
                <w:color w:val="auto"/>
              </w:rPr>
              <w:t>10.1 to our Form 8-K, filed on December 21, 2021)</w:t>
            </w:r>
          </w:p>
        </w:tc>
        <w:tc>
          <w:tcPr>
            <w:tcW w:w="5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gridSpan w:val="5"/>
          </w:tcPr>
          <w:p>
            <w:pPr>
              <w:spacing w:after="0"/>
              <w:rPr>
                <w:sz w:val="17"/>
                <w:szCs w:val="17"/>
                <w:color w:val="auto"/>
              </w:rPr>
            </w:pPr>
          </w:p>
        </w:tc>
      </w:tr>
      <w:tr>
        <w:trPr>
          <w:trHeight w:val="184"/>
        </w:trPr>
        <w:tc>
          <w:tcPr>
            <w:tcW w:w="900" w:type="dxa"/>
            <w:vAlign w:val="bottom"/>
          </w:tcPr>
          <w:p>
            <w:pPr>
              <w:jc w:val="center"/>
              <w:ind w:right="272"/>
              <w:spacing w:after="0" w:line="183" w:lineRule="exact"/>
              <w:rPr>
                <w:sz w:val="20"/>
                <w:szCs w:val="20"/>
                <w:color w:val="auto"/>
              </w:rPr>
            </w:pPr>
            <w:r>
              <w:rPr>
                <w:rFonts w:ascii="Arial" w:cs="Arial" w:eastAsia="Arial" w:hAnsi="Arial"/>
                <w:sz w:val="18"/>
                <w:szCs w:val="18"/>
                <w:color w:val="auto"/>
                <w:w w:val="89"/>
              </w:rPr>
              <w:t>10.30 +</w:t>
            </w:r>
          </w:p>
        </w:tc>
        <w:tc>
          <w:tcPr>
            <w:tcW w:w="9820" w:type="dxa"/>
            <w:vAlign w:val="bottom"/>
            <w:gridSpan w:val="22"/>
          </w:tcPr>
          <w:p>
            <w:pPr>
              <w:spacing w:after="0" w:line="183" w:lineRule="exact"/>
              <w:rPr>
                <w:rFonts w:ascii="Arial" w:cs="Arial" w:eastAsia="Arial" w:hAnsi="Arial"/>
                <w:sz w:val="18"/>
                <w:szCs w:val="18"/>
                <w:color w:val="0000FF"/>
                <w:w w:val="92"/>
              </w:rPr>
            </w:pPr>
            <w:hyperlink r:id="rId99">
              <w:r>
                <w:rPr>
                  <w:rFonts w:ascii="Arial" w:cs="Arial" w:eastAsia="Arial" w:hAnsi="Arial"/>
                  <w:sz w:val="18"/>
                  <w:szCs w:val="18"/>
                  <w:color w:val="0000FF"/>
                  <w:w w:val="92"/>
                </w:rPr>
                <w:t>Commitment Letter dated July 12, 2013 for Bulk Fannie Mae-Paid Loss-on-Sale Mortgage Insurance on the Portfolio of approximately</w:t>
              </w:r>
            </w:hyperlink>
          </w:p>
        </w:tc>
      </w:tr>
      <w:tr>
        <w:trPr>
          <w:trHeight w:val="151"/>
        </w:trPr>
        <w:tc>
          <w:tcPr>
            <w:tcW w:w="90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21"/>
          </w:tcPr>
          <w:p>
            <w:pPr>
              <w:spacing w:after="0" w:line="152" w:lineRule="exact"/>
              <w:rPr>
                <w:rFonts w:ascii="Arial" w:cs="Arial" w:eastAsia="Arial" w:hAnsi="Arial"/>
                <w:sz w:val="16"/>
                <w:szCs w:val="16"/>
                <w:color w:val="0000FF"/>
              </w:rPr>
            </w:pPr>
            <w:hyperlink r:id="rId99">
              <w:r>
                <w:rPr>
                  <w:rFonts w:ascii="Arial" w:cs="Arial" w:eastAsia="Arial" w:hAnsi="Arial"/>
                  <w:sz w:val="16"/>
                  <w:szCs w:val="16"/>
                  <w:u w:val="single" w:color="auto"/>
                  <w:color w:val="0000FF"/>
                </w:rPr>
                <w:t>$</w:t>
              </w:r>
              <w:r>
                <w:rPr>
                  <w:rFonts w:ascii="Arial" w:cs="Arial" w:eastAsia="Arial" w:hAnsi="Arial"/>
                  <w:sz w:val="16"/>
                  <w:szCs w:val="16"/>
                  <w:color w:val="0000FF"/>
                </w:rPr>
                <w:t>5.46 billion Purchased by Fannie Mae and Identified by Fannie Mae as Deal No. 2013 MIRT 01 and by the Company as Policy No. P-</w:t>
              </w:r>
            </w:hyperlink>
          </w:p>
        </w:tc>
        <w:tc>
          <w:tcPr>
            <w:tcW w:w="20" w:type="dxa"/>
            <w:vAlign w:val="bottom"/>
          </w:tcPr>
          <w:p>
            <w:pPr>
              <w:spacing w:after="0"/>
              <w:rPr>
                <w:sz w:val="13"/>
                <w:szCs w:val="13"/>
                <w:color w:val="auto"/>
              </w:rPr>
            </w:pPr>
          </w:p>
        </w:tc>
      </w:tr>
      <w:tr>
        <w:trPr>
          <w:trHeight w:val="164"/>
        </w:trPr>
        <w:tc>
          <w:tcPr>
            <w:tcW w:w="900" w:type="dxa"/>
            <w:vAlign w:val="bottom"/>
          </w:tcPr>
          <w:p>
            <w:pPr>
              <w:spacing w:after="0"/>
              <w:rPr>
                <w:sz w:val="14"/>
                <w:szCs w:val="14"/>
                <w:color w:val="auto"/>
              </w:rPr>
            </w:pPr>
          </w:p>
        </w:tc>
        <w:tc>
          <w:tcPr>
            <w:tcW w:w="9800" w:type="dxa"/>
            <w:vAlign w:val="bottom"/>
            <w:gridSpan w:val="21"/>
          </w:tcPr>
          <w:p>
            <w:pPr>
              <w:spacing w:after="0" w:line="164"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 xml:space="preserve">0001-01 </w:t>
              </w:r>
              <w:r>
                <w:rPr>
                  <w:rFonts w:ascii="Arial" w:cs="Arial" w:eastAsia="Arial" w:hAnsi="Arial"/>
                  <w:sz w:val="18"/>
                  <w:szCs w:val="18"/>
                  <w:color w:val="000000"/>
                  <w:w w:val="90"/>
                </w:rPr>
                <w:t>(incorporated herein by reference to Exhibit 10.14 to our Form S-1 Registration Statement (Registration No. 333-191635), filed</w:t>
              </w:r>
            </w:hyperlink>
          </w:p>
        </w:tc>
        <w:tc>
          <w:tcPr>
            <w:tcW w:w="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r>
      <w:tr>
        <w:trPr>
          <w:trHeight w:val="192"/>
        </w:trPr>
        <w:tc>
          <w:tcPr>
            <w:tcW w:w="900" w:type="dxa"/>
            <w:vAlign w:val="bottom"/>
          </w:tcPr>
          <w:p>
            <w:pPr>
              <w:spacing w:after="0"/>
              <w:rPr>
                <w:sz w:val="16"/>
                <w:szCs w:val="16"/>
                <w:color w:val="auto"/>
              </w:rPr>
            </w:pPr>
          </w:p>
        </w:tc>
        <w:tc>
          <w:tcPr>
            <w:tcW w:w="9820" w:type="dxa"/>
            <w:vAlign w:val="bottom"/>
            <w:gridSpan w:val="22"/>
          </w:tcPr>
          <w:p>
            <w:pPr>
              <w:spacing w:after="0" w:line="192" w:lineRule="exact"/>
              <w:rPr>
                <w:sz w:val="20"/>
                <w:szCs w:val="20"/>
                <w:color w:val="auto"/>
              </w:rPr>
            </w:pPr>
            <w:r>
              <w:rPr>
                <w:rFonts w:ascii="Arial" w:cs="Arial" w:eastAsia="Arial" w:hAnsi="Arial"/>
                <w:sz w:val="18"/>
                <w:szCs w:val="18"/>
                <w:color w:val="auto"/>
              </w:rPr>
              <w:t>on October 9, 2013)</w:t>
            </w:r>
          </w:p>
        </w:tc>
      </w:tr>
      <w:tr>
        <w:trPr>
          <w:trHeight w:val="184"/>
        </w:trPr>
        <w:tc>
          <w:tcPr>
            <w:tcW w:w="900" w:type="dxa"/>
            <w:vAlign w:val="bottom"/>
          </w:tcPr>
          <w:p>
            <w:pPr>
              <w:jc w:val="center"/>
              <w:ind w:right="292"/>
              <w:spacing w:after="0" w:line="183" w:lineRule="exact"/>
              <w:rPr>
                <w:sz w:val="20"/>
                <w:szCs w:val="20"/>
                <w:color w:val="auto"/>
              </w:rPr>
            </w:pPr>
            <w:r>
              <w:rPr>
                <w:rFonts w:ascii="Arial" w:cs="Arial" w:eastAsia="Arial" w:hAnsi="Arial"/>
                <w:sz w:val="18"/>
                <w:szCs w:val="18"/>
                <w:color w:val="auto"/>
                <w:w w:val="88"/>
              </w:rPr>
              <w:t>10.31</w:t>
            </w:r>
          </w:p>
        </w:tc>
        <w:tc>
          <w:tcPr>
            <w:tcW w:w="9820" w:type="dxa"/>
            <w:vAlign w:val="bottom"/>
            <w:tcBorders>
              <w:bottom w:val="single" w:sz="8" w:color="0000FF"/>
            </w:tcBorders>
            <w:gridSpan w:val="22"/>
          </w:tcPr>
          <w:p>
            <w:pPr>
              <w:spacing w:after="0" w:line="183"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Amended and Restated Credit Agreement, dated as of November 29, 2021, by and among the Company, the lender parties thereto and</w:t>
              </w:r>
            </w:hyperlink>
          </w:p>
        </w:tc>
      </w:tr>
      <w:tr>
        <w:trPr>
          <w:trHeight w:val="164"/>
        </w:trPr>
        <w:tc>
          <w:tcPr>
            <w:tcW w:w="900" w:type="dxa"/>
            <w:vAlign w:val="bottom"/>
          </w:tcPr>
          <w:p>
            <w:pPr>
              <w:spacing w:after="0"/>
              <w:rPr>
                <w:sz w:val="14"/>
                <w:szCs w:val="14"/>
                <w:color w:val="auto"/>
              </w:rPr>
            </w:pPr>
          </w:p>
        </w:tc>
        <w:tc>
          <w:tcPr>
            <w:tcW w:w="9820" w:type="dxa"/>
            <w:vAlign w:val="bottom"/>
            <w:gridSpan w:val="22"/>
          </w:tcPr>
          <w:p>
            <w:pPr>
              <w:spacing w:after="0" w:line="164" w:lineRule="exact"/>
              <w:rPr>
                <w:rFonts w:ascii="Arial" w:cs="Arial" w:eastAsia="Arial" w:hAnsi="Arial"/>
                <w:sz w:val="18"/>
                <w:szCs w:val="18"/>
                <w:color w:val="0000FF"/>
                <w:w w:val="89"/>
              </w:rPr>
            </w:pPr>
            <w:hyperlink r:id="rId100">
              <w:r>
                <w:rPr>
                  <w:rFonts w:ascii="Arial" w:cs="Arial" w:eastAsia="Arial" w:hAnsi="Arial"/>
                  <w:sz w:val="18"/>
                  <w:szCs w:val="18"/>
                  <w:color w:val="0000FF"/>
                  <w:w w:val="89"/>
                </w:rPr>
                <w:t xml:space="preserve">JPMorgan Chase Bank, N.A., as administrative agent </w:t>
              </w:r>
              <w:r>
                <w:rPr>
                  <w:rFonts w:ascii="Arial" w:cs="Arial" w:eastAsia="Arial" w:hAnsi="Arial"/>
                  <w:sz w:val="18"/>
                  <w:szCs w:val="18"/>
                  <w:color w:val="000000"/>
                  <w:w w:val="89"/>
                </w:rPr>
                <w:t>(incorporated herein by reference to Exhibit 10.1 to our Form 8-K filed on November</w:t>
              </w:r>
            </w:hyperlink>
          </w:p>
        </w:tc>
      </w:tr>
      <w:tr>
        <w:trPr>
          <w:trHeight w:val="192"/>
        </w:trPr>
        <w:tc>
          <w:tcPr>
            <w:tcW w:w="900" w:type="dxa"/>
            <w:vAlign w:val="bottom"/>
          </w:tcPr>
          <w:p>
            <w:pPr>
              <w:spacing w:after="0"/>
              <w:rPr>
                <w:sz w:val="16"/>
                <w:szCs w:val="16"/>
                <w:color w:val="auto"/>
              </w:rPr>
            </w:pPr>
          </w:p>
        </w:tc>
        <w:tc>
          <w:tcPr>
            <w:tcW w:w="780" w:type="dxa"/>
            <w:vAlign w:val="bottom"/>
            <w:tcBorders>
              <w:top w:val="single" w:sz="8" w:color="0000FF"/>
            </w:tcBorders>
            <w:gridSpan w:val="4"/>
          </w:tcPr>
          <w:p>
            <w:pPr>
              <w:spacing w:after="0" w:line="192" w:lineRule="exact"/>
              <w:rPr>
                <w:sz w:val="20"/>
                <w:szCs w:val="20"/>
                <w:color w:val="auto"/>
              </w:rPr>
            </w:pPr>
            <w:r>
              <w:rPr>
                <w:rFonts w:ascii="Arial" w:cs="Arial" w:eastAsia="Arial" w:hAnsi="Arial"/>
                <w:sz w:val="18"/>
                <w:szCs w:val="18"/>
                <w:color w:val="auto"/>
                <w:w w:val="99"/>
              </w:rPr>
              <w:t>30, 2021)</w:t>
            </w:r>
          </w:p>
        </w:tc>
        <w:tc>
          <w:tcPr>
            <w:tcW w:w="800" w:type="dxa"/>
            <w:vAlign w:val="bottom"/>
            <w:tcBorders>
              <w:top w:val="single" w:sz="8" w:color="0000FF"/>
            </w:tcBorders>
          </w:tcPr>
          <w:p>
            <w:pPr>
              <w:spacing w:after="0"/>
              <w:rPr>
                <w:sz w:val="16"/>
                <w:szCs w:val="16"/>
                <w:color w:val="auto"/>
              </w:rPr>
            </w:pPr>
          </w:p>
        </w:tc>
        <w:tc>
          <w:tcPr>
            <w:tcW w:w="8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900" w:type="dxa"/>
            <w:vAlign w:val="bottom"/>
          </w:tcPr>
          <w:p>
            <w:pPr>
              <w:jc w:val="center"/>
              <w:ind w:right="292"/>
              <w:spacing w:after="0" w:line="183" w:lineRule="exact"/>
              <w:rPr>
                <w:sz w:val="20"/>
                <w:szCs w:val="20"/>
                <w:color w:val="auto"/>
              </w:rPr>
            </w:pPr>
            <w:r>
              <w:rPr>
                <w:rFonts w:ascii="Arial" w:cs="Arial" w:eastAsia="Arial" w:hAnsi="Arial"/>
                <w:sz w:val="18"/>
                <w:szCs w:val="18"/>
                <w:color w:val="auto"/>
                <w:w w:val="91"/>
              </w:rPr>
              <w:t>21.1</w:t>
            </w:r>
          </w:p>
        </w:tc>
        <w:tc>
          <w:tcPr>
            <w:tcW w:w="9820" w:type="dxa"/>
            <w:vAlign w:val="bottom"/>
            <w:gridSpan w:val="22"/>
          </w:tcPr>
          <w:p>
            <w:pPr>
              <w:spacing w:after="0" w:line="183" w:lineRule="exact"/>
              <w:rPr>
                <w:rFonts w:ascii="Arial" w:cs="Arial" w:eastAsia="Arial" w:hAnsi="Arial"/>
                <w:sz w:val="18"/>
                <w:szCs w:val="18"/>
                <w:color w:val="0000FF"/>
                <w:w w:val="95"/>
              </w:rPr>
            </w:pPr>
            <w:hyperlink r:id="rId101">
              <w:r>
                <w:rPr>
                  <w:rFonts w:ascii="Arial" w:cs="Arial" w:eastAsia="Arial" w:hAnsi="Arial"/>
                  <w:sz w:val="18"/>
                  <w:szCs w:val="18"/>
                  <w:color w:val="0000FF"/>
                  <w:w w:val="95"/>
                </w:rPr>
                <w:t xml:space="preserve">Subsidiaries of NMI Holdings, Inc. </w:t>
              </w:r>
            </w:hyperlink>
            <w:r>
              <w:rPr>
                <w:rFonts w:ascii="Arial" w:cs="Arial" w:eastAsia="Arial" w:hAnsi="Arial"/>
                <w:sz w:val="18"/>
                <w:szCs w:val="18"/>
                <w:color w:val="000000"/>
                <w:w w:val="95"/>
              </w:rPr>
              <w:t>(incorporated</w:t>
            </w:r>
            <w:r>
              <w:rPr>
                <w:rFonts w:ascii="Arial" w:cs="Arial" w:eastAsia="Arial" w:hAnsi="Arial"/>
                <w:sz w:val="18"/>
                <w:szCs w:val="18"/>
                <w:color w:val="0000FF"/>
                <w:w w:val="95"/>
              </w:rPr>
              <w:t xml:space="preserve"> </w:t>
            </w:r>
            <w:r>
              <w:rPr>
                <w:rFonts w:ascii="Arial" w:cs="Arial" w:eastAsia="Arial" w:hAnsi="Arial"/>
                <w:sz w:val="18"/>
                <w:szCs w:val="18"/>
                <w:color w:val="000000"/>
                <w:w w:val="95"/>
              </w:rPr>
              <w:t>herein by reference to Exhibit 21.1 to our Form 10-Q, filed on October 30, 2015)</w:t>
            </w: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r>
      <w:tr>
        <w:trPr>
          <w:trHeight w:val="217"/>
        </w:trPr>
        <w:tc>
          <w:tcPr>
            <w:tcW w:w="900" w:type="dxa"/>
            <w:vAlign w:val="bottom"/>
          </w:tcPr>
          <w:p>
            <w:pPr>
              <w:jc w:val="center"/>
              <w:ind w:right="292"/>
              <w:spacing w:after="0"/>
              <w:rPr>
                <w:sz w:val="20"/>
                <w:szCs w:val="20"/>
                <w:color w:val="auto"/>
              </w:rPr>
            </w:pPr>
            <w:r>
              <w:rPr>
                <w:rFonts w:ascii="Arial" w:cs="Arial" w:eastAsia="Arial" w:hAnsi="Arial"/>
                <w:sz w:val="18"/>
                <w:szCs w:val="18"/>
                <w:color w:val="auto"/>
                <w:w w:val="91"/>
              </w:rPr>
              <w:t>22.1</w:t>
            </w:r>
          </w:p>
        </w:tc>
        <w:tc>
          <w:tcPr>
            <w:tcW w:w="9820" w:type="dxa"/>
            <w:vAlign w:val="bottom"/>
            <w:gridSpan w:val="22"/>
          </w:tcPr>
          <w:p>
            <w:pPr>
              <w:spacing w:after="0"/>
              <w:rPr>
                <w:sz w:val="20"/>
                <w:szCs w:val="20"/>
                <w:color w:val="auto"/>
              </w:rPr>
            </w:pPr>
            <w:r>
              <w:rPr>
                <w:rFonts w:ascii="Arial" w:cs="Arial" w:eastAsia="Arial" w:hAnsi="Arial"/>
                <w:sz w:val="18"/>
                <w:szCs w:val="18"/>
                <w:color w:val="0000FF"/>
                <w:w w:val="90"/>
              </w:rPr>
              <w:t xml:space="preserve">Guaranteed Securities by Subsidiary Guarantor </w:t>
            </w:r>
            <w:r>
              <w:rPr>
                <w:rFonts w:ascii="Arial" w:cs="Arial" w:eastAsia="Arial" w:hAnsi="Arial"/>
                <w:sz w:val="18"/>
                <w:szCs w:val="18"/>
                <w:color w:val="000000"/>
                <w:w w:val="90"/>
              </w:rPr>
              <w:t>(incorporated herein by reference to Exhibit 22.1 to our Form 10-K, filed on February 16,</w:t>
            </w:r>
          </w:p>
        </w:tc>
      </w:tr>
      <w:tr>
        <w:trPr>
          <w:trHeight w:val="192"/>
        </w:trPr>
        <w:tc>
          <w:tcPr>
            <w:tcW w:w="900" w:type="dxa"/>
            <w:vAlign w:val="bottom"/>
          </w:tcPr>
          <w:p>
            <w:pPr>
              <w:spacing w:after="0"/>
              <w:rPr>
                <w:sz w:val="16"/>
                <w:szCs w:val="16"/>
                <w:color w:val="auto"/>
              </w:rPr>
            </w:pPr>
          </w:p>
        </w:tc>
        <w:tc>
          <w:tcPr>
            <w:tcW w:w="500" w:type="dxa"/>
            <w:vAlign w:val="bottom"/>
            <w:tcBorders>
              <w:top w:val="single" w:sz="8" w:color="0000FF"/>
            </w:tcBorders>
            <w:gridSpan w:val="2"/>
          </w:tcPr>
          <w:p>
            <w:pPr>
              <w:spacing w:after="0" w:line="192" w:lineRule="exact"/>
              <w:rPr>
                <w:sz w:val="20"/>
                <w:szCs w:val="20"/>
                <w:color w:val="auto"/>
              </w:rPr>
            </w:pPr>
            <w:r>
              <w:rPr>
                <w:rFonts w:ascii="Arial" w:cs="Arial" w:eastAsia="Arial" w:hAnsi="Arial"/>
                <w:sz w:val="18"/>
                <w:szCs w:val="18"/>
                <w:color w:val="auto"/>
              </w:rPr>
              <w:t>2022)</w:t>
            </w:r>
          </w:p>
        </w:tc>
        <w:tc>
          <w:tcPr>
            <w:tcW w:w="1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8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900" w:type="dxa"/>
            <w:vAlign w:val="bottom"/>
          </w:tcPr>
          <w:p>
            <w:pPr>
              <w:jc w:val="center"/>
              <w:ind w:right="292"/>
              <w:spacing w:after="0" w:line="183" w:lineRule="exact"/>
              <w:rPr>
                <w:sz w:val="20"/>
                <w:szCs w:val="20"/>
                <w:color w:val="auto"/>
              </w:rPr>
            </w:pPr>
            <w:r>
              <w:rPr>
                <w:rFonts w:ascii="Arial" w:cs="Arial" w:eastAsia="Arial" w:hAnsi="Arial"/>
                <w:sz w:val="18"/>
                <w:szCs w:val="18"/>
                <w:color w:val="auto"/>
                <w:w w:val="91"/>
              </w:rPr>
              <w:t>31.1</w:t>
            </w:r>
          </w:p>
        </w:tc>
        <w:tc>
          <w:tcPr>
            <w:tcW w:w="9820" w:type="dxa"/>
            <w:vAlign w:val="bottom"/>
            <w:gridSpan w:val="22"/>
          </w:tcPr>
          <w:p>
            <w:pPr>
              <w:spacing w:after="0" w:line="183" w:lineRule="exact"/>
              <w:rPr>
                <w:sz w:val="20"/>
                <w:szCs w:val="20"/>
                <w:color w:val="auto"/>
              </w:rPr>
            </w:pPr>
            <w:r>
              <w:rPr>
                <w:rFonts w:ascii="Arial" w:cs="Arial" w:eastAsia="Arial" w:hAnsi="Arial"/>
                <w:sz w:val="18"/>
                <w:szCs w:val="18"/>
                <w:color w:val="0000FF"/>
              </w:rPr>
              <w:t>Principal Executive Officer's Certification Pursuant to Section 302 of the Sarbanes-Oxley Act of 2002</w:t>
            </w:r>
          </w:p>
        </w:tc>
      </w:tr>
      <w:tr>
        <w:trPr>
          <w:trHeight w:val="204"/>
        </w:trPr>
        <w:tc>
          <w:tcPr>
            <w:tcW w:w="900" w:type="dxa"/>
            <w:vAlign w:val="bottom"/>
          </w:tcPr>
          <w:p>
            <w:pPr>
              <w:jc w:val="center"/>
              <w:ind w:right="292"/>
              <w:spacing w:after="0" w:line="204" w:lineRule="exact"/>
              <w:rPr>
                <w:sz w:val="20"/>
                <w:szCs w:val="20"/>
                <w:color w:val="auto"/>
              </w:rPr>
            </w:pPr>
            <w:r>
              <w:rPr>
                <w:rFonts w:ascii="Arial" w:cs="Arial" w:eastAsia="Arial" w:hAnsi="Arial"/>
                <w:sz w:val="18"/>
                <w:szCs w:val="18"/>
                <w:color w:val="auto"/>
                <w:w w:val="91"/>
              </w:rPr>
              <w:t>31.2</w:t>
            </w:r>
          </w:p>
        </w:tc>
        <w:tc>
          <w:tcPr>
            <w:tcW w:w="7120" w:type="dxa"/>
            <w:vAlign w:val="bottom"/>
            <w:tcBorders>
              <w:top w:val="single" w:sz="8" w:color="0000FF"/>
              <w:bottom w:val="single" w:sz="8" w:color="0000FF"/>
            </w:tcBorders>
            <w:gridSpan w:val="16"/>
          </w:tcPr>
          <w:p>
            <w:pPr>
              <w:spacing w:after="0" w:line="204" w:lineRule="exact"/>
              <w:rPr>
                <w:sz w:val="20"/>
                <w:szCs w:val="20"/>
                <w:color w:val="auto"/>
              </w:rPr>
            </w:pPr>
            <w:r>
              <w:rPr>
                <w:rFonts w:ascii="Arial" w:cs="Arial" w:eastAsia="Arial" w:hAnsi="Arial"/>
                <w:sz w:val="18"/>
                <w:szCs w:val="18"/>
                <w:color w:val="0000FF"/>
                <w:w w:val="89"/>
              </w:rPr>
              <w:t>Principal Financial Officer's Certification Pursuant to Section 302 of the Sarbanes-Oxley Act of 2002</w:t>
            </w:r>
          </w:p>
        </w:tc>
        <w:tc>
          <w:tcPr>
            <w:tcW w:w="40" w:type="dxa"/>
            <w:vAlign w:val="bottom"/>
            <w:tcBorders>
              <w:top w:val="single" w:sz="8" w:color="0000FF"/>
            </w:tcBorders>
          </w:tcPr>
          <w:p>
            <w:pPr>
              <w:spacing w:after="0"/>
              <w:rPr>
                <w:sz w:val="17"/>
                <w:szCs w:val="17"/>
                <w:color w:val="auto"/>
              </w:rPr>
            </w:pPr>
          </w:p>
        </w:tc>
        <w:tc>
          <w:tcPr>
            <w:tcW w:w="2660" w:type="dxa"/>
            <w:vAlign w:val="bottom"/>
            <w:gridSpan w:val="5"/>
          </w:tcPr>
          <w:p>
            <w:pPr>
              <w:spacing w:after="0"/>
              <w:rPr>
                <w:sz w:val="17"/>
                <w:szCs w:val="17"/>
                <w:color w:val="auto"/>
              </w:rPr>
            </w:pPr>
          </w:p>
        </w:tc>
      </w:tr>
      <w:tr>
        <w:trPr>
          <w:trHeight w:val="217"/>
        </w:trPr>
        <w:tc>
          <w:tcPr>
            <w:tcW w:w="900" w:type="dxa"/>
            <w:vAlign w:val="bottom"/>
          </w:tcPr>
          <w:p>
            <w:pPr>
              <w:jc w:val="center"/>
              <w:ind w:right="292"/>
              <w:spacing w:after="0"/>
              <w:rPr>
                <w:sz w:val="20"/>
                <w:szCs w:val="20"/>
                <w:color w:val="auto"/>
              </w:rPr>
            </w:pPr>
            <w:r>
              <w:rPr>
                <w:rFonts w:ascii="Arial" w:cs="Arial" w:eastAsia="Arial" w:hAnsi="Arial"/>
                <w:sz w:val="18"/>
                <w:szCs w:val="18"/>
                <w:color w:val="auto"/>
                <w:w w:val="87"/>
              </w:rPr>
              <w:t>32.1 #</w:t>
            </w:r>
          </w:p>
        </w:tc>
        <w:tc>
          <w:tcPr>
            <w:tcW w:w="9820" w:type="dxa"/>
            <w:vAlign w:val="bottom"/>
            <w:gridSpan w:val="22"/>
          </w:tcPr>
          <w:p>
            <w:pPr>
              <w:spacing w:after="0"/>
              <w:rPr>
                <w:sz w:val="20"/>
                <w:szCs w:val="20"/>
                <w:color w:val="auto"/>
              </w:rPr>
            </w:pPr>
            <w:r>
              <w:rPr>
                <w:rFonts w:ascii="Arial" w:cs="Arial" w:eastAsia="Arial" w:hAnsi="Arial"/>
                <w:sz w:val="18"/>
                <w:szCs w:val="18"/>
                <w:color w:val="0000FF"/>
                <w:w w:val="91"/>
              </w:rPr>
              <w:t>Certifications of CEO and CFO Pursuant to 18 U.S.C. Section 1350, as Adopted Pursuant to Section 906 of the Sarbanes-Oxley Act of</w:t>
            </w:r>
          </w:p>
        </w:tc>
      </w:tr>
      <w:tr>
        <w:trPr>
          <w:trHeight w:val="151"/>
        </w:trPr>
        <w:tc>
          <w:tcPr>
            <w:tcW w:w="9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2" w:lineRule="exact"/>
              <w:rPr>
                <w:sz w:val="20"/>
                <w:szCs w:val="20"/>
                <w:color w:val="auto"/>
              </w:rPr>
            </w:pPr>
            <w:r>
              <w:rPr>
                <w:rFonts w:ascii="Arial" w:cs="Arial" w:eastAsia="Arial" w:hAnsi="Arial"/>
                <w:sz w:val="16"/>
                <w:szCs w:val="16"/>
                <w:color w:val="0000FF"/>
                <w:w w:val="95"/>
              </w:rPr>
              <w:t>2002</w:t>
            </w: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27" w:lineRule="exact"/>
        <w:rPr>
          <w:sz w:val="20"/>
          <w:szCs w:val="20"/>
          <w:color w:val="auto"/>
        </w:rPr>
      </w:pPr>
    </w:p>
    <w:p>
      <w:pPr>
        <w:ind w:left="900" w:right="520" w:hanging="771"/>
        <w:spacing w:after="0" w:line="23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Quarterly Report on Form 10-Q for the quarter ended June 30, 2023 (Unaudited) formatted in XBRL (eXtensible Business Reporting Language):</w:t>
      </w:r>
    </w:p>
    <w:p>
      <w:pPr>
        <w:spacing w:after="0" w:line="3" w:lineRule="exact"/>
        <w:rPr>
          <w:rFonts w:ascii="Arial" w:cs="Arial" w:eastAsia="Arial" w:hAnsi="Arial"/>
          <w:sz w:val="18"/>
          <w:szCs w:val="18"/>
          <w:color w:val="auto"/>
        </w:rPr>
      </w:pPr>
    </w:p>
    <w:p>
      <w:pPr>
        <w:ind w:left="1120" w:hanging="214"/>
        <w:spacing w:after="0"/>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Condensed Consolidated Balance Sheets as of June 30, 2023 (Unaudited) and December 31, 2022;</w:t>
      </w:r>
    </w:p>
    <w:p>
      <w:pPr>
        <w:spacing w:after="0" w:line="16" w:lineRule="exact"/>
        <w:rPr>
          <w:rFonts w:ascii="Arial" w:cs="Arial" w:eastAsia="Arial" w:hAnsi="Arial"/>
          <w:sz w:val="18"/>
          <w:szCs w:val="18"/>
          <w:color w:val="auto"/>
        </w:rPr>
      </w:pPr>
    </w:p>
    <w:p>
      <w:pPr>
        <w:ind w:left="900" w:right="360" w:firstLine="6"/>
        <w:spacing w:after="0" w:line="235" w:lineRule="auto"/>
        <w:tabs>
          <w:tab w:leader="none" w:pos="11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 for the three and six months ended June 30, 2023 and 2022 (Unaudited);</w:t>
      </w:r>
    </w:p>
    <w:p>
      <w:pPr>
        <w:spacing w:after="0" w:line="3" w:lineRule="exact"/>
        <w:rPr>
          <w:rFonts w:ascii="Arial" w:cs="Arial" w:eastAsia="Arial" w:hAnsi="Arial"/>
          <w:sz w:val="18"/>
          <w:szCs w:val="18"/>
          <w:color w:val="auto"/>
        </w:rPr>
      </w:pPr>
    </w:p>
    <w:p>
      <w:pPr>
        <w:ind w:left="900" w:right="760" w:firstLine="6"/>
        <w:spacing w:after="0" w:line="228" w:lineRule="auto"/>
        <w:tabs>
          <w:tab w:leader="none" w:pos="12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Condensed Consolidated Statements of Changes in Shareholders' Equity for the three months ended June 30, 2023 and 2022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00"/>
          </w:cols>
          <w:pgMar w:left="580" w:top="1013" w:right="619" w:bottom="1440" w:gutter="0" w:footer="0" w:header="0"/>
        </w:sectPr>
      </w:pPr>
    </w:p>
    <w:bookmarkStart w:id="57" w:name="page58"/>
    <w:bookmarkEnd w:id="57"/>
    <w:p>
      <w:pPr>
        <w:ind w:left="1326" w:hanging="296"/>
        <w:spacing w:after="0"/>
        <w:tabs>
          <w:tab w:leader="none" w:pos="13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Condensed Consolidated Statements of Cash Flows for the six months ended June 30, 2023 and 2022 (Unaudited); and</w:t>
      </w:r>
    </w:p>
    <w:p>
      <w:pPr>
        <w:spacing w:after="0" w:line="39" w:lineRule="exact"/>
        <w:rPr>
          <w:rFonts w:ascii="Arial" w:cs="Arial" w:eastAsia="Arial" w:hAnsi="Arial"/>
          <w:sz w:val="16"/>
          <w:szCs w:val="16"/>
          <w:color w:val="auto"/>
        </w:rPr>
      </w:pPr>
    </w:p>
    <w:p>
      <w:pPr>
        <w:ind w:left="1026" w:right="260" w:firstLine="4"/>
        <w:spacing w:after="0" w:line="235"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(Unaudited). The instance document does not appear in the Interactive Data File because XBRL tags are embedded within the Inline XBRL document.</w:t>
      </w:r>
    </w:p>
    <w:p>
      <w:pPr>
        <w:spacing w:after="0" w:line="3" w:lineRule="exact"/>
        <w:rPr>
          <w:sz w:val="20"/>
          <w:szCs w:val="20"/>
          <w:color w:val="auto"/>
        </w:rPr>
      </w:pPr>
    </w:p>
    <w:p>
      <w:pPr>
        <w:ind w:left="1026" w:hanging="772"/>
        <w:spacing w:after="0" w:line="228" w:lineRule="auto"/>
        <w:tabs>
          <w:tab w:leader="none" w:pos="102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cover page from NMI Holdings, Inc.'s Quarterly Report on Form 10-Q for the quarter ended June 30, 2023 (formatted as Inline XBRL and contained in Exhibit 101).</w:t>
      </w:r>
    </w:p>
    <w:p>
      <w:pPr>
        <w:spacing w:after="0" w:line="281" w:lineRule="exact"/>
        <w:rPr>
          <w:rFonts w:ascii="Arial" w:cs="Arial" w:eastAsia="Arial" w:hAnsi="Arial"/>
          <w:sz w:val="18"/>
          <w:szCs w:val="18"/>
          <w:color w:val="auto"/>
        </w:rPr>
      </w:pPr>
    </w:p>
    <w:p>
      <w:pPr>
        <w:ind w:left="286" w:hanging="286"/>
        <w:spacing w:after="0"/>
        <w:tabs>
          <w:tab w:leader="none" w:pos="2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27" w:lineRule="exact"/>
        <w:rPr>
          <w:sz w:val="20"/>
          <w:szCs w:val="20"/>
          <w:color w:val="auto"/>
        </w:rPr>
      </w:pPr>
    </w:p>
    <w:p>
      <w:pPr>
        <w:ind w:left="286" w:hanging="286"/>
        <w:spacing w:after="0"/>
        <w:tabs>
          <w:tab w:leader="none" w:pos="2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Confidential treatment granted as to certain portions, which portions have been filed separately with the SEC.</w:t>
      </w:r>
    </w:p>
    <w:p>
      <w:pPr>
        <w:spacing w:after="0" w:line="27" w:lineRule="exact"/>
        <w:rPr>
          <w:sz w:val="20"/>
          <w:szCs w:val="20"/>
          <w:color w:val="auto"/>
        </w:rPr>
      </w:pPr>
    </w:p>
    <w:p>
      <w:pPr>
        <w:ind w:left="286" w:right="100" w:hanging="286"/>
        <w:spacing w:after="0" w:line="239" w:lineRule="auto"/>
        <w:tabs>
          <w:tab w:leader="none" w:pos="286"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85"/>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6"/>
          </w:cols>
          <w:pgMar w:left="454" w:top="1036" w:right="6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60" w:lineRule="exact"/>
        <w:rPr>
          <w:sz w:val="20"/>
          <w:szCs w:val="20"/>
          <w:color w:val="auto"/>
        </w:rPr>
      </w:pPr>
    </w:p>
    <w:p>
      <w:pPr>
        <w:ind w:firstLine="6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NMI HOLDINGS, INC.</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1, 2023</w:t>
      </w:r>
    </w:p>
    <w:p>
      <w:pPr>
        <w:spacing w:after="0" w:line="26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Ravi Mallela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-13970</wp:posOffset>
            </wp:positionV>
            <wp:extent cx="12141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Ravi Mallela</w:t>
      </w:r>
    </w:p>
    <w:p>
      <w:pPr>
        <w:spacing w:after="0" w:line="3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043" w:right="339" w:bottom="1440" w:gutter="0" w:footer="0" w:header="0"/>
        </w:sectPr>
      </w:pPr>
    </w:p>
    <w:bookmarkStart w:id="59" w:name="page60"/>
    <w:bookmarkEnd w:id="59"/>
    <w:p>
      <w:pPr>
        <w:ind w:left="1034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NMI HOLDINGS, INC. AMENDED AND RESTATED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INCENTIVE PLAN</w:t>
      </w:r>
    </w:p>
    <w:p>
      <w:pPr>
        <w:spacing w:after="0" w:line="200" w:lineRule="exact"/>
        <w:rPr>
          <w:sz w:val="20"/>
          <w:szCs w:val="20"/>
          <w:color w:val="auto"/>
        </w:rPr>
      </w:pP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Purpose; Definitions</w:t>
      </w:r>
    </w:p>
    <w:p>
      <w:pPr>
        <w:spacing w:after="0" w:line="273" w:lineRule="exact"/>
        <w:rPr>
          <w:sz w:val="20"/>
          <w:szCs w:val="20"/>
          <w:color w:val="auto"/>
        </w:rPr>
      </w:pPr>
    </w:p>
    <w:p>
      <w:pPr>
        <w:jc w:val="both"/>
        <w:ind w:firstLine="1265"/>
        <w:spacing w:after="0" w:line="317" w:lineRule="auto"/>
        <w:rPr>
          <w:sz w:val="20"/>
          <w:szCs w:val="20"/>
          <w:color w:val="auto"/>
        </w:rPr>
      </w:pPr>
      <w:r>
        <w:rPr>
          <w:rFonts w:ascii="Arial" w:cs="Arial" w:eastAsia="Arial" w:hAnsi="Arial"/>
          <w:sz w:val="16"/>
          <w:szCs w:val="16"/>
          <w:color w:val="auto"/>
        </w:rPr>
        <w:t>The purpose of this Plan is to give the Company a competitive advantage in attracting, retaining and motivating officers, employees, directors and/or consultants and to provide the Company and its Subsidiaries and Affiliates with a compensation plan providing incentives for future performance of services directly linked to the profitability of the Company’s businesses and increases in Company shareholder value.</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 purposes of this Plan, the following terms are defined as set forth below:</w:t>
      </w:r>
    </w:p>
    <w:p>
      <w:pPr>
        <w:spacing w:after="0" w:line="254" w:lineRule="exact"/>
        <w:rPr>
          <w:sz w:val="20"/>
          <w:szCs w:val="20"/>
          <w:color w:val="auto"/>
        </w:rPr>
      </w:pPr>
    </w:p>
    <w:p>
      <w:pPr>
        <w:ind w:left="1060" w:hanging="422"/>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 corporation or other entity controlled by, controlling or under common control with the Company.</w:t>
      </w:r>
    </w:p>
    <w:p>
      <w:pPr>
        <w:spacing w:after="0" w:line="254" w:lineRule="exact"/>
        <w:rPr>
          <w:rFonts w:ascii="Arial" w:cs="Arial" w:eastAsia="Arial" w:hAnsi="Arial"/>
          <w:sz w:val="18"/>
          <w:szCs w:val="18"/>
          <w:color w:val="auto"/>
        </w:rPr>
      </w:pPr>
    </w:p>
    <w:p>
      <w:pPr>
        <w:ind w:firstLine="638"/>
        <w:spacing w:after="0" w:line="292" w:lineRule="auto"/>
        <w:tabs>
          <w:tab w:leader="none" w:pos="10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Exchange</w:t>
      </w:r>
      <w:r>
        <w:rPr>
          <w:rFonts w:ascii="Arial" w:cs="Arial" w:eastAsia="Arial" w:hAnsi="Arial"/>
          <w:sz w:val="18"/>
          <w:szCs w:val="18"/>
          <w:color w:val="auto"/>
        </w:rPr>
        <w:t>” means the NASDAQ or such other securities exchange as may at the applicable time be the principal market for the Common Stock.</w:t>
      </w:r>
    </w:p>
    <w:p>
      <w:pPr>
        <w:spacing w:after="0" w:line="194" w:lineRule="exact"/>
        <w:rPr>
          <w:rFonts w:ascii="Arial" w:cs="Arial" w:eastAsia="Arial" w:hAnsi="Arial"/>
          <w:sz w:val="18"/>
          <w:szCs w:val="18"/>
          <w:color w:val="auto"/>
        </w:rPr>
      </w:pPr>
    </w:p>
    <w:p>
      <w:pPr>
        <w:ind w:firstLine="638"/>
        <w:spacing w:after="0" w:line="277" w:lineRule="auto"/>
        <w:tabs>
          <w:tab w:leader="none" w:pos="10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Stock Option, Stock Appreciation Right, Restricted Stock, Restricted Stock Unit, Performance Unit, Other Stock-Based Award or Cash-Based Award granted pursuant to the terms of this Plan.</w:t>
      </w:r>
    </w:p>
    <w:p>
      <w:pPr>
        <w:spacing w:after="0" w:line="220" w:lineRule="exact"/>
        <w:rPr>
          <w:rFonts w:ascii="Arial" w:cs="Arial" w:eastAsia="Arial" w:hAnsi="Arial"/>
          <w:sz w:val="18"/>
          <w:szCs w:val="18"/>
          <w:color w:val="auto"/>
        </w:rPr>
      </w:pPr>
    </w:p>
    <w:p>
      <w:pPr>
        <w:ind w:left="1060" w:hanging="422"/>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a written or electronic document or agreement setting forth the terms and conditions of a specific Award.</w:t>
      </w:r>
    </w:p>
    <w:p>
      <w:pPr>
        <w:spacing w:after="0" w:line="277" w:lineRule="exact"/>
        <w:rPr>
          <w:rFonts w:ascii="Arial" w:cs="Arial" w:eastAsia="Arial" w:hAnsi="Arial"/>
          <w:sz w:val="16"/>
          <w:szCs w:val="16"/>
          <w:color w:val="auto"/>
        </w:rPr>
      </w:pPr>
    </w:p>
    <w:p>
      <w:pPr>
        <w:ind w:left="1000" w:hanging="362"/>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w:t>
      </w:r>
      <w:r>
        <w:rPr>
          <w:rFonts w:ascii="Arial" w:cs="Arial" w:eastAsia="Arial" w:hAnsi="Arial"/>
          <w:sz w:val="18"/>
          <w:szCs w:val="18"/>
          <w:color w:val="auto"/>
        </w:rPr>
        <w:t>” shall have the meaning given in Rule 13d3 promulgated under the Exchange Act.</w:t>
      </w:r>
    </w:p>
    <w:p>
      <w:pPr>
        <w:spacing w:after="0" w:line="254" w:lineRule="exact"/>
        <w:rPr>
          <w:rFonts w:ascii="Arial" w:cs="Arial" w:eastAsia="Arial" w:hAnsi="Arial"/>
          <w:sz w:val="18"/>
          <w:szCs w:val="18"/>
          <w:color w:val="auto"/>
        </w:rPr>
      </w:pPr>
    </w:p>
    <w:p>
      <w:pPr>
        <w:ind w:left="980" w:hanging="34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67" w:lineRule="exact"/>
        <w:rPr>
          <w:rFonts w:ascii="Arial" w:cs="Arial" w:eastAsia="Arial" w:hAnsi="Arial"/>
          <w:sz w:val="18"/>
          <w:szCs w:val="18"/>
          <w:color w:val="auto"/>
        </w:rPr>
      </w:pPr>
    </w:p>
    <w:p>
      <w:pPr>
        <w:ind w:left="1020" w:hanging="38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has the meaning set forth in Section 11(e)(iii).</w:t>
      </w:r>
    </w:p>
    <w:p>
      <w:pPr>
        <w:spacing w:after="0" w:line="254" w:lineRule="exact"/>
        <w:rPr>
          <w:rFonts w:ascii="Arial" w:cs="Arial" w:eastAsia="Arial" w:hAnsi="Arial"/>
          <w:sz w:val="18"/>
          <w:szCs w:val="18"/>
          <w:color w:val="auto"/>
        </w:rPr>
      </w:pPr>
    </w:p>
    <w:p>
      <w:pPr>
        <w:ind w:left="1020" w:hanging="38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Cash-Based Award</w:t>
      </w:r>
      <w:r>
        <w:rPr>
          <w:rFonts w:ascii="Arial" w:cs="Arial" w:eastAsia="Arial" w:hAnsi="Arial"/>
          <w:sz w:val="18"/>
          <w:szCs w:val="18"/>
          <w:color w:val="auto"/>
        </w:rPr>
        <w:t>” means an Award denominated in a dollar amount.</w:t>
      </w:r>
    </w:p>
    <w:p>
      <w:pPr>
        <w:spacing w:after="0" w:line="254" w:lineRule="exact"/>
        <w:rPr>
          <w:rFonts w:ascii="Arial" w:cs="Arial" w:eastAsia="Arial" w:hAnsi="Arial"/>
          <w:sz w:val="18"/>
          <w:szCs w:val="18"/>
          <w:color w:val="auto"/>
        </w:rPr>
      </w:pPr>
    </w:p>
    <w:p>
      <w:pPr>
        <w:ind w:left="980" w:hanging="34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unless otherwise provided in an Award Agreement, (1) “Cause” as defined in any Individual</w:t>
      </w:r>
    </w:p>
    <w:p>
      <w:pPr>
        <w:spacing w:after="0" w:line="30" w:lineRule="exact"/>
        <w:rPr>
          <w:sz w:val="20"/>
          <w:szCs w:val="20"/>
          <w:color w:val="auto"/>
        </w:rPr>
      </w:pPr>
    </w:p>
    <w:p>
      <w:pPr>
        <w:jc w:val="both"/>
        <w:ind w:firstLine="632"/>
        <w:spacing w:after="0" w:line="305" w:lineRule="auto"/>
        <w:rPr>
          <w:sz w:val="20"/>
          <w:szCs w:val="20"/>
          <w:color w:val="auto"/>
        </w:rPr>
      </w:pPr>
      <w:r>
        <w:rPr>
          <w:rFonts w:ascii="Arial" w:cs="Arial" w:eastAsia="Arial" w:hAnsi="Arial"/>
          <w:sz w:val="16"/>
          <w:szCs w:val="16"/>
          <w:color w:val="auto"/>
        </w:rPr>
        <w:t xml:space="preserve">Agreement to which the Participant is a party as of the Grant Date, or (2) if there is no such Individual Agreement or if it does not define Cause: (A)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by, the Participant for committing a felony under federal law or the law of the state in which such action occurred, (B) willful and deliberate failure on the part of the Participant to perform his or her employment duties in any material respect, (C) dishonesty in the course of fulfilling the Participant’s employment duties, (D) a material violation of the Company’s ethics and compliance program or (E) prior to a Change in Control, such other events as shall be determined by the Committee. Notwithstanding the general rule of Section 2(c), following a Change in Control, any determination by the Committee as to whether “Cause” exists shall be subject to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review.</w:t>
      </w:r>
    </w:p>
    <w:p>
      <w:pPr>
        <w:spacing w:after="0" w:line="204" w:lineRule="exact"/>
        <w:rPr>
          <w:sz w:val="20"/>
          <w:szCs w:val="20"/>
          <w:color w:val="auto"/>
        </w:rPr>
      </w:pPr>
    </w:p>
    <w:p>
      <w:pPr>
        <w:ind w:left="980" w:hanging="34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set forth in Section 11(e).</w:t>
      </w:r>
    </w:p>
    <w:p>
      <w:pPr>
        <w:spacing w:after="0" w:line="254" w:lineRule="exact"/>
        <w:rPr>
          <w:rFonts w:ascii="Arial" w:cs="Arial" w:eastAsia="Arial" w:hAnsi="Arial"/>
          <w:sz w:val="18"/>
          <w:szCs w:val="18"/>
          <w:color w:val="auto"/>
        </w:rPr>
      </w:pPr>
    </w:p>
    <w:p>
      <w:pPr>
        <w:jc w:val="both"/>
        <w:ind w:firstLine="638"/>
        <w:spacing w:after="0" w:line="325" w:lineRule="auto"/>
        <w:tabs>
          <w:tab w:leader="none" w:pos="11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74" w:lineRule="exact"/>
        <w:rPr>
          <w:rFonts w:ascii="Arial" w:cs="Arial" w:eastAsia="Arial" w:hAnsi="Arial"/>
          <w:sz w:val="16"/>
          <w:szCs w:val="16"/>
          <w:color w:val="auto"/>
        </w:rPr>
      </w:pPr>
    </w:p>
    <w:p>
      <w:pPr>
        <w:ind w:left="980" w:hanging="34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Securities and Exchange Commission or any successor agency.</w:t>
      </w:r>
    </w:p>
    <w:p>
      <w:pPr>
        <w:sectPr>
          <w:pgSz w:w="11900" w:h="16838" w:orient="portrait"/>
          <w:cols w:equalWidth="0" w:num="1">
            <w:col w:w="11240"/>
          </w:cols>
          <w:pgMar w:left="320" w:top="345" w:right="339" w:bottom="1440" w:gutter="0" w:footer="0" w:header="0"/>
        </w:sectPr>
      </w:pPr>
    </w:p>
    <w:bookmarkStart w:id="60" w:name="page61"/>
    <w:bookmarkEnd w:id="60"/>
    <w:p>
      <w:pPr>
        <w:ind w:left="1060" w:hanging="422"/>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referred to in Section 2.</w:t>
      </w:r>
    </w:p>
    <w:p>
      <w:pPr>
        <w:spacing w:after="0" w:line="254" w:lineRule="exact"/>
        <w:rPr>
          <w:rFonts w:ascii="Arial" w:cs="Arial" w:eastAsia="Arial" w:hAnsi="Arial"/>
          <w:sz w:val="18"/>
          <w:szCs w:val="18"/>
          <w:color w:val="auto"/>
        </w:rPr>
      </w:pPr>
    </w:p>
    <w:p>
      <w:pPr>
        <w:ind w:left="1020" w:hanging="38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common stock, no par value per share, of the Company.</w:t>
      </w:r>
    </w:p>
    <w:p>
      <w:pPr>
        <w:spacing w:after="0" w:line="254" w:lineRule="exact"/>
        <w:rPr>
          <w:rFonts w:ascii="Arial" w:cs="Arial" w:eastAsia="Arial" w:hAnsi="Arial"/>
          <w:sz w:val="18"/>
          <w:szCs w:val="18"/>
          <w:color w:val="auto"/>
        </w:rPr>
      </w:pPr>
    </w:p>
    <w:p>
      <w:pPr>
        <w:ind w:left="1020" w:hanging="38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NMI Holdings, Inc., a Delaware corporation, or its successor.</w:t>
      </w:r>
    </w:p>
    <w:p>
      <w:pPr>
        <w:spacing w:after="0" w:line="267" w:lineRule="exact"/>
        <w:rPr>
          <w:rFonts w:ascii="Arial" w:cs="Arial" w:eastAsia="Arial" w:hAnsi="Arial"/>
          <w:sz w:val="18"/>
          <w:szCs w:val="18"/>
          <w:color w:val="auto"/>
        </w:rPr>
      </w:pPr>
    </w:p>
    <w:p>
      <w:pPr>
        <w:ind w:left="1020" w:hanging="38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has the meaning set forth in Section 3(d).</w:t>
      </w:r>
    </w:p>
    <w:p>
      <w:pPr>
        <w:spacing w:after="0" w:line="254" w:lineRule="exact"/>
        <w:rPr>
          <w:rFonts w:ascii="Arial" w:cs="Arial" w:eastAsia="Arial" w:hAnsi="Arial"/>
          <w:sz w:val="18"/>
          <w:szCs w:val="18"/>
          <w:color w:val="auto"/>
        </w:rPr>
      </w:pPr>
    </w:p>
    <w:p>
      <w:pPr>
        <w:jc w:val="both"/>
        <w:ind w:firstLine="638"/>
        <w:spacing w:after="0" w:line="304" w:lineRule="auto"/>
        <w:tabs>
          <w:tab w:leader="none" w:pos="1068"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means, unless otherwise provided in an Award Agreement, the Company or an Affiliate having cause to terminate a Participant’s employment or service on account of “disability,” as defined in any existing Individual Agreement, or, in the absence of such an Individual Agreement or if it does not define disability,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or, as determined by the Committee, based upon medical evidence acceptable to it. Notwithstanding the above, with respect to each Award that constitutes a “nonqualified deferred compensation plan” within the meaning of Section 409A of the Code, the foregoing definition shall apply for purposes of vesting of such Award, provided that such Award shall not be settled until the earliest of: (i) the Participant’s “disability” within the meaning of Section 409A of the Code, (ii) the Participant’s “separation from service” within the meaning of Section 409A of the Code and (iii) the date such Award would otherwise be settled pursuant to the terms of the Award Agreement.</w:t>
      </w:r>
    </w:p>
    <w:p>
      <w:pPr>
        <w:spacing w:after="0" w:line="194" w:lineRule="exact"/>
        <w:rPr>
          <w:rFonts w:ascii="Arial" w:cs="Arial" w:eastAsia="Arial" w:hAnsi="Arial"/>
          <w:sz w:val="16"/>
          <w:szCs w:val="16"/>
          <w:color w:val="auto"/>
        </w:rPr>
      </w:pPr>
    </w:p>
    <w:p>
      <w:pPr>
        <w:ind w:firstLine="638"/>
        <w:spacing w:after="0" w:line="342" w:lineRule="auto"/>
        <w:tabs>
          <w:tab w:leader="none" w:pos="992"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Disaffiliation</w:t>
      </w:r>
      <w:r>
        <w:rPr>
          <w:rFonts w:ascii="Arial" w:cs="Arial" w:eastAsia="Arial" w:hAnsi="Arial"/>
          <w:sz w:val="16"/>
          <w:szCs w:val="16"/>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73" w:lineRule="exact"/>
        <w:rPr>
          <w:rFonts w:ascii="Arial" w:cs="Arial" w:eastAsia="Arial" w:hAnsi="Arial"/>
          <w:sz w:val="16"/>
          <w:szCs w:val="16"/>
          <w:color w:val="auto"/>
        </w:rPr>
      </w:pPr>
    </w:p>
    <w:p>
      <w:pPr>
        <w:ind w:left="1000" w:hanging="362"/>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Section 13(a).</w:t>
      </w:r>
    </w:p>
    <w:p>
      <w:pPr>
        <w:spacing w:after="0" w:line="254" w:lineRule="exact"/>
        <w:rPr>
          <w:rFonts w:ascii="Arial" w:cs="Arial" w:eastAsia="Arial" w:hAnsi="Arial"/>
          <w:sz w:val="18"/>
          <w:szCs w:val="18"/>
          <w:color w:val="auto"/>
        </w:rPr>
      </w:pPr>
    </w:p>
    <w:p>
      <w:pPr>
        <w:jc w:val="both"/>
        <w:ind w:firstLine="638"/>
        <w:spacing w:after="0" w:line="325" w:lineRule="auto"/>
        <w:tabs>
          <w:tab w:leader="none" w:pos="10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Individuals</w:t>
      </w:r>
      <w:r>
        <w:rPr>
          <w:rFonts w:ascii="Arial" w:cs="Arial" w:eastAsia="Arial" w:hAnsi="Arial"/>
          <w:sz w:val="16"/>
          <w:szCs w:val="16"/>
          <w:color w:val="auto"/>
        </w:rPr>
        <w:t>” means any director, officer, employee or consultant of the Company or any of its Subsidiaries or Affiliates, or any prospective employee and consultant who has accepted an offer of employment or consultancy from the Company or its Subsidiaries or Affiliates, who are or will be responsible for, or contribute to, the management, growth or profitability of the business of the Company or its Subsidiaries or Affiliates.</w:t>
      </w:r>
    </w:p>
    <w:p>
      <w:pPr>
        <w:spacing w:after="0" w:line="174" w:lineRule="exact"/>
        <w:rPr>
          <w:rFonts w:ascii="Arial" w:cs="Arial" w:eastAsia="Arial" w:hAnsi="Arial"/>
          <w:sz w:val="16"/>
          <w:szCs w:val="16"/>
          <w:color w:val="auto"/>
        </w:rPr>
      </w:pPr>
    </w:p>
    <w:p>
      <w:pPr>
        <w:ind w:left="1020" w:hanging="38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from time to time, and 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successor thereto.</w:t>
      </w:r>
    </w:p>
    <w:p>
      <w:pPr>
        <w:spacing w:after="0" w:line="267" w:lineRule="exact"/>
        <w:rPr>
          <w:sz w:val="20"/>
          <w:szCs w:val="20"/>
          <w:color w:val="auto"/>
        </w:rPr>
      </w:pPr>
    </w:p>
    <w:p>
      <w:pPr>
        <w:jc w:val="both"/>
        <w:ind w:firstLine="638"/>
        <w:spacing w:after="0" w:line="308"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except as otherwise determined by the Committee, the closing price of a Share on the Applicable Exchange on the date of measurement or, if Shares were not traded on the Applicable Exchange on such measurement date, then on the next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Sections 422(c)(1) of the Code.</w:t>
      </w:r>
    </w:p>
    <w:p>
      <w:pPr>
        <w:spacing w:after="0" w:line="189" w:lineRule="exact"/>
        <w:rPr>
          <w:rFonts w:ascii="Arial" w:cs="Arial" w:eastAsia="Arial" w:hAnsi="Arial"/>
          <w:sz w:val="16"/>
          <w:szCs w:val="16"/>
          <w:color w:val="auto"/>
        </w:rPr>
      </w:pPr>
    </w:p>
    <w:p>
      <w:pPr>
        <w:ind w:left="1060" w:hanging="422"/>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Free-Standing SAR</w:t>
      </w:r>
      <w:r>
        <w:rPr>
          <w:rFonts w:ascii="Arial" w:cs="Arial" w:eastAsia="Arial" w:hAnsi="Arial"/>
          <w:sz w:val="18"/>
          <w:szCs w:val="18"/>
          <w:color w:val="auto"/>
        </w:rPr>
        <w:t>” has the meaning set forth in Section 5(b).</w:t>
      </w:r>
    </w:p>
    <w:p>
      <w:pPr>
        <w:spacing w:after="0" w:line="267" w:lineRule="exact"/>
        <w:rPr>
          <w:rFonts w:ascii="Arial" w:cs="Arial" w:eastAsia="Arial" w:hAnsi="Arial"/>
          <w:sz w:val="18"/>
          <w:szCs w:val="18"/>
          <w:color w:val="auto"/>
        </w:rPr>
      </w:pPr>
    </w:p>
    <w:p>
      <w:pPr>
        <w:ind w:left="1020" w:hanging="38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Full-Value Award</w:t>
      </w:r>
      <w:r>
        <w:rPr>
          <w:rFonts w:ascii="Arial" w:cs="Arial" w:eastAsia="Arial" w:hAnsi="Arial"/>
          <w:sz w:val="18"/>
          <w:szCs w:val="18"/>
          <w:color w:val="auto"/>
        </w:rPr>
        <w:t>” means any Award other than a Cash-Based Award, Stock Option or Stock Appreciation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254" w:lineRule="exact"/>
        <w:rPr>
          <w:sz w:val="20"/>
          <w:szCs w:val="20"/>
          <w:color w:val="auto"/>
        </w:rPr>
      </w:pPr>
    </w:p>
    <w:p>
      <w:pPr>
        <w:jc w:val="both"/>
        <w:ind w:firstLine="638"/>
        <w:spacing w:after="0" w:line="276" w:lineRule="auto"/>
        <w:tabs>
          <w:tab w:leader="none" w:pos="11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(i) the date on which the Committee by resolution selects an Eligible Individual to receive a grant of an Award and determines the number of Shares, or the formula for earning a number of Shares, to be subject to such Award or the cash amount subject to such Award, or (ii) such later date as the Committee shall provide in such resolution.</w:t>
      </w:r>
    </w:p>
    <w:p>
      <w:pPr>
        <w:sectPr>
          <w:pgSz w:w="11900" w:h="16838" w:orient="portrait"/>
          <w:cols w:equalWidth="0" w:num="1">
            <w:col w:w="11240"/>
          </w:cols>
          <w:pgMar w:left="320" w:top="1405" w:right="339" w:bottom="1440" w:gutter="0" w:footer="0" w:header="0"/>
        </w:sectPr>
      </w:pPr>
    </w:p>
    <w:bookmarkStart w:id="61" w:name="page62"/>
    <w:bookmarkEnd w:id="61"/>
    <w:p>
      <w:pPr>
        <w:ind w:left="1034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638"/>
        <w:spacing w:after="0" w:line="277" w:lineRule="auto"/>
        <w:tabs>
          <w:tab w:leader="none" w:pos="10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Stock Option designated in the applicable Award Agreement as an “incentive stock option” within the meaning of Section 422 of the Code, and that in fact so qualifies.</w:t>
      </w:r>
    </w:p>
    <w:p>
      <w:pPr>
        <w:spacing w:after="0" w:line="207" w:lineRule="exact"/>
        <w:rPr>
          <w:sz w:val="20"/>
          <w:szCs w:val="20"/>
          <w:color w:val="auto"/>
        </w:rPr>
      </w:pPr>
    </w:p>
    <w:p>
      <w:pPr>
        <w:ind w:left="1080" w:hanging="44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has the meaning set forth in Section 11(e)(ii).</w:t>
      </w:r>
    </w:p>
    <w:p>
      <w:pPr>
        <w:spacing w:after="0" w:line="267" w:lineRule="exact"/>
        <w:rPr>
          <w:rFonts w:ascii="Arial" w:cs="Arial" w:eastAsia="Arial" w:hAnsi="Arial"/>
          <w:sz w:val="18"/>
          <w:szCs w:val="18"/>
          <w:color w:val="auto"/>
        </w:rPr>
      </w:pPr>
    </w:p>
    <w:p>
      <w:pPr>
        <w:ind w:left="1100" w:hanging="462"/>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Individual Agreement</w:t>
      </w:r>
      <w:r>
        <w:rPr>
          <w:rFonts w:ascii="Arial" w:cs="Arial" w:eastAsia="Arial" w:hAnsi="Arial"/>
          <w:sz w:val="18"/>
          <w:szCs w:val="18"/>
          <w:color w:val="auto"/>
        </w:rPr>
        <w:t>” means an employment, consulting or similar agreement between a Participant and the</w:t>
      </w:r>
    </w:p>
    <w:p>
      <w:pPr>
        <w:spacing w:after="0" w:line="1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Company or one of its Subsidiaries or Affiliates, and, after a Change in Control, a change in control or salary continuation agreement between a Participant and the Company or one of its Subsidiaries or Affiliates. If a Participant is party to both an employment agreement and a change in control or salary continuation agreement, the employment agreement shall be the relevant “Individual Agreement” prior to a Change in Control, and the change in control or salary continuation agreement shall be the relevant “Individual Agreement” after a Change in Control.</w:t>
      </w:r>
    </w:p>
    <w:p>
      <w:pPr>
        <w:spacing w:after="0" w:line="183" w:lineRule="exact"/>
        <w:rPr>
          <w:sz w:val="20"/>
          <w:szCs w:val="20"/>
          <w:color w:val="auto"/>
        </w:rPr>
      </w:pPr>
    </w:p>
    <w:p>
      <w:pPr>
        <w:ind w:left="1080" w:hanging="44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that is not an Incentive Stock Option.</w:t>
      </w:r>
    </w:p>
    <w:p>
      <w:pPr>
        <w:spacing w:after="0" w:line="267" w:lineRule="exact"/>
        <w:rPr>
          <w:rFonts w:ascii="Arial" w:cs="Arial" w:eastAsia="Arial" w:hAnsi="Arial"/>
          <w:sz w:val="18"/>
          <w:szCs w:val="18"/>
          <w:color w:val="auto"/>
        </w:rPr>
      </w:pPr>
    </w:p>
    <w:p>
      <w:pPr>
        <w:ind w:firstLine="638"/>
        <w:spacing w:after="0" w:line="342" w:lineRule="auto"/>
        <w:tabs>
          <w:tab w:leader="none" w:pos="11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Stock-Based Award</w:t>
      </w:r>
      <w:r>
        <w:rPr>
          <w:rFonts w:ascii="Arial" w:cs="Arial" w:eastAsia="Arial" w:hAnsi="Arial"/>
          <w:sz w:val="16"/>
          <w:szCs w:val="16"/>
          <w:color w:val="auto"/>
        </w:rPr>
        <w:t>” means Awards of Common Stock and other Awards that are valued in whole or in part by reference to, or are otherwise based upon, Common Stock, including (without limitation) unrestricted stock, dividend equivalents, and convertible debentures.</w:t>
      </w:r>
    </w:p>
    <w:p>
      <w:pPr>
        <w:spacing w:after="0" w:line="160" w:lineRule="exact"/>
        <w:rPr>
          <w:rFonts w:ascii="Arial" w:cs="Arial" w:eastAsia="Arial" w:hAnsi="Arial"/>
          <w:sz w:val="16"/>
          <w:szCs w:val="16"/>
          <w:color w:val="auto"/>
        </w:rPr>
      </w:pPr>
    </w:p>
    <w:p>
      <w:pPr>
        <w:ind w:left="1080" w:hanging="44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Common Stock</w:t>
      </w:r>
      <w:r>
        <w:rPr>
          <w:rFonts w:ascii="Arial" w:cs="Arial" w:eastAsia="Arial" w:hAnsi="Arial"/>
          <w:sz w:val="18"/>
          <w:szCs w:val="18"/>
          <w:color w:val="auto"/>
        </w:rPr>
        <w:t>” has the meaning set forth in Section 11(e)(i).</w:t>
      </w:r>
    </w:p>
    <w:p>
      <w:pPr>
        <w:spacing w:after="0" w:line="267" w:lineRule="exact"/>
        <w:rPr>
          <w:rFonts w:ascii="Arial" w:cs="Arial" w:eastAsia="Arial" w:hAnsi="Arial"/>
          <w:sz w:val="18"/>
          <w:szCs w:val="18"/>
          <w:color w:val="auto"/>
        </w:rPr>
      </w:pPr>
    </w:p>
    <w:p>
      <w:pPr>
        <w:ind w:left="1020" w:hanging="382"/>
        <w:spacing w:after="0"/>
        <w:tabs>
          <w:tab w:leader="none" w:pos="102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has the meaning set forth in Section 11(e)(i).</w:t>
      </w:r>
    </w:p>
    <w:p>
      <w:pPr>
        <w:spacing w:after="0" w:line="254" w:lineRule="exact"/>
        <w:rPr>
          <w:rFonts w:ascii="Arial" w:cs="Arial" w:eastAsia="Arial" w:hAnsi="Arial"/>
          <w:sz w:val="18"/>
          <w:szCs w:val="18"/>
          <w:i w:val="1"/>
          <w:iCs w:val="1"/>
          <w:color w:val="auto"/>
        </w:rPr>
      </w:pPr>
    </w:p>
    <w:p>
      <w:pPr>
        <w:ind w:left="1100" w:hanging="462"/>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Individual to whom an Award is or has been granted.</w:t>
      </w:r>
    </w:p>
    <w:p>
      <w:pPr>
        <w:spacing w:after="0" w:line="254" w:lineRule="exact"/>
        <w:rPr>
          <w:rFonts w:ascii="Arial" w:cs="Arial" w:eastAsia="Arial" w:hAnsi="Arial"/>
          <w:sz w:val="18"/>
          <w:szCs w:val="18"/>
          <w:color w:val="auto"/>
        </w:rPr>
      </w:pPr>
    </w:p>
    <w:p>
      <w:pPr>
        <w:jc w:val="both"/>
        <w:ind w:firstLine="638"/>
        <w:spacing w:after="0" w:line="302" w:lineRule="auto"/>
        <w:tabs>
          <w:tab w:leader="none" w:pos="11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Goals</w:t>
      </w:r>
      <w:r>
        <w:rPr>
          <w:rFonts w:ascii="Arial" w:cs="Arial" w:eastAsia="Arial" w:hAnsi="Arial"/>
          <w:sz w:val="16"/>
          <w:szCs w:val="16"/>
          <w:color w:val="auto"/>
        </w:rPr>
        <w:t>” means the performance goals established by the Committee in connection with the grant of an Award. Such goals shall be based on the attainment of specified levels of one or more of the following measures: new insurance written (“NIW”) volume, insurance in force levels (“IIF”), policies in force, market share, premiums written, premiums earned, investment income, total operating revenue (excluding net realized investment gains (losses) and gain (loss) from change in fair value of warrant liability), total underwriting expense, total incurred or paid losses, loss ratio, expense ratio, combined ratio, cost/expense management, net income (loss) (including earnings before tax, earnings before interest and tax and earnings before interest, tax, depreciation and amortization), operating earnings (loss) (excluding net realized investment gains (losses) and gain (loss) from change in fair value of warrant liability), return on equity or assets, book value, book value including net operating loss (“NOL”) carry forward, return on investment portfolio (absolute and relative to a benchmark), cash flow (excluding net realized investment gains (losses) and gain (loss) from change in fair value of warrant liability), capital management/liquidity, average premium (“BPS”) of portfolio, earned premium yield of portfolio, average FICO score of portfolio, average LTV of portfolio, delinquency rate of portfolio, objective customer service measures or indices, employee management, common stock share price, and total return to shareholders, in each case with respect to the Company or any one or more Subsidiaries, divisions, business units or business segments thereof, either in absolute terms or relative to the performance of one or more other companies (including an index covering multiple companies).</w:t>
      </w:r>
    </w:p>
    <w:p>
      <w:pPr>
        <w:spacing w:after="0" w:line="199" w:lineRule="exact"/>
        <w:rPr>
          <w:rFonts w:ascii="Arial" w:cs="Arial" w:eastAsia="Arial" w:hAnsi="Arial"/>
          <w:sz w:val="16"/>
          <w:szCs w:val="16"/>
          <w:color w:val="auto"/>
        </w:rPr>
      </w:pPr>
    </w:p>
    <w:p>
      <w:pPr>
        <w:ind w:firstLine="638"/>
        <w:spacing w:after="0" w:line="359" w:lineRule="auto"/>
        <w:tabs>
          <w:tab w:leader="none" w:pos="10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Period</w:t>
      </w:r>
      <w:r>
        <w:rPr>
          <w:rFonts w:ascii="Arial" w:cs="Arial" w:eastAsia="Arial" w:hAnsi="Arial"/>
          <w:sz w:val="16"/>
          <w:szCs w:val="16"/>
          <w:color w:val="auto"/>
        </w:rPr>
        <w:t>” means that period established by the Committee at the time any Performance Unit or Cash-Based Award is granted or at any time thereafter during which any Performance Goals specified by the Committee with respect to such Award are to be measured.</w:t>
      </w:r>
    </w:p>
    <w:p>
      <w:pPr>
        <w:spacing w:after="0" w:line="147" w:lineRule="exact"/>
        <w:rPr>
          <w:rFonts w:ascii="Arial" w:cs="Arial" w:eastAsia="Arial" w:hAnsi="Arial"/>
          <w:sz w:val="16"/>
          <w:szCs w:val="16"/>
          <w:color w:val="auto"/>
        </w:rPr>
      </w:pPr>
    </w:p>
    <w:p>
      <w:pPr>
        <w:jc w:val="both"/>
        <w:ind w:firstLine="638"/>
        <w:spacing w:after="0" w:line="270" w:lineRule="auto"/>
        <w:tabs>
          <w:tab w:leader="none" w:pos="10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w:t>
      </w:r>
      <w:r>
        <w:rPr>
          <w:rFonts w:ascii="Arial" w:cs="Arial" w:eastAsia="Arial" w:hAnsi="Arial"/>
          <w:sz w:val="18"/>
          <w:szCs w:val="18"/>
          <w:color w:val="auto"/>
        </w:rPr>
        <w:t>” means any Award granted under Section 8 of a unit valued by reference to a designated amount of cash or other property other than Shares, which value may be paid to the Participant by delivery of such property as the Committee shall determine, including, without limitation, cash, Shares, or any combination thereof, upon achievement of such Performance Goals during the Performance Period as the Committee shall establish at the time of such grant or thereafter.</w:t>
      </w:r>
    </w:p>
    <w:p>
      <w:pPr>
        <w:spacing w:after="0" w:line="214" w:lineRule="exact"/>
        <w:rPr>
          <w:rFonts w:ascii="Arial" w:cs="Arial" w:eastAsia="Arial" w:hAnsi="Arial"/>
          <w:sz w:val="18"/>
          <w:szCs w:val="18"/>
          <w:color w:val="auto"/>
        </w:rPr>
      </w:pPr>
    </w:p>
    <w:p>
      <w:pPr>
        <w:ind w:left="1100" w:hanging="462"/>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has the meaning set forth in Section 11(e)(i).</w:t>
      </w:r>
    </w:p>
    <w:p>
      <w:pPr>
        <w:spacing w:after="0" w:line="267" w:lineRule="exact"/>
        <w:rPr>
          <w:rFonts w:ascii="Arial" w:cs="Arial" w:eastAsia="Arial" w:hAnsi="Arial"/>
          <w:sz w:val="18"/>
          <w:szCs w:val="18"/>
          <w:color w:val="auto"/>
        </w:rPr>
      </w:pPr>
    </w:p>
    <w:p>
      <w:pPr>
        <w:ind w:left="1020" w:hanging="382"/>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NMI Holdings, Inc. Amended and Restated 2014 Omnibus Incentive Plan, as set forth</w:t>
      </w:r>
    </w:p>
    <w:p>
      <w:pPr>
        <w:sectPr>
          <w:pgSz w:w="11900" w:h="16838" w:orient="portrait"/>
          <w:cols w:equalWidth="0" w:num="1">
            <w:col w:w="11240"/>
          </w:cols>
          <w:pgMar w:left="320" w:top="34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herein and as hereinafter amended from time to time.</w:t>
      </w:r>
    </w:p>
    <w:p>
      <w:pPr>
        <w:spacing w:after="0" w:line="254" w:lineRule="exact"/>
        <w:rPr>
          <w:sz w:val="20"/>
          <w:szCs w:val="20"/>
          <w:color w:val="auto"/>
        </w:rPr>
      </w:pPr>
    </w:p>
    <w:p>
      <w:pPr>
        <w:ind w:left="1200" w:hanging="562"/>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Replaced Award</w:t>
      </w:r>
      <w:r>
        <w:rPr>
          <w:rFonts w:ascii="Arial" w:cs="Arial" w:eastAsia="Arial" w:hAnsi="Arial"/>
          <w:sz w:val="18"/>
          <w:szCs w:val="18"/>
          <w:color w:val="auto"/>
        </w:rPr>
        <w:t>” has the meaning set forth in Section 11(b)</w:t>
      </w:r>
    </w:p>
    <w:p>
      <w:pPr>
        <w:spacing w:after="0" w:line="254" w:lineRule="exact"/>
        <w:rPr>
          <w:rFonts w:ascii="Arial" w:cs="Arial" w:eastAsia="Arial" w:hAnsi="Arial"/>
          <w:sz w:val="18"/>
          <w:szCs w:val="18"/>
          <w:color w:val="auto"/>
        </w:rPr>
      </w:pPr>
    </w:p>
    <w:p>
      <w:pPr>
        <w:ind w:left="1100" w:hanging="462"/>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Award</w:t>
      </w:r>
      <w:r>
        <w:rPr>
          <w:rFonts w:ascii="Arial" w:cs="Arial" w:eastAsia="Arial" w:hAnsi="Arial"/>
          <w:sz w:val="18"/>
          <w:szCs w:val="18"/>
          <w:color w:val="auto"/>
        </w:rPr>
        <w:t>” has the meaning set forth in Section 11(b).</w:t>
      </w:r>
    </w:p>
    <w:p>
      <w:pPr>
        <w:spacing w:after="0" w:line="267" w:lineRule="exact"/>
        <w:rPr>
          <w:rFonts w:ascii="Arial" w:cs="Arial" w:eastAsia="Arial" w:hAnsi="Arial"/>
          <w:sz w:val="18"/>
          <w:szCs w:val="18"/>
          <w:color w:val="auto"/>
        </w:rPr>
      </w:pPr>
    </w:p>
    <w:p>
      <w:pPr>
        <w:ind w:left="1100" w:hanging="462"/>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Restatement Effective Date</w:t>
      </w:r>
      <w:r>
        <w:rPr>
          <w:rFonts w:ascii="Arial" w:cs="Arial" w:eastAsia="Arial" w:hAnsi="Arial"/>
          <w:sz w:val="18"/>
          <w:szCs w:val="18"/>
          <w:color w:val="auto"/>
        </w:rPr>
        <w:t>” has the meaning set forth in Section 13(a).</w:t>
      </w:r>
    </w:p>
    <w:p>
      <w:pPr>
        <w:spacing w:after="0" w:line="254" w:lineRule="exact"/>
        <w:rPr>
          <w:rFonts w:ascii="Arial" w:cs="Arial" w:eastAsia="Arial" w:hAnsi="Arial"/>
          <w:sz w:val="18"/>
          <w:szCs w:val="18"/>
          <w:color w:val="auto"/>
        </w:rPr>
      </w:pPr>
    </w:p>
    <w:p>
      <w:pPr>
        <w:ind w:left="1100" w:hanging="462"/>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granted under Section 6.</w:t>
      </w:r>
    </w:p>
    <w:p>
      <w:pPr>
        <w:spacing w:after="0" w:line="254" w:lineRule="exact"/>
        <w:rPr>
          <w:rFonts w:ascii="Arial" w:cs="Arial" w:eastAsia="Arial" w:hAnsi="Arial"/>
          <w:sz w:val="18"/>
          <w:szCs w:val="18"/>
          <w:color w:val="auto"/>
        </w:rPr>
      </w:pPr>
    </w:p>
    <w:p>
      <w:pPr>
        <w:ind w:left="1100" w:hanging="462"/>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has the meaning set forth in Section 7(a).</w:t>
      </w:r>
    </w:p>
    <w:p>
      <w:pPr>
        <w:spacing w:after="0" w:line="267" w:lineRule="exact"/>
        <w:rPr>
          <w:rFonts w:ascii="Arial" w:cs="Arial" w:eastAsia="Arial" w:hAnsi="Arial"/>
          <w:sz w:val="18"/>
          <w:szCs w:val="18"/>
          <w:color w:val="auto"/>
        </w:rPr>
      </w:pPr>
    </w:p>
    <w:p>
      <w:pPr>
        <w:ind w:left="1040" w:hanging="402"/>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has the meaning set forth in Section 6(c)(ii).</w:t>
      </w:r>
    </w:p>
    <w:p>
      <w:pPr>
        <w:spacing w:after="0" w:line="254" w:lineRule="exact"/>
        <w:rPr>
          <w:rFonts w:ascii="Arial" w:cs="Arial" w:eastAsia="Arial" w:hAnsi="Arial"/>
          <w:sz w:val="18"/>
          <w:szCs w:val="18"/>
          <w:color w:val="auto"/>
        </w:rPr>
      </w:pPr>
    </w:p>
    <w:p>
      <w:pPr>
        <w:ind w:left="1060" w:hanging="422"/>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16(b)</w:t>
      </w:r>
      <w:r>
        <w:rPr>
          <w:rFonts w:ascii="Arial" w:cs="Arial" w:eastAsia="Arial" w:hAnsi="Arial"/>
          <w:sz w:val="18"/>
          <w:szCs w:val="18"/>
          <w:color w:val="auto"/>
        </w:rPr>
        <w:t>” has the meaning set forth in Section 12(d).</w:t>
      </w:r>
    </w:p>
    <w:p>
      <w:pPr>
        <w:spacing w:after="0" w:line="254" w:lineRule="exact"/>
        <w:rPr>
          <w:rFonts w:ascii="Arial" w:cs="Arial" w:eastAsia="Arial" w:hAnsi="Arial"/>
          <w:sz w:val="18"/>
          <w:szCs w:val="18"/>
          <w:color w:val="auto"/>
        </w:rPr>
      </w:pPr>
    </w:p>
    <w:p>
      <w:pPr>
        <w:ind w:left="1020" w:hanging="382"/>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Common Stock.</w:t>
      </w:r>
    </w:p>
    <w:p>
      <w:pPr>
        <w:spacing w:after="0" w:line="267" w:lineRule="exact"/>
        <w:rPr>
          <w:rFonts w:ascii="Arial" w:cs="Arial" w:eastAsia="Arial" w:hAnsi="Arial"/>
          <w:sz w:val="18"/>
          <w:szCs w:val="18"/>
          <w:color w:val="auto"/>
        </w:rPr>
      </w:pPr>
    </w:p>
    <w:p>
      <w:pPr>
        <w:ind w:left="1100" w:hanging="462"/>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an Award granted under Section 5(b) or 5(c).</w:t>
      </w:r>
    </w:p>
    <w:p>
      <w:pPr>
        <w:spacing w:after="0" w:line="254" w:lineRule="exact"/>
        <w:rPr>
          <w:rFonts w:ascii="Arial" w:cs="Arial" w:eastAsia="Arial" w:hAnsi="Arial"/>
          <w:sz w:val="18"/>
          <w:szCs w:val="18"/>
          <w:color w:val="auto"/>
        </w:rPr>
      </w:pPr>
    </w:p>
    <w:p>
      <w:pPr>
        <w:ind w:left="1100" w:hanging="462"/>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means an Award granted under Section 5(a).</w:t>
      </w:r>
    </w:p>
    <w:p>
      <w:pPr>
        <w:spacing w:after="0" w:line="16" w:lineRule="exact"/>
        <w:rPr>
          <w:rFonts w:ascii="Arial" w:cs="Arial" w:eastAsia="Arial" w:hAnsi="Arial"/>
          <w:sz w:val="18"/>
          <w:szCs w:val="18"/>
          <w:color w:val="auto"/>
        </w:rPr>
      </w:pPr>
    </w:p>
    <w:p>
      <w:pPr>
        <w:ind w:left="1180" w:hanging="542"/>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partnership, joint venture, limited liability company or other entity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during any period in which at least a 50% voting or profits interest is owned, directly or indirectly, by the Company or any successor to the Company.</w:t>
      </w:r>
    </w:p>
    <w:p>
      <w:pPr>
        <w:spacing w:after="0" w:line="277" w:lineRule="exact"/>
        <w:rPr>
          <w:sz w:val="20"/>
          <w:szCs w:val="20"/>
          <w:color w:val="auto"/>
        </w:rPr>
      </w:pPr>
    </w:p>
    <w:p>
      <w:pPr>
        <w:ind w:left="1100" w:hanging="462"/>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Tandem SAR</w:t>
      </w:r>
      <w:r>
        <w:rPr>
          <w:rFonts w:ascii="Arial" w:cs="Arial" w:eastAsia="Arial" w:hAnsi="Arial"/>
          <w:sz w:val="18"/>
          <w:szCs w:val="18"/>
          <w:color w:val="auto"/>
        </w:rPr>
        <w:t>” has the meaning set forth in Section 5(b).</w:t>
      </w:r>
    </w:p>
    <w:p>
      <w:pPr>
        <w:spacing w:after="0" w:line="254" w:lineRule="exact"/>
        <w:rPr>
          <w:rFonts w:ascii="Arial" w:cs="Arial" w:eastAsia="Arial" w:hAnsi="Arial"/>
          <w:sz w:val="18"/>
          <w:szCs w:val="18"/>
          <w:color w:val="auto"/>
        </w:rPr>
      </w:pPr>
    </w:p>
    <w:p>
      <w:pPr>
        <w:ind w:left="1100" w:hanging="462"/>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w:t>
      </w:r>
      <w:r>
        <w:rPr>
          <w:rFonts w:ascii="Arial" w:cs="Arial" w:eastAsia="Arial" w:hAnsi="Arial"/>
          <w:sz w:val="18"/>
          <w:szCs w:val="18"/>
          <w:color w:val="auto"/>
        </w:rPr>
        <w:t>” means the maximum period during which a Stock Option or Stock Appreciation Right may remain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outstanding, subject to earlier termination upon Termination of Employment or otherwise, as specified in the applicable Award Agreement.</w:t>
      </w:r>
    </w:p>
    <w:p>
      <w:pPr>
        <w:spacing w:after="0" w:line="254"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(zz)</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means the termination of the applicable Participant’s employment with, or</w:t>
      </w:r>
    </w:p>
    <w:p>
      <w:pPr>
        <w:spacing w:after="0" w:line="1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performance of services for, the Company and any of its Subsidiaries or Affiliates. Unless otherwise determined by the Committee, (i) if a Participant’s employment with the Company and its Affiliates terminates but such Participant continues to provide services to the Company and its Affiliates in a non-employee capacity, such change in status shall not be deemed a Termination of Employment and (ii) a Participant employed by, or performing services for, a Subsidiary or an Affiliate or a division of the Company and its Affiliates shall also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the Company or another Subsidiary or Affiliate. Temporary absences from employment because of illness, vacation or leave of absence and transfers among the Company and its Subsidiaries and Affiliates shall not be considered Terminations of Employment. Notwithstanding the foregoing provisions of this definition, with respect to any Award that constitutes a “non-qualified deferred compensation plan” within the meaning of Section 409A of the Code, a Participant shall not be considered to have experienced a “Termination of Employment” unless the Participant has experienced a “separation from service” within the meaning of Section 409A of the Code (a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certain other terms used herein have definitions given to them in the first place in which they are used.</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Administration</w:t>
      </w:r>
    </w:p>
    <w:p>
      <w:pPr>
        <w:spacing w:after="0" w:line="260" w:lineRule="exact"/>
        <w:rPr>
          <w:sz w:val="20"/>
          <w:szCs w:val="20"/>
          <w:color w:val="auto"/>
        </w:rPr>
      </w:pPr>
    </w:p>
    <w:p>
      <w:pPr>
        <w:ind w:firstLine="638"/>
        <w:spacing w:after="0" w:line="292" w:lineRule="auto"/>
        <w:tabs>
          <w:tab w:leader="none" w:pos="1136"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the Board directly, or if the Board elects, by the Compensation Committee or such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the Board as the Board may from time to time designate, which committee shall be</w:t>
      </w:r>
    </w:p>
    <w:p>
      <w:pPr>
        <w:sectPr>
          <w:pgSz w:w="11900" w:h="16838" w:orient="portrait"/>
          <w:cols w:equalWidth="0" w:num="1">
            <w:col w:w="11240"/>
          </w:cols>
          <w:pgMar w:left="320" w:top="1168" w:right="339" w:bottom="1440" w:gutter="0" w:footer="0" w:header="0"/>
        </w:sectPr>
      </w:pPr>
    </w:p>
    <w:bookmarkStart w:id="63" w:name="page64"/>
    <w:bookmarkEnd w:id="63"/>
    <w:p>
      <w:pPr>
        <w:ind w:left="1034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Subject to the terms and conditions of this Plan, the Committee shall have absolute authority:</w:t>
      </w:r>
    </w:p>
    <w:p>
      <w:pPr>
        <w:spacing w:after="0" w:line="267" w:lineRule="exact"/>
        <w:rPr>
          <w:sz w:val="20"/>
          <w:szCs w:val="20"/>
          <w:color w:val="auto"/>
        </w:rPr>
      </w:pPr>
    </w:p>
    <w:p>
      <w:pPr>
        <w:ind w:left="1620" w:hanging="350"/>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select the Eligible Individuals to whom Awards may from time to time be granted;</w:t>
      </w:r>
    </w:p>
    <w:p>
      <w:pPr>
        <w:spacing w:after="0" w:line="254" w:lineRule="exact"/>
        <w:rPr>
          <w:rFonts w:ascii="Arial" w:cs="Arial" w:eastAsia="Arial" w:hAnsi="Arial"/>
          <w:sz w:val="18"/>
          <w:szCs w:val="18"/>
          <w:color w:val="auto"/>
        </w:rPr>
      </w:pPr>
    </w:p>
    <w:p>
      <w:pPr>
        <w:jc w:val="both"/>
        <w:ind w:left="1280" w:hanging="10"/>
        <w:spacing w:after="0" w:line="276" w:lineRule="auto"/>
        <w:tabs>
          <w:tab w:leader="none" w:pos="17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determine whether and to what extent Incentive Stock Options, Nonqualified Stock Options, Stock Appreciation Rights, Restricted Stock, Restricted Stock Units, Performance Units, Other Stock-Based Awards, Cash-Based Awards or any combination thereof are to be granted hereunder;</w:t>
      </w:r>
    </w:p>
    <w:p>
      <w:pPr>
        <w:spacing w:after="0" w:line="208" w:lineRule="exact"/>
        <w:rPr>
          <w:rFonts w:ascii="Arial" w:cs="Arial" w:eastAsia="Arial" w:hAnsi="Arial"/>
          <w:sz w:val="18"/>
          <w:szCs w:val="18"/>
          <w:color w:val="auto"/>
        </w:rPr>
      </w:pPr>
    </w:p>
    <w:p>
      <w:pPr>
        <w:ind w:left="1700" w:hanging="430"/>
        <w:spacing w:after="0"/>
        <w:tabs>
          <w:tab w:leader="none" w:pos="17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54" w:lineRule="exact"/>
        <w:rPr>
          <w:rFonts w:ascii="Arial" w:cs="Arial" w:eastAsia="Arial" w:hAnsi="Arial"/>
          <w:sz w:val="18"/>
          <w:szCs w:val="18"/>
          <w:color w:val="auto"/>
        </w:rPr>
      </w:pPr>
    </w:p>
    <w:p>
      <w:pPr>
        <w:jc w:val="both"/>
        <w:ind w:left="1280" w:hanging="10"/>
        <w:spacing w:after="0" w:line="314" w:lineRule="auto"/>
        <w:tabs>
          <w:tab w:leader="none" w:pos="1733"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approve the form of any Award Agreement and determine the terms and conditions of any Award granted hereunder, including, but not limited to, the exercise price (subject to Section 5(d)), any vesting condition, restriction or limitation (which may be related to the performance of the Participant, the Company or any Subsidiary or Affiliate) and any vesting acceleration or forfeiture waiver regarding any Award and the shares of Common Stock relating thereto, based on such factors as the Committee shall determine;</w:t>
      </w:r>
    </w:p>
    <w:p>
      <w:pPr>
        <w:spacing w:after="0" w:line="196" w:lineRule="exact"/>
        <w:rPr>
          <w:rFonts w:ascii="Arial" w:cs="Arial" w:eastAsia="Arial" w:hAnsi="Arial"/>
          <w:sz w:val="16"/>
          <w:szCs w:val="16"/>
          <w:color w:val="auto"/>
        </w:rPr>
      </w:pPr>
    </w:p>
    <w:p>
      <w:pPr>
        <w:ind w:left="1280" w:hanging="10"/>
        <w:spacing w:after="0" w:line="277" w:lineRule="auto"/>
        <w:tabs>
          <w:tab w:leader="none" w:pos="171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modify, amend or adjust the terms and conditions of any Award (subject to Sections 5(d) and 13(d)), at any time or from time to time, including, but not limited to, Performance Goals;</w:t>
      </w:r>
    </w:p>
    <w:p>
      <w:pPr>
        <w:spacing w:after="0" w:line="207" w:lineRule="exact"/>
        <w:rPr>
          <w:rFonts w:ascii="Arial" w:cs="Arial" w:eastAsia="Arial" w:hAnsi="Arial"/>
          <w:sz w:val="18"/>
          <w:szCs w:val="18"/>
          <w:color w:val="auto"/>
        </w:rPr>
      </w:pPr>
    </w:p>
    <w:p>
      <w:pPr>
        <w:ind w:left="1280" w:hanging="10"/>
        <w:spacing w:after="0" w:line="292" w:lineRule="auto"/>
        <w:tabs>
          <w:tab w:leader="none" w:pos="173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determine to what extent and under what circumstances Common Stock and other amounts payable with respect to an Award shall be deferred;</w:t>
      </w:r>
    </w:p>
    <w:p>
      <w:pPr>
        <w:spacing w:after="0" w:line="194" w:lineRule="exact"/>
        <w:rPr>
          <w:rFonts w:ascii="Arial" w:cs="Arial" w:eastAsia="Arial" w:hAnsi="Arial"/>
          <w:sz w:val="18"/>
          <w:szCs w:val="18"/>
          <w:color w:val="auto"/>
        </w:rPr>
      </w:pPr>
    </w:p>
    <w:p>
      <w:pPr>
        <w:ind w:left="1740" w:hanging="470"/>
        <w:spacing w:after="0"/>
        <w:tabs>
          <w:tab w:leader="none" w:pos="17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determine under what circumstances an Award may be settled in cash, Shares, other property or a combination of the foregoing;</w:t>
      </w:r>
    </w:p>
    <w:p>
      <w:pPr>
        <w:spacing w:after="0" w:line="277" w:lineRule="exact"/>
        <w:rPr>
          <w:rFonts w:ascii="Arial" w:cs="Arial" w:eastAsia="Arial" w:hAnsi="Arial"/>
          <w:sz w:val="16"/>
          <w:szCs w:val="16"/>
          <w:color w:val="auto"/>
        </w:rPr>
      </w:pPr>
    </w:p>
    <w:p>
      <w:pPr>
        <w:ind w:left="1280" w:hanging="10"/>
        <w:spacing w:after="0" w:line="359" w:lineRule="auto"/>
        <w:tabs>
          <w:tab w:leader="none" w:pos="1829"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determine whether, to what extent and under what circumstances cash, Shares and other property and other amounts payable with respect to an Award under this Plan shall be deferred either automatically or at the election of the Participant;</w:t>
      </w:r>
    </w:p>
    <w:p>
      <w:pPr>
        <w:spacing w:after="0" w:line="147" w:lineRule="exact"/>
        <w:rPr>
          <w:rFonts w:ascii="Arial" w:cs="Arial" w:eastAsia="Arial" w:hAnsi="Arial"/>
          <w:sz w:val="16"/>
          <w:szCs w:val="16"/>
          <w:color w:val="auto"/>
        </w:rPr>
      </w:pPr>
    </w:p>
    <w:p>
      <w:pPr>
        <w:ind w:left="1280" w:hanging="10"/>
        <w:spacing w:after="0" w:line="277" w:lineRule="auto"/>
        <w:tabs>
          <w:tab w:leader="none" w:pos="176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adopt, alter and repeal such administrative rules, guidelines and practices governing this Plan as it shall from time to time deem advisable;</w:t>
      </w:r>
    </w:p>
    <w:p>
      <w:pPr>
        <w:spacing w:after="0" w:line="220" w:lineRule="exact"/>
        <w:rPr>
          <w:rFonts w:ascii="Arial" w:cs="Arial" w:eastAsia="Arial" w:hAnsi="Arial"/>
          <w:sz w:val="18"/>
          <w:szCs w:val="18"/>
          <w:color w:val="auto"/>
        </w:rPr>
      </w:pPr>
    </w:p>
    <w:p>
      <w:pPr>
        <w:jc w:val="both"/>
        <w:ind w:left="1280" w:hanging="10"/>
        <w:spacing w:after="0" w:line="268" w:lineRule="auto"/>
        <w:tabs>
          <w:tab w:leader="none" w:pos="17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establish any “blackout” period that the Committee in its sole discretion deems necessary or advisable, but in no event shall such blackout period conflict with or be more permissive than the blackout period determined under the Company’s Insider Trading Policy as may be in effect from time to time;</w:t>
      </w:r>
    </w:p>
    <w:p>
      <w:pPr>
        <w:spacing w:after="0" w:line="228" w:lineRule="exact"/>
        <w:rPr>
          <w:rFonts w:ascii="Arial" w:cs="Arial" w:eastAsia="Arial" w:hAnsi="Arial"/>
          <w:sz w:val="18"/>
          <w:szCs w:val="18"/>
          <w:color w:val="auto"/>
        </w:rPr>
      </w:pPr>
    </w:p>
    <w:p>
      <w:pPr>
        <w:ind w:left="1700" w:hanging="430"/>
        <w:spacing w:after="0"/>
        <w:tabs>
          <w:tab w:leader="none" w:pos="17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interpret the terms and provisions of this Plan and any Award issued under this Plan (and any Award Agreement relating thereto);</w:t>
      </w:r>
    </w:p>
    <w:p>
      <w:pPr>
        <w:spacing w:after="0" w:line="277" w:lineRule="exact"/>
        <w:rPr>
          <w:rFonts w:ascii="Arial" w:cs="Arial" w:eastAsia="Arial" w:hAnsi="Arial"/>
          <w:sz w:val="16"/>
          <w:szCs w:val="16"/>
          <w:color w:val="auto"/>
        </w:rPr>
      </w:pPr>
    </w:p>
    <w:p>
      <w:pPr>
        <w:ind w:left="1740" w:hanging="470"/>
        <w:spacing w:after="0"/>
        <w:tabs>
          <w:tab w:leader="none" w:pos="1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decide all other matters that must be determined in connection with an Award; and</w:t>
      </w:r>
    </w:p>
    <w:p>
      <w:pPr>
        <w:spacing w:after="0" w:line="254" w:lineRule="exact"/>
        <w:rPr>
          <w:rFonts w:ascii="Arial" w:cs="Arial" w:eastAsia="Arial" w:hAnsi="Arial"/>
          <w:sz w:val="18"/>
          <w:szCs w:val="18"/>
          <w:color w:val="auto"/>
        </w:rPr>
      </w:pPr>
    </w:p>
    <w:p>
      <w:pPr>
        <w:ind w:left="1800" w:hanging="530"/>
        <w:spacing w:after="0"/>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otherwise administer this Plan.</w:t>
      </w:r>
    </w:p>
    <w:p>
      <w:pPr>
        <w:spacing w:after="0" w:line="267" w:lineRule="exact"/>
        <w:rPr>
          <w:rFonts w:ascii="Arial" w:cs="Arial" w:eastAsia="Arial" w:hAnsi="Arial"/>
          <w:sz w:val="18"/>
          <w:szCs w:val="18"/>
          <w:color w:val="auto"/>
        </w:rPr>
      </w:pPr>
    </w:p>
    <w:p>
      <w:pPr>
        <w:ind w:left="1020" w:hanging="382"/>
        <w:spacing w:after="0"/>
        <w:tabs>
          <w:tab w:leader="none" w:pos="102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Procedures</w:t>
      </w:r>
      <w:r>
        <w:rPr>
          <w:rFonts w:ascii="Arial" w:cs="Arial" w:eastAsia="Arial" w:hAnsi="Arial"/>
          <w:sz w:val="18"/>
          <w:szCs w:val="18"/>
          <w:color w:val="auto"/>
        </w:rPr>
        <w:t>.</w:t>
      </w:r>
    </w:p>
    <w:p>
      <w:pPr>
        <w:spacing w:after="0" w:line="254" w:lineRule="exact"/>
        <w:rPr>
          <w:rFonts w:ascii="Arial" w:cs="Arial" w:eastAsia="Arial" w:hAnsi="Arial"/>
          <w:sz w:val="18"/>
          <w:szCs w:val="18"/>
          <w:i w:val="1"/>
          <w:iCs w:val="1"/>
          <w:color w:val="auto"/>
        </w:rPr>
      </w:pPr>
    </w:p>
    <w:p>
      <w:pPr>
        <w:jc w:val="both"/>
        <w:ind w:left="1280" w:hanging="10"/>
        <w:spacing w:after="0" w:line="276" w:lineRule="auto"/>
        <w:tabs>
          <w:tab w:leader="none" w:pos="16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w:t>
      </w:r>
    </w:p>
    <w:p>
      <w:pPr>
        <w:sectPr>
          <w:pgSz w:w="11900" w:h="16838" w:orient="portrait"/>
          <w:cols w:equalWidth="0" w:num="1">
            <w:col w:w="11240"/>
          </w:cols>
          <w:pgMar w:left="320" w:top="345" w:right="339" w:bottom="1440" w:gutter="0" w:footer="0" w:header="0"/>
        </w:sectPr>
      </w:pPr>
    </w:p>
    <w:bookmarkStart w:id="64" w:name="page65"/>
    <w:bookmarkEnd w:id="64"/>
    <w:p>
      <w:pPr>
        <w:ind w:left="1280"/>
        <w:spacing w:after="0" w:line="277" w:lineRule="auto"/>
        <w:rPr>
          <w:sz w:val="20"/>
          <w:szCs w:val="20"/>
          <w:color w:val="auto"/>
        </w:rPr>
      </w:pPr>
      <w:r>
        <w:rPr>
          <w:rFonts w:ascii="Arial" w:cs="Arial" w:eastAsia="Arial" w:hAnsi="Arial"/>
          <w:sz w:val="18"/>
          <w:szCs w:val="18"/>
          <w:color w:val="auto"/>
        </w:rPr>
        <w:t>members and may (to the extent permitted by applicable law) delegate all or any part of its responsibilities and powers to any person or persons selected by it. Any such allocation or delegation may be revoked by the Committee at any time.</w:t>
      </w:r>
    </w:p>
    <w:p>
      <w:pPr>
        <w:spacing w:after="0" w:line="207" w:lineRule="exact"/>
        <w:rPr>
          <w:sz w:val="20"/>
          <w:szCs w:val="20"/>
          <w:color w:val="auto"/>
        </w:rPr>
      </w:pPr>
    </w:p>
    <w:p>
      <w:pPr>
        <w:ind w:left="1280" w:hanging="10"/>
        <w:spacing w:after="0" w:line="292" w:lineRule="auto"/>
        <w:tabs>
          <w:tab w:leader="none" w:pos="1703"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Subject to Section 12(c), any authority granted to the Committee may be exercised by the full Board. To the extent that any permitted action taken by the Board conflicts with action taken by the Committee, the Board action shall control.</w:t>
      </w:r>
    </w:p>
    <w:p>
      <w:pPr>
        <w:spacing w:after="0" w:line="194" w:lineRule="exact"/>
        <w:rPr>
          <w:rFonts w:ascii="Arial" w:cs="Arial" w:eastAsia="Arial" w:hAnsi="Arial"/>
          <w:sz w:val="18"/>
          <w:szCs w:val="18"/>
          <w:color w:val="auto"/>
        </w:rPr>
      </w:pPr>
    </w:p>
    <w:p>
      <w:pPr>
        <w:jc w:val="both"/>
        <w:ind w:firstLine="638"/>
        <w:spacing w:after="0" w:line="314" w:lineRule="auto"/>
        <w:tabs>
          <w:tab w:leader="none" w:pos="1116"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Discretion of Committee</w:t>
      </w:r>
      <w:r>
        <w:rPr>
          <w:rFonts w:ascii="Arial" w:cs="Arial" w:eastAsia="Arial" w:hAnsi="Arial"/>
          <w:sz w:val="16"/>
          <w:szCs w:val="16"/>
          <w:color w:val="auto"/>
        </w:rPr>
        <w:t>. Subject to Section 1(i), any determination made by the Committee or pursuant to delegated authority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binding and conclusive on all persons, including the Company, Participants and Eligible Individuals.</w:t>
      </w:r>
    </w:p>
    <w:p>
      <w:pPr>
        <w:spacing w:after="0" w:line="183" w:lineRule="exact"/>
        <w:rPr>
          <w:rFonts w:ascii="Arial" w:cs="Arial" w:eastAsia="Arial" w:hAnsi="Arial"/>
          <w:sz w:val="16"/>
          <w:szCs w:val="16"/>
          <w:i w:val="1"/>
          <w:iCs w:val="1"/>
          <w:color w:val="auto"/>
        </w:rPr>
      </w:pPr>
    </w:p>
    <w:p>
      <w:pPr>
        <w:ind w:left="1020" w:hanging="382"/>
        <w:spacing w:after="0"/>
        <w:tabs>
          <w:tab w:leader="none" w:pos="102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or Suspension</w:t>
      </w:r>
      <w:r>
        <w:rPr>
          <w:rFonts w:ascii="Arial" w:cs="Arial" w:eastAsia="Arial" w:hAnsi="Arial"/>
          <w:sz w:val="18"/>
          <w:szCs w:val="18"/>
          <w:color w:val="auto"/>
        </w:rPr>
        <w:t>. Subject to Section 5(d), the Committee shall have full power and authority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determine whether, to what extent and under what circumstances any Award shall be canceled or suspended.</w:t>
      </w:r>
    </w:p>
    <w:p>
      <w:pPr>
        <w:spacing w:after="0" w:line="254" w:lineRule="exact"/>
        <w:rPr>
          <w:sz w:val="20"/>
          <w:szCs w:val="20"/>
          <w:color w:val="auto"/>
        </w:rPr>
      </w:pPr>
    </w:p>
    <w:p>
      <w:pPr>
        <w:jc w:val="both"/>
        <w:ind w:firstLine="638"/>
        <w:spacing w:after="0" w:line="308" w:lineRule="auto"/>
        <w:tabs>
          <w:tab w:leader="none" w:pos="1079"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Award Agreements</w:t>
      </w:r>
      <w:r>
        <w:rPr>
          <w:rFonts w:ascii="Arial" w:cs="Arial" w:eastAsia="Arial" w:hAnsi="Arial"/>
          <w:sz w:val="16"/>
          <w:szCs w:val="16"/>
          <w:color w:val="auto"/>
        </w:rPr>
        <w:t>. The terms and conditions of each Award, as determined by the Committee, shall be set forth in a written (or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 Agreement, which shall be delivered to the Participant receiving such Award upon, or as promptly as is reasonably practicable following, the grant of such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terms of a Cash-Based Award may, but are not required to, be set forth in an Award Agreement. The effectiveness of an Award shall be subject to the Award Agreement being signed by the Company and the Participant receiving the Award unless otherwise provided in the Award Agreement. Award Agreements may be amended only in accordance with Section 13(d) hereof.</w:t>
      </w:r>
    </w:p>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Common Stock Subject to Plan</w:t>
      </w:r>
    </w:p>
    <w:p>
      <w:pPr>
        <w:spacing w:after="0" w:line="260" w:lineRule="exact"/>
        <w:rPr>
          <w:sz w:val="20"/>
          <w:szCs w:val="20"/>
          <w:color w:val="auto"/>
        </w:rPr>
      </w:pPr>
    </w:p>
    <w:p>
      <w:pPr>
        <w:jc w:val="both"/>
        <w:ind w:firstLine="638"/>
        <w:spacing w:after="0" w:line="270" w:lineRule="auto"/>
        <w:tabs>
          <w:tab w:leader="none" w:pos="1074"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Plan Maximums</w:t>
      </w:r>
      <w:r>
        <w:rPr>
          <w:rFonts w:ascii="Arial" w:cs="Arial" w:eastAsia="Arial" w:hAnsi="Arial"/>
          <w:sz w:val="18"/>
          <w:szCs w:val="18"/>
          <w:color w:val="auto"/>
        </w:rPr>
        <w:t>. The maximum number of Shares that may be granted pursuant to Awards under this Plan shall be 8,250,000 Shares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includes, for the avoidance of doubt the number of Shares subject to outstanding awards and otherwise available for issuance under the Prior Plan). The maximum number of Shares that may be granted pursuant to Stock Options intended to be Incentive Stock Options shall be 6,000,000 Shares. Shares subject to an Award under this Plan may be authorized and unissued Shares.</w:t>
      </w:r>
    </w:p>
    <w:p>
      <w:pPr>
        <w:spacing w:after="0" w:line="214" w:lineRule="exact"/>
        <w:rPr>
          <w:rFonts w:ascii="Arial" w:cs="Arial" w:eastAsia="Arial" w:hAnsi="Arial"/>
          <w:sz w:val="18"/>
          <w:szCs w:val="18"/>
          <w:i w:val="1"/>
          <w:iCs w:val="1"/>
          <w:color w:val="auto"/>
        </w:rPr>
      </w:pPr>
    </w:p>
    <w:p>
      <w:pPr>
        <w:ind w:left="1020" w:hanging="382"/>
        <w:spacing w:after="0"/>
        <w:tabs>
          <w:tab w:leader="none" w:pos="102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Individual Limits</w:t>
      </w:r>
      <w:r>
        <w:rPr>
          <w:rFonts w:ascii="Arial" w:cs="Arial" w:eastAsia="Arial" w:hAnsi="Arial"/>
          <w:sz w:val="18"/>
          <w:szCs w:val="18"/>
          <w:color w:val="auto"/>
        </w:rPr>
        <w:t>.</w:t>
      </w:r>
    </w:p>
    <w:p>
      <w:pPr>
        <w:spacing w:after="0" w:line="267" w:lineRule="exact"/>
        <w:rPr>
          <w:rFonts w:ascii="Arial" w:cs="Arial" w:eastAsia="Arial" w:hAnsi="Arial"/>
          <w:sz w:val="18"/>
          <w:szCs w:val="18"/>
          <w:i w:val="1"/>
          <w:iCs w:val="1"/>
          <w:color w:val="auto"/>
        </w:rPr>
      </w:pPr>
    </w:p>
    <w:p>
      <w:pPr>
        <w:jc w:val="both"/>
        <w:ind w:left="1280" w:hanging="10"/>
        <w:spacing w:after="0" w:line="268" w:lineRule="auto"/>
        <w:tabs>
          <w:tab w:leader="none" w:pos="17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Participant may be granted Performance Units (other than Stock Options and Stock Appreciation Rights) covering in excess of 1,000,000 Shares during any calendar year. No Participant may be granted Stock Options and Stock Appreciation Rights covering in excess of 1,000,000 Shares during any calendar year.</w:t>
      </w:r>
    </w:p>
    <w:p>
      <w:pPr>
        <w:spacing w:after="0" w:line="228" w:lineRule="exact"/>
        <w:rPr>
          <w:rFonts w:ascii="Arial" w:cs="Arial" w:eastAsia="Arial" w:hAnsi="Arial"/>
          <w:sz w:val="18"/>
          <w:szCs w:val="18"/>
          <w:color w:val="auto"/>
        </w:rPr>
      </w:pPr>
    </w:p>
    <w:p>
      <w:pPr>
        <w:jc w:val="both"/>
        <w:ind w:left="1280" w:hanging="10"/>
        <w:spacing w:after="0" w:line="266" w:lineRule="auto"/>
        <w:tabs>
          <w:tab w:leader="none" w:pos="16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During any given calendar year, no Participant who is a non-employee member of the Board may be granted Awards (other than Cash-Based Awards) with a value in excess of $600,000 in respect of such Board service. For purposes of this Section 3(b)(ii), the value of an Option or Stock Appreciation right shall be determined in accordance with the Black-Scholes or other pricing model used to determine Option values in the Company’s most recent report on Form 10-K and the value of any Award of Restricted Stock, Restricted Stock Units or Performance Units or Other Stock-Based Awards shall be determined based on the Fair Market Value of the underlying Shares on the grant date of the Award.</w:t>
      </w:r>
    </w:p>
    <w:p>
      <w:pPr>
        <w:spacing w:after="0" w:line="230" w:lineRule="exact"/>
        <w:rPr>
          <w:rFonts w:ascii="Arial" w:cs="Arial" w:eastAsia="Arial" w:hAnsi="Arial"/>
          <w:sz w:val="18"/>
          <w:szCs w:val="18"/>
          <w:color w:val="auto"/>
        </w:rPr>
      </w:pPr>
    </w:p>
    <w:p>
      <w:pPr>
        <w:jc w:val="both"/>
        <w:ind w:firstLine="638"/>
        <w:spacing w:after="0" w:line="314" w:lineRule="auto"/>
        <w:tabs>
          <w:tab w:leader="none" w:pos="1016"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Rules for Calculating Shares Delivered. </w:t>
      </w:r>
      <w:r>
        <w:rPr>
          <w:rFonts w:ascii="Arial" w:cs="Arial" w:eastAsia="Arial" w:hAnsi="Arial"/>
          <w:sz w:val="16"/>
          <w:szCs w:val="16"/>
          <w:color w:val="auto"/>
        </w:rPr>
        <w:t>To the extent that any Award is forfeited, terminates, expires or lapses instead of being exercised, or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settled for cash, the Shares subject to such Awards not delivered as a result thereof shall again be available for Awards under this Plan. If the tax withholding obligations relating to any Award are satisfied by delivering Shares (either actually or through a signed document affirming the Participant’s ownership and delivery of such Shares) or withholding Shares relating to such Award, the net number of Shares subject to the Award after payment of</w:t>
      </w:r>
    </w:p>
    <w:p>
      <w:pPr>
        <w:sectPr>
          <w:pgSz w:w="11900" w:h="16838" w:orient="portrait"/>
          <w:cols w:equalWidth="0" w:num="1">
            <w:col w:w="11240"/>
          </w:cols>
          <w:pgMar w:left="320" w:top="1168" w:right="339" w:bottom="1440" w:gutter="0" w:footer="0" w:header="0"/>
        </w:sectPr>
      </w:pPr>
    </w:p>
    <w:bookmarkStart w:id="65" w:name="page66"/>
    <w:bookmarkEnd w:id="65"/>
    <w:p>
      <w:pPr>
        <w:ind w:left="1034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tax withholding obligations shall be deemed to have been granted for purposes of the first sentence of Section 3(a), and the number of Shares delivered or withheld to satisfy the tax withholding obligations shall again be available for Awards under the Plan. If any Shares subject to a Stock Option or Stock Appreciation Right are not delivered to a Participant because the Stock Option or Stock Appreciation Right is exercised through a reduction of Shares subject to the Award (i.e., “net exercised”), the number of Shares that are not delivered to the Participant shall no longer be available for issuance under the Plan. If any Shares are reacquired by the Company as consideration for the exercise of a Stock Option or a Stock Appreciation Right, such Shares shall no longer be available for issuance under the Plan.</w:t>
      </w:r>
    </w:p>
    <w:p>
      <w:pPr>
        <w:spacing w:after="0" w:line="231" w:lineRule="exact"/>
        <w:rPr>
          <w:sz w:val="20"/>
          <w:szCs w:val="20"/>
          <w:color w:val="auto"/>
        </w:rPr>
      </w:pPr>
    </w:p>
    <w:p>
      <w:pPr>
        <w:ind w:left="1020" w:hanging="382"/>
        <w:spacing w:after="0"/>
        <w:tabs>
          <w:tab w:leader="none" w:pos="102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 Provisions</w:t>
      </w:r>
      <w:r>
        <w:rPr>
          <w:rFonts w:ascii="Arial" w:cs="Arial" w:eastAsia="Arial" w:hAnsi="Arial"/>
          <w:sz w:val="18"/>
          <w:szCs w:val="18"/>
          <w:color w:val="auto"/>
        </w:rPr>
        <w:t>.</w:t>
      </w:r>
    </w:p>
    <w:p>
      <w:pPr>
        <w:spacing w:after="0" w:line="254" w:lineRule="exact"/>
        <w:rPr>
          <w:rFonts w:ascii="Arial" w:cs="Arial" w:eastAsia="Arial" w:hAnsi="Arial"/>
          <w:sz w:val="18"/>
          <w:szCs w:val="18"/>
          <w:i w:val="1"/>
          <w:iCs w:val="1"/>
          <w:color w:val="auto"/>
        </w:rPr>
      </w:pPr>
    </w:p>
    <w:p>
      <w:pPr>
        <w:jc w:val="both"/>
        <w:ind w:left="1280" w:hanging="10"/>
        <w:spacing w:after="0" w:line="304" w:lineRule="auto"/>
        <w:tabs>
          <w:tab w:leader="none" w:pos="1642"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event of a merger, consolidation, acquisition of property or shares, stock rights offering, liquidation, disposition for consideration of the Company’s direct or indirect ownership of a Subsidiary or Affiliate (including by reason of a Disaffiliation), or similar event affecting the Company or any of its Subsidiaries (each, a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the Committee or the Board may in its discretion make such substitutions or adjustments as it deems appropriate and equitable to (i) the aggregate number and kind of Shares or other securities reserved for issuance and delivery under this Plan, (ii) the various maximum limitations set forth in Sections 3(a) and 3(b) upon certain types of Awards and upon the grants to individuals of certain types of Awards, (iii) the number of Shares considered delivered based on the type of Award granted as set forth in Section 3(c), (iv) the number and kind of Shares or other securities subject to outstanding Awards; (v) the Performance Goals applicable to outstanding Awards; and (vi) the exercise price of outstanding Awards.</w:t>
      </w:r>
    </w:p>
    <w:p>
      <w:pPr>
        <w:spacing w:after="0" w:line="203" w:lineRule="exact"/>
        <w:rPr>
          <w:rFonts w:ascii="Arial" w:cs="Arial" w:eastAsia="Arial" w:hAnsi="Arial"/>
          <w:sz w:val="16"/>
          <w:szCs w:val="16"/>
          <w:color w:val="auto"/>
        </w:rPr>
      </w:pPr>
    </w:p>
    <w:p>
      <w:pPr>
        <w:jc w:val="both"/>
        <w:ind w:left="1280" w:hanging="10"/>
        <w:spacing w:after="0" w:line="306" w:lineRule="auto"/>
        <w:tabs>
          <w:tab w:leader="none" w:pos="1709"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event of a stock dividend, stock split, reverse stock split, reorganization, share combination, or recapitalization or similar event affecting the capital structure of the Company, or a Disaffiliation, separation or spinoff, in each case without consideration, or other extraordinary dividend of cash or other property to the Company’s shareholders, the Committee or the Board shall make such substitutions or adjustments as it deems appropriate and equitable to (A) the aggregate number and kind of Shares or other securities reserved for issuance and delivery under this Plan, (B) the various maximum limitations set forth in Sections 3(a) and 3(b) upon certain types of Awards and upon the grants to individuals of certain types of Awards, (C) the number and kind of Shares or other securities subject to outstanding Awards; (D) the Performance Goals applicable to outstanding Awards; and (E) the exercise price of outstanding Awards.</w:t>
      </w:r>
    </w:p>
    <w:p>
      <w:pPr>
        <w:spacing w:after="0" w:line="189" w:lineRule="exact"/>
        <w:rPr>
          <w:rFonts w:ascii="Arial" w:cs="Arial" w:eastAsia="Arial" w:hAnsi="Arial"/>
          <w:sz w:val="16"/>
          <w:szCs w:val="16"/>
          <w:color w:val="auto"/>
        </w:rPr>
      </w:pPr>
    </w:p>
    <w:p>
      <w:pPr>
        <w:jc w:val="both"/>
        <w:ind w:left="1280" w:hanging="10"/>
        <w:spacing w:after="0" w:line="301" w:lineRule="auto"/>
        <w:tabs>
          <w:tab w:leader="none" w:pos="1741"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case of Corporate Transactions, such adjustments may include, without limitation, (1)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(as determined by the Board) of the consideration being paid for each Share pursuant to such Corporate Transaction over the exercise price of such Stock Option or Stock Appreciation Right shall conclusively be deemed valid); (2) the substitution of other property (including, without limitation, cash or other securities of the Company and securities of entities other than the Company) for the Shares subject to outstanding Awards; and (3)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w:t>
      </w:r>
    </w:p>
    <w:p>
      <w:pPr>
        <w:sectPr>
          <w:pgSz w:w="11900" w:h="16838" w:orient="portrait"/>
          <w:cols w:equalWidth="0" w:num="1">
            <w:col w:w="11240"/>
          </w:cols>
          <w:pgMar w:left="320" w:top="345" w:right="339" w:bottom="1440" w:gutter="0" w:footer="0" w:header="0"/>
        </w:sectPr>
      </w:pPr>
    </w:p>
    <w:bookmarkStart w:id="66" w:name="page67"/>
    <w:bookmarkEnd w:id="66"/>
    <w:p>
      <w:pPr>
        <w:ind w:left="1280"/>
        <w:spacing w:after="0" w:line="277" w:lineRule="auto"/>
        <w:rPr>
          <w:sz w:val="20"/>
          <w:szCs w:val="20"/>
          <w:color w:val="auto"/>
        </w:rPr>
      </w:pPr>
      <w:r>
        <w:rPr>
          <w:rFonts w:ascii="Arial" w:cs="Arial" w:eastAsia="Arial" w:hAnsi="Arial"/>
          <w:sz w:val="18"/>
          <w:szCs w:val="18"/>
          <w:color w:val="auto"/>
        </w:rPr>
        <w:t>identified in the Company’s financial statements, notes to the financial statements, management’s discussion and analysis or other the Company’s filings with the Commission.</w:t>
      </w:r>
    </w:p>
    <w:p>
      <w:pPr>
        <w:spacing w:after="0" w:line="207" w:lineRule="exact"/>
        <w:rPr>
          <w:sz w:val="20"/>
          <w:szCs w:val="20"/>
          <w:color w:val="auto"/>
        </w:rPr>
      </w:pPr>
    </w:p>
    <w:p>
      <w:pPr>
        <w:jc w:val="both"/>
        <w:ind w:left="1280" w:hanging="10"/>
        <w:spacing w:after="0" w:line="313" w:lineRule="auto"/>
        <w:tabs>
          <w:tab w:leader="none" w:pos="1781"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adjustments made pursuant to this Section 3(d) to Awards that are considered “deferred compensation” within the meaning of Section 409A of the Code shall be made in compliance with the requirements of Section 409A of the Code; and (ii) any adjustments made pursuant to Section 3(d) to Awards that are not considered “deferred compensation” subject to Section 409A of the Code shall be made in such a manner as to ensure that after such adjustments, either (A) the Awards continue not to be subject to Section 409A of the Code or (B) there does not result in the imposition of any penalty taxes under Section 409A of the Code in respect of such Awards.</w:t>
      </w:r>
    </w:p>
    <w:p>
      <w:pPr>
        <w:spacing w:after="0" w:line="183" w:lineRule="exact"/>
        <w:rPr>
          <w:rFonts w:ascii="Arial" w:cs="Arial" w:eastAsia="Arial" w:hAnsi="Arial"/>
          <w:sz w:val="16"/>
          <w:szCs w:val="16"/>
          <w:color w:val="auto"/>
        </w:rPr>
      </w:pPr>
    </w:p>
    <w:p>
      <w:pPr>
        <w:ind w:left="1660" w:hanging="390"/>
        <w:spacing w:after="0"/>
        <w:tabs>
          <w:tab w:leader="none" w:pos="1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adjustment under this Section 3(d) need not be the same for all Participants.</w:t>
      </w:r>
    </w:p>
    <w:p>
      <w:pPr>
        <w:spacing w:after="0" w:line="24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Awards</w:t>
      </w:r>
    </w:p>
    <w:p>
      <w:pPr>
        <w:spacing w:after="0" w:line="273" w:lineRule="exact"/>
        <w:rPr>
          <w:sz w:val="20"/>
          <w:szCs w:val="20"/>
          <w:color w:val="auto"/>
        </w:rPr>
      </w:pPr>
    </w:p>
    <w:p>
      <w:pPr>
        <w:ind w:left="1020" w:hanging="382"/>
        <w:spacing w:after="0"/>
        <w:tabs>
          <w:tab w:leader="none" w:pos="10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Awards may be granted under this Plan to Eligible Individuals;</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Incentive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Stock Options may be granted only to employees of the Company and its subsidiaries or parent corporation (within the meaning of Section 424(f) of the Code).</w:t>
      </w:r>
    </w:p>
    <w:p>
      <w:pPr>
        <w:spacing w:after="0" w:line="277" w:lineRule="exact"/>
        <w:rPr>
          <w:sz w:val="20"/>
          <w:szCs w:val="20"/>
          <w:color w:val="auto"/>
        </w:rPr>
      </w:pPr>
    </w:p>
    <w:p>
      <w:pPr>
        <w:ind w:left="1020" w:hanging="382"/>
        <w:spacing w:after="0"/>
        <w:tabs>
          <w:tab w:leader="none" w:pos="102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Notwithstanding anything contained in this Plan to the contrary, Awards granted under the Plan (i)</w:t>
      </w:r>
    </w:p>
    <w:p>
      <w:pPr>
        <w:spacing w:after="0" w:line="3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 xml:space="preserve">that vest based upon the continued service of the applicable Participant shall vest over a minimum service period of one year and (ii) that vest based on the attainment of Performance Goals shall vest over a minimum Performance Period of one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the Committee may, in its discretion, determine that such restrictions may lapse (in whole or in part) in the event of a Participant’s death or disability or other termination of employment or services or upon a Change in Control and (y) up to 5% of the total number of Shares reserved for issuance under the Plan pursuant to Section 3(a) may be subject to Awards granted after the Restatement Effective Date which do not meet the preceding vesting or acceleration limitations.</w:t>
      </w:r>
    </w:p>
    <w:p>
      <w:pPr>
        <w:spacing w:after="0" w:line="189" w:lineRule="exact"/>
        <w:rPr>
          <w:sz w:val="20"/>
          <w:szCs w:val="20"/>
          <w:color w:val="auto"/>
        </w:rPr>
      </w:pPr>
    </w:p>
    <w:p>
      <w:pPr>
        <w:jc w:val="both"/>
        <w:ind w:firstLine="638"/>
        <w:spacing w:after="0" w:line="340" w:lineRule="auto"/>
        <w:tabs>
          <w:tab w:leader="none" w:pos="1041" w:val="left"/>
        </w:tabs>
        <w:numPr>
          <w:ilvl w:val="0"/>
          <w:numId w:val="49"/>
        </w:numPr>
        <w:rPr>
          <w:rFonts w:ascii="Arial" w:cs="Arial" w:eastAsia="Arial" w:hAnsi="Arial"/>
          <w:sz w:val="15"/>
          <w:szCs w:val="15"/>
          <w:i w:val="1"/>
          <w:iCs w:val="1"/>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 Notwithstanding anything contained in this Plan to the contrary, no dividends (whether payable in cash or Common Stock)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paid in respect of an Award of Restricted Stock, Restricted Stock Units or Performance Units or Other Stock-Based Awards until the restrictions and risks of forfeiture applicable to the underlying Award (or portion thereof) have lapsed;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Committee may, in its sole discretion, provide that any such dividends may be accumulated and paid upon the date on which such restrictions or risks of forfeiture have lapsed in respect of the associated Award.</w:t>
      </w:r>
    </w:p>
    <w:p>
      <w:pPr>
        <w:spacing w:after="0" w:line="17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Stock Options and Stock Appreciation Rights</w:t>
      </w:r>
    </w:p>
    <w:p>
      <w:pPr>
        <w:spacing w:after="0" w:line="260" w:lineRule="exact"/>
        <w:rPr>
          <w:sz w:val="20"/>
          <w:szCs w:val="20"/>
          <w:color w:val="auto"/>
        </w:rPr>
      </w:pPr>
    </w:p>
    <w:p>
      <w:pPr>
        <w:jc w:val="both"/>
        <w:ind w:firstLine="638"/>
        <w:spacing w:after="0" w:line="276" w:lineRule="auto"/>
        <w:tabs>
          <w:tab w:leader="none" w:pos="1063"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Types of Stock Options</w:t>
      </w:r>
      <w:r>
        <w:rPr>
          <w:rFonts w:ascii="Arial" w:cs="Arial" w:eastAsia="Arial" w:hAnsi="Arial"/>
          <w:sz w:val="18"/>
          <w:szCs w:val="18"/>
          <w:color w:val="auto"/>
        </w:rPr>
        <w:t>. Stock Options may be granted alone or in addition to other Awards granted under this Plan and may be of two types: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Options and Nonqualified Stock Options. The Award Agreement for a Stock Option shall indicate whether the Stock Option is intended to be an Incentive Stock Option or a Nonqualified Stock Option.</w:t>
      </w:r>
    </w:p>
    <w:p>
      <w:pPr>
        <w:spacing w:after="0" w:line="208" w:lineRule="exact"/>
        <w:rPr>
          <w:rFonts w:ascii="Arial" w:cs="Arial" w:eastAsia="Arial" w:hAnsi="Arial"/>
          <w:sz w:val="18"/>
          <w:szCs w:val="18"/>
          <w:i w:val="1"/>
          <w:iCs w:val="1"/>
          <w:color w:val="auto"/>
        </w:rPr>
      </w:pPr>
    </w:p>
    <w:p>
      <w:pPr>
        <w:jc w:val="both"/>
        <w:ind w:firstLine="638"/>
        <w:spacing w:after="0" w:line="309" w:lineRule="auto"/>
        <w:tabs>
          <w:tab w:leader="none" w:pos="1072"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Types and Nature of Stock Appreciation Rights</w:t>
      </w:r>
      <w:r>
        <w:rPr>
          <w:rFonts w:ascii="Arial" w:cs="Arial" w:eastAsia="Arial" w:hAnsi="Arial"/>
          <w:sz w:val="16"/>
          <w:szCs w:val="16"/>
          <w:color w:val="auto"/>
        </w:rPr>
        <w:t>. Stock Appreciation Rights may be “Tandem SARs,” which are granted in conjunction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or “Free-Standing SARs,” which are not granted in conjunction with a Stock Option. Upon the exercise of a Stock Appreciation Right, the Participant shall be entitled to receive an amount in cash, Shares, or both, in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w:t>
      </w:r>
    </w:p>
    <w:p>
      <w:pPr>
        <w:sectPr>
          <w:pgSz w:w="11900" w:h="16838" w:orient="portrait"/>
          <w:cols w:equalWidth="0" w:num="1">
            <w:col w:w="11240"/>
          </w:cols>
          <w:pgMar w:left="320" w:top="1168" w:right="339" w:bottom="1440" w:gutter="0" w:footer="0" w:header="0"/>
        </w:sectPr>
      </w:pPr>
    </w:p>
    <w:bookmarkStart w:id="67" w:name="page68"/>
    <w:bookmarkEnd w:id="67"/>
    <w:p>
      <w:pPr>
        <w:ind w:left="1034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38"/>
        <w:spacing w:after="0" w:line="314" w:lineRule="auto"/>
        <w:tabs>
          <w:tab w:leader="none" w:pos="104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Tandem SARs</w:t>
      </w:r>
      <w:r>
        <w:rPr>
          <w:rFonts w:ascii="Arial" w:cs="Arial" w:eastAsia="Arial" w:hAnsi="Arial"/>
          <w:sz w:val="16"/>
          <w:szCs w:val="16"/>
          <w:color w:val="auto"/>
        </w:rPr>
        <w:t>. A Tandem SAR may be granted at the Grant Date of the related Stock Option. A Tandem SAR shall be exercisable only at such</w:t>
      </w:r>
      <w:r>
        <w:rPr>
          <w:rFonts w:ascii="Arial" w:cs="Arial" w:eastAsia="Arial" w:hAnsi="Arial"/>
          <w:sz w:val="16"/>
          <w:szCs w:val="16"/>
          <w:i w:val="1"/>
          <w:iCs w:val="1"/>
          <w:color w:val="auto"/>
        </w:rPr>
        <w:t xml:space="preserve"> </w:t>
      </w:r>
      <w:r>
        <w:rPr>
          <w:rFonts w:ascii="Arial" w:cs="Arial" w:eastAsia="Arial" w:hAnsi="Arial"/>
          <w:sz w:val="16"/>
          <w:szCs w:val="16"/>
          <w:color w:val="auto"/>
        </w:rPr>
        <w:t>time or times and to the extent that the related Stock Option is exercisable in accordance with the provisions of this Section 5, and shall have the same exercise price as the related Stock Option. A Tandem SAR shall terminate or be forfeited upon the exercise or forfeiture of the related Stock Option, and the related Stock Option shall terminate or be forfeited upon the exercise or forfeiture of the Tandem SAR.</w:t>
      </w:r>
    </w:p>
    <w:p>
      <w:pPr>
        <w:spacing w:after="0" w:line="183" w:lineRule="exact"/>
        <w:rPr>
          <w:rFonts w:ascii="Arial" w:cs="Arial" w:eastAsia="Arial" w:hAnsi="Arial"/>
          <w:sz w:val="16"/>
          <w:szCs w:val="16"/>
          <w:i w:val="1"/>
          <w:iCs w:val="1"/>
          <w:color w:val="auto"/>
        </w:rPr>
      </w:pPr>
    </w:p>
    <w:p>
      <w:pPr>
        <w:jc w:val="both"/>
        <w:ind w:firstLine="638"/>
        <w:spacing w:after="0" w:line="309" w:lineRule="auto"/>
        <w:tabs>
          <w:tab w:leader="none" w:pos="1019"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Share subject to a Stock Option or Free-Standing SAR shall be determined by the Committee and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applicable Award Agreement, and shall not be less than the Fair Market Value of a share of the Common Stock on the applicable Grant Date. In no event may any Stock Option or Stock Appreciation Right granted under this Plan be amended, other than pursuant to Section 3(d), to decrease the exercise price thereof, be canceled in exchange for cash or other Awards or in conjunction with the grant of any new Stock Option or Free-Standing SAR with a lower exercise price, or otherwise be subject to any action that would be treated, under the Applicable Exchange listing standards or for accounting purposes, as a “repricing” of such Stock Option or Free-Standing SAR, unless such amendment, cancellation, or action is approved by the Company’s shareholders.</w:t>
      </w:r>
    </w:p>
    <w:p>
      <w:pPr>
        <w:spacing w:after="0" w:line="185" w:lineRule="exact"/>
        <w:rPr>
          <w:rFonts w:ascii="Arial" w:cs="Arial" w:eastAsia="Arial" w:hAnsi="Arial"/>
          <w:sz w:val="16"/>
          <w:szCs w:val="16"/>
          <w:i w:val="1"/>
          <w:iCs w:val="1"/>
          <w:color w:val="auto"/>
        </w:rPr>
      </w:pPr>
    </w:p>
    <w:p>
      <w:pPr>
        <w:ind w:firstLine="638"/>
        <w:spacing w:after="0" w:line="277" w:lineRule="auto"/>
        <w:tabs>
          <w:tab w:leader="none" w:pos="101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each Stock Option and each Free-Standing SAR shall be fixed by the Committee, but no Stock Option or Free-Standing SAR</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exercisable more than 10 years after its Grant Date.</w:t>
      </w:r>
    </w:p>
    <w:p>
      <w:pPr>
        <w:spacing w:after="0" w:line="220" w:lineRule="exact"/>
        <w:rPr>
          <w:rFonts w:ascii="Arial" w:cs="Arial" w:eastAsia="Arial" w:hAnsi="Arial"/>
          <w:sz w:val="18"/>
          <w:szCs w:val="18"/>
          <w:i w:val="1"/>
          <w:iCs w:val="1"/>
          <w:color w:val="auto"/>
        </w:rPr>
      </w:pPr>
    </w:p>
    <w:p>
      <w:pPr>
        <w:ind w:firstLine="638"/>
        <w:spacing w:after="0" w:line="277" w:lineRule="auto"/>
        <w:tabs>
          <w:tab w:leader="none" w:pos="97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Except as otherwise provided herein, Stock Options and Free-Standing SARs shall be exercisable at such time or times and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terms and conditions as shall be determined by the Committee.</w:t>
      </w:r>
    </w:p>
    <w:p>
      <w:pPr>
        <w:spacing w:after="0" w:line="207" w:lineRule="exact"/>
        <w:rPr>
          <w:rFonts w:ascii="Arial" w:cs="Arial" w:eastAsia="Arial" w:hAnsi="Arial"/>
          <w:sz w:val="18"/>
          <w:szCs w:val="18"/>
          <w:i w:val="1"/>
          <w:iCs w:val="1"/>
          <w:color w:val="auto"/>
        </w:rPr>
      </w:pPr>
    </w:p>
    <w:p>
      <w:pPr>
        <w:jc w:val="both"/>
        <w:ind w:firstLine="638"/>
        <w:spacing w:after="0" w:line="276" w:lineRule="auto"/>
        <w:tabs>
          <w:tab w:leader="none" w:pos="1028"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Method of Exercise</w:t>
      </w:r>
      <w:r>
        <w:rPr>
          <w:rFonts w:ascii="Arial" w:cs="Arial" w:eastAsia="Arial" w:hAnsi="Arial"/>
          <w:sz w:val="18"/>
          <w:szCs w:val="18"/>
          <w:color w:val="auto"/>
        </w:rPr>
        <w:t>. Subject to the provisions of this Section 5, Stock Options and Free-Standing SARs may be exercised, in whole or in part,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during the Term thereof by giving written notice of exercise to the Company specifying the number of shares of Common Stock subject to the Stock Option or Free-Standing SAR to be purchased.</w:t>
      </w:r>
    </w:p>
    <w:p>
      <w:pPr>
        <w:spacing w:after="0" w:line="208" w:lineRule="exact"/>
        <w:rPr>
          <w:sz w:val="20"/>
          <w:szCs w:val="20"/>
          <w:color w:val="auto"/>
        </w:rPr>
      </w:pPr>
    </w:p>
    <w:p>
      <w:pPr>
        <w:jc w:val="both"/>
        <w:ind w:firstLine="1265"/>
        <w:spacing w:after="0" w:line="270" w:lineRule="auto"/>
        <w:rPr>
          <w:sz w:val="20"/>
          <w:szCs w:val="20"/>
          <w:color w:val="auto"/>
        </w:rPr>
      </w:pPr>
      <w:r>
        <w:rPr>
          <w:rFonts w:ascii="Arial" w:cs="Arial" w:eastAsia="Arial" w:hAnsi="Arial"/>
          <w:sz w:val="18"/>
          <w:szCs w:val="18"/>
          <w:color w:val="auto"/>
        </w:rPr>
        <w:t>In the case of the exercise of a Stock Option, such notice shall be accompanied by payment in full of the aggregate purchase price (which shall equal the product of such number of Shares subject to such Stock Options multiplied by the applicable exercise price) per Share by certified or bank check, wire transfer, or such other instrument or method as the Company may accept. If provided for in the applicable Award Agreement as approved by the Committee, payment in full or in part may also be made as follows:</w:t>
      </w:r>
    </w:p>
    <w:p>
      <w:pPr>
        <w:spacing w:after="0" w:line="228" w:lineRule="exact"/>
        <w:rPr>
          <w:sz w:val="20"/>
          <w:szCs w:val="20"/>
          <w:color w:val="auto"/>
        </w:rPr>
      </w:pPr>
    </w:p>
    <w:p>
      <w:pPr>
        <w:jc w:val="both"/>
        <w:ind w:left="1280" w:hanging="10"/>
        <w:spacing w:after="0" w:line="267" w:lineRule="auto"/>
        <w:tabs>
          <w:tab w:leader="none" w:pos="16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 the form of unrestricted Common Stock (by delivery of such shares or by attestation) already owned by the Participant of the same class as the Common Stock subject to the Stock Option (based on the Fair Market Value of the Common Stock on the date the Stock Option is exercised);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an Incentive Stock Option, the Participant shall only have the right to make a payment in the form of already owned shares of Common Stock of the same class as the Common Stock subject to the Stock Option if such right is set forth in the applicable Award Agreement.</w:t>
      </w:r>
    </w:p>
    <w:p>
      <w:pPr>
        <w:spacing w:after="0" w:line="218" w:lineRule="exact"/>
        <w:rPr>
          <w:rFonts w:ascii="Arial" w:cs="Arial" w:eastAsia="Arial" w:hAnsi="Arial"/>
          <w:sz w:val="18"/>
          <w:szCs w:val="18"/>
          <w:color w:val="auto"/>
        </w:rPr>
      </w:pPr>
    </w:p>
    <w:p>
      <w:pPr>
        <w:jc w:val="both"/>
        <w:ind w:left="1280" w:hanging="10"/>
        <w:spacing w:after="0" w:line="314" w:lineRule="auto"/>
        <w:tabs>
          <w:tab w:leader="none" w:pos="171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the extent permitted by applicable law, by delivering a properly executed exercise notice to the Company, together with a copy of irrevocable instructions to a broker to deliver promptly to the Company the amount of sale necessary to pay the purchase price, and, if requested, by the amount of any federal, state, local or foreign withholding taxes. To facilitate the foregoing, the Company may, to the extent permitted by applicable law, enter into agreements for coordinated procedures with one or more brokerage firms.</w:t>
      </w:r>
    </w:p>
    <w:p>
      <w:pPr>
        <w:spacing w:after="0" w:line="196" w:lineRule="exact"/>
        <w:rPr>
          <w:rFonts w:ascii="Arial" w:cs="Arial" w:eastAsia="Arial" w:hAnsi="Arial"/>
          <w:sz w:val="16"/>
          <w:szCs w:val="16"/>
          <w:color w:val="auto"/>
        </w:rPr>
      </w:pPr>
    </w:p>
    <w:p>
      <w:pPr>
        <w:ind w:left="1700" w:hanging="430"/>
        <w:spacing w:after="0"/>
        <w:tabs>
          <w:tab w:leader="none" w:pos="1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instructing the Company to withhold a number of such shares having a Fair Market Value (based</w:t>
      </w:r>
    </w:p>
    <w:p>
      <w:pPr>
        <w:spacing w:after="0" w:line="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the Fair Market Value of the Common Stock on the date the applicable Stock Option is exercised) equal to the product of (A) the exercise price per Share multiplied by (B) the number of shares of Common Stock in respect of which the Stock Option shall have been exercised.</w:t>
      </w:r>
    </w:p>
    <w:p>
      <w:pPr>
        <w:spacing w:after="0" w:line="220" w:lineRule="exact"/>
        <w:rPr>
          <w:sz w:val="20"/>
          <w:szCs w:val="20"/>
          <w:color w:val="auto"/>
        </w:rPr>
      </w:pPr>
    </w:p>
    <w:p>
      <w:pPr>
        <w:jc w:val="both"/>
        <w:ind w:firstLine="638"/>
        <w:spacing w:after="0" w:line="268" w:lineRule="auto"/>
        <w:tabs>
          <w:tab w:leader="none" w:pos="1066"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Delivery; Rights of Shareholders</w:t>
      </w:r>
      <w:r>
        <w:rPr>
          <w:rFonts w:ascii="Arial" w:cs="Arial" w:eastAsia="Arial" w:hAnsi="Arial"/>
          <w:sz w:val="18"/>
          <w:szCs w:val="18"/>
          <w:color w:val="auto"/>
        </w:rPr>
        <w:t>. A Participant shall not be entitled to delivery of Shares pursuant to the exercise of a Stock Option or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 until the exercise price therefor has been fully paid and applicable taxes have been withheld. Except as otherwise provided in Section 5(l), a Participant shall have all of the rights of a shareholder of</w:t>
      </w:r>
    </w:p>
    <w:p>
      <w:pPr>
        <w:sectPr>
          <w:pgSz w:w="11900" w:h="16838" w:orient="portrait"/>
          <w:cols w:equalWidth="0" w:num="1">
            <w:col w:w="11240"/>
          </w:cols>
          <w:pgMar w:left="320" w:top="345" w:right="339" w:bottom="1440" w:gutter="0" w:footer="0" w:header="0"/>
        </w:sectPr>
      </w:pPr>
    </w:p>
    <w:bookmarkStart w:id="68" w:name="page69"/>
    <w:bookmarkEnd w:id="68"/>
    <w:p>
      <w:pPr>
        <w:jc w:val="both"/>
        <w:spacing w:after="0" w:line="268" w:lineRule="auto"/>
        <w:rPr>
          <w:sz w:val="20"/>
          <w:szCs w:val="20"/>
          <w:color w:val="auto"/>
        </w:rPr>
      </w:pPr>
      <w:r>
        <w:rPr>
          <w:rFonts w:ascii="Arial" w:cs="Arial" w:eastAsia="Arial" w:hAnsi="Arial"/>
          <w:sz w:val="18"/>
          <w:szCs w:val="18"/>
          <w:color w:val="auto"/>
        </w:rPr>
        <w:t>the Company holding the class or series of Common Stock that is subject to such Stock Option or Stock Appreciation Right (including, if applicable, the right to vote the applicable Shares), when the Participant (i) has given written notice of exercise, (ii) if requested, has given the representation described in Section 15(a) and (iii) in the case of a Stock Option, has paid in full for such Shares.</w:t>
      </w:r>
    </w:p>
    <w:p>
      <w:pPr>
        <w:spacing w:after="0" w:line="229" w:lineRule="exact"/>
        <w:rPr>
          <w:sz w:val="20"/>
          <w:szCs w:val="20"/>
          <w:color w:val="auto"/>
        </w:rPr>
      </w:pPr>
    </w:p>
    <w:p>
      <w:pPr>
        <w:jc w:val="both"/>
        <w:ind w:firstLine="638"/>
        <w:spacing w:after="0" w:line="303" w:lineRule="auto"/>
        <w:tabs>
          <w:tab w:leader="none" w:pos="989"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Nontransferability of Stock Options and Stock Appreciation Rights</w:t>
      </w:r>
      <w:r>
        <w:rPr>
          <w:rFonts w:ascii="Arial" w:cs="Arial" w:eastAsia="Arial" w:hAnsi="Arial"/>
          <w:sz w:val="16"/>
          <w:szCs w:val="16"/>
          <w:color w:val="auto"/>
        </w:rPr>
        <w:t>. No Stock Option or Free-Standing SAR shall be transferable by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than, for no value or consideration, (i) by will or by the laws of descent and distribution; or (ii) in the case of a Nonqualified Stock Option or Free-Standing SAR, as otherwise expressly permitted by the Committee including, if so permitted, pursuant to a transfer to such Participant’s family members,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Stock Option as permitted by the preceding sentence. Any Stock Option or Stock Appreciation Right shall be exercisable, subject to the terms of this Plan, only by the Participant, the guardian or legal representative of the Participant, or any person to whom such Stock Option is transferred pursuant to this Section 5(i), it being understood that the term “holder” and “Participant” include such guardian, legal representative and other transferee;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“Termination of Employment” shall continue to refer to the Termination of Employment of the original Participant.</w:t>
      </w:r>
    </w:p>
    <w:p>
      <w:pPr>
        <w:spacing w:after="0" w:line="193" w:lineRule="exact"/>
        <w:rPr>
          <w:rFonts w:ascii="Arial" w:cs="Arial" w:eastAsia="Arial" w:hAnsi="Arial"/>
          <w:sz w:val="16"/>
          <w:szCs w:val="16"/>
          <w:i w:val="1"/>
          <w:iCs w:val="1"/>
          <w:color w:val="auto"/>
        </w:rPr>
      </w:pPr>
    </w:p>
    <w:p>
      <w:pPr>
        <w:ind w:firstLine="638"/>
        <w:spacing w:after="0" w:line="277" w:lineRule="auto"/>
        <w:tabs>
          <w:tab w:leader="none" w:pos="978"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Unless otherwise determined by the Committee or provided in the applicable Award Agreement, upon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or Employment, his or her Stock Options and Stock Appreciation Rights shall be treated as set forth below:</w:t>
      </w:r>
    </w:p>
    <w:p>
      <w:pPr>
        <w:spacing w:after="0" w:line="220" w:lineRule="exact"/>
        <w:rPr>
          <w:rFonts w:ascii="Arial" w:cs="Arial" w:eastAsia="Arial" w:hAnsi="Arial"/>
          <w:sz w:val="18"/>
          <w:szCs w:val="18"/>
          <w:i w:val="1"/>
          <w:iCs w:val="1"/>
          <w:color w:val="auto"/>
        </w:rPr>
      </w:pPr>
    </w:p>
    <w:p>
      <w:pPr>
        <w:jc w:val="both"/>
        <w:ind w:left="1280" w:hanging="10"/>
        <w:spacing w:after="0" w:line="308" w:lineRule="auto"/>
        <w:tabs>
          <w:tab w:leader="none" w:pos="1670" w:val="left"/>
        </w:tabs>
        <w:numPr>
          <w:ilvl w:val="1"/>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by Reason of Death</w:t>
      </w:r>
      <w:r>
        <w:rPr>
          <w:rFonts w:ascii="Arial" w:cs="Arial" w:eastAsia="Arial" w:hAnsi="Arial"/>
          <w:sz w:val="16"/>
          <w:szCs w:val="16"/>
          <w:color w:val="auto"/>
        </w:rPr>
        <w:t>. If a Participant incurs a Termination of Employment by reason of death, any Stock Option or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death, if an Incentive Stock Option is exercised after the expiration of the post-termination exercise periods that apply for purposes of Section 422 of the Code, such Stock Option will thereafter be treated as a Nonqualified Stock Option.</w:t>
      </w:r>
    </w:p>
    <w:p>
      <w:pPr>
        <w:spacing w:after="0" w:line="189" w:lineRule="exact"/>
        <w:rPr>
          <w:rFonts w:ascii="Arial" w:cs="Arial" w:eastAsia="Arial" w:hAnsi="Arial"/>
          <w:sz w:val="16"/>
          <w:szCs w:val="16"/>
          <w:i w:val="1"/>
          <w:iCs w:val="1"/>
          <w:color w:val="auto"/>
        </w:rPr>
      </w:pPr>
    </w:p>
    <w:p>
      <w:pPr>
        <w:jc w:val="both"/>
        <w:ind w:left="1280" w:hanging="10"/>
        <w:spacing w:after="0" w:line="313" w:lineRule="auto"/>
        <w:tabs>
          <w:tab w:leader="none" w:pos="1693" w:val="left"/>
        </w:tabs>
        <w:numPr>
          <w:ilvl w:val="1"/>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by Reason of Disability</w:t>
      </w:r>
      <w:r>
        <w:rPr>
          <w:rFonts w:ascii="Arial" w:cs="Arial" w:eastAsia="Arial" w:hAnsi="Arial"/>
          <w:sz w:val="16"/>
          <w:szCs w:val="16"/>
          <w:color w:val="auto"/>
        </w:rPr>
        <w:t>. If a Participant incurs a Termination of Employment by reason of Disability, any Stock Option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held by such Participant shall immediately vest in full and may thereafter be exercised until the earlier of (A) the third anniversary of such Participant’s Termination of Employment and (B) the expiration of the stated full Term thereof. In the event of Termination of Employment by reason of Disability, if an Incentive Stock Option is exercised after the expiration of the exercise periods that apply for purposes of Section 422 of the Code, such Stock Option will thereafter be treated as a Nonqualified Stock Option.</w:t>
      </w:r>
    </w:p>
    <w:p>
      <w:pPr>
        <w:spacing w:after="0" w:line="183" w:lineRule="exact"/>
        <w:rPr>
          <w:rFonts w:ascii="Arial" w:cs="Arial" w:eastAsia="Arial" w:hAnsi="Arial"/>
          <w:sz w:val="16"/>
          <w:szCs w:val="16"/>
          <w:i w:val="1"/>
          <w:iCs w:val="1"/>
          <w:color w:val="auto"/>
        </w:rPr>
      </w:pPr>
    </w:p>
    <w:p>
      <w:pPr>
        <w:ind w:left="1280" w:hanging="10"/>
        <w:spacing w:after="0" w:line="277" w:lineRule="auto"/>
        <w:tabs>
          <w:tab w:leader="none" w:pos="1745"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by the Company for Cause</w:t>
      </w:r>
      <w:r>
        <w:rPr>
          <w:rFonts w:ascii="Arial" w:cs="Arial" w:eastAsia="Arial" w:hAnsi="Arial"/>
          <w:sz w:val="18"/>
          <w:szCs w:val="18"/>
          <w:color w:val="auto"/>
        </w:rPr>
        <w:t>. If a Participant incurs a Termination of Employment for Cause, any Stock Options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held by such Participant, whether vested or unvested, shall thereupon terminate.</w:t>
      </w:r>
    </w:p>
    <w:p>
      <w:pPr>
        <w:spacing w:after="0" w:line="220" w:lineRule="exact"/>
        <w:rPr>
          <w:rFonts w:ascii="Arial" w:cs="Arial" w:eastAsia="Arial" w:hAnsi="Arial"/>
          <w:sz w:val="18"/>
          <w:szCs w:val="18"/>
          <w:i w:val="1"/>
          <w:iCs w:val="1"/>
          <w:color w:val="auto"/>
        </w:rPr>
      </w:pPr>
    </w:p>
    <w:p>
      <w:pPr>
        <w:jc w:val="both"/>
        <w:ind w:left="1280" w:hanging="10"/>
        <w:spacing w:after="0" w:line="267" w:lineRule="auto"/>
        <w:tabs>
          <w:tab w:leader="none" w:pos="1732"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Other Termination</w:t>
      </w:r>
      <w:r>
        <w:rPr>
          <w:rFonts w:ascii="Arial" w:cs="Arial" w:eastAsia="Arial" w:hAnsi="Arial"/>
          <w:sz w:val="18"/>
          <w:szCs w:val="18"/>
          <w:color w:val="auto"/>
        </w:rPr>
        <w:t>. If a Participant incurs a Termination of Employment for any reason other than death, Disability, or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set forth in this Section 5(j), any Stock Option or Stock Appreciation Right held by such Participant, to the extent it was then exercisable at the time of termination, or, subject to Section 4(b), on such accelerated basis as the Committee may determine, may be exercised for the lesser of (A) 90 days following the date of such Termination of Employment and (B) the balance of the stated full Term thereof.</w:t>
      </w:r>
    </w:p>
    <w:p>
      <w:pPr>
        <w:spacing w:after="0" w:line="218" w:lineRule="exact"/>
        <w:rPr>
          <w:rFonts w:ascii="Arial" w:cs="Arial" w:eastAsia="Arial" w:hAnsi="Arial"/>
          <w:sz w:val="18"/>
          <w:szCs w:val="18"/>
          <w:i w:val="1"/>
          <w:iCs w:val="1"/>
          <w:color w:val="auto"/>
        </w:rPr>
      </w:pPr>
    </w:p>
    <w:p>
      <w:pPr>
        <w:ind w:left="1280" w:hanging="10"/>
        <w:spacing w:after="0" w:line="292" w:lineRule="auto"/>
        <w:tabs>
          <w:tab w:leader="none" w:pos="177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Notwithstanding the foregoing provisions of Section 5(j) and subject to Section 4(b), the Committee shall have the power, in its discretion, to apply different rules concerning the consequences of a Termination</w:t>
      </w:r>
    </w:p>
    <w:p>
      <w:pPr>
        <w:sectPr>
          <w:pgSz w:w="11900" w:h="16838" w:orient="portrait"/>
          <w:cols w:equalWidth="0" w:num="1">
            <w:col w:w="11240"/>
          </w:cols>
          <w:pgMar w:left="320" w:top="1168" w:right="339" w:bottom="1440" w:gutter="0" w:footer="0" w:header="0"/>
        </w:sectPr>
      </w:pPr>
    </w:p>
    <w:bookmarkStart w:id="69" w:name="page70"/>
    <w:bookmarkEnd w:id="69"/>
    <w:p>
      <w:pPr>
        <w:ind w:left="1034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80"/>
        <w:spacing w:after="0" w:line="277" w:lineRule="auto"/>
        <w:rPr>
          <w:sz w:val="20"/>
          <w:szCs w:val="20"/>
          <w:color w:val="auto"/>
        </w:rPr>
      </w:pPr>
      <w:r>
        <w:rPr>
          <w:rFonts w:ascii="Arial" w:cs="Arial" w:eastAsia="Arial" w:hAnsi="Arial"/>
          <w:sz w:val="18"/>
          <w:szCs w:val="18"/>
          <w:color w:val="auto"/>
        </w:rPr>
        <w:t xml:space="preserve">of Employment,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rules are less favorable to the Participant than those set forth above, such rules are set forth in the applicable Award Agreement.</w:t>
      </w:r>
    </w:p>
    <w:p>
      <w:pPr>
        <w:spacing w:after="0" w:line="207" w:lineRule="exact"/>
        <w:rPr>
          <w:sz w:val="20"/>
          <w:szCs w:val="20"/>
          <w:color w:val="auto"/>
        </w:rPr>
      </w:pPr>
    </w:p>
    <w:p>
      <w:pPr>
        <w:jc w:val="both"/>
        <w:ind w:firstLine="638"/>
        <w:spacing w:after="0" w:line="306" w:lineRule="auto"/>
        <w:tabs>
          <w:tab w:leader="none" w:pos="1004"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Additional Rules for Incentive Stock Options</w:t>
      </w:r>
      <w:r>
        <w:rPr>
          <w:rFonts w:ascii="Arial" w:cs="Arial" w:eastAsia="Arial" w:hAnsi="Arial"/>
          <w:sz w:val="16"/>
          <w:szCs w:val="16"/>
          <w:color w:val="auto"/>
        </w:rPr>
        <w:t>. Notwithstanding any other provision of this Plan to the contrary, no Stock Option which is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qualify as an Incentive Stock Option may be granted to any Eligible Employee who at the time of such grant owns stock possessing more than 10% of the total combined voting power of all classes of stock of the Company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of the Common Stock (determined at the time a Stock Option for the Common Stock is granted) for which Incentive Stock Options are exercisable for the first time by an optionee during any calendar year, under all of the incentive stock option plans of the Company and of any Subsidiary, may not exceed $100,000. To the extent a Stock Option that by its terms was intended to be an Incentive Stock Option exceeds this $100,000 limit, the portion of the Stock Option in excess of such limit shall be treated as a Nonqualified Stock Option.</w:t>
      </w:r>
    </w:p>
    <w:p>
      <w:pPr>
        <w:spacing w:after="0" w:line="191" w:lineRule="exact"/>
        <w:rPr>
          <w:rFonts w:ascii="Arial" w:cs="Arial" w:eastAsia="Arial" w:hAnsi="Arial"/>
          <w:sz w:val="16"/>
          <w:szCs w:val="16"/>
          <w:i w:val="1"/>
          <w:iCs w:val="1"/>
          <w:color w:val="auto"/>
        </w:rPr>
      </w:pPr>
    </w:p>
    <w:p>
      <w:pPr>
        <w:jc w:val="both"/>
        <w:ind w:firstLine="638"/>
        <w:spacing w:after="0" w:line="276" w:lineRule="auto"/>
        <w:tabs>
          <w:tab w:leader="none" w:pos="998"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and Dividend Equivalents</w:t>
      </w:r>
      <w:r>
        <w:rPr>
          <w:rFonts w:ascii="Arial" w:cs="Arial" w:eastAsia="Arial" w:hAnsi="Arial"/>
          <w:sz w:val="18"/>
          <w:szCs w:val="18"/>
          <w:color w:val="auto"/>
        </w:rPr>
        <w:t>. Dividends (whether paid in cash or Shares) and dividend equivalents may not be paid or accrued 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Options or Stock Appreciation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Stock Options and Stock Appreciation Rights may be adjusted under certain circumstances in accordance with the terms of Section 3(d).</w:t>
      </w:r>
    </w:p>
    <w:p>
      <w:pPr>
        <w:spacing w:after="0" w:line="20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Restricted Stock</w:t>
      </w:r>
    </w:p>
    <w:p>
      <w:pPr>
        <w:spacing w:after="0" w:line="260" w:lineRule="exact"/>
        <w:rPr>
          <w:sz w:val="20"/>
          <w:szCs w:val="20"/>
          <w:color w:val="auto"/>
        </w:rPr>
      </w:pPr>
    </w:p>
    <w:p>
      <w:pPr>
        <w:jc w:val="both"/>
        <w:ind w:firstLine="638"/>
        <w:spacing w:after="0" w:line="314" w:lineRule="auto"/>
        <w:tabs>
          <w:tab w:leader="none" w:pos="1085"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Shares of Restricted Stock are actual Shares issued to a Participant and may be awarded either alone or in addition to other</w:t>
      </w:r>
      <w:r>
        <w:rPr>
          <w:rFonts w:ascii="Arial" w:cs="Arial" w:eastAsia="Arial" w:hAnsi="Arial"/>
          <w:sz w:val="16"/>
          <w:szCs w:val="16"/>
          <w:i w:val="1"/>
          <w:iCs w:val="1"/>
          <w:color w:val="auto"/>
        </w:rPr>
        <w:t xml:space="preserve"> </w:t>
      </w:r>
      <w:r>
        <w:rPr>
          <w:rFonts w:ascii="Arial" w:cs="Arial" w:eastAsia="Arial" w:hAnsi="Arial"/>
          <w:sz w:val="16"/>
          <w:szCs w:val="16"/>
          <w:color w:val="auto"/>
        </w:rPr>
        <w:t>Awards granted under this Plan. The Committee shall determine the Eligible Individuals to whom and the time or times at which grants of Restricted Stock will be awarded, the number of shares to be awarded to any Eligible Individual, the conditions for vesting, the time or times within which such Awards may be subject to forfeiture and any other terms and conditions of the Awards, in addition to those contained in Section 6(c).</w:t>
      </w:r>
    </w:p>
    <w:p>
      <w:pPr>
        <w:spacing w:after="0" w:line="196" w:lineRule="exact"/>
        <w:rPr>
          <w:rFonts w:ascii="Arial" w:cs="Arial" w:eastAsia="Arial" w:hAnsi="Arial"/>
          <w:sz w:val="16"/>
          <w:szCs w:val="16"/>
          <w:i w:val="1"/>
          <w:iCs w:val="1"/>
          <w:color w:val="auto"/>
        </w:rPr>
      </w:pPr>
    </w:p>
    <w:p>
      <w:pPr>
        <w:jc w:val="both"/>
        <w:ind w:firstLine="638"/>
        <w:spacing w:after="0" w:line="270" w:lineRule="auto"/>
        <w:tabs>
          <w:tab w:leader="none" w:pos="1092"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Book Entry Registration or Certificated Shares</w:t>
      </w:r>
      <w:r>
        <w:rPr>
          <w:rFonts w:ascii="Arial" w:cs="Arial" w:eastAsia="Arial" w:hAnsi="Arial"/>
          <w:sz w:val="18"/>
          <w:szCs w:val="18"/>
          <w:color w:val="auto"/>
        </w:rPr>
        <w:t>. Shares of Restricted Stock shall be evidenced in such manner as the Committee may deem</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including book-entry registration or issuance of one or more stock certificates. If any certificate is issued in respect of shares of Restricted Stock, such certificates shall be registered in the name of the Participant and shall bear an appropriate legend referring to the terms, conditions, and restrictions applicable to such Award, substantially in the following form:</w:t>
      </w:r>
    </w:p>
    <w:p>
      <w:pPr>
        <w:spacing w:after="0" w:line="215" w:lineRule="exact"/>
        <w:rPr>
          <w:sz w:val="20"/>
          <w:szCs w:val="20"/>
          <w:color w:val="auto"/>
        </w:rPr>
      </w:pPr>
    </w:p>
    <w:p>
      <w:pPr>
        <w:jc w:val="both"/>
        <w:ind w:firstLine="632"/>
        <w:spacing w:after="0" w:line="276"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NMI Holdings, Inc. 2014 Amended and Restated Omnibus Incentive Plan and an Award Agreement. Copies of such Plan and Agreement are on file at the offices of NMI Holdings, Inc.</w:t>
      </w:r>
    </w:p>
    <w:p>
      <w:pPr>
        <w:spacing w:after="0" w:line="208" w:lineRule="exact"/>
        <w:rPr>
          <w:sz w:val="20"/>
          <w:szCs w:val="20"/>
          <w:color w:val="auto"/>
        </w:rPr>
      </w:pPr>
    </w:p>
    <w:p>
      <w:pPr>
        <w:jc w:val="both"/>
        <w:ind w:firstLine="632"/>
        <w:spacing w:after="0" w:line="276" w:lineRule="auto"/>
        <w:rPr>
          <w:sz w:val="20"/>
          <w:szCs w:val="20"/>
          <w:color w:val="auto"/>
        </w:rPr>
      </w:pPr>
      <w:r>
        <w:rPr>
          <w:rFonts w:ascii="Arial" w:cs="Arial" w:eastAsia="Arial" w:hAnsi="Arial"/>
          <w:sz w:val="18"/>
          <w:szCs w:val="18"/>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208" w:lineRule="exact"/>
        <w:rPr>
          <w:sz w:val="20"/>
          <w:szCs w:val="20"/>
          <w:color w:val="auto"/>
        </w:rPr>
      </w:pPr>
    </w:p>
    <w:p>
      <w:pPr>
        <w:ind w:firstLine="638"/>
        <w:spacing w:after="0" w:line="342" w:lineRule="auto"/>
        <w:tabs>
          <w:tab w:leader="none" w:pos="1031"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Shares of Restricted Stock shall be subject to the following terms and conditions and such other terms and conditions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are set forth in the applicable Award Agreement (including the vesting or forfeiture provisions applicable upon a Termination of Employment):</w:t>
      </w:r>
    </w:p>
    <w:p>
      <w:pPr>
        <w:spacing w:after="0" w:line="173" w:lineRule="exact"/>
        <w:rPr>
          <w:rFonts w:ascii="Arial" w:cs="Arial" w:eastAsia="Arial" w:hAnsi="Arial"/>
          <w:sz w:val="16"/>
          <w:szCs w:val="16"/>
          <w:i w:val="1"/>
          <w:iCs w:val="1"/>
          <w:color w:val="auto"/>
        </w:rPr>
      </w:pPr>
    </w:p>
    <w:p>
      <w:pPr>
        <w:jc w:val="both"/>
        <w:ind w:left="1280" w:hanging="10"/>
        <w:spacing w:after="0" w:line="292" w:lineRule="auto"/>
        <w:tabs>
          <w:tab w:leader="none" w:pos="1689"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w:t>
      </w:r>
    </w:p>
    <w:p>
      <w:pPr>
        <w:jc w:val="both"/>
        <w:ind w:left="1280"/>
        <w:spacing w:after="0" w:line="276" w:lineRule="auto"/>
        <w:rPr>
          <w:rFonts w:ascii="Arial" w:cs="Arial" w:eastAsia="Arial" w:hAnsi="Arial"/>
          <w:sz w:val="16"/>
          <w:szCs w:val="16"/>
          <w:color w:val="auto"/>
        </w:rPr>
      </w:pPr>
      <w:r>
        <w:rPr>
          <w:rFonts w:ascii="Arial" w:cs="Arial" w:eastAsia="Arial" w:hAnsi="Arial"/>
          <w:sz w:val="18"/>
          <w:szCs w:val="18"/>
          <w:color w:val="auto"/>
        </w:rPr>
        <w:t>(C) the grant or vesting of an Award of Restricted Stock upon the attainment of Performance Goals and the continued service of the applicable Participant. The conditions for grant or vesting and the other provisions of Restricted Stock Awards (including without limitation any applicable Performance Goals) need not be the same with respect to each recipient.</w:t>
      </w:r>
    </w:p>
    <w:p>
      <w:pPr>
        <w:sectPr>
          <w:pgSz w:w="11900" w:h="16838" w:orient="portrait"/>
          <w:cols w:equalWidth="0" w:num="1">
            <w:col w:w="11240"/>
          </w:cols>
          <w:pgMar w:left="320" w:top="345" w:right="339" w:bottom="1440" w:gutter="0" w:footer="0" w:header="0"/>
        </w:sectPr>
      </w:pPr>
    </w:p>
    <w:bookmarkStart w:id="70" w:name="page71"/>
    <w:bookmarkEnd w:id="70"/>
    <w:p>
      <w:pPr>
        <w:jc w:val="both"/>
        <w:ind w:left="1280" w:hanging="10"/>
        <w:spacing w:after="0" w:line="270" w:lineRule="auto"/>
        <w:tabs>
          <w:tab w:leader="none" w:pos="16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Subject to the provisions of this Plan and the applicable Award Agreement, during the period, if any, set by the Committee, commencing with the date of such Restricted Stock Award for which such vesting restrictions apply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and until the expiration of the Restriction Period, the Participant shall not be permitted to sell, assign, transfer, pledge or otherwise encumber Shares of Restricted Stock.</w:t>
      </w:r>
    </w:p>
    <w:p>
      <w:pPr>
        <w:spacing w:after="0" w:line="214" w:lineRule="exact"/>
        <w:rPr>
          <w:rFonts w:ascii="Arial" w:cs="Arial" w:eastAsia="Arial" w:hAnsi="Arial"/>
          <w:sz w:val="18"/>
          <w:szCs w:val="18"/>
          <w:color w:val="auto"/>
        </w:rPr>
      </w:pPr>
    </w:p>
    <w:p>
      <w:pPr>
        <w:jc w:val="both"/>
        <w:ind w:firstLine="638"/>
        <w:spacing w:after="0" w:line="304" w:lineRule="auto"/>
        <w:tabs>
          <w:tab w:leader="none" w:pos="1059"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Rights of a Shareholder</w:t>
      </w:r>
      <w:r>
        <w:rPr>
          <w:rFonts w:ascii="Arial" w:cs="Arial" w:eastAsia="Arial" w:hAnsi="Arial"/>
          <w:sz w:val="16"/>
          <w:szCs w:val="16"/>
          <w:color w:val="auto"/>
        </w:rPr>
        <w:t>. Except as provided in this Section 6 and the applicable Award Agreement, the applicable Participant shall have,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Shares of Restricted Stock, all of the rights of a shareholder of the Company holding the class or series of Common Stock that is the subject of the Restricted Stock, including, if applicable, the right to vote the Shares and the right to receive any dividends. As determined by the Committee in the applicable Award Agreement and subject to Section 15(e), (A) cash dividends on the class or series of Common Stock that is the subject of the Restricted Stock Award shall be payable in cash and shall be held subject to the vesting of the underlying Restricted Stock, or held subject to meeting Performance Goals applicable only to dividends, and (B) dividends payable in Common Stock shall be paid in the form of Restricted Stock of the same class as the Common Stock with which such dividend was paid, and shall be held subject to the vesting of the underlying Restricted Stock, or held subject to meeting Performance Goals applicable only to dividends.</w:t>
      </w:r>
    </w:p>
    <w:p>
      <w:pPr>
        <w:spacing w:after="0" w:line="203" w:lineRule="exact"/>
        <w:rPr>
          <w:rFonts w:ascii="Arial" w:cs="Arial" w:eastAsia="Arial" w:hAnsi="Arial"/>
          <w:sz w:val="16"/>
          <w:szCs w:val="16"/>
          <w:i w:val="1"/>
          <w:iCs w:val="1"/>
          <w:color w:val="auto"/>
        </w:rPr>
      </w:pPr>
    </w:p>
    <w:p>
      <w:pPr>
        <w:jc w:val="both"/>
        <w:ind w:firstLine="638"/>
        <w:spacing w:after="0" w:line="268" w:lineRule="auto"/>
        <w:tabs>
          <w:tab w:leader="none" w:pos="1055"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Delivery of Unlegended Certificates</w:t>
      </w:r>
      <w:r>
        <w:rPr>
          <w:rFonts w:ascii="Arial" w:cs="Arial" w:eastAsia="Arial" w:hAnsi="Arial"/>
          <w:sz w:val="18"/>
          <w:szCs w:val="18"/>
          <w:color w:val="auto"/>
        </w:rPr>
        <w:t>. If and when any applicable Performance Goals are satisfied and the Restriction Period expires without a</w:t>
      </w:r>
      <w:r>
        <w:rPr>
          <w:rFonts w:ascii="Arial" w:cs="Arial" w:eastAsia="Arial" w:hAnsi="Arial"/>
          <w:sz w:val="18"/>
          <w:szCs w:val="18"/>
          <w:i w:val="1"/>
          <w:iCs w:val="1"/>
          <w:color w:val="auto"/>
        </w:rPr>
        <w:t xml:space="preserve"> </w:t>
      </w:r>
      <w:r>
        <w:rPr>
          <w:rFonts w:ascii="Arial" w:cs="Arial" w:eastAsia="Arial" w:hAnsi="Arial"/>
          <w:sz w:val="18"/>
          <w:szCs w:val="18"/>
          <w:color w:val="auto"/>
        </w:rPr>
        <w:t>prior forfeiture of the Shares of Restricted Stock for which legended certificates have been issued, unlegended certificates for such Shares shall be delivered to the Participant upon surrender of the legended certificates.</w:t>
      </w:r>
    </w:p>
    <w:p>
      <w:pPr>
        <w:spacing w:after="0" w:line="228" w:lineRule="exact"/>
        <w:rPr>
          <w:rFonts w:ascii="Arial" w:cs="Arial" w:eastAsia="Arial" w:hAnsi="Arial"/>
          <w:sz w:val="18"/>
          <w:szCs w:val="18"/>
          <w:i w:val="1"/>
          <w:iCs w:val="1"/>
          <w:color w:val="auto"/>
        </w:rPr>
      </w:pPr>
    </w:p>
    <w:p>
      <w:pPr>
        <w:ind w:firstLine="638"/>
        <w:spacing w:after="0" w:line="277" w:lineRule="auto"/>
        <w:tabs>
          <w:tab w:leader="none" w:pos="978"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Unless otherwise determined by the Committee or provided in the applicable Award Agreement, upon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or Employment, his or her Restricted Stock shall be treated as set forth below:</w:t>
      </w:r>
    </w:p>
    <w:p>
      <w:pPr>
        <w:spacing w:after="0" w:line="207" w:lineRule="exact"/>
        <w:rPr>
          <w:rFonts w:ascii="Arial" w:cs="Arial" w:eastAsia="Arial" w:hAnsi="Arial"/>
          <w:sz w:val="18"/>
          <w:szCs w:val="18"/>
          <w:i w:val="1"/>
          <w:iCs w:val="1"/>
          <w:color w:val="auto"/>
        </w:rPr>
      </w:pPr>
    </w:p>
    <w:p>
      <w:pPr>
        <w:jc w:val="both"/>
        <w:ind w:left="1280" w:hanging="10"/>
        <w:spacing w:after="0" w:line="270" w:lineRule="auto"/>
        <w:tabs>
          <w:tab w:leader="none" w:pos="1638" w:val="left"/>
        </w:tabs>
        <w:numPr>
          <w:ilvl w:val="1"/>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by Reason of Death or Disability</w:t>
      </w:r>
      <w:r>
        <w:rPr>
          <w:rFonts w:ascii="Arial" w:cs="Arial" w:eastAsia="Arial" w:hAnsi="Arial"/>
          <w:sz w:val="18"/>
          <w:szCs w:val="18"/>
          <w:color w:val="auto"/>
        </w:rPr>
        <w:t>. If a Participant incurs a Termination of Employment by reason of death or Disability,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including any Performance Goals, applicable to any Restricted Stock shall lapse (with respect to Performance Goals, be deemed earned in full based on the applicable target level), and such Restricted Stock shall become free of all restrictions and become fully vested and transferable to the full extent of the original grant.</w:t>
      </w:r>
    </w:p>
    <w:p>
      <w:pPr>
        <w:spacing w:after="0" w:line="228" w:lineRule="exact"/>
        <w:rPr>
          <w:sz w:val="20"/>
          <w:szCs w:val="20"/>
          <w:color w:val="auto"/>
        </w:rPr>
      </w:pPr>
    </w:p>
    <w:p>
      <w:pPr>
        <w:jc w:val="both"/>
        <w:ind w:left="1280" w:hanging="10"/>
        <w:spacing w:after="0" w:line="268" w:lineRule="auto"/>
        <w:tabs>
          <w:tab w:leader="none" w:pos="1775"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Other Termination</w:t>
      </w:r>
      <w:r>
        <w:rPr>
          <w:rFonts w:ascii="Arial" w:cs="Arial" w:eastAsia="Arial" w:hAnsi="Arial"/>
          <w:sz w:val="18"/>
          <w:szCs w:val="18"/>
          <w:color w:val="auto"/>
        </w:rPr>
        <w:t>. If a Participant incurs a Termination of Employment for any reason other than death or Disability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 Period or before the requisite service period or applicable Performance Goals are satisfied, all Shares still subject to restriction shall be forfeited by the Participant.</w:t>
      </w: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Restricted Stock Units</w:t>
      </w:r>
    </w:p>
    <w:p>
      <w:pPr>
        <w:spacing w:after="0" w:line="260" w:lineRule="exact"/>
        <w:rPr>
          <w:sz w:val="20"/>
          <w:szCs w:val="20"/>
          <w:color w:val="auto"/>
        </w:rPr>
      </w:pPr>
    </w:p>
    <w:p>
      <w:pPr>
        <w:jc w:val="both"/>
        <w:ind w:firstLine="638"/>
        <w:spacing w:after="0" w:line="276" w:lineRule="auto"/>
        <w:tabs>
          <w:tab w:leader="none" w:pos="1063"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Nature of Awards</w:t>
      </w:r>
      <w:r>
        <w:rPr>
          <w:rFonts w:ascii="Arial" w:cs="Arial" w:eastAsia="Arial" w:hAnsi="Arial"/>
          <w:sz w:val="18"/>
          <w:szCs w:val="18"/>
          <w:color w:val="auto"/>
        </w:rPr>
        <w:t>. Restricted stock units and deferred share rights (together,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Awards denominated in Shares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settled, subject to the terms and conditions of the Restricted Stock Units, in an amount in cash, Shares, or both, based upon the Fair Market Value of a specified number of Shares.</w:t>
      </w:r>
    </w:p>
    <w:p>
      <w:pPr>
        <w:spacing w:after="0" w:line="208" w:lineRule="exact"/>
        <w:rPr>
          <w:rFonts w:ascii="Arial" w:cs="Arial" w:eastAsia="Arial" w:hAnsi="Arial"/>
          <w:sz w:val="18"/>
          <w:szCs w:val="18"/>
          <w:i w:val="1"/>
          <w:iCs w:val="1"/>
          <w:color w:val="auto"/>
        </w:rPr>
      </w:pPr>
    </w:p>
    <w:p>
      <w:pPr>
        <w:ind w:firstLine="638"/>
        <w:spacing w:after="0" w:line="342" w:lineRule="auto"/>
        <w:tabs>
          <w:tab w:leader="none" w:pos="1042"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Restricted Stock Units shall be subject to the following terms and conditions and such other terms and conditions as are</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the applicable Award Agreement (including the vesting or forfeiture provisions applicable upon a Termination of Employment):</w:t>
      </w:r>
    </w:p>
    <w:p>
      <w:pPr>
        <w:spacing w:after="0" w:line="173" w:lineRule="exact"/>
        <w:rPr>
          <w:rFonts w:ascii="Arial" w:cs="Arial" w:eastAsia="Arial" w:hAnsi="Arial"/>
          <w:sz w:val="16"/>
          <w:szCs w:val="16"/>
          <w:i w:val="1"/>
          <w:iCs w:val="1"/>
          <w:color w:val="auto"/>
        </w:rPr>
      </w:pPr>
    </w:p>
    <w:p>
      <w:pPr>
        <w:jc w:val="both"/>
        <w:ind w:left="1280" w:hanging="10"/>
        <w:spacing w:after="0" w:line="305" w:lineRule="auto"/>
        <w:tabs>
          <w:tab w:leader="none" w:pos="165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Committee shall, prior to or at the time of grant, condition (A) the vesting of Restricted Stock Units upon the continued service of the applicable Participant, or (B) the grant or vesting of Restricted Stock Units upon the attainment of Performance Goals or (C) the grant or vesting of an Award of Restricted Stock Units upon the attainment of Performance Goals and the continued service of the applicable Participant. The conditions for grant or vesting and the other provisions of Restricted Stock Units (including without limitation any applicable Performance Goals) need not be the same with respect to each recipient. An Award of Restricted Stock Units shall be settled as and when the Restricted Stock Units vest, at a later time specified</w:t>
      </w:r>
    </w:p>
    <w:p>
      <w:pPr>
        <w:sectPr>
          <w:pgSz w:w="11900" w:h="16838" w:orient="portrait"/>
          <w:cols w:equalWidth="0" w:num="1">
            <w:col w:w="11240"/>
          </w:cols>
          <w:pgMar w:left="320" w:top="1168" w:right="339" w:bottom="1440" w:gutter="0" w:footer="0" w:header="0"/>
        </w:sectPr>
      </w:pPr>
    </w:p>
    <w:bookmarkStart w:id="71" w:name="page72"/>
    <w:bookmarkEnd w:id="71"/>
    <w:p>
      <w:pPr>
        <w:ind w:left="1034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by the Committee in the applicable Award Agreement, or, if the Committee so permits, in accordance with an election of the Participant.</w:t>
      </w:r>
    </w:p>
    <w:p>
      <w:pPr>
        <w:spacing w:after="0" w:line="277" w:lineRule="exact"/>
        <w:rPr>
          <w:sz w:val="20"/>
          <w:szCs w:val="20"/>
          <w:color w:val="auto"/>
        </w:rPr>
      </w:pPr>
    </w:p>
    <w:p>
      <w:pPr>
        <w:ind w:left="1280" w:hanging="10"/>
        <w:spacing w:after="0" w:line="342" w:lineRule="auto"/>
        <w:tabs>
          <w:tab w:leader="none" w:pos="1692" w:val="left"/>
        </w:tabs>
        <w:numPr>
          <w:ilvl w:val="1"/>
          <w:numId w:val="62"/>
        </w:numPr>
        <w:rPr>
          <w:rFonts w:ascii="Arial" w:cs="Arial" w:eastAsia="Arial" w:hAnsi="Arial"/>
          <w:sz w:val="16"/>
          <w:szCs w:val="16"/>
          <w:color w:val="auto"/>
        </w:rPr>
      </w:pPr>
      <w:r>
        <w:rPr>
          <w:rFonts w:ascii="Arial" w:cs="Arial" w:eastAsia="Arial" w:hAnsi="Arial"/>
          <w:sz w:val="16"/>
          <w:szCs w:val="16"/>
          <w:color w:val="auto"/>
        </w:rPr>
        <w:t>Subject to the provisions of this Plan and the applicable Award Agreement, during the Restriction Period, if any, set by the Committee, the Participant shall not be permitted to sell, assign, transfer, pledge or otherwise encumber Restricted Stock Units.</w:t>
      </w:r>
    </w:p>
    <w:p>
      <w:pPr>
        <w:spacing w:after="0" w:line="173" w:lineRule="exact"/>
        <w:rPr>
          <w:rFonts w:ascii="Arial" w:cs="Arial" w:eastAsia="Arial" w:hAnsi="Arial"/>
          <w:sz w:val="16"/>
          <w:szCs w:val="16"/>
          <w:color w:val="auto"/>
        </w:rPr>
      </w:pPr>
    </w:p>
    <w:p>
      <w:pPr>
        <w:jc w:val="both"/>
        <w:ind w:left="1280" w:hanging="10"/>
        <w:spacing w:after="0" w:line="268" w:lineRule="auto"/>
        <w:tabs>
          <w:tab w:leader="none" w:pos="172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Award Agreement for Restricted Stock Units shall specify whether, to what extent and on what terms and conditions the applicable Participant shall be entitled to receive payments of cash, Common Stock or other property corresponding to the dividends payable on the Common Stock (subject to Section 15(e) below).</w:t>
      </w:r>
    </w:p>
    <w:p>
      <w:pPr>
        <w:spacing w:after="0" w:line="228" w:lineRule="exact"/>
        <w:rPr>
          <w:rFonts w:ascii="Arial" w:cs="Arial" w:eastAsia="Arial" w:hAnsi="Arial"/>
          <w:sz w:val="18"/>
          <w:szCs w:val="18"/>
          <w:color w:val="auto"/>
        </w:rPr>
      </w:pPr>
    </w:p>
    <w:p>
      <w:pPr>
        <w:jc w:val="both"/>
        <w:ind w:firstLine="638"/>
        <w:spacing w:after="0" w:line="306" w:lineRule="auto"/>
        <w:tabs>
          <w:tab w:leader="none" w:pos="1071"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Rights of a Shareholder</w:t>
      </w:r>
      <w:r>
        <w:rPr>
          <w:rFonts w:ascii="Arial" w:cs="Arial" w:eastAsia="Arial" w:hAnsi="Arial"/>
          <w:sz w:val="16"/>
          <w:szCs w:val="16"/>
          <w:color w:val="auto"/>
        </w:rPr>
        <w:t>. A Participant to whom Restricted Stock Units are awarded shall have no rights as a shareholder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represented by the Restricted Stock Units unless and until Shares are actually delivered to the participant in settlement thereof. Unless otherwise determined by the Committee and subject to Section 15(e), an Award of Restricted Stock Units shall be adjusted to reflect deemed reinvestment in additional Restricted Stock Units of the dividends that would be paid and distributions that would be made with respect to the Award of Restricted Stock Units if it consisted of actual Shares. Notwithstanding the immediately preceding sentence, if an adjustment to an Award of Restricted Stock Units is made pursuant to Section 3(d) as a result of any dividend or distribution, no increase to such Award (by means of deemed reinvestment in additional Restricted Stock Units) shall be made under this Section 7(c) as a result of the same dividend or distribution.</w:t>
      </w:r>
    </w:p>
    <w:p>
      <w:pPr>
        <w:spacing w:after="0" w:line="189" w:lineRule="exact"/>
        <w:rPr>
          <w:rFonts w:ascii="Arial" w:cs="Arial" w:eastAsia="Arial" w:hAnsi="Arial"/>
          <w:sz w:val="16"/>
          <w:szCs w:val="16"/>
          <w:i w:val="1"/>
          <w:iCs w:val="1"/>
          <w:color w:val="auto"/>
        </w:rPr>
      </w:pPr>
    </w:p>
    <w:p>
      <w:pPr>
        <w:ind w:firstLine="638"/>
        <w:spacing w:after="0" w:line="277" w:lineRule="auto"/>
        <w:tabs>
          <w:tab w:leader="none" w:pos="1186"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Unless otherwise determined by the Committee or provided in the applicable Award Agreement, upon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Termination of Employment, his or her Restricted Stock Units shall be treated as set forth below:</w:t>
      </w:r>
    </w:p>
    <w:p>
      <w:pPr>
        <w:spacing w:after="0" w:line="220" w:lineRule="exact"/>
        <w:rPr>
          <w:rFonts w:ascii="Arial" w:cs="Arial" w:eastAsia="Arial" w:hAnsi="Arial"/>
          <w:sz w:val="18"/>
          <w:szCs w:val="18"/>
          <w:i w:val="1"/>
          <w:iCs w:val="1"/>
          <w:color w:val="auto"/>
        </w:rPr>
      </w:pPr>
    </w:p>
    <w:p>
      <w:pPr>
        <w:jc w:val="both"/>
        <w:ind w:left="1280" w:hanging="10"/>
        <w:spacing w:after="0" w:line="270" w:lineRule="auto"/>
        <w:tabs>
          <w:tab w:leader="none" w:pos="1638" w:val="left"/>
        </w:tabs>
        <w:numPr>
          <w:ilvl w:val="1"/>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by Reason of Death or Disability</w:t>
      </w:r>
      <w:r>
        <w:rPr>
          <w:rFonts w:ascii="Arial" w:cs="Arial" w:eastAsia="Arial" w:hAnsi="Arial"/>
          <w:sz w:val="18"/>
          <w:szCs w:val="18"/>
          <w:color w:val="auto"/>
        </w:rPr>
        <w:t>. If a Participant incurs a Termination of Employment by reason of death or Disability,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including any Performance Goals, applicable to any Restricted Stock Units shall lapse (with respect to Performance Goals, be deemed earned in full based on the applicable target level), and such Restricted Stock Units shall become fully vested and settled to the full extent of the original grant.</w:t>
      </w:r>
    </w:p>
    <w:p>
      <w:pPr>
        <w:spacing w:after="0" w:line="214" w:lineRule="exact"/>
        <w:rPr>
          <w:rFonts w:ascii="Arial" w:cs="Arial" w:eastAsia="Arial" w:hAnsi="Arial"/>
          <w:sz w:val="18"/>
          <w:szCs w:val="18"/>
          <w:i w:val="1"/>
          <w:iCs w:val="1"/>
          <w:color w:val="auto"/>
        </w:rPr>
      </w:pPr>
    </w:p>
    <w:p>
      <w:pPr>
        <w:jc w:val="both"/>
        <w:ind w:left="1280" w:hanging="10"/>
        <w:spacing w:after="0" w:line="276" w:lineRule="auto"/>
        <w:tabs>
          <w:tab w:leader="none" w:pos="1777"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Termination</w:t>
      </w:r>
      <w:r>
        <w:rPr>
          <w:rFonts w:ascii="Arial" w:cs="Arial" w:eastAsia="Arial" w:hAnsi="Arial"/>
          <w:sz w:val="18"/>
          <w:szCs w:val="18"/>
          <w:color w:val="auto"/>
        </w:rPr>
        <w:t>. If a Participant incurs a Termination of Employment for any reason other than death or Disability during the Restriction Period or before the applicable Performance Goals are satisfied, all unvested Restricted Stock Units shall be forfeited by the Participant.</w:t>
      </w:r>
    </w:p>
    <w:p>
      <w:pPr>
        <w:spacing w:after="0" w:line="20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Performance Units</w:t>
      </w:r>
    </w:p>
    <w:p>
      <w:pPr>
        <w:spacing w:after="0" w:line="260" w:lineRule="exact"/>
        <w:rPr>
          <w:sz w:val="20"/>
          <w:szCs w:val="20"/>
          <w:color w:val="auto"/>
        </w:rPr>
      </w:pPr>
    </w:p>
    <w:p>
      <w:pPr>
        <w:jc w:val="both"/>
        <w:ind w:firstLine="1265"/>
        <w:spacing w:after="0" w:line="269" w:lineRule="auto"/>
        <w:rPr>
          <w:sz w:val="20"/>
          <w:szCs w:val="20"/>
          <w:color w:val="auto"/>
        </w:rPr>
      </w:pPr>
      <w:r>
        <w:rPr>
          <w:rFonts w:ascii="Arial" w:cs="Arial" w:eastAsia="Arial" w:hAnsi="Arial"/>
          <w:sz w:val="18"/>
          <w:szCs w:val="18"/>
          <w:color w:val="auto"/>
        </w:rPr>
        <w:t>Performance Units may be issued hereunder to Eligible Individuals, for no cash consideration or for such minimum consideration as may be required by applicable law, either alone or in addition to other Awards granted under this Plan. The Performance Goals to be achieved during any Performance Period and the length of the Performance Period shall be determined by the Committee upon the grant of each Performance Unit. The conditions for grant or vesting and the other provisions of Performance Units (including without limitation any applicable Performance Goals) need not be the same with respect to each recipient. Performance Units may be paid in cash, Shares, other property or any combination thereof, in the sole discretion of the Committee as set forth in the applicable Award Agreement.</w:t>
      </w: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Other Stock-Based Awards</w:t>
      </w:r>
    </w:p>
    <w:p>
      <w:pPr>
        <w:spacing w:after="0" w:line="273" w:lineRule="exact"/>
        <w:rPr>
          <w:sz w:val="20"/>
          <w:szCs w:val="20"/>
          <w:color w:val="auto"/>
        </w:rPr>
      </w:pPr>
    </w:p>
    <w:p>
      <w:pPr>
        <w:jc w:val="both"/>
        <w:ind w:firstLine="1265"/>
        <w:spacing w:after="0" w:line="270" w:lineRule="auto"/>
        <w:rPr>
          <w:sz w:val="20"/>
          <w:szCs w:val="20"/>
          <w:color w:val="auto"/>
        </w:rPr>
      </w:pPr>
      <w:r>
        <w:rPr>
          <w:rFonts w:ascii="Arial" w:cs="Arial" w:eastAsia="Arial" w:hAnsi="Arial"/>
          <w:sz w:val="18"/>
          <w:szCs w:val="18"/>
          <w:color w:val="auto"/>
        </w:rPr>
        <w:t>The Committee may grant Awards of Shares or related to Shares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w:t>
      </w:r>
    </w:p>
    <w:p>
      <w:pPr>
        <w:sectPr>
          <w:pgSz w:w="11900" w:h="16838" w:orient="portrait"/>
          <w:cols w:equalWidth="0" w:num="1">
            <w:col w:w="11240"/>
          </w:cols>
          <w:pgMar w:left="320" w:top="345" w:right="339" w:bottom="1440" w:gutter="0" w:footer="0" w:header="0"/>
        </w:sectPr>
      </w:pPr>
    </w:p>
    <w:bookmarkStart w:id="72" w:name="page73"/>
    <w:bookmarkEnd w:id="72"/>
    <w:p>
      <w:pPr>
        <w:jc w:val="both"/>
        <w:spacing w:after="0" w:line="270" w:lineRule="auto"/>
        <w:rPr>
          <w:sz w:val="20"/>
          <w:szCs w:val="20"/>
          <w:color w:val="auto"/>
        </w:rPr>
      </w:pPr>
      <w:r>
        <w:rPr>
          <w:rFonts w:ascii="Arial" w:cs="Arial" w:eastAsia="Arial" w:hAnsi="Arial"/>
          <w:sz w:val="18"/>
          <w:szCs w:val="18"/>
          <w:color w:val="auto"/>
        </w:rPr>
        <w:t>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2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Cash-Based Awards</w:t>
      </w:r>
    </w:p>
    <w:p>
      <w:pPr>
        <w:spacing w:after="0" w:line="260" w:lineRule="exact"/>
        <w:rPr>
          <w:sz w:val="20"/>
          <w:szCs w:val="20"/>
          <w:color w:val="auto"/>
        </w:rPr>
      </w:pPr>
    </w:p>
    <w:p>
      <w:pPr>
        <w:jc w:val="both"/>
        <w:ind w:firstLine="1265"/>
        <w:spacing w:after="0" w:line="313" w:lineRule="auto"/>
        <w:rPr>
          <w:sz w:val="20"/>
          <w:szCs w:val="20"/>
          <w:color w:val="auto"/>
        </w:rPr>
      </w:pPr>
      <w:r>
        <w:rPr>
          <w:rFonts w:ascii="Arial" w:cs="Arial" w:eastAsia="Arial" w:hAnsi="Arial"/>
          <w:sz w:val="16"/>
          <w:szCs w:val="16"/>
          <w:color w:val="auto"/>
        </w:rPr>
        <w:t>The Committee may grant Awards to Eligible Individuals that are denominated and payable in cash in such amounts and subject to such terms and conditions consistent with the terms of this Plan as the Committee shall determine. With respect to a Cash-Based Award subject to Performance Goals, the Performance Goals to be achieved during any performance period and the length of the performance period shall be determined by the Committee upon the grant of such Cash-Based Award, or (b) the grant or vesting of Cash-Based Awards upon the attainment of Performance Goals or (c) the grant or vesting of a Cash-Based Awards upon the attainment of Performance Goals and the continued service of the applicable Participant.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Change-in-Control Provisions</w:t>
      </w:r>
    </w:p>
    <w:p>
      <w:pPr>
        <w:spacing w:after="0" w:line="260" w:lineRule="exact"/>
        <w:rPr>
          <w:sz w:val="20"/>
          <w:szCs w:val="20"/>
          <w:color w:val="auto"/>
        </w:rPr>
      </w:pPr>
    </w:p>
    <w:p>
      <w:pPr>
        <w:ind w:firstLine="638"/>
        <w:spacing w:after="0" w:line="292" w:lineRule="auto"/>
        <w:tabs>
          <w:tab w:leader="none" w:pos="1042"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provisions of this Section 11 shall, subject to Section 3(d), apply notwithstanding any other provision of this Plan to the contrary,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the Committee specifically provides otherwise in an Award Agreement.</w:t>
      </w:r>
    </w:p>
    <w:p>
      <w:pPr>
        <w:spacing w:after="0" w:line="194" w:lineRule="exact"/>
        <w:rPr>
          <w:rFonts w:ascii="Arial" w:cs="Arial" w:eastAsia="Arial" w:hAnsi="Arial"/>
          <w:sz w:val="18"/>
          <w:szCs w:val="18"/>
          <w:i w:val="1"/>
          <w:iCs w:val="1"/>
          <w:color w:val="auto"/>
        </w:rPr>
      </w:pPr>
    </w:p>
    <w:p>
      <w:pPr>
        <w:jc w:val="both"/>
        <w:ind w:firstLine="638"/>
        <w:spacing w:after="0" w:line="303" w:lineRule="auto"/>
        <w:tabs>
          <w:tab w:leader="none" w:pos="1026"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Impact of Change in Control</w:t>
      </w:r>
      <w:r>
        <w:rPr>
          <w:rFonts w:ascii="Arial" w:cs="Arial" w:eastAsia="Arial" w:hAnsi="Arial"/>
          <w:sz w:val="16"/>
          <w:szCs w:val="16"/>
          <w:color w:val="auto"/>
        </w:rPr>
        <w:t>. Upon the occurrence of a Change in Control, unless otherwise provided in the applicable Award Agreement: (i) all</w:t>
      </w:r>
      <w:r>
        <w:rPr>
          <w:rFonts w:ascii="Arial" w:cs="Arial" w:eastAsia="Arial" w:hAnsi="Arial"/>
          <w:sz w:val="16"/>
          <w:szCs w:val="16"/>
          <w:i w:val="1"/>
          <w:iCs w:val="1"/>
          <w:color w:val="auto"/>
        </w:rPr>
        <w:t xml:space="preserve"> </w:t>
      </w:r>
      <w:r>
        <w:rPr>
          <w:rFonts w:ascii="Arial" w:cs="Arial" w:eastAsia="Arial" w:hAnsi="Arial"/>
          <w:sz w:val="16"/>
          <w:szCs w:val="16"/>
          <w:color w:val="auto"/>
        </w:rPr>
        <w:t>then-outstanding Stock Options and Stock Appreciation Rights shall become fully vested and exercisable, and all Full-Value Awards (other than performance-based Awards) shall vest in full, be free of restrictions, and be deemed to be earned and payable in an amount equal to the full value of such Award, except in each case to the extent that another Award meeting the requirements of Section 11(c) (any award meeting the requirements of Section 11(c),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Award</w:t>
      </w:r>
      <w:r>
        <w:rPr>
          <w:rFonts w:ascii="Arial" w:cs="Arial" w:eastAsia="Arial" w:hAnsi="Arial"/>
          <w:sz w:val="16"/>
          <w:szCs w:val="16"/>
          <w:color w:val="auto"/>
        </w:rPr>
        <w:t>”) is provided to the Participant pursuant to Section 3(d) to replace such Award (any award intended to be replaced by a Replacement Award, a “</w:t>
      </w:r>
      <w:r>
        <w:rPr>
          <w:rFonts w:ascii="Arial" w:cs="Arial" w:eastAsia="Arial" w:hAnsi="Arial"/>
          <w:sz w:val="16"/>
          <w:szCs w:val="16"/>
          <w:u w:val="single" w:color="auto"/>
          <w:color w:val="auto"/>
        </w:rPr>
        <w:t>Replaced Award</w:t>
      </w:r>
      <w:r>
        <w:rPr>
          <w:rFonts w:ascii="Arial" w:cs="Arial" w:eastAsia="Arial" w:hAnsi="Arial"/>
          <w:sz w:val="16"/>
          <w:szCs w:val="16"/>
          <w:color w:val="auto"/>
        </w:rPr>
        <w:t>”),and (ii) 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of the Performance Goals for the Award as determined by the Committee not later than the date of the Change in Control, taking into account performance through the latest date preceding the Change in Control as to which performance can, as a practical matter, be determined (but not later than the end of the applicable Performance Period)).</w:t>
      </w:r>
    </w:p>
    <w:p>
      <w:pPr>
        <w:spacing w:after="0" w:line="193" w:lineRule="exact"/>
        <w:rPr>
          <w:rFonts w:ascii="Arial" w:cs="Arial" w:eastAsia="Arial" w:hAnsi="Arial"/>
          <w:sz w:val="16"/>
          <w:szCs w:val="16"/>
          <w:i w:val="1"/>
          <w:iCs w:val="1"/>
          <w:color w:val="auto"/>
        </w:rPr>
      </w:pPr>
    </w:p>
    <w:p>
      <w:pPr>
        <w:jc w:val="both"/>
        <w:ind w:firstLine="638"/>
        <w:spacing w:after="0" w:line="304" w:lineRule="auto"/>
        <w:tabs>
          <w:tab w:leader="none" w:pos="1057"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Replacement Awards</w:t>
      </w:r>
      <w:r>
        <w:rPr>
          <w:rFonts w:ascii="Arial" w:cs="Arial" w:eastAsia="Arial" w:hAnsi="Arial"/>
          <w:sz w:val="16"/>
          <w:szCs w:val="16"/>
          <w:color w:val="auto"/>
        </w:rPr>
        <w:t>. An Award shall meet the conditions of this Section 11(c) (and hence qualify as a Replacement Award) if: (i) it 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type as the Replaced Award; (ii) it has a value equal to the value of the Replaced Award as of the date of the Change in Control, as determined by the Committee in its sole discretion consistent with Section 3(d); (iii) if the underlying Replaced Award was an equity-based award, it relates to publicly traded equity securities of the Company or the entity surviving the Company following the Change in Control; (iv) it contains terms relating to vesting (including with respect to a Termination of Employment) that are substantially identical to those of the Replaced Award; and (v) its other terms and conditions are not less favorable to the Participant than the terms and conditions of the Replaced Award (including the provisions that would apply in the event of a subsequent Change in Control) as of the date of the Change in Control. Without limiting the generality of the foregoing, a Replacement Award may take the form of a continuation of the applicable Replaced Award if the requirements of the preceding sentence are satisfied. The determination whether the conditions of this Section 11(c) are satisfied shall be made by the Committee, as constituted immediately before the Change in Control, in its sole discretion.</w:t>
      </w:r>
    </w:p>
    <w:p>
      <w:pPr>
        <w:spacing w:after="0" w:line="194" w:lineRule="exact"/>
        <w:rPr>
          <w:rFonts w:ascii="Arial" w:cs="Arial" w:eastAsia="Arial" w:hAnsi="Arial"/>
          <w:sz w:val="16"/>
          <w:szCs w:val="16"/>
          <w:i w:val="1"/>
          <w:iCs w:val="1"/>
          <w:color w:val="auto"/>
        </w:rPr>
      </w:pPr>
    </w:p>
    <w:p>
      <w:pPr>
        <w:jc w:val="both"/>
        <w:ind w:firstLine="638"/>
        <w:spacing w:after="0" w:line="313" w:lineRule="auto"/>
        <w:tabs>
          <w:tab w:leader="none" w:pos="1021"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Notwithstanding any other provision of this Plan to the contrary and unless otherwise determined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and set forth in the applicable Award Agreement (or other severance, change in control or employment agreement), upon a Termination of Employment of a Participant by the Company other than for Cause within 24 months following a Change in Control, (i) all Replacement Awards held by such Participant shall vest in full, be free of restrictions, and be deemed to be earned in full (with respect to Performance Goals, unless otherwise agreed in connection with the Change in Control, at the greater of (x) the applicable target level and (y) the level of achievement of the Performance Goals</w:t>
      </w:r>
    </w:p>
    <w:p>
      <w:pPr>
        <w:sectPr>
          <w:pgSz w:w="11900" w:h="16838" w:orient="portrait"/>
          <w:cols w:equalWidth="0" w:num="1">
            <w:col w:w="11240"/>
          </w:cols>
          <w:pgMar w:left="320" w:top="1168" w:right="339" w:bottom="1440" w:gutter="0" w:footer="0" w:header="0"/>
        </w:sectPr>
      </w:pPr>
    </w:p>
    <w:bookmarkStart w:id="73" w:name="page74"/>
    <w:bookmarkEnd w:id="73"/>
    <w:p>
      <w:pPr>
        <w:ind w:left="1034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for the Award as determined by the Committee taking into account performance through the latest date preceding the Termination of Employment as to which performance can, as a practical matter, be determined (but not later than the end of the applicable Performance Period)), and (ii) unless otherwise provided in the applicable Award Agreement, notwithstanding any other provision of this Plan to the contrary, any Stock Option or Stock Appreciation Right held by the Participant as of the date of the Change in Control that remains outstanding as of the date of such Termination of Employment may thereafter be exercised until the expiration of the stated full Term of such Stock Option or Stock Appreciation Right.</w:t>
      </w:r>
    </w:p>
    <w:p>
      <w:pPr>
        <w:spacing w:after="0" w:line="189" w:lineRule="exact"/>
        <w:rPr>
          <w:sz w:val="20"/>
          <w:szCs w:val="20"/>
          <w:color w:val="auto"/>
        </w:rPr>
      </w:pPr>
    </w:p>
    <w:p>
      <w:pPr>
        <w:ind w:left="1000" w:hanging="362"/>
        <w:spacing w:after="0"/>
        <w:tabs>
          <w:tab w:leader="none" w:pos="100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Definition of Change in Control</w:t>
      </w:r>
      <w:r>
        <w:rPr>
          <w:rFonts w:ascii="Arial" w:cs="Arial" w:eastAsia="Arial" w:hAnsi="Arial"/>
          <w:sz w:val="16"/>
          <w:szCs w:val="16"/>
          <w:color w:val="auto"/>
        </w:rPr>
        <w:t>. For purposes of this Plan,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the happening of any of the following events:</w:t>
      </w:r>
    </w:p>
    <w:p>
      <w:pPr>
        <w:spacing w:after="0" w:line="290" w:lineRule="exact"/>
        <w:rPr>
          <w:sz w:val="20"/>
          <w:szCs w:val="20"/>
          <w:color w:val="auto"/>
        </w:rPr>
      </w:pPr>
    </w:p>
    <w:p>
      <w:pPr>
        <w:jc w:val="both"/>
        <w:ind w:left="640" w:hanging="2"/>
        <w:spacing w:after="0" w:line="304" w:lineRule="auto"/>
        <w:tabs>
          <w:tab w:leader="none" w:pos="10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 acquisition by any individual, entity or group (within the meaning of Section 13(d)(3) or 14(d)(2) of the Exchange Act) (a “</w:t>
      </w:r>
      <w:r>
        <w:rPr>
          <w:rFonts w:ascii="Arial" w:cs="Arial" w:eastAsia="Arial" w:hAnsi="Arial"/>
          <w:sz w:val="16"/>
          <w:szCs w:val="16"/>
          <w:u w:val="single" w:color="auto"/>
          <w:color w:val="auto"/>
        </w:rPr>
        <w:t>Person</w:t>
      </w:r>
      <w:r>
        <w:rPr>
          <w:rFonts w:ascii="Arial" w:cs="Arial" w:eastAsia="Arial" w:hAnsi="Arial"/>
          <w:sz w:val="16"/>
          <w:szCs w:val="16"/>
          <w:color w:val="auto"/>
        </w:rPr>
        <w:t>”) of beneficial ownership (within the meaning of Rule 13d-3 promulgated under the Exchange Act) of 30% or more of either (1) the then outstanding shares of common stock of the Company (the “</w:t>
      </w:r>
      <w:r>
        <w:rPr>
          <w:rFonts w:ascii="Arial" w:cs="Arial" w:eastAsia="Arial" w:hAnsi="Arial"/>
          <w:sz w:val="16"/>
          <w:szCs w:val="16"/>
          <w:u w:val="single" w:color="auto"/>
          <w:color w:val="auto"/>
        </w:rPr>
        <w:t>Outstanding Company Common Stock</w:t>
      </w:r>
      <w:r>
        <w:rPr>
          <w:rFonts w:ascii="Arial" w:cs="Arial" w:eastAsia="Arial" w:hAnsi="Arial"/>
          <w:sz w:val="16"/>
          <w:szCs w:val="16"/>
          <w:color w:val="auto"/>
        </w:rPr>
        <w:t>”) or (2) the combined voting power of the then outstanding voting securities of the Company entitled to vote generally in the election of directors (the “</w:t>
      </w:r>
      <w:r>
        <w:rPr>
          <w:rFonts w:ascii="Arial" w:cs="Arial" w:eastAsia="Arial" w:hAnsi="Arial"/>
          <w:sz w:val="16"/>
          <w:szCs w:val="16"/>
          <w:u w:val="single" w:color="auto"/>
          <w:color w:val="auto"/>
        </w:rPr>
        <w:t>Outstanding Company Voting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 the following acquisitions shall not constitute a Change of Control: (1) any acquisition directly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(2) any acquisition by the Company, (3) any acquisition by any employee benefit plan (or related trust) sponsored or maintained by the Company or any entity controlled by the Company, or (4) any acquisition by any entity pursuant to a transaction which complies with clauses (1), (2) and (3) of subsection (iii) of this Section 11(e); or</w:t>
      </w:r>
    </w:p>
    <w:p>
      <w:pPr>
        <w:spacing w:after="0" w:line="190" w:lineRule="exact"/>
        <w:rPr>
          <w:rFonts w:ascii="Arial" w:cs="Arial" w:eastAsia="Arial" w:hAnsi="Arial"/>
          <w:sz w:val="16"/>
          <w:szCs w:val="16"/>
          <w:color w:val="auto"/>
        </w:rPr>
      </w:pPr>
    </w:p>
    <w:p>
      <w:pPr>
        <w:jc w:val="both"/>
        <w:ind w:left="640" w:hanging="2"/>
        <w:spacing w:after="0" w:line="306" w:lineRule="auto"/>
        <w:tabs>
          <w:tab w:leader="none" w:pos="1051"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individuals who, as of the Effective Date, constitute the Board (the “</w:t>
      </w:r>
      <w:r>
        <w:rPr>
          <w:rFonts w:ascii="Arial" w:cs="Arial" w:eastAsia="Arial" w:hAnsi="Arial"/>
          <w:sz w:val="16"/>
          <w:szCs w:val="16"/>
          <w:u w:val="single" w:color="auto"/>
          <w:color w:val="auto"/>
        </w:rPr>
        <w:t>Incumbent 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for purposes of this Section 11(e), any individual who becomes a member of the Board subsequent to the Effective Date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spacing w:after="0" w:line="191" w:lineRule="exact"/>
        <w:rPr>
          <w:rFonts w:ascii="Arial" w:cs="Arial" w:eastAsia="Arial" w:hAnsi="Arial"/>
          <w:sz w:val="16"/>
          <w:szCs w:val="16"/>
          <w:color w:val="auto"/>
        </w:rPr>
      </w:pPr>
    </w:p>
    <w:p>
      <w:pPr>
        <w:jc w:val="both"/>
        <w:ind w:left="640" w:hanging="2"/>
        <w:spacing w:after="0" w:line="301" w:lineRule="auto"/>
        <w:tabs>
          <w:tab w:leader="none" w:pos="11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 corporate entity, equivalent securities),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entity resulting from such Business Combination or any employee benefit plan (or related trust) of the Company or such entity resulting from such Business Combination) beneficially owns, directly or indirectly, 30%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w:t>
      </w:r>
    </w:p>
    <w:p>
      <w:pPr>
        <w:sectPr>
          <w:pgSz w:w="11900" w:h="16838" w:orient="portrait"/>
          <w:cols w:equalWidth="0" w:num="1">
            <w:col w:w="11240"/>
          </w:cols>
          <w:pgMar w:left="320" w:top="345" w:right="339" w:bottom="1440" w:gutter="0" w:footer="0" w:header="0"/>
        </w:sectPr>
      </w:pPr>
    </w:p>
    <w:bookmarkStart w:id="74" w:name="page75"/>
    <w:bookmarkEnd w:id="74"/>
    <w:p>
      <w:pPr>
        <w:ind w:left="640"/>
        <w:spacing w:after="0" w:line="277" w:lineRule="auto"/>
        <w:rPr>
          <w:sz w:val="20"/>
          <w:szCs w:val="20"/>
          <w:color w:val="auto"/>
        </w:rPr>
      </w:pPr>
      <w:r>
        <w:rPr>
          <w:rFonts w:ascii="Arial" w:cs="Arial" w:eastAsia="Arial" w:hAnsi="Arial"/>
          <w:sz w:val="18"/>
          <w:szCs w:val="18"/>
          <w:color w:val="auto"/>
        </w:rPr>
        <w:t>Business Combination were members of the Incumbent Board at the time of the execution of the initial agreement, or of the action of the Board, providing for such Business Combination; or</w:t>
      </w:r>
    </w:p>
    <w:p>
      <w:pPr>
        <w:spacing w:after="0" w:line="207"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The approval by the shareholders of the Company of a complete liquidation or dissolution of the Company.</w:t>
      </w:r>
    </w:p>
    <w:p>
      <w:pPr>
        <w:spacing w:after="0" w:line="26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Section 16(b); Section 409A</w:t>
      </w:r>
    </w:p>
    <w:p>
      <w:pPr>
        <w:spacing w:after="0" w:line="260" w:lineRule="exact"/>
        <w:rPr>
          <w:sz w:val="20"/>
          <w:szCs w:val="20"/>
          <w:color w:val="auto"/>
        </w:rPr>
      </w:pPr>
    </w:p>
    <w:p>
      <w:pPr>
        <w:jc w:val="both"/>
        <w:ind w:firstLine="638"/>
        <w:spacing w:after="0" w:line="267" w:lineRule="auto"/>
        <w:tabs>
          <w:tab w:leader="none" w:pos="101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provisions of this Plan are intended to ensure that no transaction under this Plan is subject to (and all such transactions will be exempt from) the short-swing recovery rules of Section 16(b) of the Exchange Act (“</w:t>
      </w:r>
      <w:r>
        <w:rPr>
          <w:rFonts w:ascii="Arial" w:cs="Arial" w:eastAsia="Arial" w:hAnsi="Arial"/>
          <w:sz w:val="18"/>
          <w:szCs w:val="18"/>
          <w:u w:val="single" w:color="auto"/>
          <w:color w:val="auto"/>
        </w:rPr>
        <w:t>Section 16(b)</w:t>
      </w:r>
      <w:r>
        <w:rPr>
          <w:rFonts w:ascii="Arial" w:cs="Arial" w:eastAsia="Arial" w:hAnsi="Arial"/>
          <w:sz w:val="18"/>
          <w:szCs w:val="18"/>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231" w:lineRule="exact"/>
        <w:rPr>
          <w:rFonts w:ascii="Arial" w:cs="Arial" w:eastAsia="Arial" w:hAnsi="Arial"/>
          <w:sz w:val="18"/>
          <w:szCs w:val="18"/>
          <w:color w:val="auto"/>
        </w:rPr>
      </w:pPr>
    </w:p>
    <w:p>
      <w:pPr>
        <w:jc w:val="both"/>
        <w:ind w:firstLine="638"/>
        <w:spacing w:after="0" w:line="324" w:lineRule="auto"/>
        <w:tabs>
          <w:tab w:leader="none" w:pos="1036"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Plan is intended to comply with the requirements of Section 409A of the Code or an exemption or exclusion therefrom and, with respect to amounts that are subject to Section 409A of the Code, it is intended that this Plan be administered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Company), amounts that constitute “nonqualified deferred compensation” within the meaning of Section 409A of the Code that would otherwise be payable by reason of a Participant’s Separation from Service during the six-month period immediately following such Separation from Service shall instead be paid or provided on the first business day following the date that is six months following the Participant’s Separation from Service. If the Participant dies following the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17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Term, Amendment and Termination</w:t>
      </w:r>
    </w:p>
    <w:p>
      <w:pPr>
        <w:spacing w:after="0" w:line="273" w:lineRule="exact"/>
        <w:rPr>
          <w:sz w:val="20"/>
          <w:szCs w:val="20"/>
          <w:color w:val="auto"/>
        </w:rPr>
      </w:pPr>
    </w:p>
    <w:p>
      <w:pPr>
        <w:jc w:val="both"/>
        <w:ind w:firstLine="638"/>
        <w:spacing w:after="0" w:line="314" w:lineRule="auto"/>
        <w:tabs>
          <w:tab w:leader="none" w:pos="1036"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The Plan was approved by the Board on March 21, 2014, and became effective upon approval by the Company’s shareholders on</w:t>
      </w:r>
      <w:r>
        <w:rPr>
          <w:rFonts w:ascii="Arial" w:cs="Arial" w:eastAsia="Arial" w:hAnsi="Arial"/>
          <w:sz w:val="16"/>
          <w:szCs w:val="16"/>
          <w:i w:val="1"/>
          <w:iCs w:val="1"/>
          <w:color w:val="auto"/>
        </w:rPr>
        <w:t xml:space="preserve"> </w:t>
      </w:r>
      <w:r>
        <w:rPr>
          <w:rFonts w:ascii="Arial" w:cs="Arial" w:eastAsia="Arial" w:hAnsi="Arial"/>
          <w:sz w:val="16"/>
          <w:szCs w:val="16"/>
          <w:color w:val="auto"/>
        </w:rPr>
        <w:t>May 8, 2014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first amendment and restatement of the Plan was approved by the Board on February 9, 2017 and became effective upon approval by the Company’s shareholders on May 11, 2017. This second amendment and restatement of the Plan was approved by the Board on March 16, 2022, and it will be effective as of the date of such approval by the Company’s shareholders (the “</w:t>
      </w:r>
      <w:r>
        <w:rPr>
          <w:rFonts w:ascii="Arial" w:cs="Arial" w:eastAsia="Arial" w:hAnsi="Arial"/>
          <w:sz w:val="16"/>
          <w:szCs w:val="16"/>
          <w:u w:val="single" w:color="auto"/>
          <w:color w:val="auto"/>
        </w:rPr>
        <w:t>Restatement Effective Date</w:t>
      </w:r>
      <w:r>
        <w:rPr>
          <w:rFonts w:ascii="Arial" w:cs="Arial" w:eastAsia="Arial" w:hAnsi="Arial"/>
          <w:sz w:val="16"/>
          <w:szCs w:val="16"/>
          <w:color w:val="auto"/>
        </w:rPr>
        <w:t>”).</w:t>
      </w:r>
    </w:p>
    <w:p>
      <w:pPr>
        <w:spacing w:after="0" w:line="183" w:lineRule="exact"/>
        <w:rPr>
          <w:rFonts w:ascii="Arial" w:cs="Arial" w:eastAsia="Arial" w:hAnsi="Arial"/>
          <w:sz w:val="16"/>
          <w:szCs w:val="16"/>
          <w:i w:val="1"/>
          <w:iCs w:val="1"/>
          <w:color w:val="auto"/>
        </w:rPr>
      </w:pPr>
    </w:p>
    <w:p>
      <w:pPr>
        <w:ind w:firstLine="638"/>
        <w:spacing w:after="0" w:line="277" w:lineRule="auto"/>
        <w:tabs>
          <w:tab w:leader="none" w:pos="1024"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Plan will terminate on the tenth anniversary of the Restatement Effective Date. Awards outstanding as of such date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or impaired by the termination of this Plan.</w:t>
      </w:r>
    </w:p>
    <w:p>
      <w:pPr>
        <w:spacing w:after="0" w:line="220" w:lineRule="exact"/>
        <w:rPr>
          <w:rFonts w:ascii="Arial" w:cs="Arial" w:eastAsia="Arial" w:hAnsi="Arial"/>
          <w:sz w:val="18"/>
          <w:szCs w:val="18"/>
          <w:i w:val="1"/>
          <w:iCs w:val="1"/>
          <w:color w:val="auto"/>
        </w:rPr>
      </w:pPr>
    </w:p>
    <w:p>
      <w:pPr>
        <w:jc w:val="both"/>
        <w:ind w:firstLine="638"/>
        <w:spacing w:after="0" w:line="267" w:lineRule="auto"/>
        <w:tabs>
          <w:tab w:leader="none" w:pos="1051"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Amendment of Plan</w:t>
      </w:r>
      <w:r>
        <w:rPr>
          <w:rFonts w:ascii="Arial" w:cs="Arial" w:eastAsia="Arial" w:hAnsi="Arial"/>
          <w:sz w:val="18"/>
          <w:szCs w:val="18"/>
          <w:color w:val="auto"/>
        </w:rPr>
        <w:t>. The Board or the Committee may amend, alter, or discontinue this Plan, but no amendment, alteration or discontinuation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made which would materially impair the rights of the Participant with respect to a previously granted Award without such Participant’s consent, except such an amendment made to comply with applicable law, including without limitation Section 409A of the Code, Applicable Exchange listing standards or accounting rules. In addition, no amendment shall be made without the approval of the Company’s shareholders to the extent such approval is required by applicable law or the listing standards of the Applicable Exchange.</w:t>
      </w:r>
    </w:p>
    <w:p>
      <w:pPr>
        <w:spacing w:after="0" w:line="218" w:lineRule="exact"/>
        <w:rPr>
          <w:rFonts w:ascii="Arial" w:cs="Arial" w:eastAsia="Arial" w:hAnsi="Arial"/>
          <w:sz w:val="18"/>
          <w:szCs w:val="18"/>
          <w:i w:val="1"/>
          <w:iCs w:val="1"/>
          <w:color w:val="auto"/>
        </w:rPr>
      </w:pPr>
    </w:p>
    <w:p>
      <w:pPr>
        <w:jc w:val="both"/>
        <w:ind w:firstLine="638"/>
        <w:spacing w:after="0" w:line="325" w:lineRule="auto"/>
        <w:tabs>
          <w:tab w:leader="none" w:pos="1039"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Amendment of Awards</w:t>
      </w:r>
      <w:r>
        <w:rPr>
          <w:rFonts w:ascii="Arial" w:cs="Arial" w:eastAsia="Arial" w:hAnsi="Arial"/>
          <w:sz w:val="16"/>
          <w:szCs w:val="16"/>
          <w:color w:val="auto"/>
        </w:rPr>
        <w:t>. Subject to Section 5(d), the Committee may unilaterally amend the terms of any Award theretofore granted, but no such</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shall without the Participant’s consent materially impair the rights of any Participant with respect to an Award, except such an amendment made to cause this Plan or Award to comply with applicable law, Applicable Exchange listing standards or accounting rules.</w:t>
      </w:r>
    </w:p>
    <w:p>
      <w:pPr>
        <w:sectPr>
          <w:pgSz w:w="11900" w:h="16838" w:orient="portrait"/>
          <w:cols w:equalWidth="0" w:num="1">
            <w:col w:w="11240"/>
          </w:cols>
          <w:pgMar w:left="320" w:top="1168" w:right="339" w:bottom="1440" w:gutter="0" w:footer="0" w:header="0"/>
        </w:sectPr>
      </w:pPr>
    </w:p>
    <w:bookmarkStart w:id="75" w:name="page76"/>
    <w:bookmarkEnd w:id="75"/>
    <w:p>
      <w:pPr>
        <w:ind w:left="1034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5"/>
          <w:szCs w:val="15"/>
          <w:b w:val="1"/>
          <w:bCs w:val="1"/>
          <w:color w:val="auto"/>
        </w:rPr>
        <w:t>Unfunded Status of Plan</w:t>
      </w:r>
    </w:p>
    <w:p>
      <w:pPr>
        <w:spacing w:after="0" w:line="260" w:lineRule="exact"/>
        <w:rPr>
          <w:sz w:val="20"/>
          <w:szCs w:val="20"/>
          <w:color w:val="auto"/>
        </w:rPr>
      </w:pPr>
    </w:p>
    <w:p>
      <w:pPr>
        <w:jc w:val="both"/>
        <w:ind w:firstLine="632"/>
        <w:spacing w:after="0" w:line="325" w:lineRule="auto"/>
        <w:rPr>
          <w:sz w:val="20"/>
          <w:szCs w:val="20"/>
          <w:color w:val="auto"/>
        </w:rPr>
      </w:pPr>
      <w:r>
        <w:rPr>
          <w:rFonts w:ascii="Arial" w:cs="Arial" w:eastAsia="Arial" w:hAnsi="Arial"/>
          <w:sz w:val="16"/>
          <w:szCs w:val="16"/>
          <w:color w:val="auto"/>
        </w:rPr>
        <w:t xml:space="preserve">It is intended that this Plan constitute an “unfunded” plan for incentive and deferred compensation. The Committee may authorize the creation of trusts or other arrangements to meet the obligations created under this Plan to deliver Common Stock or make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Committee otherwise determines, the existence of such trusts or other arrangements is consistent with the “unfunded” status of this Plan.</w:t>
      </w:r>
    </w:p>
    <w:p>
      <w:pPr>
        <w:spacing w:after="0" w:line="16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General Provisions</w:t>
      </w:r>
    </w:p>
    <w:p>
      <w:pPr>
        <w:spacing w:after="0" w:line="260" w:lineRule="exact"/>
        <w:rPr>
          <w:sz w:val="20"/>
          <w:szCs w:val="20"/>
          <w:color w:val="auto"/>
        </w:rPr>
      </w:pPr>
    </w:p>
    <w:p>
      <w:pPr>
        <w:jc w:val="both"/>
        <w:ind w:firstLine="638"/>
        <w:spacing w:after="0" w:line="304" w:lineRule="auto"/>
        <w:tabs>
          <w:tab w:leader="none" w:pos="1026"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Conditions for Issuance</w:t>
      </w:r>
      <w:r>
        <w:rPr>
          <w:rFonts w:ascii="Arial" w:cs="Arial" w:eastAsia="Arial" w:hAnsi="Arial"/>
          <w:sz w:val="16"/>
          <w:szCs w:val="16"/>
          <w:color w:val="auto"/>
        </w:rPr>
        <w:t>. The Committee may require each person purchasing or receiving Shares pursuant to an Award to represent to and agree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94" w:lineRule="exact"/>
        <w:rPr>
          <w:rFonts w:ascii="Arial" w:cs="Arial" w:eastAsia="Arial" w:hAnsi="Arial"/>
          <w:sz w:val="16"/>
          <w:szCs w:val="16"/>
          <w:i w:val="1"/>
          <w:iCs w:val="1"/>
          <w:color w:val="auto"/>
        </w:rPr>
      </w:pPr>
    </w:p>
    <w:p>
      <w:pPr>
        <w:ind w:firstLine="638"/>
        <w:spacing w:after="0" w:line="292" w:lineRule="auto"/>
        <w:tabs>
          <w:tab w:leader="none" w:pos="1029"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Compensation Arrangements</w:t>
      </w:r>
      <w:r>
        <w:rPr>
          <w:rFonts w:ascii="Arial" w:cs="Arial" w:eastAsia="Arial" w:hAnsi="Arial"/>
          <w:sz w:val="18"/>
          <w:szCs w:val="18"/>
          <w:color w:val="auto"/>
        </w:rPr>
        <w:t>. Nothing contained in this Plan shall prevent the Company or any Subsidiary or Affiliate from adopting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or additional compensation arrangements for its employees.</w:t>
      </w:r>
    </w:p>
    <w:p>
      <w:pPr>
        <w:spacing w:after="0" w:line="194" w:lineRule="exact"/>
        <w:rPr>
          <w:rFonts w:ascii="Arial" w:cs="Arial" w:eastAsia="Arial" w:hAnsi="Arial"/>
          <w:sz w:val="18"/>
          <w:szCs w:val="18"/>
          <w:i w:val="1"/>
          <w:iCs w:val="1"/>
          <w:color w:val="auto"/>
        </w:rPr>
      </w:pPr>
    </w:p>
    <w:p>
      <w:pPr>
        <w:jc w:val="both"/>
        <w:ind w:firstLine="638"/>
        <w:spacing w:after="0" w:line="276" w:lineRule="auto"/>
        <w:tabs>
          <w:tab w:leader="none" w:pos="1104"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No Contract of Employment</w:t>
      </w:r>
      <w:r>
        <w:rPr>
          <w:rFonts w:ascii="Arial" w:cs="Arial" w:eastAsia="Arial" w:hAnsi="Arial"/>
          <w:sz w:val="18"/>
          <w:szCs w:val="18"/>
          <w:color w:val="auto"/>
        </w:rPr>
        <w:t>. The Plan shall not constitute a contract of employment, and adoption of this Plan shall not confer upon any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any right to continued employment, nor shall it interfere in any way with the right of the Company or any Subsidiary or Affiliate to terminate the employment of any employee at any time.</w:t>
      </w:r>
    </w:p>
    <w:p>
      <w:pPr>
        <w:spacing w:after="0" w:line="208" w:lineRule="exact"/>
        <w:rPr>
          <w:rFonts w:ascii="Arial" w:cs="Arial" w:eastAsia="Arial" w:hAnsi="Arial"/>
          <w:sz w:val="18"/>
          <w:szCs w:val="18"/>
          <w:i w:val="1"/>
          <w:iCs w:val="1"/>
          <w:color w:val="auto"/>
        </w:rPr>
      </w:pPr>
    </w:p>
    <w:p>
      <w:pPr>
        <w:jc w:val="both"/>
        <w:ind w:firstLine="638"/>
        <w:spacing w:after="0" w:line="302" w:lineRule="auto"/>
        <w:tabs>
          <w:tab w:leader="none" w:pos="1018"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Required Taxes</w:t>
      </w:r>
      <w:r>
        <w:rPr>
          <w:rFonts w:ascii="Arial" w:cs="Arial" w:eastAsia="Arial" w:hAnsi="Arial"/>
          <w:sz w:val="16"/>
          <w:szCs w:val="16"/>
          <w:color w:val="auto"/>
        </w:rPr>
        <w:t>. No later than the date as of which an amount first becomes includible in the gross income of a Participant for federal, state, local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Unless otherwise determined by the Company, withholding obligations may be settled with Common Stock, including Common Stock that is part of the Award that gives rise to the withholding requirement, having a Fair Market Value on the date of withholding of up to the maximum amount permitted to be withheld for tax purposes, but in no event less than the minimum amount required to be withheld for tax purposes, all in accordance with such procedures as the Committee establishes. The obligations of the Company under 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unless otherwise subsequently determined by the Committee, with respect to a Participant subject to Section 16 of the Exchange Act, the withholding of Shares by the Company or any of its Affiliates to satisfy tax, exercise price or other withholding obligations in respect of an Award shall be mandatory.</w:t>
      </w:r>
    </w:p>
    <w:p>
      <w:pPr>
        <w:spacing w:after="0" w:line="199" w:lineRule="exact"/>
        <w:rPr>
          <w:rFonts w:ascii="Arial" w:cs="Arial" w:eastAsia="Arial" w:hAnsi="Arial"/>
          <w:sz w:val="16"/>
          <w:szCs w:val="16"/>
          <w:i w:val="1"/>
          <w:iCs w:val="1"/>
          <w:color w:val="auto"/>
        </w:rPr>
      </w:pPr>
    </w:p>
    <w:p>
      <w:pPr>
        <w:jc w:val="both"/>
        <w:ind w:firstLine="638"/>
        <w:spacing w:after="0" w:line="309" w:lineRule="auto"/>
        <w:tabs>
          <w:tab w:leader="none" w:pos="1072"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Limitation on Dividend Reinvestment and Dividend Equivalents</w:t>
      </w:r>
      <w:r>
        <w:rPr>
          <w:rFonts w:ascii="Arial" w:cs="Arial" w:eastAsia="Arial" w:hAnsi="Arial"/>
          <w:sz w:val="16"/>
          <w:szCs w:val="16"/>
          <w:color w:val="auto"/>
        </w:rPr>
        <w:t>. Reinvestment of dividends in additional Restricted Stock at the time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payment, and the payment of Shares with respect to dividends to Participants holding Awards of Restricted Stock Units, shall only be permissible if sufficient Shares are available under Section 3 for such reinvestment or payment (taking into account then-outstanding Awards). If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15(e).</w:t>
      </w:r>
    </w:p>
    <w:p>
      <w:pPr>
        <w:sectPr>
          <w:pgSz w:w="11900" w:h="16838" w:orient="portrait"/>
          <w:cols w:equalWidth="0" w:num="1">
            <w:col w:w="11240"/>
          </w:cols>
          <w:pgMar w:left="320" w:top="345" w:right="339" w:bottom="1440" w:gutter="0" w:footer="0" w:header="0"/>
        </w:sectPr>
      </w:pPr>
    </w:p>
    <w:bookmarkStart w:id="76" w:name="page77"/>
    <w:bookmarkEnd w:id="76"/>
    <w:p>
      <w:pPr>
        <w:jc w:val="both"/>
        <w:ind w:left="-638" w:firstLine="638"/>
        <w:spacing w:after="0" w:line="268" w:lineRule="auto"/>
        <w:tabs>
          <w:tab w:leader="none" w:pos="449"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Designation of Death Beneficiary</w:t>
      </w:r>
      <w:r>
        <w:rPr>
          <w:rFonts w:ascii="Arial" w:cs="Arial" w:eastAsia="Arial" w:hAnsi="Arial"/>
          <w:sz w:val="18"/>
          <w:szCs w:val="18"/>
          <w:color w:val="auto"/>
        </w:rPr>
        <w:t>. The Committee shall establish such procedures as it deems appropriate for a Participant to designate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to whom any amounts payable in the event of such Participant’s death are to be paid or by whom any rights of such eligible Individual, after such Participant’s death, may be exercised.</w:t>
      </w:r>
    </w:p>
    <w:p>
      <w:pPr>
        <w:spacing w:after="0" w:line="228" w:lineRule="exact"/>
        <w:rPr>
          <w:rFonts w:ascii="Arial" w:cs="Arial" w:eastAsia="Arial" w:hAnsi="Arial"/>
          <w:sz w:val="18"/>
          <w:szCs w:val="18"/>
          <w:i w:val="1"/>
          <w:iCs w:val="1"/>
          <w:color w:val="auto"/>
        </w:rPr>
      </w:pPr>
    </w:p>
    <w:p>
      <w:pPr>
        <w:jc w:val="both"/>
        <w:ind w:left="-638" w:firstLine="638"/>
        <w:spacing w:after="0" w:line="314" w:lineRule="auto"/>
        <w:tabs>
          <w:tab w:leader="none" w:pos="392"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Subsidiary Employees</w:t>
      </w:r>
      <w:r>
        <w:rPr>
          <w:rFonts w:ascii="Arial" w:cs="Arial" w:eastAsia="Arial" w:hAnsi="Arial"/>
          <w:sz w:val="16"/>
          <w:szCs w:val="16"/>
          <w:color w:val="auto"/>
        </w:rPr>
        <w:t>. In the case of a grant of an Award to any employee of a Subsidiary, the Company may, if the Committee so directs, issue</w:t>
      </w:r>
      <w:r>
        <w:rPr>
          <w:rFonts w:ascii="Arial" w:cs="Arial" w:eastAsia="Arial" w:hAnsi="Arial"/>
          <w:sz w:val="16"/>
          <w:szCs w:val="16"/>
          <w:i w:val="1"/>
          <w:iCs w:val="1"/>
          <w:color w:val="auto"/>
        </w:rPr>
        <w:t xml:space="preserve"> </w:t>
      </w:r>
      <w:r>
        <w:rPr>
          <w:rFonts w:ascii="Arial" w:cs="Arial" w:eastAsia="Arial" w:hAnsi="Arial"/>
          <w:sz w:val="16"/>
          <w:szCs w:val="16"/>
          <w:color w:val="auto"/>
        </w:rPr>
        <w:t>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canceled revert to the Company.</w:t>
      </w:r>
    </w:p>
    <w:p>
      <w:pPr>
        <w:spacing w:after="0" w:line="183" w:lineRule="exact"/>
        <w:rPr>
          <w:rFonts w:ascii="Arial" w:cs="Arial" w:eastAsia="Arial" w:hAnsi="Arial"/>
          <w:sz w:val="16"/>
          <w:szCs w:val="16"/>
          <w:i w:val="1"/>
          <w:iCs w:val="1"/>
          <w:color w:val="auto"/>
        </w:rPr>
      </w:pPr>
    </w:p>
    <w:p>
      <w:pPr>
        <w:jc w:val="both"/>
        <w:ind w:left="-638" w:firstLine="638"/>
        <w:spacing w:after="0" w:line="276" w:lineRule="auto"/>
        <w:tabs>
          <w:tab w:leader="none" w:pos="511"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 and Interpretation</w:t>
      </w:r>
      <w:r>
        <w:rPr>
          <w:rFonts w:ascii="Arial" w:cs="Arial" w:eastAsia="Arial" w:hAnsi="Arial"/>
          <w:sz w:val="18"/>
          <w:szCs w:val="18"/>
          <w:color w:val="auto"/>
        </w:rPr>
        <w:t>. The Plan and all Awards made and actions taken thereunder shall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Delaware, without reference to principles of conflict of laws. The captions of this Plan are not part of the provisions hereof and shall have no force or effect.</w:t>
      </w:r>
    </w:p>
    <w:p>
      <w:pPr>
        <w:spacing w:after="0" w:line="208" w:lineRule="exact"/>
        <w:rPr>
          <w:rFonts w:ascii="Arial" w:cs="Arial" w:eastAsia="Arial" w:hAnsi="Arial"/>
          <w:sz w:val="18"/>
          <w:szCs w:val="18"/>
          <w:i w:val="1"/>
          <w:iCs w:val="1"/>
          <w:color w:val="auto"/>
        </w:rPr>
      </w:pPr>
    </w:p>
    <w:p>
      <w:pPr>
        <w:ind w:left="-638" w:firstLine="638"/>
        <w:spacing w:after="0" w:line="277" w:lineRule="auto"/>
        <w:tabs>
          <w:tab w:leader="none" w:pos="387"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Except as otherwise provided in Sections 5(i), 6(c)(ii) and 7(b)(ii) or as determined by the Committee, Awards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are not transferable except by will or by laws of descent and distribution.</w:t>
      </w:r>
    </w:p>
    <w:p>
      <w:pPr>
        <w:spacing w:after="0" w:line="220" w:lineRule="exact"/>
        <w:rPr>
          <w:rFonts w:ascii="Arial" w:cs="Arial" w:eastAsia="Arial" w:hAnsi="Arial"/>
          <w:sz w:val="18"/>
          <w:szCs w:val="18"/>
          <w:i w:val="1"/>
          <w:iCs w:val="1"/>
          <w:color w:val="auto"/>
        </w:rPr>
      </w:pPr>
    </w:p>
    <w:p>
      <w:pPr>
        <w:ind w:left="-638" w:firstLine="638"/>
        <w:spacing w:after="0" w:line="342" w:lineRule="auto"/>
        <w:tabs>
          <w:tab w:leader="none" w:pos="340"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Recoupment Policy</w:t>
      </w:r>
      <w:r>
        <w:rPr>
          <w:rFonts w:ascii="Arial" w:cs="Arial" w:eastAsia="Arial" w:hAnsi="Arial"/>
          <w:sz w:val="16"/>
          <w:szCs w:val="16"/>
          <w:color w:val="auto"/>
        </w:rPr>
        <w:t>. Awards shall be subject to any incentive compensation recoupment policy established from time to time by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in all events shall be subject to such forfeiture and recoupment provisions as may be required by applicable law or exchange rule or regulation.</w:t>
      </w:r>
    </w:p>
    <w:p>
      <w:pPr>
        <w:sectPr>
          <w:pgSz w:w="11900" w:h="16838" w:orient="portrait"/>
          <w:cols w:equalWidth="0" w:num="1">
            <w:col w:w="10602"/>
          </w:cols>
          <w:pgMar w:left="958" w:top="140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Guaranteed Securities by Subsidiary Guarantor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securities issued by the Company and guaranteed by NMI Services, Inc., a wholly-owned subsidiary of the Company (Subsidiary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127240" cy="627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27240" cy="627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Description of Securities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7.375% senior secured notes due June 19, 2025.</w:t>
      </w:r>
    </w:p>
    <w:p>
      <w:pPr>
        <w:spacing w:after="0" w:line="56" w:lineRule="exact"/>
        <w:rPr>
          <w:sz w:val="20"/>
          <w:szCs w:val="20"/>
          <w:color w:val="auto"/>
        </w:rPr>
      </w:pPr>
    </w:p>
    <w:p>
      <w:pPr>
        <w:ind w:left="40" w:right="60"/>
        <w:spacing w:after="0" w:line="247" w:lineRule="auto"/>
        <w:rPr>
          <w:sz w:val="20"/>
          <w:szCs w:val="20"/>
          <w:color w:val="auto"/>
        </w:rPr>
      </w:pPr>
      <w:r>
        <w:rPr>
          <w:rFonts w:ascii="Arial" w:cs="Arial" w:eastAsia="Arial" w:hAnsi="Arial"/>
          <w:sz w:val="18"/>
          <w:szCs w:val="18"/>
          <w:color w:val="auto"/>
        </w:rPr>
        <w:t>Variable interest senior secured revolving credit facility due earlier of (x) November 29, 2025 or (y) if any existing senior secured notes remaining outstanding on such date, February 28, 2025.</w:t>
      </w:r>
    </w:p>
    <w:p>
      <w:pPr>
        <w:sectPr>
          <w:pgSz w:w="11900" w:h="16838" w:orient="portrait"/>
          <w:cols w:equalWidth="0" w:num="1">
            <w:col w:w="11240"/>
          </w:cols>
          <w:pgMar w:left="320" w:top="34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09" w:lineRule="exact"/>
        <w:rPr>
          <w:sz w:val="20"/>
          <w:szCs w:val="20"/>
          <w:color w:val="auto"/>
        </w:rPr>
      </w:pPr>
    </w:p>
    <w:p>
      <w:pPr>
        <w:ind w:left="320" w:hanging="315"/>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61" w:lineRule="exact"/>
        <w:rPr>
          <w:rFonts w:ascii="Arial" w:cs="Arial" w:eastAsia="Arial" w:hAnsi="Arial"/>
          <w:sz w:val="18"/>
          <w:szCs w:val="18"/>
          <w:color w:val="auto"/>
        </w:rPr>
      </w:pPr>
    </w:p>
    <w:p>
      <w:pPr>
        <w:ind w:left="320" w:hanging="315"/>
        <w:spacing w:after="0" w:line="325" w:lineRule="auto"/>
        <w:tabs>
          <w:tab w:leader="none" w:pos="3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ind w:left="320" w:hanging="315"/>
        <w:spacing w:after="0" w:line="262" w:lineRule="auto"/>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320" w:hanging="315"/>
        <w:spacing w:after="0" w:line="253" w:lineRule="auto"/>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960" w:hanging="322"/>
        <w:spacing w:after="0" w:line="253"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960" w:hanging="322"/>
        <w:spacing w:after="0" w:line="325" w:lineRule="auto"/>
        <w:tabs>
          <w:tab w:leader="none" w:pos="9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6"/>
          <w:szCs w:val="16"/>
          <w:color w:val="auto"/>
        </w:rPr>
      </w:pPr>
    </w:p>
    <w:p>
      <w:pPr>
        <w:jc w:val="both"/>
        <w:ind w:left="960" w:hanging="322"/>
        <w:spacing w:after="0" w:line="253"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320" w:hanging="315"/>
        <w:spacing w:after="0" w:line="325" w:lineRule="auto"/>
        <w:tabs>
          <w:tab w:leader="none" w:pos="3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left="960" w:hanging="322"/>
        <w:spacing w:after="0" w:line="325" w:lineRule="auto"/>
        <w:tabs>
          <w:tab w:leader="none" w:pos="9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Arial" w:cs="Arial" w:eastAsia="Arial" w:hAnsi="Arial"/>
          <w:sz w:val="16"/>
          <w:szCs w:val="16"/>
          <w:color w:val="auto"/>
        </w:rPr>
      </w:pPr>
    </w:p>
    <w:p>
      <w:pPr>
        <w:ind w:left="960" w:right="180" w:hanging="322"/>
        <w:spacing w:after="0" w:line="262"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Arial" w:cs="Arial" w:eastAsia="Arial" w:hAnsi="Arial"/>
                <w:sz w:val="18"/>
                <w:szCs w:val="18"/>
                <w:color w:val="auto"/>
              </w:rPr>
              <w:t>August 1, 2023</w:t>
            </w:r>
          </w:p>
        </w:tc>
        <w:tc>
          <w:tcPr>
            <w:tcW w:w="4240" w:type="dxa"/>
            <w:vAlign w:val="bottom"/>
            <w:gridSpan w:val="2"/>
          </w:tcPr>
          <w:p>
            <w:pPr>
              <w:ind w:left="1520"/>
              <w:spacing w:after="0"/>
              <w:rPr>
                <w:sz w:val="20"/>
                <w:szCs w:val="20"/>
                <w:color w:val="auto"/>
              </w:rPr>
            </w:pPr>
            <w:r>
              <w:rPr>
                <w:rFonts w:ascii="Arial" w:cs="Arial" w:eastAsia="Arial" w:hAnsi="Arial"/>
                <w:sz w:val="18"/>
                <w:szCs w:val="18"/>
                <w:color w:val="auto"/>
              </w:rPr>
              <w:t>/s/ Adam S. Pollitzer</w:t>
            </w:r>
          </w:p>
        </w:tc>
      </w:tr>
      <w:tr>
        <w:trPr>
          <w:trHeight w:val="20"/>
        </w:trPr>
        <w:tc>
          <w:tcPr>
            <w:tcW w:w="10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r>
        <w:trPr>
          <w:trHeight w:val="243"/>
        </w:trPr>
        <w:tc>
          <w:tcPr>
            <w:tcW w:w="10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240" w:type="dxa"/>
            <w:vAlign w:val="bottom"/>
            <w:gridSpan w:val="2"/>
          </w:tcPr>
          <w:p>
            <w:pPr>
              <w:ind w:left="1520"/>
              <w:spacing w:after="0"/>
              <w:rPr>
                <w:sz w:val="20"/>
                <w:szCs w:val="20"/>
                <w:color w:val="auto"/>
              </w:rPr>
            </w:pPr>
            <w:r>
              <w:rPr>
                <w:rFonts w:ascii="Arial" w:cs="Arial" w:eastAsia="Arial" w:hAnsi="Arial"/>
                <w:sz w:val="18"/>
                <w:szCs w:val="18"/>
                <w:color w:val="auto"/>
              </w:rPr>
              <w:t>Adam S. Pollitzer</w:t>
            </w:r>
          </w:p>
        </w:tc>
      </w:tr>
      <w:tr>
        <w:trPr>
          <w:trHeight w:val="237"/>
        </w:trPr>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40" w:type="dxa"/>
            <w:vAlign w:val="bottom"/>
            <w:gridSpan w:val="2"/>
          </w:tcPr>
          <w:p>
            <w:pPr>
              <w:ind w:left="1520"/>
              <w:spacing w:after="0"/>
              <w:rPr>
                <w:sz w:val="20"/>
                <w:szCs w:val="20"/>
                <w:color w:val="auto"/>
              </w:rPr>
            </w:pPr>
            <w:r>
              <w:rPr>
                <w:rFonts w:ascii="Arial" w:cs="Arial" w:eastAsia="Arial" w:hAnsi="Arial"/>
                <w:sz w:val="18"/>
                <w:szCs w:val="18"/>
                <w:color w:val="auto"/>
              </w:rPr>
              <w:t>Chief Executive Officer</w:t>
            </w:r>
          </w:p>
        </w:tc>
      </w:tr>
      <w:tr>
        <w:trPr>
          <w:trHeight w:val="224"/>
        </w:trPr>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40" w:type="dxa"/>
            <w:vAlign w:val="bottom"/>
            <w:gridSpan w:val="2"/>
          </w:tcPr>
          <w:p>
            <w:pPr>
              <w:ind w:left="15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7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Ravi Mallela, certify that:</w:t>
      </w:r>
    </w:p>
    <w:p>
      <w:pPr>
        <w:spacing w:after="0" w:line="162" w:lineRule="exact"/>
        <w:rPr>
          <w:sz w:val="20"/>
          <w:szCs w:val="20"/>
          <w:color w:val="auto"/>
        </w:rPr>
      </w:pPr>
    </w:p>
    <w:p>
      <w:pPr>
        <w:ind w:left="320" w:hanging="315"/>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61" w:lineRule="exact"/>
        <w:rPr>
          <w:rFonts w:ascii="Arial" w:cs="Arial" w:eastAsia="Arial" w:hAnsi="Arial"/>
          <w:sz w:val="18"/>
          <w:szCs w:val="18"/>
          <w:color w:val="auto"/>
        </w:rPr>
      </w:pPr>
    </w:p>
    <w:p>
      <w:pPr>
        <w:ind w:left="320" w:hanging="315"/>
        <w:spacing w:after="0" w:line="325" w:lineRule="auto"/>
        <w:tabs>
          <w:tab w:leader="none" w:pos="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ind w:left="320" w:hanging="315"/>
        <w:spacing w:after="0" w:line="262"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320" w:hanging="315"/>
        <w:spacing w:after="0" w:line="262"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7" w:lineRule="exact"/>
        <w:rPr>
          <w:rFonts w:ascii="Arial" w:cs="Arial" w:eastAsia="Arial" w:hAnsi="Arial"/>
          <w:sz w:val="18"/>
          <w:szCs w:val="18"/>
          <w:color w:val="auto"/>
        </w:rPr>
      </w:pPr>
    </w:p>
    <w:p>
      <w:pPr>
        <w:jc w:val="both"/>
        <w:ind w:left="800" w:hanging="320"/>
        <w:spacing w:after="0" w:line="253" w:lineRule="auto"/>
        <w:tabs>
          <w:tab w:leader="none" w:pos="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800" w:hanging="320"/>
        <w:spacing w:after="0" w:line="253" w:lineRule="auto"/>
        <w:tabs>
          <w:tab w:leader="none" w:pos="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800" w:hanging="320"/>
        <w:spacing w:after="0" w:line="325" w:lineRule="auto"/>
        <w:tabs>
          <w:tab w:leader="none" w:pos="8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6"/>
          <w:szCs w:val="16"/>
          <w:color w:val="auto"/>
        </w:rPr>
      </w:pPr>
    </w:p>
    <w:p>
      <w:pPr>
        <w:jc w:val="both"/>
        <w:ind w:left="800" w:hanging="320"/>
        <w:spacing w:after="0" w:line="253" w:lineRule="auto"/>
        <w:tabs>
          <w:tab w:leader="none" w:pos="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320" w:hanging="315"/>
        <w:spacing w:after="0" w:line="325" w:lineRule="auto"/>
        <w:tabs>
          <w:tab w:leader="none" w:pos="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left="800" w:hanging="320"/>
        <w:spacing w:after="0" w:line="262" w:lineRule="auto"/>
        <w:tabs>
          <w:tab w:leader="none" w:pos="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800" w:hanging="320"/>
        <w:spacing w:after="0" w:line="262" w:lineRule="auto"/>
        <w:tabs>
          <w:tab w:leader="none" w:pos="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w w:val="87"/>
              </w:rPr>
              <w:t>August 1, 2023</w:t>
            </w:r>
          </w:p>
        </w:tc>
        <w:tc>
          <w:tcPr>
            <w:tcW w:w="5740" w:type="dxa"/>
            <w:vAlign w:val="bottom"/>
            <w:gridSpan w:val="2"/>
          </w:tcPr>
          <w:p>
            <w:pPr>
              <w:ind w:left="3120"/>
              <w:spacing w:after="0"/>
              <w:rPr>
                <w:sz w:val="20"/>
                <w:szCs w:val="20"/>
                <w:color w:val="auto"/>
              </w:rPr>
            </w:pPr>
            <w:r>
              <w:rPr>
                <w:rFonts w:ascii="Arial" w:cs="Arial" w:eastAsia="Arial" w:hAnsi="Arial"/>
                <w:sz w:val="18"/>
                <w:szCs w:val="18"/>
                <w:color w:val="auto"/>
              </w:rPr>
              <w:t>/s/ Ravi Mallela</w:t>
            </w:r>
          </w:p>
        </w:tc>
      </w:tr>
      <w:tr>
        <w:trPr>
          <w:trHeight w:val="20"/>
        </w:trPr>
        <w:tc>
          <w:tcPr>
            <w:tcW w:w="10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43"/>
        </w:trPr>
        <w:tc>
          <w:tcPr>
            <w:tcW w:w="1080" w:type="dxa"/>
            <w:vAlign w:val="bottom"/>
          </w:tcPr>
          <w:p>
            <w:pPr>
              <w:spacing w:after="0"/>
              <w:rPr>
                <w:sz w:val="21"/>
                <w:szCs w:val="21"/>
                <w:color w:val="auto"/>
              </w:rPr>
            </w:pPr>
          </w:p>
        </w:tc>
        <w:tc>
          <w:tcPr>
            <w:tcW w:w="5740" w:type="dxa"/>
            <w:vAlign w:val="bottom"/>
            <w:gridSpan w:val="2"/>
          </w:tcPr>
          <w:p>
            <w:pPr>
              <w:ind w:left="3120"/>
              <w:spacing w:after="0"/>
              <w:rPr>
                <w:sz w:val="20"/>
                <w:szCs w:val="20"/>
                <w:color w:val="auto"/>
              </w:rPr>
            </w:pPr>
            <w:r>
              <w:rPr>
                <w:rFonts w:ascii="Arial" w:cs="Arial" w:eastAsia="Arial" w:hAnsi="Arial"/>
                <w:sz w:val="18"/>
                <w:szCs w:val="18"/>
                <w:color w:val="auto"/>
              </w:rPr>
              <w:t>Ravi Mallela</w:t>
            </w:r>
          </w:p>
        </w:tc>
      </w:tr>
      <w:tr>
        <w:trPr>
          <w:trHeight w:val="224"/>
        </w:trPr>
        <w:tc>
          <w:tcPr>
            <w:tcW w:w="1080" w:type="dxa"/>
            <w:vAlign w:val="bottom"/>
          </w:tcPr>
          <w:p>
            <w:pPr>
              <w:spacing w:after="0"/>
              <w:rPr>
                <w:sz w:val="19"/>
                <w:szCs w:val="19"/>
                <w:color w:val="auto"/>
              </w:rPr>
            </w:pPr>
          </w:p>
        </w:tc>
        <w:tc>
          <w:tcPr>
            <w:tcW w:w="5740" w:type="dxa"/>
            <w:vAlign w:val="bottom"/>
            <w:gridSpan w:val="2"/>
          </w:tcPr>
          <w:p>
            <w:pPr>
              <w:ind w:left="3120"/>
              <w:spacing w:after="0"/>
              <w:rPr>
                <w:sz w:val="20"/>
                <w:szCs w:val="20"/>
                <w:color w:val="auto"/>
              </w:rPr>
            </w:pPr>
            <w:r>
              <w:rPr>
                <w:rFonts w:ascii="Arial" w:cs="Arial" w:eastAsia="Arial" w:hAnsi="Arial"/>
                <w:sz w:val="18"/>
                <w:szCs w:val="18"/>
                <w:color w:val="auto"/>
              </w:rPr>
              <w:t>Chief Financial Officer</w:t>
            </w:r>
          </w:p>
        </w:tc>
      </w:tr>
      <w:tr>
        <w:trPr>
          <w:trHeight w:val="237"/>
        </w:trPr>
        <w:tc>
          <w:tcPr>
            <w:tcW w:w="1080" w:type="dxa"/>
            <w:vAlign w:val="bottom"/>
          </w:tcPr>
          <w:p>
            <w:pPr>
              <w:spacing w:after="0"/>
              <w:rPr>
                <w:sz w:val="20"/>
                <w:szCs w:val="20"/>
                <w:color w:val="auto"/>
              </w:rPr>
            </w:pPr>
          </w:p>
        </w:tc>
        <w:tc>
          <w:tcPr>
            <w:tcW w:w="5740" w:type="dxa"/>
            <w:vAlign w:val="bottom"/>
            <w:gridSpan w:val="2"/>
          </w:tcPr>
          <w:p>
            <w:pPr>
              <w:ind w:left="31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7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2" w:lineRule="exact"/>
        <w:rPr>
          <w:sz w:val="20"/>
          <w:szCs w:val="20"/>
          <w:color w:val="auto"/>
        </w:rPr>
      </w:pPr>
    </w:p>
    <w:p>
      <w:pPr>
        <w:jc w:val="both"/>
        <w:ind w:right="20"/>
        <w:spacing w:after="0" w:line="300" w:lineRule="auto"/>
        <w:rPr>
          <w:sz w:val="20"/>
          <w:szCs w:val="20"/>
          <w:color w:val="auto"/>
        </w:rPr>
      </w:pPr>
      <w:r>
        <w:rPr>
          <w:rFonts w:ascii="Arial" w:cs="Arial" w:eastAsia="Arial" w:hAnsi="Arial"/>
          <w:sz w:val="16"/>
          <w:szCs w:val="16"/>
          <w:color w:val="auto"/>
        </w:rPr>
        <w:t>In connection with the Quarterly Report of NMI Holdings, Inc. (the "Company") on Form 10-Q for the quarter ended June 30, 2023,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August 1, 2023</w:t>
      </w:r>
    </w:p>
    <w:p>
      <w:pPr>
        <w:spacing w:after="0" w:line="228" w:lineRule="exact"/>
        <w:rPr>
          <w:sz w:val="20"/>
          <w:szCs w:val="20"/>
          <w:color w:val="auto"/>
        </w:rPr>
      </w:pPr>
    </w:p>
    <w:p>
      <w:pPr>
        <w:ind w:left="5600"/>
        <w:spacing w:after="0"/>
        <w:rPr>
          <w:sz w:val="20"/>
          <w:szCs w:val="20"/>
          <w:color w:val="auto"/>
        </w:rPr>
      </w:pPr>
      <w:r>
        <w:rPr>
          <w:rFonts w:ascii="Arial" w:cs="Arial" w:eastAsia="Arial" w:hAnsi="Arial"/>
          <w:sz w:val="18"/>
          <w:szCs w:val="18"/>
          <w:u w:val="single" w:color="auto"/>
          <w:color w:val="auto"/>
        </w:rPr>
        <w:t>/s/ Adam S. Pollitzer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Adam S. Pollitzer</w:t>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Executive Officer)</w:t>
      </w:r>
    </w:p>
    <w:p>
      <w:pPr>
        <w:spacing w:after="0" w:line="29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August 1, 2023</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Ravi Mallela</w:t>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Ravi Mallela</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1)"/>
      <w:numFmt w:val="decimal"/>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1"/>
      <w:numFmt w:val="decimal"/>
      <w:start w:val="101"/>
    </w:lvl>
    <w:lvl w:ilvl="1">
      <w:lvlJc w:val="left"/>
      <w:lvlText w:val="(%2)"/>
      <w:numFmt w:val="lowerRoman"/>
      <w:start w:val="1"/>
    </w:lvl>
  </w:abstractNum>
  <w:abstractNum w:abstractNumId="23">
    <w:nsid w:val="7644A45C"/>
    <w:multiLevelType w:val="hybridMultilevel"/>
    <w:lvl w:ilvl="0">
      <w:lvlJc w:val="left"/>
      <w:lvlText w:val="(%1)"/>
      <w:numFmt w:val="lowerRoman"/>
      <w:start w:val="4"/>
    </w:lvl>
  </w:abstractNum>
  <w:abstractNum w:abstractNumId="24">
    <w:nsid w:val="32FFF902"/>
    <w:multiLevelType w:val="hybridMultilevel"/>
    <w:lvl w:ilvl="0">
      <w:lvlJc w:val="left"/>
      <w:lvlText w:val="~"/>
      <w:numFmt w:val="bullet"/>
      <w:start w:val="1"/>
    </w:lvl>
    <w:lvl w:ilvl="1">
      <w:lvlJc w:val="left"/>
      <w:lvlText w:val="%2"/>
      <w:numFmt w:val="decimal"/>
      <w:start w:val="104"/>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lowerLetter"/>
      <w:start w:val="1"/>
    </w:lvl>
  </w:abstractNum>
  <w:abstractNum w:abstractNumId="28">
    <w:nsid w:val="3DC240FB"/>
    <w:multiLevelType w:val="hybridMultilevel"/>
    <w:lvl w:ilvl="0">
      <w:lvlJc w:val="left"/>
      <w:lvlText w:val="(%1)"/>
      <w:numFmt w:val="lowerLetter"/>
      <w:start w:val="10"/>
    </w:lvl>
  </w:abstractNum>
  <w:abstractNum w:abstractNumId="29">
    <w:nsid w:val="1BA026FA"/>
    <w:multiLevelType w:val="hybridMultilevel"/>
    <w:lvl w:ilvl="0">
      <w:lvlJc w:val="left"/>
      <w:lvlText w:val="(%1)"/>
      <w:numFmt w:val="lowerLetter"/>
      <w:start w:val="13"/>
    </w:lvl>
  </w:abstractNum>
  <w:abstractNum w:abstractNumId="30">
    <w:nsid w:val="79A1DEAA"/>
    <w:multiLevelType w:val="hybridMultilevel"/>
    <w:lvl w:ilvl="0">
      <w:lvlJc w:val="left"/>
      <w:lvlText w:val="(%1)"/>
      <w:numFmt w:val="lowerLetter"/>
      <w:start w:val="22"/>
    </w:lvl>
  </w:abstractNum>
  <w:abstractNum w:abstractNumId="31">
    <w:nsid w:val="75C6C33A"/>
    <w:multiLevelType w:val="hybridMultilevel"/>
    <w:lvl w:ilvl="0">
      <w:lvlJc w:val="left"/>
      <w:lvlText w:val="(%1)"/>
      <w:numFmt w:val="lowerLetter"/>
      <w:start w:val="25"/>
    </w:lvl>
  </w:abstractNum>
  <w:abstractNum w:abstractNumId="32">
    <w:nsid w:val="12E685FB"/>
    <w:multiLevelType w:val="hybridMultilevel"/>
    <w:lvl w:ilvl="0">
      <w:lvlJc w:val="left"/>
      <w:lvlText w:val="(%1)"/>
      <w:numFmt w:val="lowerLetter"/>
      <w:start w:val="26"/>
    </w:lvl>
  </w:abstractNum>
  <w:abstractNum w:abstractNumId="33">
    <w:nsid w:val="70C6A529"/>
    <w:multiLevelType w:val="hybridMultilevel"/>
    <w:lvl w:ilvl="0">
      <w:lvlJc w:val="left"/>
      <w:lvlText w:val="(%1)"/>
      <w:numFmt w:val="lowerLetter"/>
      <w:start w:val="27"/>
    </w:lvl>
  </w:abstractNum>
  <w:abstractNum w:abstractNumId="34">
    <w:nsid w:val="520EEDD1"/>
    <w:multiLevelType w:val="hybridMultilevel"/>
    <w:lvl w:ilvl="0">
      <w:lvlJc w:val="left"/>
      <w:lvlText w:val="(%1)"/>
      <w:numFmt w:val="lowerLetter"/>
      <w:start w:val="29"/>
    </w:lvl>
  </w:abstractNum>
  <w:abstractNum w:abstractNumId="35">
    <w:nsid w:val="374A3FE6"/>
    <w:multiLevelType w:val="hybridMultilevel"/>
    <w:lvl w:ilvl="0">
      <w:lvlJc w:val="left"/>
      <w:lvlText w:val="(%1)"/>
      <w:numFmt w:val="lowerLetter"/>
      <w:start w:val="39"/>
    </w:lvl>
  </w:abstractNum>
  <w:abstractNum w:abstractNumId="36">
    <w:nsid w:val="4F4EF005"/>
    <w:multiLevelType w:val="hybridMultilevel"/>
    <w:lvl w:ilvl="0">
      <w:lvlJc w:val="left"/>
      <w:lvlText w:val="(%1)"/>
      <w:numFmt w:val="lowerLetter"/>
      <w:start w:val="50"/>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1"/>
    </w:lvl>
    <w:lvl w:ilvl="1">
      <w:lvlJc w:val="left"/>
      <w:lvlText w:val="(%2)"/>
      <w:numFmt w:val="lowerRoman"/>
      <w:start w:val="1"/>
    </w:lvl>
  </w:abstractNum>
  <w:abstractNum w:abstractNumId="39">
    <w:nsid w:val="275AC794"/>
    <w:multiLevelType w:val="hybridMultilevel"/>
    <w:lvl w:ilvl="0">
      <w:lvlJc w:val="left"/>
      <w:lvlText w:val="(%1)"/>
      <w:numFmt w:val="lowerLetter"/>
      <w:start w:val="2"/>
    </w:lvl>
    <w:lvl w:ilvl="1">
      <w:lvlJc w:val="left"/>
      <w:lvlText w:val="(%2)"/>
      <w:numFmt w:val="lowerRoman"/>
      <w:start w:val="1"/>
    </w:lvl>
  </w:abstractNum>
  <w:abstractNum w:abstractNumId="40">
    <w:nsid w:val="39386575"/>
    <w:multiLevelType w:val="hybridMultilevel"/>
    <w:lvl w:ilvl="0">
      <w:lvlJc w:val="left"/>
      <w:lvlText w:val="%1"/>
      <w:numFmt w:val="lowerLetter"/>
      <w:start w:val="1"/>
    </w:lvl>
    <w:lvl w:ilvl="1">
      <w:lvlJc w:val="left"/>
      <w:lvlText w:val="(%2)"/>
      <w:numFmt w:val="lowerLetter"/>
      <w:start w:val="35"/>
    </w:lvl>
  </w:abstractNum>
  <w:abstractNum w:abstractNumId="41">
    <w:nsid w:val="1CF10FD8"/>
    <w:multiLevelType w:val="hybridMultilevel"/>
    <w:lvl w:ilvl="0">
      <w:lvlJc w:val="left"/>
      <w:lvlText w:val="(%1)"/>
      <w:numFmt w:val="lowerLetter"/>
      <w:start w:val="3"/>
    </w:lvl>
    <w:lvl w:ilvl="1">
      <w:lvlJc w:val="left"/>
      <w:lvlText w:val="%2"/>
      <w:numFmt w:val="lowerLetter"/>
      <w:start w:val="1"/>
    </w:lvl>
  </w:abstractNum>
  <w:abstractNum w:abstractNumId="42">
    <w:nsid w:val="180115BE"/>
    <w:multiLevelType w:val="hybridMultilevel"/>
    <w:lvl w:ilvl="0">
      <w:lvlJc w:val="left"/>
      <w:lvlText w:val="(%1)"/>
      <w:numFmt w:val="lowerLetter"/>
      <w:start w:val="5"/>
    </w:lvl>
  </w:abstractNum>
  <w:abstractNum w:abstractNumId="43">
    <w:nsid w:val="235BA861"/>
    <w:multiLevelType w:val="hybridMultilevel"/>
    <w:lvl w:ilvl="0">
      <w:lvlJc w:val="left"/>
      <w:lvlText w:val="(%1)"/>
      <w:numFmt w:val="lowerLetter"/>
      <w:start w:val="1"/>
    </w:lvl>
    <w:lvl w:ilvl="1">
      <w:lvlJc w:val="left"/>
      <w:lvlText w:val="(%2)"/>
      <w:numFmt w:val="lowerRoman"/>
      <w:start w:val="1"/>
    </w:lvl>
  </w:abstractNum>
  <w:abstractNum w:abstractNumId="44">
    <w:nsid w:val="47398C89"/>
    <w:multiLevelType w:val="hybridMultilevel"/>
    <w:lvl w:ilvl="0">
      <w:lvlJc w:val="left"/>
      <w:lvlText w:val="(%1)"/>
      <w:numFmt w:val="lowerLetter"/>
      <w:start w:val="4"/>
    </w:lvl>
    <w:lvl w:ilvl="1">
      <w:lvlJc w:val="left"/>
      <w:lvlText w:val="(%2)"/>
      <w:numFmt w:val="lowerRoman"/>
      <w:start w:val="1"/>
    </w:lvl>
  </w:abstractNum>
  <w:abstractNum w:abstractNumId="45">
    <w:nsid w:val="354FE9F9"/>
    <w:multiLevelType w:val="hybridMultilevel"/>
    <w:lvl w:ilvl="0">
      <w:lvlJc w:val="left"/>
      <w:lvlText w:val="(%1)"/>
      <w:numFmt w:val="lowerRoman"/>
      <w:start w:val="4"/>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lowerLetter"/>
      <w:start w:val="2"/>
    </w:lvl>
  </w:abstractNum>
  <w:abstractNum w:abstractNumId="48">
    <w:nsid w:val="D34B6A8"/>
    <w:multiLevelType w:val="hybridMultilevel"/>
    <w:lvl w:ilvl="0">
      <w:lvlJc w:val="left"/>
      <w:lvlText w:val="(%1)"/>
      <w:numFmt w:val="lowerLetter"/>
      <w:start w:val="3"/>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3"/>
    </w:lvl>
  </w:abstractNum>
  <w:abstractNum w:abstractNumId="51">
    <w:nsid w:val="61574095"/>
    <w:multiLevelType w:val="hybridMultilevel"/>
    <w:lvl w:ilvl="0">
      <w:lvlJc w:val="left"/>
      <w:lvlText w:val="(%1)"/>
      <w:numFmt w:val="lowerRoman"/>
      <w:start w:val="1"/>
    </w:lvl>
  </w:abstractNum>
  <w:abstractNum w:abstractNumId="52">
    <w:nsid w:val="7E0C57B1"/>
    <w:multiLevelType w:val="hybridMultilevel"/>
    <w:lvl w:ilvl="0">
      <w:lvlJc w:val="left"/>
      <w:lvlText w:val="(%1)"/>
      <w:numFmt w:val="lowerLetter"/>
      <w:start w:val="8"/>
    </w:lvl>
  </w:abstractNum>
  <w:abstractNum w:abstractNumId="53">
    <w:nsid w:val="77AE35EB"/>
    <w:multiLevelType w:val="hybridMultilevel"/>
    <w:lvl w:ilvl="0">
      <w:lvlJc w:val="left"/>
      <w:lvlText w:val="(%1)"/>
      <w:numFmt w:val="lowerLetter"/>
      <w:start w:val="9"/>
    </w:lvl>
    <w:lvl w:ilvl="1">
      <w:lvlJc w:val="left"/>
      <w:lvlText w:val="(%2)"/>
      <w:numFmt w:val="lowerRoman"/>
      <w:start w:val="1"/>
    </w:lvl>
  </w:abstractNum>
  <w:abstractNum w:abstractNumId="54">
    <w:nsid w:val="579BE4F1"/>
    <w:multiLevelType w:val="hybridMultilevel"/>
    <w:lvl w:ilvl="0">
      <w:lvlJc w:val="left"/>
      <w:lvlText w:val="(%1)"/>
      <w:numFmt w:val="lowerLetter"/>
      <w:start w:val="11"/>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Letter"/>
      <w:start w:val="3"/>
    </w:lvl>
    <w:lvl w:ilvl="1">
      <w:lvlJc w:val="left"/>
      <w:lvlText w:val="(%2)"/>
      <w:numFmt w:val="lowerLetter"/>
      <w:start w:val="9"/>
    </w:lvl>
  </w:abstractNum>
  <w:abstractNum w:abstractNumId="57">
    <w:nsid w:val="2F305DEF"/>
    <w:multiLevelType w:val="hybridMultilevel"/>
    <w:lvl w:ilvl="0">
      <w:lvlJc w:val="left"/>
      <w:lvlText w:val="%1"/>
      <w:numFmt w:val="lowerLetter"/>
      <w:start w:val="1"/>
    </w:lvl>
    <w:lvl w:ilvl="1">
      <w:lvlJc w:val="left"/>
      <w:lvlText w:val="(%2)"/>
      <w:numFmt w:val="lowerLetter"/>
      <w:start w:val="35"/>
    </w:lvl>
  </w:abstractNum>
  <w:abstractNum w:abstractNumId="58">
    <w:nsid w:val="25A70BF7"/>
    <w:multiLevelType w:val="hybridMultilevel"/>
    <w:lvl w:ilvl="0">
      <w:lvlJc w:val="left"/>
      <w:lvlText w:val="(%1)"/>
      <w:numFmt w:val="lowerLetter"/>
      <w:start w:val="4"/>
    </w:lvl>
    <w:lvl w:ilvl="1">
      <w:lvlJc w:val="left"/>
      <w:lvlText w:val="(%2)"/>
      <w:numFmt w:val="lowerLetter"/>
      <w:start w:val="9"/>
    </w:lvl>
  </w:abstractNum>
  <w:abstractNum w:abstractNumId="59">
    <w:nsid w:val="1DBABF00"/>
    <w:multiLevelType w:val="hybridMultilevel"/>
    <w:lvl w:ilvl="0">
      <w:lvlJc w:val="left"/>
      <w:lvlText w:val="(%1)"/>
      <w:numFmt w:val="lowerRoman"/>
      <w:start w:val="2"/>
    </w:lvl>
  </w:abstractNum>
  <w:abstractNum w:abstractNumId="60">
    <w:nsid w:val="4AD084E9"/>
    <w:multiLevelType w:val="hybridMultilevel"/>
    <w:lvl w:ilvl="0">
      <w:lvlJc w:val="left"/>
      <w:lvlText w:val="(%1)"/>
      <w:numFmt w:val="lowerLetter"/>
      <w:start w:val="1"/>
    </w:lvl>
    <w:lvl w:ilvl="1">
      <w:lvlJc w:val="left"/>
      <w:lvlText w:val="(%2)"/>
      <w:numFmt w:val="lowerLetter"/>
      <w:start w:val="9"/>
    </w:lvl>
  </w:abstractNum>
  <w:abstractNum w:abstractNumId="61">
    <w:nsid w:val="1F48EAA1"/>
    <w:multiLevelType w:val="hybridMultilevel"/>
    <w:lvl w:ilvl="0">
      <w:lvlJc w:val="left"/>
      <w:lvlText w:val="%1"/>
      <w:numFmt w:val="lowerLetter"/>
      <w:start w:val="1"/>
    </w:lvl>
    <w:lvl w:ilvl="1">
      <w:lvlJc w:val="left"/>
      <w:lvlText w:val="(%2)"/>
      <w:numFmt w:val="lowerRoman"/>
      <w:start w:val="2"/>
    </w:lvl>
  </w:abstractNum>
  <w:abstractNum w:abstractNumId="62">
    <w:nsid w:val="1381823A"/>
    <w:multiLevelType w:val="hybridMultilevel"/>
    <w:lvl w:ilvl="0">
      <w:lvlJc w:val="left"/>
      <w:lvlText w:val="(%1)"/>
      <w:numFmt w:val="lowerLetter"/>
      <w:start w:val="3"/>
    </w:lvl>
    <w:lvl w:ilvl="1">
      <w:lvlJc w:val="left"/>
      <w:lvlText w:val="(%2)"/>
      <w:numFmt w:val="lowerRoman"/>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lowerLetter"/>
      <w:start w:val="5"/>
    </w:lvl>
  </w:abstractNum>
  <w:abstractNum w:abstractNumId="65">
    <w:nsid w:val="6590700B"/>
    <w:multiLevelType w:val="hybridMultilevel"/>
    <w:lvl w:ilvl="0">
      <w:lvlJc w:val="left"/>
      <w:lvlText w:val="(%1)"/>
      <w:numFmt w:val="lowerRoman"/>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lowerLetter"/>
      <w:start w:val="6"/>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5"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66" Type="http://schemas.openxmlformats.org/officeDocument/2006/relationships/hyperlink" Target="http://www.sec.gov/Archives/edgar/data/1547903/000154790313000020/a31secondamendedandrestate.htm" TargetMode="External"/><Relationship Id="rId67" Type="http://schemas.openxmlformats.org/officeDocument/2006/relationships/hyperlink" Target="https://www.sec.gov/Archives/edgar/data/1547903/000154790322000175/exhibit32-nmihx4tharbylaws.htm" TargetMode="External"/><Relationship Id="rId68" Type="http://schemas.openxmlformats.org/officeDocument/2006/relationships/hyperlink" Target="https://www.sec.gov/Archives/edgar/data/1547903/000119312520174237/d949308dex41.htm" TargetMode="External"/><Relationship Id="rId69" Type="http://schemas.openxmlformats.org/officeDocument/2006/relationships/hyperlink" Target="https://www.sec.gov/Archives/edgar/data/1547903/000154790321000055/exhibit48nmihdescriptionof.htm" TargetMode="External"/><Relationship Id="rId70" Type="http://schemas.openxmlformats.org/officeDocument/2006/relationships/hyperlink" Target="https://www.sec.gov/Archives/edgar/data/1547903/000154790313000020/a101nmiholdingsinc2012stoc.htm" TargetMode="External"/><Relationship Id="rId71" Type="http://schemas.openxmlformats.org/officeDocument/2006/relationships/hyperlink" Target="https://www.sec.gov/Archives/edgar/data/1547903/000154790313000020/a103formofnmiholdingsinc20.htm" TargetMode="External"/><Relationship Id="rId72" Type="http://schemas.openxmlformats.org/officeDocument/2006/relationships/hyperlink" Target="https://www.sec.gov/Archives/edgar/data/1547903/000154790313000020/a105formofnonqualifiedstoc.htm" TargetMode="External"/><Relationship Id="rId73" Type="http://schemas.openxmlformats.org/officeDocument/2006/relationships/hyperlink" Target="https://www.sec.gov/Archives/edgar/data/1547903/000154790313000020/a106formofnonqualifiedstoc.htm" TargetMode="External"/><Relationship Id="rId74" Type="http://schemas.openxmlformats.org/officeDocument/2006/relationships/hyperlink" Target="https://www.sec.gov/Archives/edgar/data/1547903/000154790313000020/a107formofnonqualifiedstoc.htm" TargetMode="External"/><Relationship Id="rId75" Type="http://schemas.openxmlformats.org/officeDocument/2006/relationships/hyperlink" Target="https://www.sec.gov/Archives/edgar/data/1547903/000154790317000032/exhibit108-2012stockincent.htm" TargetMode="External"/><Relationship Id="rId76" Type="http://schemas.openxmlformats.org/officeDocument/2006/relationships/hyperlink" Target="https://www.sec.gov/Archives/edgar/data/1547903/000154790317000032/exhibit109-2012stockincent.htm" TargetMode="External"/><Relationship Id="rId77" Type="http://schemas.openxmlformats.org/officeDocument/2006/relationships/hyperlink" Target="https://www.sec.gov/Archives/edgar/data/1547903/000154790319000064/exhibit1030.htm" TargetMode="External"/><Relationship Id="rId78" Type="http://schemas.openxmlformats.org/officeDocument/2006/relationships/hyperlink" Target="https://www.sec.gov/Archives/edgar/data/1547903/000154790319000064/exhibit1031.htm" TargetMode="External"/><Relationship Id="rId79" Type="http://schemas.openxmlformats.org/officeDocument/2006/relationships/hyperlink" Target="https://www.sec.gov/Archives/edgar/data/1547903/000154790319000064/exhibit1032.htm" TargetMode="External"/><Relationship Id="rId80" Type="http://schemas.openxmlformats.org/officeDocument/2006/relationships/hyperlink" Target="https://www.sec.gov/Archives/edgar/data/1547903/000154790317000100/ex1019rsuceo.htm" TargetMode="External"/><Relationship Id="rId81" Type="http://schemas.openxmlformats.org/officeDocument/2006/relationships/hyperlink" Target="http://www.sec.gov/Archives/edgar/data/1547903/000154790317000100/ex1020rsueo.htm" TargetMode="External"/><Relationship Id="rId82" Type="http://schemas.openxmlformats.org/officeDocument/2006/relationships/hyperlink" Target="http://www.sec.gov/Archives/edgar/data/1547903/000154790317000100/ex1021rsuee.htm" TargetMode="External"/><Relationship Id="rId83" Type="http://schemas.openxmlformats.org/officeDocument/2006/relationships/hyperlink" Target="http://www.sec.gov/Archives/edgar/data/1547903/000154790317000100/ex1022rsuindependentdirect.htm" TargetMode="External"/><Relationship Id="rId84" Type="http://schemas.openxmlformats.org/officeDocument/2006/relationships/hyperlink" Target="http://www.sec.gov/Archives/edgar/data/1547903/000154790317000100/ex1023nqsceo.htm" TargetMode="External"/><Relationship Id="rId86" Type="http://schemas.openxmlformats.org/officeDocument/2006/relationships/hyperlink" Target="http://www.sec.gov/Archives/edgar/data/1547903/000154790317000100/ex1024nqseoee.htm" TargetMode="External"/><Relationship Id="rId87" Type="http://schemas.openxmlformats.org/officeDocument/2006/relationships/hyperlink" Target="https://www.sec.gov/Archives/edgar/data/1547903/000154790320000045/ex1038202010q.htm" TargetMode="External"/><Relationship Id="rId88" Type="http://schemas.openxmlformats.org/officeDocument/2006/relationships/hyperlink" Target="http://www.sec.gov/Archives/edgar/data/1547903/000154790319000064/exhibit1033.htm" TargetMode="External"/><Relationship Id="rId89" Type="http://schemas.openxmlformats.org/officeDocument/2006/relationships/hyperlink" Target="http://www.sec.gov/Archives/edgar/data/1547903/000154790319000064/exhibit1034.htm" TargetMode="External"/><Relationship Id="rId90" Type="http://schemas.openxmlformats.org/officeDocument/2006/relationships/hyperlink" Target="http://www.sec.gov/Archives/edgar/data/1547903/000154790319000064/exhibit1035.htm" TargetMode="External"/><Relationship Id="rId91" Type="http://schemas.openxmlformats.org/officeDocument/2006/relationships/hyperlink" Target="http://www.sec.gov/Archives/edgar/data/1547903/000154790314000146/exhibit101november252014.htm" TargetMode="External"/><Relationship Id="rId92" Type="http://schemas.openxmlformats.org/officeDocument/2006/relationships/hyperlink" Target="http://www.sec.gov/Archives/edgar/data/1547903/000154790316000185/ex101severancebenefitplan.htm" TargetMode="External"/><Relationship Id="rId93" Type="http://schemas.openxmlformats.org/officeDocument/2006/relationships/hyperlink" Target="https://www.sec.gov/Archives/edgar/data/1547903/000154790318000133/exhibit1030arcicsbp.htm" TargetMode="External"/><Relationship Id="rId94" Type="http://schemas.openxmlformats.org/officeDocument/2006/relationships/hyperlink" Target="http://www.sec.gov/Archives/edgar/data/1547903/000154790317000035/exhibit102.htm" TargetMode="External"/><Relationship Id="rId95" Type="http://schemas.openxmlformats.org/officeDocument/2006/relationships/hyperlink" Target="http://www.sec.gov/Archives/edgar/data/1547903/000154790316000230/exhibit1010leatherberrybil.htm" TargetMode="External"/><Relationship Id="rId96" Type="http://schemas.openxmlformats.org/officeDocument/2006/relationships/hyperlink" Target="http://www.sec.gov/Archives/edgar/data/1547903/000154790318000137/exhibit101shuster.htm" TargetMode="External"/><Relationship Id="rId97" Type="http://schemas.openxmlformats.org/officeDocument/2006/relationships/hyperlink" Target="https://www.sec.gov/Archives/edgar/data/0001547903/000154790321000153/exhibit101-nmihxapollitz.htm" TargetMode="External"/><Relationship Id="rId98" Type="http://schemas.openxmlformats.org/officeDocument/2006/relationships/hyperlink" Target="https://www.sec.gov/Archives/edgar/data/0001547903/000154790321000188/rmallelaofferletter.htm" TargetMode="External"/><Relationship Id="rId99" Type="http://schemas.openxmlformats.org/officeDocument/2006/relationships/hyperlink" Target="http://www.sec.gov/Archives/edgar/data/1547903/000154790313000020/a1014commitmentletterforbu.htm" TargetMode="External"/><Relationship Id="rId100" Type="http://schemas.openxmlformats.org/officeDocument/2006/relationships/hyperlink" Target="https://www.sec.gov/Archives/edgar/data/0001547903/000154790321000180/nmiholdingsinc-creditagree.htm" TargetMode="External"/><Relationship Id="rId101"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2023-08-02T05:25:56Z</dcterms:created>
  <dcterms:modified xsi:type="dcterms:W3CDTF">2023-08-02T05:25:56Z</dcterms:modified>
</cp:coreProperties>
</file>