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32"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9" w:lineRule="exact"/>
        <w:rPr>
          <w:sz w:val="24"/>
          <w:szCs w:val="24"/>
          <w:color w:val="auto"/>
        </w:rPr>
      </w:pPr>
    </w:p>
    <w:p>
      <w:pPr>
        <w:ind w:left="680"/>
        <w:spacing w:after="0"/>
        <w:tabs>
          <w:tab w:leader="none" w:pos="59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b w:val="1"/>
          <w:bCs w:val="1"/>
          <w:color w:val="auto"/>
        </w:rPr>
        <w:t>March 31, 2021</w:t>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46" w:lineRule="exact"/>
        <w:rPr>
          <w:sz w:val="24"/>
          <w:szCs w:val="24"/>
          <w:color w:val="auto"/>
        </w:rPr>
      </w:pPr>
    </w:p>
    <w:p>
      <w:pPr>
        <w:ind w:left="640" w:right="1920" w:hanging="403"/>
        <w:spacing w:after="0" w:line="293" w:lineRule="auto"/>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001-36174</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4340" w:type="dxa"/>
            <w:vAlign w:val="bottom"/>
            <w:gridSpan w:val="2"/>
          </w:tcPr>
          <w:p>
            <w:pPr>
              <w:jc w:val="center"/>
              <w:ind w:left="376"/>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spacing w:after="0"/>
              <w:rPr>
                <w:sz w:val="19"/>
                <w:szCs w:val="19"/>
                <w:color w:val="auto"/>
              </w:rPr>
            </w:pPr>
          </w:p>
        </w:tc>
        <w:tc>
          <w:tcPr>
            <w:tcW w:w="4560" w:type="dxa"/>
            <w:vAlign w:val="bottom"/>
            <w:gridSpan w:val="2"/>
          </w:tcPr>
          <w:p>
            <w:pPr>
              <w:jc w:val="right"/>
              <w:ind w:right="2636"/>
              <w:spacing w:after="0"/>
              <w:rPr>
                <w:sz w:val="20"/>
                <w:szCs w:val="20"/>
                <w:color w:val="auto"/>
              </w:rPr>
            </w:pPr>
            <w:r>
              <w:rPr>
                <w:rFonts w:ascii="Arial" w:cs="Arial" w:eastAsia="Arial" w:hAnsi="Arial"/>
                <w:sz w:val="18"/>
                <w:szCs w:val="18"/>
                <w:b w:val="1"/>
                <w:bCs w:val="1"/>
                <w:color w:val="auto"/>
              </w:rPr>
              <w:t>45-4914248</w:t>
            </w:r>
          </w:p>
        </w:tc>
      </w:tr>
      <w:tr>
        <w:trPr>
          <w:trHeight w:val="186"/>
        </w:trPr>
        <w:tc>
          <w:tcPr>
            <w:tcW w:w="4340" w:type="dxa"/>
            <w:vAlign w:val="bottom"/>
            <w:gridSpan w:val="2"/>
          </w:tcPr>
          <w:p>
            <w:pPr>
              <w:jc w:val="center"/>
              <w:ind w:left="376"/>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60" w:type="dxa"/>
            <w:vAlign w:val="bottom"/>
          </w:tcPr>
          <w:p>
            <w:pPr>
              <w:spacing w:after="0"/>
              <w:rPr>
                <w:sz w:val="16"/>
                <w:szCs w:val="16"/>
                <w:color w:val="auto"/>
              </w:rPr>
            </w:pPr>
          </w:p>
        </w:tc>
        <w:tc>
          <w:tcPr>
            <w:tcW w:w="4560" w:type="dxa"/>
            <w:vAlign w:val="bottom"/>
            <w:gridSpan w:val="2"/>
          </w:tcPr>
          <w:p>
            <w:pPr>
              <w:jc w:val="center"/>
              <w:ind w:right="1636"/>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40"/>
        </w:trPr>
        <w:tc>
          <w:tcPr>
            <w:tcW w:w="2500" w:type="dxa"/>
            <w:vAlign w:val="bottom"/>
          </w:tcPr>
          <w:p>
            <w:pPr>
              <w:ind w:left="860"/>
              <w:spacing w:after="0"/>
              <w:rPr>
                <w:sz w:val="20"/>
                <w:szCs w:val="20"/>
                <w:color w:val="auto"/>
              </w:rPr>
            </w:pPr>
            <w:r>
              <w:rPr>
                <w:rFonts w:ascii="Arial" w:cs="Arial" w:eastAsia="Arial" w:hAnsi="Arial"/>
                <w:sz w:val="18"/>
                <w:szCs w:val="18"/>
                <w:b w:val="1"/>
                <w:bCs w:val="1"/>
                <w:color w:val="auto"/>
              </w:rPr>
              <w:t>2100 Powell Street</w:t>
            </w:r>
          </w:p>
        </w:tc>
        <w:tc>
          <w:tcPr>
            <w:tcW w:w="1840" w:type="dxa"/>
            <w:vAlign w:val="bottom"/>
          </w:tcPr>
          <w:p>
            <w:pPr>
              <w:ind w:left="200"/>
              <w:spacing w:after="0"/>
              <w:rPr>
                <w:sz w:val="20"/>
                <w:szCs w:val="20"/>
                <w:color w:val="auto"/>
              </w:rPr>
            </w:pPr>
            <w:r>
              <w:rPr>
                <w:rFonts w:ascii="Arial" w:cs="Arial" w:eastAsia="Arial" w:hAnsi="Arial"/>
                <w:sz w:val="18"/>
                <w:szCs w:val="18"/>
                <w:b w:val="1"/>
                <w:bCs w:val="1"/>
                <w:color w:val="auto"/>
              </w:rPr>
              <w:t>Emeryville , CA</w:t>
            </w:r>
          </w:p>
        </w:tc>
        <w:tc>
          <w:tcPr>
            <w:tcW w:w="2360" w:type="dxa"/>
            <w:vAlign w:val="bottom"/>
          </w:tcPr>
          <w:p>
            <w:pPr>
              <w:spacing w:after="0"/>
              <w:rPr>
                <w:sz w:val="24"/>
                <w:szCs w:val="24"/>
                <w:color w:val="auto"/>
              </w:rPr>
            </w:pPr>
          </w:p>
        </w:tc>
        <w:tc>
          <w:tcPr>
            <w:tcW w:w="4560" w:type="dxa"/>
            <w:vAlign w:val="bottom"/>
            <w:gridSpan w:val="2"/>
          </w:tcPr>
          <w:p>
            <w:pPr>
              <w:jc w:val="right"/>
              <w:ind w:right="2836"/>
              <w:spacing w:after="0"/>
              <w:rPr>
                <w:sz w:val="20"/>
                <w:szCs w:val="20"/>
                <w:color w:val="auto"/>
              </w:rPr>
            </w:pPr>
            <w:r>
              <w:rPr>
                <w:rFonts w:ascii="Arial" w:cs="Arial" w:eastAsia="Arial" w:hAnsi="Arial"/>
                <w:sz w:val="18"/>
                <w:szCs w:val="18"/>
                <w:b w:val="1"/>
                <w:bCs w:val="1"/>
                <w:color w:val="auto"/>
              </w:rPr>
              <w:t>94608</w:t>
            </w:r>
          </w:p>
        </w:tc>
      </w:tr>
      <w:tr>
        <w:trPr>
          <w:trHeight w:val="186"/>
        </w:trPr>
        <w:tc>
          <w:tcPr>
            <w:tcW w:w="434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120" w:type="dxa"/>
            <w:vAlign w:val="bottom"/>
          </w:tcPr>
          <w:p>
            <w:pPr>
              <w:jc w:val="center"/>
              <w:ind w:right="2096"/>
              <w:spacing w:after="0"/>
              <w:rPr>
                <w:sz w:val="20"/>
                <w:szCs w:val="20"/>
                <w:color w:val="auto"/>
              </w:rPr>
            </w:pPr>
            <w:r>
              <w:rPr>
                <w:rFonts w:ascii="Arial" w:cs="Arial" w:eastAsia="Arial" w:hAnsi="Arial"/>
                <w:sz w:val="14"/>
                <w:szCs w:val="14"/>
                <w:b w:val="1"/>
                <w:bCs w:val="1"/>
                <w:color w:val="auto"/>
                <w:w w:val="95"/>
              </w:rPr>
              <w:t>(Zip Code)</w:t>
            </w:r>
          </w:p>
        </w:tc>
      </w:tr>
      <w:tr>
        <w:trPr>
          <w:trHeight w:val="556"/>
        </w:trPr>
        <w:tc>
          <w:tcPr>
            <w:tcW w:w="2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6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(855) 530-6642</w:t>
            </w:r>
          </w:p>
        </w:tc>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86"/>
        </w:trPr>
        <w:tc>
          <w:tcPr>
            <w:tcW w:w="2500" w:type="dxa"/>
            <w:vAlign w:val="bottom"/>
          </w:tcPr>
          <w:p>
            <w:pPr>
              <w:spacing w:after="0"/>
              <w:rPr>
                <w:sz w:val="16"/>
                <w:szCs w:val="16"/>
                <w:color w:val="auto"/>
              </w:rPr>
            </w:pPr>
          </w:p>
        </w:tc>
        <w:tc>
          <w:tcPr>
            <w:tcW w:w="8760" w:type="dxa"/>
            <w:vAlign w:val="bottom"/>
            <w:gridSpan w:val="4"/>
          </w:tcPr>
          <w:p>
            <w:pPr>
              <w:jc w:val="center"/>
              <w:ind w:right="243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23"/>
        </w:trPr>
        <w:tc>
          <w:tcPr>
            <w:tcW w:w="2500" w:type="dxa"/>
            <w:vAlign w:val="bottom"/>
          </w:tcPr>
          <w:p>
            <w:pPr>
              <w:spacing w:after="0"/>
              <w:rPr>
                <w:sz w:val="24"/>
                <w:szCs w:val="24"/>
                <w:color w:val="auto"/>
              </w:rPr>
            </w:pPr>
          </w:p>
        </w:tc>
        <w:tc>
          <w:tcPr>
            <w:tcW w:w="8760" w:type="dxa"/>
            <w:vAlign w:val="bottom"/>
            <w:gridSpan w:val="4"/>
          </w:tcPr>
          <w:p>
            <w:pPr>
              <w:jc w:val="center"/>
              <w:ind w:right="2416"/>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135"/>
        </w:trPr>
        <w:tc>
          <w:tcPr>
            <w:tcW w:w="4340" w:type="dxa"/>
            <w:vAlign w:val="bottom"/>
            <w:tcBorders>
              <w:bottom w:val="single" w:sz="8" w:color="auto"/>
            </w:tcBorders>
            <w:gridSpan w:val="2"/>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120" w:type="dxa"/>
            <w:vAlign w:val="bottom"/>
            <w:tcBorders>
              <w:bottom w:val="single" w:sz="8" w:color="auto"/>
            </w:tcBorders>
          </w:tcPr>
          <w:p>
            <w:pPr>
              <w:spacing w:after="0"/>
              <w:rPr>
                <w:sz w:val="11"/>
                <w:szCs w:val="11"/>
                <w:color w:val="auto"/>
              </w:rPr>
            </w:pPr>
          </w:p>
        </w:tc>
      </w:tr>
      <w:tr>
        <w:trPr>
          <w:trHeight w:val="223"/>
        </w:trPr>
        <w:tc>
          <w:tcPr>
            <w:tcW w:w="43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2"/>
              </w:rPr>
              <w:t>Trading Symbol(s)</w:t>
            </w:r>
          </w:p>
        </w:tc>
        <w:tc>
          <w:tcPr>
            <w:tcW w:w="440" w:type="dxa"/>
            <w:vAlign w:val="bottom"/>
            <w:tcBorders>
              <w:bottom w:val="single" w:sz="8" w:color="auto"/>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3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23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rPr>
              <w:t>NMIH</w:t>
            </w:r>
          </w:p>
        </w:tc>
        <w:tc>
          <w:tcPr>
            <w:tcW w:w="440" w:type="dxa"/>
            <w:vAlign w:val="bottom"/>
            <w:tcBorders>
              <w:bottom w:val="single" w:sz="8" w:color="auto"/>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r>
    </w:tbl>
    <w:p>
      <w:pPr>
        <w:spacing w:after="0" w:line="94" w:lineRule="exact"/>
        <w:rPr>
          <w:sz w:val="24"/>
          <w:szCs w:val="24"/>
          <w:color w:val="auto"/>
        </w:rPr>
      </w:pPr>
    </w:p>
    <w:p>
      <w:pPr>
        <w:jc w:val="both"/>
        <w:ind w:right="2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20"/>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560" w:type="dxa"/>
        <w:tblCellMar>
          <w:top w:w="0" w:type="dxa"/>
          <w:left w:w="0" w:type="dxa"/>
          <w:bottom w:w="0" w:type="dxa"/>
          <w:right w:w="0" w:type="dxa"/>
        </w:tblCellMar>
      </w:tblPr>
      <w:tr>
        <w:trPr>
          <w:trHeight w:val="223"/>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164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60" w:type="dxa"/>
            <w:vAlign w:val="bottom"/>
          </w:tcPr>
          <w:p>
            <w:pPr>
              <w:ind w:left="72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April 30, 2021 was 85,599,908 shares.</w:t>
      </w:r>
    </w:p>
    <w:p>
      <w:pPr>
        <w:sectPr>
          <w:pgSz w:w="11900" w:h="16838" w:orient="portrait"/>
          <w:cols w:equalWidth="0" w:num="1">
            <w:col w:w="11260"/>
          </w:cols>
          <w:pgMar w:left="320" w:top="1035" w:right="31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5"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9"/>
        </w:trPr>
        <w:tc>
          <w:tcPr>
            <w:tcW w:w="20" w:type="dxa"/>
            <w:vAlign w:val="bottom"/>
            <w:shd w:val="clear" w:color="auto" w:fill="CCEEFF"/>
          </w:tcPr>
          <w:p>
            <w:pPr>
              <w:spacing w:after="0"/>
              <w:rPr>
                <w:sz w:val="16"/>
                <w:szCs w:val="16"/>
                <w:color w:val="auto"/>
              </w:rPr>
            </w:pPr>
          </w:p>
        </w:tc>
        <w:tc>
          <w:tcPr>
            <w:tcW w:w="7480" w:type="dxa"/>
            <w:vAlign w:val="bottom"/>
            <w:gridSpan w:val="12"/>
            <w:shd w:val="clear" w:color="auto" w:fill="CCEEFF"/>
          </w:tcPr>
          <w:p>
            <w:pP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Cautionary Note Regarding Forward Looking Statements</w:t>
              </w:r>
            </w:hyperlink>
          </w:p>
        </w:tc>
        <w:tc>
          <w:tcPr>
            <w:tcW w:w="37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spacing w:after="0" w:line="189" w:lineRule="exact"/>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740" w:type="dxa"/>
            <w:vAlign w:val="bottom"/>
            <w:gridSpan w:val="4"/>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rPr>
              <w:t>Item 1.</w:t>
            </w:r>
          </w:p>
        </w:tc>
        <w:tc>
          <w:tcPr>
            <w:tcW w:w="1500" w:type="dxa"/>
            <w:vAlign w:val="bottom"/>
            <w:gridSpan w:val="4"/>
            <w:shd w:val="clear" w:color="auto" w:fill="CCEEFF"/>
          </w:tcPr>
          <w:p>
            <w:pPr>
              <w:spacing w:after="0" w:line="189"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Financial Statements</w:t>
              </w:r>
            </w:hyperlink>
          </w:p>
        </w:tc>
        <w:tc>
          <w:tcPr>
            <w:tcW w:w="4940" w:type="dxa"/>
            <w:vAlign w:val="bottom"/>
            <w:gridSpan w:val="4"/>
            <w:shd w:val="clear" w:color="auto" w:fill="CCEEFF"/>
          </w:tcPr>
          <w:p>
            <w:pPr>
              <w:spacing w:after="0"/>
              <w:rPr>
                <w:sz w:val="16"/>
                <w:szCs w:val="16"/>
                <w:color w:val="auto"/>
              </w:rPr>
            </w:pPr>
          </w:p>
        </w:tc>
        <w:tc>
          <w:tcPr>
            <w:tcW w:w="37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ind w:left="120"/>
              <w:spacing w:after="0" w:line="189" w:lineRule="exact"/>
              <w:rPr>
                <w:sz w:val="20"/>
                <w:szCs w:val="20"/>
                <w:color w:val="auto"/>
              </w:rPr>
            </w:pPr>
            <w:r>
              <w:rPr>
                <w:rFonts w:ascii="Arial" w:cs="Arial" w:eastAsia="Arial" w:hAnsi="Arial"/>
                <w:sz w:val="18"/>
                <w:szCs w:val="18"/>
                <w:color w:val="auto"/>
              </w:rPr>
              <w:t>Item 2.</w:t>
            </w:r>
          </w:p>
        </w:tc>
        <w:tc>
          <w:tcPr>
            <w:tcW w:w="6440" w:type="dxa"/>
            <w:vAlign w:val="bottom"/>
            <w:gridSpan w:val="8"/>
          </w:tcPr>
          <w:p>
            <w:pPr>
              <w:spacing w:after="0" w:line="189" w:lineRule="exact"/>
              <w:rPr>
                <w:rFonts w:ascii="Arial" w:cs="Arial" w:eastAsia="Arial" w:hAnsi="Arial"/>
                <w:sz w:val="18"/>
                <w:szCs w:val="18"/>
                <w:color w:val="0000FF"/>
                <w:w w:val="90"/>
              </w:rPr>
            </w:pPr>
            <w:hyperlink w:anchor="page26">
              <w:r>
                <w:rPr>
                  <w:rFonts w:ascii="Arial" w:cs="Arial" w:eastAsia="Arial" w:hAnsi="Arial"/>
                  <w:sz w:val="18"/>
                  <w:szCs w:val="18"/>
                  <w:color w:val="0000FF"/>
                  <w:w w:val="90"/>
                </w:rPr>
                <w:t>Management's Discussion and Analysis of Financial Condition and Results of Operations</w:t>
              </w:r>
            </w:hyperlink>
          </w:p>
        </w:tc>
        <w:tc>
          <w:tcPr>
            <w:tcW w:w="3720" w:type="dxa"/>
            <w:vAlign w:val="bottom"/>
            <w:gridSpan w:val="3"/>
          </w:tcPr>
          <w:p>
            <w:pPr>
              <w:jc w:val="right"/>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rPr>
              <w:t>Item 3.</w:t>
            </w:r>
          </w:p>
        </w:tc>
        <w:tc>
          <w:tcPr>
            <w:tcW w:w="6440" w:type="dxa"/>
            <w:vAlign w:val="bottom"/>
            <w:gridSpan w:val="8"/>
            <w:shd w:val="clear" w:color="auto" w:fill="CCEEFF"/>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Quantitative and Qualitative Disclosures About Market Risk</w:t>
              </w:r>
            </w:hyperlink>
          </w:p>
        </w:tc>
        <w:tc>
          <w:tcPr>
            <w:tcW w:w="372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57</w:t>
              </w:r>
            </w:hyperlink>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4"/>
          </w:tcPr>
          <w:p>
            <w:pPr>
              <w:ind w:left="120"/>
              <w:spacing w:after="0" w:line="189" w:lineRule="exact"/>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7"/>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Controls and Procedures</w:t>
              </w:r>
            </w:hyperlink>
          </w:p>
        </w:tc>
        <w:tc>
          <w:tcPr>
            <w:tcW w:w="2100" w:type="dxa"/>
            <w:vAlign w:val="bottom"/>
            <w:tcBorders>
              <w:top w:val="single" w:sz="8" w:color="CCEEFF"/>
            </w:tcBorders>
          </w:tcPr>
          <w:p>
            <w:pPr>
              <w:spacing w:after="0"/>
              <w:rPr>
                <w:sz w:val="16"/>
                <w:szCs w:val="16"/>
                <w:color w:val="auto"/>
              </w:rPr>
            </w:pPr>
          </w:p>
        </w:tc>
        <w:tc>
          <w:tcPr>
            <w:tcW w:w="3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rFonts w:ascii="Arial" w:cs="Arial" w:eastAsia="Arial" w:hAnsi="Arial"/>
                <w:sz w:val="18"/>
                <w:szCs w:val="18"/>
                <w:color w:val="0000FF"/>
                <w:w w:val="79"/>
              </w:rPr>
            </w:pPr>
            <w:hyperlink w:anchor="page57">
              <w:r>
                <w:rPr>
                  <w:rFonts w:ascii="Arial" w:cs="Arial" w:eastAsia="Arial" w:hAnsi="Arial"/>
                  <w:sz w:val="18"/>
                  <w:szCs w:val="18"/>
                  <w:color w:val="0000FF"/>
                  <w:w w:val="79"/>
                </w:rPr>
                <w:t>58</w:t>
              </w:r>
            </w:hyperlink>
          </w:p>
        </w:tc>
        <w:tc>
          <w:tcPr>
            <w:tcW w:w="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spacing w:after="0" w:line="189" w:lineRule="exact"/>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PART II</w:t>
              </w:r>
            </w:hyperlink>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0000FF"/>
            </w:tcBorders>
            <w:gridSpan w:val="2"/>
          </w:tcPr>
          <w:p>
            <w:pPr>
              <w:ind w:left="120"/>
              <w:spacing w:after="0" w:line="189" w:lineRule="exact"/>
              <w:rPr>
                <w:sz w:val="20"/>
                <w:szCs w:val="20"/>
                <w:color w:val="auto"/>
              </w:rPr>
            </w:pPr>
            <w:r>
              <w:rPr>
                <w:rFonts w:ascii="Arial" w:cs="Arial" w:eastAsia="Arial" w:hAnsi="Arial"/>
                <w:sz w:val="18"/>
                <w:szCs w:val="18"/>
                <w:color w:val="auto"/>
                <w:w w:val="94"/>
              </w:rPr>
              <w:t>Item 1.</w:t>
            </w:r>
          </w:p>
        </w:tc>
        <w:tc>
          <w:tcPr>
            <w:tcW w:w="380" w:type="dxa"/>
            <w:vAlign w:val="bottom"/>
            <w:tcBorders>
              <w:top w:val="single" w:sz="8" w:color="CCEEFF"/>
            </w:tcBorders>
            <w:gridSpan w:val="2"/>
          </w:tcPr>
          <w:p>
            <w:pPr>
              <w:spacing w:after="0"/>
              <w:rPr>
                <w:sz w:val="16"/>
                <w:szCs w:val="16"/>
                <w:color w:val="auto"/>
              </w:rPr>
            </w:pPr>
          </w:p>
        </w:tc>
        <w:tc>
          <w:tcPr>
            <w:tcW w:w="6440" w:type="dxa"/>
            <w:vAlign w:val="bottom"/>
            <w:tcBorders>
              <w:top w:val="single" w:sz="8" w:color="CCEEFF"/>
            </w:tcBorders>
            <w:gridSpan w:val="8"/>
          </w:tcPr>
          <w:p>
            <w:pPr>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Legal Proceedings</w:t>
              </w:r>
            </w:hyperlink>
          </w:p>
        </w:tc>
        <w:tc>
          <w:tcPr>
            <w:tcW w:w="3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87"/>
                <w:shd w:val="clear" w:color="auto" w:fill="CCEEFF"/>
              </w:rPr>
            </w:pPr>
            <w:hyperlink w:anchor="page59">
              <w:r>
                <w:rPr>
                  <w:rFonts w:ascii="Arial" w:cs="Arial" w:eastAsia="Arial" w:hAnsi="Arial"/>
                  <w:sz w:val="18"/>
                  <w:szCs w:val="18"/>
                  <w:color w:val="0000FF"/>
                  <w:w w:val="87"/>
                  <w:shd w:val="clear" w:color="auto" w:fill="CCEEFF"/>
                </w:rPr>
                <w:t>Risk Factors</w:t>
              </w:r>
            </w:hyperlink>
          </w:p>
        </w:tc>
        <w:tc>
          <w:tcPr>
            <w:tcW w:w="5540" w:type="dxa"/>
            <w:vAlign w:val="bottom"/>
            <w:tcBorders>
              <w:bottom w:val="single" w:sz="8" w:color="CCEEFF"/>
            </w:tcBorders>
            <w:gridSpan w:val="6"/>
            <w:shd w:val="clear" w:color="auto" w:fill="CCEEFF"/>
          </w:tcPr>
          <w:p>
            <w:pPr>
              <w:spacing w:after="0"/>
              <w:rPr>
                <w:sz w:val="18"/>
                <w:szCs w:val="18"/>
                <w:color w:val="auto"/>
              </w:rPr>
            </w:pPr>
          </w:p>
        </w:tc>
        <w:tc>
          <w:tcPr>
            <w:tcW w:w="3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40" w:type="dxa"/>
            <w:vAlign w:val="bottom"/>
            <w:gridSpan w:val="4"/>
          </w:tcPr>
          <w:p>
            <w:pPr>
              <w:ind w:left="120"/>
              <w:spacing w:after="0" w:line="189" w:lineRule="exact"/>
              <w:rPr>
                <w:sz w:val="20"/>
                <w:szCs w:val="20"/>
                <w:color w:val="auto"/>
              </w:rPr>
            </w:pPr>
            <w:r>
              <w:rPr>
                <w:rFonts w:ascii="Arial" w:cs="Arial" w:eastAsia="Arial" w:hAnsi="Arial"/>
                <w:sz w:val="18"/>
                <w:szCs w:val="18"/>
                <w:color w:val="auto"/>
              </w:rPr>
              <w:t>Item 6.</w:t>
            </w:r>
          </w:p>
        </w:tc>
        <w:tc>
          <w:tcPr>
            <w:tcW w:w="6440" w:type="dxa"/>
            <w:vAlign w:val="bottom"/>
            <w:gridSpan w:val="8"/>
          </w:tcPr>
          <w:p>
            <w:pPr>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Exhibits</w:t>
              </w:r>
            </w:hyperlink>
          </w:p>
        </w:tc>
        <w:tc>
          <w:tcPr>
            <w:tcW w:w="3720" w:type="dxa"/>
            <w:vAlign w:val="bottom"/>
            <w:gridSpan w:val="3"/>
          </w:tcPr>
          <w:p>
            <w:pPr>
              <w:jc w:val="right"/>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60</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Signatures</w:t>
              </w:r>
            </w:hyperlink>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372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62">
              <w:r>
                <w:rPr>
                  <w:rFonts w:ascii="Arial" w:cs="Arial" w:eastAsia="Arial" w:hAnsi="Arial"/>
                  <w:sz w:val="18"/>
                  <w:szCs w:val="18"/>
                  <w:color w:val="0000FF"/>
                </w:rPr>
                <w:t>63</w:t>
              </w:r>
            </w:hyperlink>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75"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"perceive,"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0" w:lineRule="exact"/>
        <w:rPr>
          <w:sz w:val="20"/>
          <w:szCs w:val="20"/>
          <w:color w:val="auto"/>
        </w:rPr>
      </w:pPr>
    </w:p>
    <w:p>
      <w:pPr>
        <w:jc w:val="both"/>
        <w:ind w:left="9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relating to the coronavirus (COVID-19) pandemic and the measures taken by governmental authorities and other third parties to combat it, including their impact on the global economy, the U.S. housing, real estate, housing finance and mortgage insurance markets, and our business, operations and personnel;</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decisions that have the impact of decreasing or discontinuing the use of mortgage insurance as credit enhancement generally, or with first time homebuyers or on very high loan-to-value mortgages;</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71" w:lineRule="exact"/>
        <w:rPr>
          <w:rFonts w:ascii="Arial" w:cs="Arial" w:eastAsia="Arial" w:hAnsi="Arial"/>
          <w:sz w:val="18"/>
          <w:szCs w:val="18"/>
          <w:color w:val="auto"/>
        </w:rPr>
      </w:pPr>
    </w:p>
    <w:p>
      <w:pPr>
        <w:jc w:val="both"/>
        <w:ind w:left="980" w:hanging="324"/>
        <w:spacing w:after="0" w:line="311"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spacing w:after="0" w:line="94"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71"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adoption of new or changes to existing laws and regulations that impact our business or financial condition directly or the mortgage insurance industry generally or their enforcement and implementation by regulators, including the timing and eventual implementation of the final rules concerning "Qualified Mortgage" and "Qualified Residential Mortgage" definitions and the expiration of the "QM Patch" under the Dodd-Frank Act Ability to Repay/Qualified Mortgage rule;</w:t>
      </w:r>
    </w:p>
    <w:p>
      <w:pPr>
        <w:spacing w:after="0" w:line="13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to the GSEs' role in the secondary mortgage market or other changes that could affect the residential mortgage industry generally or mortgage insurance in particular;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116"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 w:name="page4"/>
    <w:bookmarkEnd w:id="3"/>
    <w:p>
      <w:pPr>
        <w:jc w:val="both"/>
        <w:ind w:left="980" w:hanging="324"/>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94"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adverse impacts arising from natural disasters, including, with respect to affected areas, a decline in new business, adverse effects on home prices, and an increase in notices of default on insured mortgages;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 party reinsurers, to meet their obligations to us;</w:t>
      </w:r>
    </w:p>
    <w:p>
      <w:pPr>
        <w:spacing w:after="0" w:line="17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technology providers to perform;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II, Item 1A of this Report and in Part I, Item 1A, of our Annual Report on Form 10-K for the year ended December 31, 2020 (2020 10-K), as subsequently updated in other reports we file from time to time with the U.S. Securities and Exchange Commission (SEC).</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the "Company" in this document refer to NMI Holdings, Inc., a Delaware corporation, and its wholly-owned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Condensed Consolidated Balance Sheets as of March 31, 2021 (Unaudited) and December 31, 2020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0000FF"/>
            </w:tcBorders>
            <w:shd w:val="clear" w:color="auto" w:fill="CCEEFF"/>
          </w:tcPr>
          <w:p>
            <w:pPr>
              <w:jc w:val="right"/>
              <w:spacing w:after="0"/>
              <w:rPr>
                <w:rFonts w:ascii="Arial" w:cs="Arial" w:eastAsia="Arial" w:hAnsi="Arial"/>
                <w:sz w:val="15"/>
                <w:szCs w:val="15"/>
                <w:color w:val="0000FF"/>
                <w:w w:val="71"/>
                <w:shd w:val="clear" w:color="auto" w:fill="CCEEFF"/>
              </w:rPr>
            </w:pPr>
            <w:hyperlink w:anchor="page5">
              <w:r>
                <w:rPr>
                  <w:rFonts w:ascii="Arial" w:cs="Arial" w:eastAsia="Arial" w:hAnsi="Arial"/>
                  <w:sz w:val="15"/>
                  <w:szCs w:val="15"/>
                  <w:color w:val="0000FF"/>
                  <w:w w:val="71"/>
                  <w:shd w:val="clear" w:color="auto" w:fill="CCEEFF"/>
                </w:rPr>
                <w:t>6</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1040" w:type="dxa"/>
            <w:vAlign w:val="bottom"/>
          </w:tcPr>
          <w:p>
            <w:pPr>
              <w:ind w:left="20"/>
              <w:spacing w:after="0" w:line="189" w:lineRule="exact"/>
              <w:rPr>
                <w:sz w:val="20"/>
                <w:szCs w:val="20"/>
                <w:color w:val="auto"/>
              </w:rPr>
            </w:pPr>
            <w:r>
              <w:rPr>
                <w:rFonts w:ascii="Arial" w:cs="Arial" w:eastAsia="Arial" w:hAnsi="Arial"/>
                <w:sz w:val="18"/>
                <w:szCs w:val="18"/>
                <w:color w:val="auto"/>
                <w:w w:val="93"/>
              </w:rPr>
              <w:t>Condensed Consolidated Statements of Operations and Comprehensive Income for the three months ended March 31, 2021 and 2020 (Unaudited)</w:t>
            </w:r>
          </w:p>
        </w:tc>
        <w:tc>
          <w:tcPr>
            <w:tcW w:w="180" w:type="dxa"/>
            <w:vAlign w:val="bottom"/>
            <w:gridSpan w:val="2"/>
          </w:tcPr>
          <w:p>
            <w:pPr>
              <w:jc w:val="right"/>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16"/>
                <w:szCs w:val="16"/>
                <w:color w:val="auto"/>
              </w:rPr>
            </w:pPr>
          </w:p>
        </w:tc>
      </w:tr>
      <w:tr>
        <w:trPr>
          <w:trHeight w:val="21"/>
        </w:trPr>
        <w:tc>
          <w:tcPr>
            <w:tcW w:w="1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Condensed Consolidated Statements of Changes in Shareholders' Equity for the three months ended March 31, 2021 and 2020 (Unaudited)</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0000FF"/>
            </w:tcBorders>
            <w:shd w:val="clear" w:color="auto" w:fill="CCEEFF"/>
          </w:tcPr>
          <w:p>
            <w:pPr>
              <w:jc w:val="right"/>
              <w:spacing w:after="0"/>
              <w:rPr>
                <w:rFonts w:ascii="Arial" w:cs="Arial" w:eastAsia="Arial" w:hAnsi="Arial"/>
                <w:sz w:val="15"/>
                <w:szCs w:val="15"/>
                <w:color w:val="0000FF"/>
                <w:w w:val="71"/>
                <w:shd w:val="clear" w:color="auto" w:fill="CCEEFF"/>
              </w:rPr>
            </w:pPr>
            <w:hyperlink w:anchor="page7">
              <w:r>
                <w:rPr>
                  <w:rFonts w:ascii="Arial" w:cs="Arial" w:eastAsia="Arial" w:hAnsi="Arial"/>
                  <w:sz w:val="15"/>
                  <w:szCs w:val="15"/>
                  <w:color w:val="0000FF"/>
                  <w:w w:val="71"/>
                  <w:shd w:val="clear" w:color="auto" w:fill="CCEEFF"/>
                </w:rPr>
                <w:t>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40" w:type="dxa"/>
            <w:vAlign w:val="bottom"/>
          </w:tcPr>
          <w:p>
            <w:pPr>
              <w:ind w:left="20"/>
              <w:spacing w:after="0" w:line="189" w:lineRule="exact"/>
              <w:rPr>
                <w:sz w:val="20"/>
                <w:szCs w:val="20"/>
                <w:color w:val="auto"/>
              </w:rPr>
            </w:pPr>
            <w:r>
              <w:rPr>
                <w:rFonts w:ascii="Arial" w:cs="Arial" w:eastAsia="Arial" w:hAnsi="Arial"/>
                <w:sz w:val="18"/>
                <w:szCs w:val="18"/>
                <w:color w:val="auto"/>
              </w:rPr>
              <w:t>Condensed Consolidated Statements of Cash Flows for the three months ended March 31, 2021 and 2020 (Unaudited)</w:t>
            </w:r>
          </w:p>
        </w:tc>
        <w:tc>
          <w:tcPr>
            <w:tcW w:w="180" w:type="dxa"/>
            <w:vAlign w:val="bottom"/>
            <w:gridSpan w:val="2"/>
          </w:tcPr>
          <w:p>
            <w:pPr>
              <w:jc w:val="right"/>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20" w:type="dxa"/>
            <w:vAlign w:val="bottom"/>
          </w:tcPr>
          <w:p>
            <w:pPr>
              <w:spacing w:after="0"/>
              <w:rPr>
                <w:sz w:val="16"/>
                <w:szCs w:val="16"/>
                <w:color w:val="auto"/>
              </w:rPr>
            </w:pPr>
          </w:p>
        </w:tc>
      </w:tr>
      <w:tr>
        <w:trPr>
          <w:trHeight w:val="21"/>
        </w:trPr>
        <w:tc>
          <w:tcPr>
            <w:tcW w:w="1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Notes to Condensed Consolidated Financial Statements (Unaudited)</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shd w:val="clear" w:color="auto" w:fill="CCEEFF"/>
              </w:rPr>
            </w:pPr>
            <w:hyperlink w:anchor="page9">
              <w:r>
                <w:rPr>
                  <w:rFonts w:ascii="Arial" w:cs="Arial" w:eastAsia="Arial" w:hAnsi="Arial"/>
                  <w:sz w:val="18"/>
                  <w:szCs w:val="18"/>
                  <w:color w:val="0000FF"/>
                  <w:w w:val="79"/>
                  <w:shd w:val="clear" w:color="auto" w:fill="CCEEFF"/>
                </w:rPr>
                <w:t>10</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242"/>
        </w:trPr>
        <w:tc>
          <w:tcPr>
            <w:tcW w:w="11040" w:type="dxa"/>
            <w:vAlign w:val="bottom"/>
            <w:tcBorders>
              <w:top w:val="single" w:sz="8" w:color="CCEEFF"/>
            </w:tcBorders>
          </w:tcPr>
          <w:p>
            <w:pPr>
              <w:ind w:left="558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8"/>
                <w:szCs w:val="18"/>
                <w:color w:val="auto"/>
              </w:rPr>
            </w:pPr>
          </w:p>
        </w:tc>
        <w:tc>
          <w:tcPr>
            <w:tcW w:w="3320" w:type="dxa"/>
            <w:vAlign w:val="bottom"/>
            <w:gridSpan w:val="4"/>
          </w:tcPr>
          <w:p>
            <w:pPr>
              <w:jc w:val="right"/>
              <w:ind w:right="611"/>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176"/>
        </w:trPr>
        <w:tc>
          <w:tcPr>
            <w:tcW w:w="76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Fixed maturities, available-for-sale, at fair value (amortized cost of $1,815,190 and $1,730,835 as of</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1,831,511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1,804,286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March 31, 2021 and December 31, 2020, respectively)</w:t>
            </w:r>
          </w:p>
        </w:tc>
        <w:tc>
          <w:tcPr>
            <w:tcW w:w="24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20"/>
              <w:spacing w:after="0" w:line="176" w:lineRule="exact"/>
              <w:rPr>
                <w:sz w:val="20"/>
                <w:szCs w:val="20"/>
                <w:color w:val="auto"/>
              </w:rPr>
            </w:pPr>
            <w:r>
              <w:rPr>
                <w:rFonts w:ascii="Arial" w:cs="Arial" w:eastAsia="Arial" w:hAnsi="Arial"/>
                <w:sz w:val="18"/>
                <w:szCs w:val="18"/>
                <w:color w:val="auto"/>
                <w:w w:val="92"/>
              </w:rPr>
              <w:t>Cash and cash equivalents (including restricted cash of $4,868 and $5,555 as of March 31, 2021 and</w:t>
            </w:r>
          </w:p>
        </w:tc>
        <w:tc>
          <w:tcPr>
            <w:tcW w:w="2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115,517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126,937</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December 31, 2020, respectively)</w:t>
            </w:r>
          </w:p>
        </w:tc>
        <w:tc>
          <w:tcPr>
            <w:tcW w:w="2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49,779</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Accrued investment income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9,862</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Deferred policy acquisition costs, net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62,294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62,225</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Software and equipment,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29,665</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Intangible assets and goodwill</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reinsurance premiums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Reinsurance recoverable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18,686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17,608</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53,188</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2,187,831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2,166,666</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393,301</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127,407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118,817</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61,716</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96,103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90,567</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funds withheld</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Warrant liability, at fair value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liability,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112,586</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liabilities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807,523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797,075</w:t>
            </w:r>
          </w:p>
        </w:tc>
        <w:tc>
          <w:tcPr>
            <w:tcW w:w="0" w:type="dxa"/>
            <w:vAlign w:val="bottom"/>
          </w:tcPr>
          <w:p>
            <w:pPr>
              <w:spacing w:after="0"/>
              <w:rPr>
                <w:sz w:val="1"/>
                <w:szCs w:val="1"/>
                <w:color w:val="auto"/>
              </w:rPr>
            </w:pPr>
          </w:p>
        </w:tc>
      </w:tr>
      <w:tr>
        <w:trPr>
          <w:trHeight w:val="209"/>
        </w:trPr>
        <w:tc>
          <w:tcPr>
            <w:tcW w:w="76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Common stock - class A shares, $0.01 par value; 85,599,908 and 85,163,039 shares issued and</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outstanding as of March 31, 2021 and December 31, 2020, respectively (250,000,000 shares</w:t>
            </w:r>
          </w:p>
        </w:tc>
        <w:tc>
          <w:tcPr>
            <w:tcW w:w="2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authorized)</w:t>
            </w:r>
          </w:p>
        </w:tc>
        <w:tc>
          <w:tcPr>
            <w:tcW w:w="24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940,827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937,872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net of tax</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53,856</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377,011</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1,380,308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1,369,591</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2,187,831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2,166,666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center"/>
        <w:ind w:right="80"/>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ONDENSED CONSOLIDATED STATEMENTS OF OPERATIONS AND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86"/>
        </w:trPr>
        <w:tc>
          <w:tcPr>
            <w:tcW w:w="7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76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8"/>
                <w:szCs w:val="18"/>
                <w:color w:val="auto"/>
              </w:rPr>
            </w:pPr>
          </w:p>
        </w:tc>
        <w:tc>
          <w:tcPr>
            <w:tcW w:w="3220" w:type="dxa"/>
            <w:vAlign w:val="bottom"/>
            <w:gridSpan w:val="4"/>
          </w:tcPr>
          <w:p>
            <w:pPr>
              <w:jc w:val="right"/>
              <w:ind w:right="491"/>
              <w:spacing w:after="0"/>
              <w:rPr>
                <w:sz w:val="20"/>
                <w:szCs w:val="20"/>
                <w:color w:val="auto"/>
              </w:rPr>
            </w:pPr>
            <w:r>
              <w:rPr>
                <w:rFonts w:ascii="Arial" w:cs="Arial" w:eastAsia="Arial" w:hAnsi="Arial"/>
                <w:sz w:val="14"/>
                <w:szCs w:val="14"/>
                <w:i w:val="1"/>
                <w:iCs w:val="1"/>
                <w:color w:val="auto"/>
              </w:rPr>
              <w:t>(In Thousands, except for per share data)</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98,717</w:t>
            </w: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8,104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investment losses</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115,194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107,649</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claims and claim expenses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0" w:type="dxa"/>
            <w:vAlign w:val="bottom"/>
          </w:tcPr>
          <w:p>
            <w:pPr>
              <w:spacing w:after="0"/>
              <w:rPr>
                <w:sz w:val="1"/>
                <w:szCs w:val="1"/>
                <w:color w:val="auto"/>
              </w:rPr>
            </w:pP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Underwriting and operating expenses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34,065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32,277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expenses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(gain) from change in fair value of warrant liability</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47,738</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35,493</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72,156</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13,885</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3"/>
        </w:trPr>
        <w:tc>
          <w:tcPr>
            <w:tcW w:w="7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85,317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68,563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70,401</w:t>
            </w:r>
          </w:p>
        </w:tc>
        <w:tc>
          <w:tcPr>
            <w:tcW w:w="0" w:type="dxa"/>
            <w:vAlign w:val="bottom"/>
          </w:tcPr>
          <w:p>
            <w:pPr>
              <w:spacing w:after="0"/>
              <w:rPr>
                <w:sz w:val="1"/>
                <w:szCs w:val="1"/>
                <w:color w:val="auto"/>
              </w:rPr>
            </w:pPr>
          </w:p>
        </w:tc>
      </w:tr>
      <w:tr>
        <w:trPr>
          <w:trHeight w:val="203"/>
        </w:trPr>
        <w:tc>
          <w:tcPr>
            <w:tcW w:w="7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58,271</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Unrealized losses in accumulated other comprehensive loss, net of tax benefit of $11,997 and $3,424 for</w:t>
            </w:r>
          </w:p>
        </w:tc>
        <w:tc>
          <w:tcPr>
            <w:tcW w:w="3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(45,133)</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quarters ended March 31, 2021 and 2020, respectively</w:t>
            </w:r>
          </w:p>
        </w:tc>
        <w:tc>
          <w:tcPr>
            <w:tcW w:w="3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20"/>
              <w:spacing w:after="0" w:line="176" w:lineRule="exact"/>
              <w:rPr>
                <w:sz w:val="20"/>
                <w:szCs w:val="20"/>
                <w:color w:val="auto"/>
              </w:rPr>
            </w:pPr>
            <w:r>
              <w:rPr>
                <w:rFonts w:ascii="Arial" w:cs="Arial" w:eastAsia="Arial" w:hAnsi="Arial"/>
                <w:sz w:val="18"/>
                <w:szCs w:val="18"/>
                <w:color w:val="auto"/>
                <w:w w:val="93"/>
              </w:rPr>
              <w:t>Reclassification adjustment for realized losses included in net income, net of tax benefit of $15 for the</w:t>
            </w:r>
          </w:p>
        </w:tc>
        <w:tc>
          <w:tcPr>
            <w:tcW w:w="340" w:type="dxa"/>
            <w:vAlign w:val="bottom"/>
          </w:tcPr>
          <w:p>
            <w:pPr>
              <w:spacing w:after="0"/>
              <w:rPr>
                <w:sz w:val="15"/>
                <w:szCs w:val="15"/>
                <w:color w:val="auto"/>
              </w:rPr>
            </w:pP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quarter ended March 31, 2020</w:t>
            </w:r>
          </w:p>
        </w:tc>
        <w:tc>
          <w:tcPr>
            <w:tcW w:w="3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320" w:type="dxa"/>
            <w:vAlign w:val="bottom"/>
            <w:gridSpan w:val="3"/>
            <w:vMerge w:val="restart"/>
          </w:tcPr>
          <w:p>
            <w:pPr>
              <w:jc w:val="right"/>
              <w:ind w:right="292"/>
              <w:spacing w:after="0"/>
              <w:rPr>
                <w:sz w:val="20"/>
                <w:szCs w:val="20"/>
                <w:color w:val="auto"/>
              </w:rPr>
            </w:pPr>
            <w:r>
              <w:rPr>
                <w:rFonts w:ascii="Arial" w:cs="Arial" w:eastAsia="Arial" w:hAnsi="Arial"/>
                <w:sz w:val="14"/>
                <w:szCs w:val="14"/>
                <w:b w:val="1"/>
                <w:bCs w:val="1"/>
                <w:color w:val="auto"/>
              </w:rPr>
              <w:t>Common Stock - Class A</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Accumulated Other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4000" w:type="dxa"/>
            <w:vAlign w:val="bottom"/>
          </w:tcPr>
          <w:p>
            <w:pPr>
              <w:spacing w:after="0"/>
              <w:rPr>
                <w:sz w:val="8"/>
                <w:szCs w:val="8"/>
                <w:color w:val="auto"/>
              </w:rPr>
            </w:pPr>
          </w:p>
        </w:tc>
        <w:tc>
          <w:tcPr>
            <w:tcW w:w="2320" w:type="dxa"/>
            <w:vAlign w:val="bottom"/>
            <w:tcBorders>
              <w:bottom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jc w:val="right"/>
              <w:ind w:right="177"/>
              <w:spacing w:after="0" w:line="102"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8"/>
                <w:szCs w:val="8"/>
                <w:color w:val="auto"/>
              </w:rPr>
            </w:pPr>
          </w:p>
        </w:tc>
        <w:tc>
          <w:tcPr>
            <w:tcW w:w="1160" w:type="dxa"/>
            <w:vAlign w:val="bottom"/>
          </w:tcPr>
          <w:p>
            <w:pPr>
              <w:jc w:val="right"/>
              <w:ind w:right="76"/>
              <w:spacing w:after="0" w:line="102" w:lineRule="exact"/>
              <w:rPr>
                <w:sz w:val="20"/>
                <w:szCs w:val="20"/>
                <w:color w:val="auto"/>
              </w:rPr>
            </w:pPr>
            <w:r>
              <w:rPr>
                <w:rFonts w:ascii="Arial" w:cs="Arial" w:eastAsia="Arial" w:hAnsi="Arial"/>
                <w:sz w:val="11"/>
                <w:szCs w:val="11"/>
                <w:b w:val="1"/>
                <w:bCs w:val="1"/>
                <w:color w:val="auto"/>
              </w:rPr>
              <w:t>Comprehensive</w:t>
            </w:r>
          </w:p>
        </w:tc>
        <w:tc>
          <w:tcPr>
            <w:tcW w:w="200" w:type="dxa"/>
            <w:vAlign w:val="bottom"/>
          </w:tcPr>
          <w:p>
            <w:pPr>
              <w:spacing w:after="0"/>
              <w:rPr>
                <w:sz w:val="8"/>
                <w:szCs w:val="8"/>
                <w:color w:val="auto"/>
              </w:rPr>
            </w:pPr>
          </w:p>
        </w:tc>
        <w:tc>
          <w:tcPr>
            <w:tcW w:w="940" w:type="dxa"/>
            <w:vAlign w:val="bottom"/>
          </w:tcPr>
          <w:p>
            <w:pPr>
              <w:jc w:val="right"/>
              <w:ind w:right="196"/>
              <w:spacing w:after="0" w:line="102" w:lineRule="exact"/>
              <w:rPr>
                <w:sz w:val="20"/>
                <w:szCs w:val="20"/>
                <w:color w:val="auto"/>
              </w:rPr>
            </w:pPr>
            <w:r>
              <w:rPr>
                <w:rFonts w:ascii="Arial" w:cs="Arial" w:eastAsia="Arial" w:hAnsi="Arial"/>
                <w:sz w:val="11"/>
                <w:szCs w:val="11"/>
                <w:b w:val="1"/>
                <w:bCs w:val="1"/>
                <w:color w:val="auto"/>
              </w:rPr>
              <w:t>Retained</w:t>
            </w: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000" w:type="dxa"/>
            <w:vAlign w:val="bottom"/>
          </w:tcPr>
          <w:p>
            <w:pPr>
              <w:spacing w:after="0"/>
              <w:rPr>
                <w:sz w:val="17"/>
                <w:szCs w:val="17"/>
                <w:color w:val="auto"/>
              </w:rPr>
            </w:pP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4"/>
              </w:rPr>
              <w:t>Paid-in Capital</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Earnings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3"/>
          </w:tcPr>
          <w:p>
            <w:pPr>
              <w:jc w:val="right"/>
              <w:ind w:right="636"/>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937,872</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377,011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1,369,591</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Common stock: class A shares issued related to</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warrant exercises</w:t>
            </w: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Common stock: class A shares issued under stock</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Change in unrealized investment gains/losses, net of</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(45,133)</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(45,133)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of $11,997</w:t>
            </w: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52,891</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940,827</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429,902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1,380,308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340" w:hanging="332"/>
        <w:spacing w:after="0" w:line="273" w:lineRule="auto"/>
        <w:tabs>
          <w:tab w:leader="none" w:pos="281" w:val="left"/>
        </w:tabs>
        <w:numPr>
          <w:ilvl w:val="0"/>
          <w:numId w:val="5"/>
        </w:numPr>
        <w:rPr>
          <w:rFonts w:ascii="Arial" w:cs="Arial" w:eastAsia="Arial" w:hAnsi="Arial"/>
          <w:sz w:val="14"/>
          <w:szCs w:val="14"/>
          <w:color w:val="auto"/>
        </w:rPr>
      </w:pPr>
      <w:r>
        <w:rPr>
          <w:rFonts w:ascii="Arial" w:cs="Arial" w:eastAsia="Arial" w:hAnsi="Arial"/>
          <w:sz w:val="14"/>
          <w:szCs w:val="14"/>
          <w:color w:val="auto"/>
        </w:rPr>
        <w:t>During the three months ended March 31, 2021, we issued 23,750 common shares with a par value of $0.01 in connection with the exercise of warrants, which is not identifiable in this schedule due to rounding.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320" w:type="dxa"/>
            <w:vAlign w:val="bottom"/>
            <w:gridSpan w:val="3"/>
            <w:vMerge w:val="restart"/>
          </w:tcPr>
          <w:p>
            <w:pPr>
              <w:jc w:val="right"/>
              <w:ind w:right="312"/>
              <w:spacing w:after="0"/>
              <w:rPr>
                <w:sz w:val="20"/>
                <w:szCs w:val="20"/>
                <w:color w:val="auto"/>
              </w:rPr>
            </w:pPr>
            <w:r>
              <w:rPr>
                <w:rFonts w:ascii="Arial" w:cs="Arial" w:eastAsia="Arial" w:hAnsi="Arial"/>
                <w:sz w:val="14"/>
                <w:szCs w:val="14"/>
                <w:b w:val="1"/>
                <w:bCs w:val="1"/>
                <w:color w:val="auto"/>
              </w:rPr>
              <w:t>Common Stock - Class A</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Accumulated Other</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980" w:type="dxa"/>
            <w:vAlign w:val="bottom"/>
          </w:tcPr>
          <w:p>
            <w:pPr>
              <w:spacing w:after="0"/>
              <w:rPr>
                <w:sz w:val="8"/>
                <w:szCs w:val="8"/>
                <w:color w:val="auto"/>
              </w:rPr>
            </w:pPr>
          </w:p>
        </w:tc>
        <w:tc>
          <w:tcPr>
            <w:tcW w:w="2320" w:type="dxa"/>
            <w:vAlign w:val="bottom"/>
            <w:tcBorders>
              <w:bottom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right"/>
              <w:ind w:right="197"/>
              <w:spacing w:after="0" w:line="102" w:lineRule="exact"/>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8"/>
                <w:szCs w:val="8"/>
                <w:color w:val="auto"/>
              </w:rPr>
            </w:pPr>
          </w:p>
        </w:tc>
        <w:tc>
          <w:tcPr>
            <w:tcW w:w="1140" w:type="dxa"/>
            <w:vAlign w:val="bottom"/>
          </w:tcPr>
          <w:p>
            <w:pPr>
              <w:jc w:val="right"/>
              <w:ind w:right="76"/>
              <w:spacing w:after="0" w:line="102" w:lineRule="exact"/>
              <w:rPr>
                <w:sz w:val="20"/>
                <w:szCs w:val="20"/>
                <w:color w:val="auto"/>
              </w:rPr>
            </w:pPr>
            <w:r>
              <w:rPr>
                <w:rFonts w:ascii="Arial" w:cs="Arial" w:eastAsia="Arial" w:hAnsi="Arial"/>
                <w:sz w:val="11"/>
                <w:szCs w:val="11"/>
                <w:b w:val="1"/>
                <w:bCs w:val="1"/>
                <w:color w:val="auto"/>
              </w:rPr>
              <w:t>Comprehensive</w:t>
            </w: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980" w:type="dxa"/>
            <w:vAlign w:val="bottom"/>
          </w:tcPr>
          <w:p>
            <w:pPr>
              <w:spacing w:after="0"/>
              <w:rPr>
                <w:sz w:val="17"/>
                <w:szCs w:val="17"/>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Income</w:t>
            </w: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Retained Earnings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3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
          </w:tcPr>
          <w:p>
            <w:pPr>
              <w:jc w:val="right"/>
              <w:ind w:right="676"/>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707,003</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17,288</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205,445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930,420</w:t>
            </w:r>
          </w:p>
        </w:tc>
        <w:tc>
          <w:tcPr>
            <w:tcW w:w="0" w:type="dxa"/>
            <w:vAlign w:val="bottom"/>
          </w:tcPr>
          <w:p>
            <w:pPr>
              <w:spacing w:after="0"/>
              <w:rPr>
                <w:sz w:val="1"/>
                <w:szCs w:val="1"/>
                <w:color w:val="auto"/>
              </w:rPr>
            </w:pPr>
          </w:p>
        </w:tc>
      </w:tr>
      <w:tr>
        <w:trPr>
          <w:trHeight w:val="175"/>
        </w:trPr>
        <w:tc>
          <w:tcPr>
            <w:tcW w:w="3980" w:type="dxa"/>
            <w:vAlign w:val="bottom"/>
          </w:tcPr>
          <w:p>
            <w:pPr>
              <w:ind w:left="20"/>
              <w:spacing w:after="0" w:line="176" w:lineRule="exact"/>
              <w:rPr>
                <w:sz w:val="20"/>
                <w:szCs w:val="20"/>
                <w:color w:val="auto"/>
              </w:rPr>
            </w:pPr>
            <w:r>
              <w:rPr>
                <w:rFonts w:ascii="Arial" w:cs="Arial" w:eastAsia="Arial" w:hAnsi="Arial"/>
                <w:sz w:val="18"/>
                <w:szCs w:val="18"/>
                <w:color w:val="auto"/>
              </w:rPr>
              <w:t>Common stock: class A shares issued related to</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warrant exercises</w:t>
            </w: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Common stock: class A shares issued under stock</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Change in unrealized investment gains/losses, net of</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(12,824)</w:t>
            </w: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of $3,409</w:t>
            </w: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58,271</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706,021</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263,716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974,890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340" w:hanging="332"/>
        <w:spacing w:after="0" w:line="273" w:lineRule="auto"/>
        <w:tabs>
          <w:tab w:leader="none" w:pos="289"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three months ended March 31, 2020, we issued 6,474 common shares with a par value of $0.01 in connection with the exercise of warrants, which is not identifiable in this schedule due to rounding.</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580" w:type="dxa"/>
            <w:vAlign w:val="bottom"/>
            <w:tcBorders>
              <w:bottom w:val="single" w:sz="8" w:color="auto"/>
            </w:tcBorders>
            <w:gridSpan w:val="5"/>
          </w:tcPr>
          <w:p>
            <w:pPr>
              <w:jc w:val="right"/>
              <w:ind w:right="515"/>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6"/>
        </w:trPr>
        <w:tc>
          <w:tcPr>
            <w:tcW w:w="766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r>
      <w:tr>
        <w:trPr>
          <w:trHeight w:val="198"/>
        </w:trPr>
        <w:tc>
          <w:tcPr>
            <w:tcW w:w="7660" w:type="dxa"/>
            <w:vAlign w:val="bottom"/>
          </w:tcPr>
          <w:p>
            <w:pPr>
              <w:ind w:left="20"/>
              <w:spacing w:after="0"/>
              <w:rPr>
                <w:sz w:val="20"/>
                <w:szCs w:val="20"/>
                <w:color w:val="auto"/>
              </w:rPr>
            </w:pPr>
            <w:r>
              <w:rPr>
                <w:rFonts w:ascii="Arial" w:cs="Arial" w:eastAsia="Arial" w:hAnsi="Arial"/>
                <w:sz w:val="17"/>
                <w:szCs w:val="17"/>
                <w:color w:val="auto"/>
              </w:rPr>
              <w:t>Cash flows from operating activities</w:t>
            </w:r>
          </w:p>
        </w:tc>
        <w:tc>
          <w:tcPr>
            <w:tcW w:w="1020" w:type="dxa"/>
            <w:vAlign w:val="bottom"/>
          </w:tcPr>
          <w:p>
            <w:pPr>
              <w:spacing w:after="0"/>
              <w:rPr>
                <w:sz w:val="17"/>
                <w:szCs w:val="17"/>
                <w:color w:val="auto"/>
              </w:rPr>
            </w:pPr>
          </w:p>
        </w:tc>
        <w:tc>
          <w:tcPr>
            <w:tcW w:w="1380" w:type="dxa"/>
            <w:vAlign w:val="bottom"/>
            <w:gridSpan w:val="3"/>
          </w:tcPr>
          <w:p>
            <w:pPr>
              <w:jc w:val="right"/>
              <w:ind w:right="95"/>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7"/>
                <w:szCs w:val="17"/>
                <w:color w:val="auto"/>
              </w:rPr>
            </w:pPr>
          </w:p>
        </w:tc>
      </w:tr>
      <w:tr>
        <w:trPr>
          <w:trHeight w:val="217"/>
        </w:trPr>
        <w:tc>
          <w:tcPr>
            <w:tcW w:w="7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52,891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58,271</w:t>
            </w:r>
          </w:p>
        </w:tc>
      </w:tr>
      <w:tr>
        <w:trPr>
          <w:trHeight w:val="216"/>
        </w:trPr>
        <w:tc>
          <w:tcPr>
            <w:tcW w:w="7660" w:type="dxa"/>
            <w:vAlign w:val="bottom"/>
          </w:tcPr>
          <w:p>
            <w:pPr>
              <w:ind w:left="1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realized investment losses</w:t>
            </w:r>
          </w:p>
        </w:tc>
        <w:tc>
          <w:tcPr>
            <w:tcW w:w="10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16"/>
        </w:trPr>
        <w:tc>
          <w:tcPr>
            <w:tcW w:w="7660" w:type="dxa"/>
            <w:vAlign w:val="bottom"/>
          </w:tcPr>
          <w:p>
            <w:pPr>
              <w:ind w:left="220"/>
              <w:spacing w:after="0"/>
              <w:rPr>
                <w:sz w:val="20"/>
                <w:szCs w:val="20"/>
                <w:color w:val="auto"/>
              </w:rPr>
            </w:pPr>
            <w:r>
              <w:rPr>
                <w:rFonts w:ascii="Arial" w:cs="Arial" w:eastAsia="Arial" w:hAnsi="Arial"/>
                <w:sz w:val="17"/>
                <w:szCs w:val="17"/>
                <w:color w:val="auto"/>
              </w:rPr>
              <w:t>Loss (gain) from change in fair value of warrant liability</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(5,959)</w:t>
            </w: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2,441</w:t>
            </w:r>
          </w:p>
        </w:tc>
      </w:tr>
      <w:tr>
        <w:trPr>
          <w:trHeight w:val="216"/>
        </w:trPr>
        <w:tc>
          <w:tcPr>
            <w:tcW w:w="7660" w:type="dxa"/>
            <w:vAlign w:val="bottom"/>
          </w:tcPr>
          <w:p>
            <w:pPr>
              <w:ind w:left="220"/>
              <w:spacing w:after="0"/>
              <w:rPr>
                <w:sz w:val="20"/>
                <w:szCs w:val="20"/>
                <w:color w:val="auto"/>
              </w:rPr>
            </w:pPr>
            <w:r>
              <w:rPr>
                <w:rFonts w:ascii="Arial" w:cs="Arial" w:eastAsia="Arial" w:hAnsi="Arial"/>
                <w:sz w:val="17"/>
                <w:szCs w:val="17"/>
                <w:color w:val="auto"/>
              </w:rPr>
              <w:t>Net amortization of premium on investment securities</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318</w:t>
            </w: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debt discount and debt issuance costs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r>
      <w:tr>
        <w:trPr>
          <w:trHeight w:val="216"/>
        </w:trPr>
        <w:tc>
          <w:tcPr>
            <w:tcW w:w="766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14,561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13,880</w:t>
            </w: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compensation expense</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2,552</w:t>
            </w:r>
          </w:p>
        </w:tc>
      </w:tr>
      <w:tr>
        <w:trPr>
          <w:trHeight w:val="216"/>
        </w:trPr>
        <w:tc>
          <w:tcPr>
            <w:tcW w:w="766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Premiums receivable</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w:t>
            </w:r>
          </w:p>
        </w:tc>
      </w:tr>
      <w:tr>
        <w:trPr>
          <w:trHeight w:val="216"/>
        </w:trPr>
        <w:tc>
          <w:tcPr>
            <w:tcW w:w="7660" w:type="dxa"/>
            <w:vAlign w:val="bottom"/>
          </w:tcPr>
          <w:p>
            <w:pPr>
              <w:ind w:left="360"/>
              <w:spacing w:after="0"/>
              <w:rPr>
                <w:sz w:val="20"/>
                <w:szCs w:val="20"/>
                <w:color w:val="auto"/>
              </w:rPr>
            </w:pPr>
            <w:r>
              <w:rPr>
                <w:rFonts w:ascii="Arial" w:cs="Arial" w:eastAsia="Arial" w:hAnsi="Arial"/>
                <w:sz w:val="17"/>
                <w:szCs w:val="17"/>
                <w:color w:val="auto"/>
              </w:rPr>
              <w:t>Accrued investment income</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(361)</w:t>
            </w: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Prepaid expenses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w:t>
            </w:r>
          </w:p>
        </w:tc>
      </w:tr>
      <w:tr>
        <w:trPr>
          <w:trHeight w:val="216"/>
        </w:trPr>
        <w:tc>
          <w:tcPr>
            <w:tcW w:w="7660" w:type="dxa"/>
            <w:vAlign w:val="bottom"/>
          </w:tcPr>
          <w:p>
            <w:pPr>
              <w:ind w:left="360"/>
              <w:spacing w:after="0"/>
              <w:rPr>
                <w:sz w:val="20"/>
                <w:szCs w:val="20"/>
                <w:color w:val="auto"/>
              </w:rPr>
            </w:pPr>
            <w:r>
              <w:rPr>
                <w:rFonts w:ascii="Arial" w:cs="Arial" w:eastAsia="Arial" w:hAnsi="Arial"/>
                <w:sz w:val="17"/>
                <w:szCs w:val="17"/>
                <w:color w:val="auto"/>
              </w:rPr>
              <w:t>Deferred policy acquisition costs, net</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(2,662)</w:t>
            </w: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assets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r>
      <w:tr>
        <w:trPr>
          <w:trHeight w:val="216"/>
        </w:trPr>
        <w:tc>
          <w:tcPr>
            <w:tcW w:w="7660" w:type="dxa"/>
            <w:vAlign w:val="bottom"/>
          </w:tcPr>
          <w:p>
            <w:pPr>
              <w:ind w:left="360"/>
              <w:spacing w:after="0"/>
              <w:rPr>
                <w:sz w:val="20"/>
                <w:szCs w:val="20"/>
                <w:color w:val="auto"/>
              </w:rPr>
            </w:pPr>
            <w:r>
              <w:rPr>
                <w:rFonts w:ascii="Arial" w:cs="Arial" w:eastAsia="Arial" w:hAnsi="Arial"/>
                <w:sz w:val="17"/>
                <w:szCs w:val="17"/>
                <w:color w:val="auto"/>
              </w:rPr>
              <w:t>Unearned premiums</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8,590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(9,734)</w:t>
            </w: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Reserve for insurance claims and claim expenses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5,727</w:t>
            </w:r>
          </w:p>
        </w:tc>
      </w:tr>
      <w:tr>
        <w:trPr>
          <w:trHeight w:val="216"/>
        </w:trPr>
        <w:tc>
          <w:tcPr>
            <w:tcW w:w="76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Reinsurance recoverable </w:t>
            </w:r>
            <w:r>
              <w:rPr>
                <w:rFonts w:ascii="Arial" w:cs="Arial" w:eastAsia="Arial" w:hAnsi="Arial"/>
                <w:sz w:val="22"/>
                <w:szCs w:val="22"/>
                <w:color w:val="auto"/>
                <w:vertAlign w:val="superscript"/>
              </w:rPr>
              <w:t>(1)</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(1,253)</w:t>
            </w:r>
          </w:p>
        </w:tc>
      </w:tr>
      <w:tr>
        <w:trPr>
          <w:trHeight w:val="216"/>
        </w:trPr>
        <w:tc>
          <w:tcPr>
            <w:tcW w:w="76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Reinsurance balances, net </w:t>
            </w:r>
            <w:r>
              <w:rPr>
                <w:rFonts w:ascii="Arial" w:cs="Arial" w:eastAsia="Arial" w:hAnsi="Arial"/>
                <w:sz w:val="22"/>
                <w:szCs w:val="22"/>
                <w:color w:val="auto"/>
                <w:vertAlign w:val="superscript"/>
              </w:rPr>
              <w:t>(1)</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r>
      <w:tr>
        <w:trPr>
          <w:trHeight w:val="216"/>
        </w:trPr>
        <w:tc>
          <w:tcPr>
            <w:tcW w:w="766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Accounts payable and accrued expenses</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(14,078)</w:t>
            </w:r>
          </w:p>
        </w:tc>
      </w:tr>
      <w:tr>
        <w:trPr>
          <w:trHeight w:val="210"/>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85,464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47,852</w:t>
            </w:r>
          </w:p>
        </w:tc>
      </w:tr>
      <w:tr>
        <w:trPr>
          <w:trHeight w:val="196"/>
        </w:trPr>
        <w:tc>
          <w:tcPr>
            <w:tcW w:w="766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 of short-term investments</w:t>
            </w:r>
          </w:p>
        </w:tc>
        <w:tc>
          <w:tcPr>
            <w:tcW w:w="10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(41,872)</w:t>
            </w:r>
          </w:p>
        </w:tc>
      </w:tr>
      <w:tr>
        <w:trPr>
          <w:trHeight w:val="216"/>
        </w:trPr>
        <w:tc>
          <w:tcPr>
            <w:tcW w:w="7660" w:type="dxa"/>
            <w:vAlign w:val="bottom"/>
          </w:tcPr>
          <w:p>
            <w:pPr>
              <w:ind w:left="140"/>
              <w:spacing w:after="0"/>
              <w:rPr>
                <w:sz w:val="20"/>
                <w:szCs w:val="20"/>
                <w:color w:val="auto"/>
              </w:rPr>
            </w:pPr>
            <w:r>
              <w:rPr>
                <w:rFonts w:ascii="Arial" w:cs="Arial" w:eastAsia="Arial" w:hAnsi="Arial"/>
                <w:sz w:val="17"/>
                <w:szCs w:val="17"/>
                <w:color w:val="auto"/>
              </w:rPr>
              <w:t>Purchase of fixed-maturity investments, available-for-sale</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0"/>
              </w:rPr>
              <w:t>(109,933)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(58,427)</w:t>
            </w:r>
          </w:p>
        </w:tc>
      </w:tr>
      <w:tr>
        <w:trPr>
          <w:trHeight w:val="229"/>
        </w:trPr>
        <w:tc>
          <w:tcPr>
            <w:tcW w:w="7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maturity of short-term investments</w:t>
            </w:r>
          </w:p>
        </w:tc>
        <w:tc>
          <w:tcPr>
            <w:tcW w:w="10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81,207</w:t>
            </w:r>
          </w:p>
        </w:tc>
      </w:tr>
      <w:tr>
        <w:trPr>
          <w:trHeight w:val="216"/>
        </w:trPr>
        <w:tc>
          <w:tcPr>
            <w:tcW w:w="7660" w:type="dxa"/>
            <w:vAlign w:val="bottom"/>
          </w:tcPr>
          <w:p>
            <w:pPr>
              <w:ind w:left="14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15,942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46,368</w:t>
            </w: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and equipment</w:t>
            </w:r>
          </w:p>
        </w:tc>
        <w:tc>
          <w:tcPr>
            <w:tcW w:w="1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(2,456)</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(1,493)</w:t>
            </w:r>
          </w:p>
        </w:tc>
      </w:tr>
      <w:tr>
        <w:trPr>
          <w:trHeight w:val="21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provided by investing activities</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(96,447)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25,783</w:t>
            </w:r>
          </w:p>
        </w:tc>
      </w:tr>
      <w:tr>
        <w:trPr>
          <w:trHeight w:val="196"/>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3,886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3,367</w:t>
            </w:r>
          </w:p>
        </w:tc>
      </w:tr>
      <w:tr>
        <w:trPr>
          <w:trHeight w:val="229"/>
        </w:trPr>
        <w:tc>
          <w:tcPr>
            <w:tcW w:w="7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issuance of common stock related to warrants</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60" w:type="dxa"/>
            <w:vAlign w:val="bottom"/>
          </w:tcPr>
          <w:p>
            <w:pPr>
              <w:ind w:left="140"/>
              <w:spacing w:after="0"/>
              <w:rPr>
                <w:sz w:val="20"/>
                <w:szCs w:val="20"/>
                <w:color w:val="auto"/>
              </w:rPr>
            </w:pPr>
            <w:r>
              <w:rPr>
                <w:rFonts w:ascii="Arial" w:cs="Arial" w:eastAsia="Arial" w:hAnsi="Arial"/>
                <w:sz w:val="17"/>
                <w:szCs w:val="17"/>
                <w:color w:val="auto"/>
              </w:rPr>
              <w:t>Taxes paid related to net share settlement of equity awards</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(4,505)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(7,117)</w:t>
            </w: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of term loan</w:t>
            </w:r>
          </w:p>
        </w:tc>
        <w:tc>
          <w:tcPr>
            <w:tcW w:w="10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r>
      <w:tr>
        <w:trPr>
          <w:trHeight w:val="216"/>
        </w:trPr>
        <w:tc>
          <w:tcPr>
            <w:tcW w:w="7660" w:type="dxa"/>
            <w:vAlign w:val="bottom"/>
          </w:tcPr>
          <w:p>
            <w:pPr>
              <w:ind w:left="140"/>
              <w:spacing w:after="0"/>
              <w:rPr>
                <w:sz w:val="20"/>
                <w:szCs w:val="20"/>
                <w:color w:val="auto"/>
              </w:rPr>
            </w:pPr>
            <w:r>
              <w:rPr>
                <w:rFonts w:ascii="Arial" w:cs="Arial" w:eastAsia="Arial" w:hAnsi="Arial"/>
                <w:sz w:val="17"/>
                <w:szCs w:val="17"/>
                <w:color w:val="auto"/>
              </w:rPr>
              <w:t>Payments of debt issuance/modification costs</w:t>
            </w:r>
          </w:p>
        </w:tc>
        <w:tc>
          <w:tcPr>
            <w:tcW w:w="10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(778)</w:t>
            </w:r>
          </w:p>
        </w:tc>
      </w:tr>
      <w:tr>
        <w:trPr>
          <w:trHeight w:val="210"/>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(4,903)</w:t>
            </w:r>
          </w:p>
        </w:tc>
      </w:tr>
      <w:tr>
        <w:trPr>
          <w:trHeight w:val="75"/>
        </w:trPr>
        <w:tc>
          <w:tcPr>
            <w:tcW w:w="7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68,732</w:t>
            </w:r>
          </w:p>
        </w:tc>
      </w:tr>
      <w:tr>
        <w:trPr>
          <w:trHeight w:val="216"/>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126,937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41,089</w:t>
            </w:r>
          </w:p>
        </w:tc>
      </w:tr>
      <w:tr>
        <w:trPr>
          <w:trHeight w:val="23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115,517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109,821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disclosures of cash flow information</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7"/>
                <w:szCs w:val="17"/>
                <w:color w:val="auto"/>
              </w:rPr>
              <w:t>Interest paid</w:t>
            </w:r>
          </w:p>
        </w:tc>
        <w:tc>
          <w:tcPr>
            <w:tcW w:w="1020" w:type="dxa"/>
            <w:vAlign w:val="bottom"/>
          </w:tcPr>
          <w:p>
            <w:pPr>
              <w:jc w:val="right"/>
              <w:ind w:right="839"/>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2,403</w:t>
            </w: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refunded</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53"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Reinsurance recoverable have been reclassified from "Reinsurance balance, net" in the prior period.</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Accounting Principles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NMIC, our primary insurance subsidiary, issued its first mortgage insurance policy in April 2013. NMIC is licensed to write mortgage insurance in all 50 states and DC. In August 2015, NMIH capitalized a wholly-owned subsidiary, NMI Services, Inc. (NMIS), through which we offer outsourced loan review services to mortgage loan originators.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2020, included in our 2020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Certain reclassifications to previously reported financial information have been made to conform to current period presentation. The results of operations for the interim period may not be indicative of the results that may be expected for the full year ending December 31, 2021.</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 Developments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January 30, 2020, the World Health Organization (WHO) declared the outbreak of COVID-19 a global health emergency and subsequently characterized the outbreak as a global pandemic on March 11, 2020. In an effort to stem contagion and control the COVID-19 pandemic,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 and a record number of Americans were furloughed or laid-off in the ensuing downturn.</w:t>
      </w:r>
    </w:p>
    <w:p>
      <w:pPr>
        <w:spacing w:after="0" w:line="1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global dislocation caused by COVID-19 was unprecedented. In response to the COVID-19 outbreak and uncertainty that it introduced, we activated our disaster continuity program to ensure our employees were safe and able to manage our business without interruption. We pursued a broad series of capital and reinsurance transactions to bolster our balance sheet and expand our ability to serve our customers and their borrowers, and we updated our underwriting guidelines and policy pricing in consideration for the increased level of macroeconomic volatility.</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there is increased optimism that the acute health risk posed by and economic impact of COVID-19 has begun to recede, the pandemic continues to affect communities across the U.S. and poses significant risk globally. The path and pace of global economic recovery will depend, in large part, on the course of the virus, which itself remains unknown and subject to risk. Given this uncertainty, we are not able to fully assess or estimate the ultimate impact COVID-19 will have on the mortgage insurance market, our business performance or our financial position including our new business production, default and claims experience, and investment portfolio results at this time.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Principles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changes to our significant accounting principles as described in Item 8, "</w:t>
      </w:r>
      <w:r>
        <w:rPr>
          <w:rFonts w:ascii="Arial" w:cs="Arial" w:eastAsia="Arial" w:hAnsi="Arial"/>
          <w:sz w:val="18"/>
          <w:szCs w:val="18"/>
          <w:i w:val="1"/>
          <w:iCs w:val="1"/>
          <w:color w:val="auto"/>
        </w:rPr>
        <w:t>Financial Statements and Supplementary Data -</w:t>
      </w:r>
      <w:r>
        <w:rPr>
          <w:rFonts w:ascii="Arial" w:cs="Arial" w:eastAsia="Arial" w:hAnsi="Arial"/>
          <w:sz w:val="18"/>
          <w:szCs w:val="18"/>
          <w:color w:val="auto"/>
        </w:rPr>
        <w:t xml:space="preserve"> </w:t>
      </w:r>
      <w:r>
        <w:rPr>
          <w:rFonts w:ascii="Arial" w:cs="Arial" w:eastAsia="Arial" w:hAnsi="Arial"/>
          <w:sz w:val="18"/>
          <w:szCs w:val="18"/>
          <w:i w:val="1"/>
          <w:iCs w:val="1"/>
          <w:color w:val="auto"/>
        </w:rPr>
        <w:t>Notes to Consolidated Financial Statements - Note 2 - Summary of Accounting Principles</w:t>
      </w:r>
      <w:r>
        <w:rPr>
          <w:rFonts w:ascii="Arial" w:cs="Arial" w:eastAsia="Arial" w:hAnsi="Arial"/>
          <w:sz w:val="18"/>
          <w:szCs w:val="18"/>
          <w:color w:val="auto"/>
        </w:rPr>
        <w:t>" of our 2020 10-K, except as noted in "</w:t>
      </w:r>
      <w:r>
        <w:rPr>
          <w:rFonts w:ascii="Arial" w:cs="Arial" w:eastAsia="Arial" w:hAnsi="Arial"/>
          <w:sz w:val="18"/>
          <w:szCs w:val="18"/>
          <w:i w:val="1"/>
          <w:iCs w:val="1"/>
          <w:color w:val="auto"/>
        </w:rPr>
        <w:t>Recent Accounting Pronouncements - Adopted</w:t>
      </w:r>
      <w:r>
        <w:rPr>
          <w:rFonts w:ascii="Arial" w:cs="Arial" w:eastAsia="Arial" w:hAnsi="Arial"/>
          <w:sz w:val="18"/>
          <w:szCs w:val="18"/>
          <w:color w:val="auto"/>
        </w:rPr>
        <w:t>" below.</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171" w:lineRule="exact"/>
        <w:rPr>
          <w:sz w:val="20"/>
          <w:szCs w:val="20"/>
          <w:color w:val="auto"/>
        </w:rPr>
      </w:pPr>
    </w:p>
    <w:p>
      <w:pPr>
        <w:jc w:val="both"/>
        <w:ind w:left="120" w:right="40" w:firstLine="648"/>
        <w:spacing w:after="0" w:line="259" w:lineRule="auto"/>
        <w:rPr>
          <w:sz w:val="20"/>
          <w:szCs w:val="20"/>
          <w:color w:val="auto"/>
        </w:rPr>
      </w:pPr>
      <w:r>
        <w:rPr>
          <w:rFonts w:ascii="Arial" w:cs="Arial" w:eastAsia="Arial" w:hAnsi="Arial"/>
          <w:sz w:val="18"/>
          <w:szCs w:val="18"/>
          <w:color w:val="auto"/>
        </w:rPr>
        <w:t xml:space="preserve">In December 2019, the Financial Accounting Standards Board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740). </w:t>
      </w:r>
      <w:r>
        <w:rPr>
          <w:rFonts w:ascii="Arial" w:cs="Arial" w:eastAsia="Arial" w:hAnsi="Arial"/>
          <w:sz w:val="18"/>
          <w:szCs w:val="18"/>
          <w:color w:val="auto"/>
        </w:rPr>
        <w:t>The update eliminates certain exceptions for recognizing deferred taxes for investments, performing intra-period allocations and calculating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in interim periods. The ASU also includes guidance to reduce complexity in certain income tax areas, including recognizing deferred taxes for tax goodwill and allocating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taxes to members of a consolidated group. We adopted this ASU on January 1, 2021 and determined it did not have a material impact on our consolidated financial statements.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August 2018, the FASB issued ASU 2018-12, </w:t>
      </w:r>
      <w:r>
        <w:rPr>
          <w:rFonts w:ascii="Arial" w:cs="Arial" w:eastAsia="Arial" w:hAnsi="Arial"/>
          <w:sz w:val="17"/>
          <w:szCs w:val="17"/>
          <w:i w:val="1"/>
          <w:iCs w:val="1"/>
          <w:color w:val="auto"/>
        </w:rPr>
        <w:t>Targeted Improvements to the Accounting for Long-Duration Contracts (Topic 944)</w:t>
      </w:r>
      <w:r>
        <w:rPr>
          <w:rFonts w:ascii="Arial" w:cs="Arial" w:eastAsia="Arial" w:hAnsi="Arial"/>
          <w:sz w:val="17"/>
          <w:szCs w:val="17"/>
          <w:color w:val="auto"/>
        </w:rPr>
        <w:t>. The update provides guidance to the existing recognition, measurement, presentation and disclosure requirements for long-duration contracts issued by an insurance entity. The FASB subsequently issued ASU 2019-09 in November 2019 and ASU 2020-11 in November 2020, which amended the effective date for this standard and provided transition relief to facilitate early application for long duration contracts. These standards will now take effect for public business entities for fiscal years, and interim periods within those fiscal years, beginning after December 15, 2022. We are currently evaluating the impact the adoption of these ASUs will have, if any, on our consolidated financial statements.</w:t>
      </w:r>
    </w:p>
    <w:p>
      <w:pPr>
        <w:spacing w:after="0" w:line="124" w:lineRule="exact"/>
        <w:rPr>
          <w:sz w:val="20"/>
          <w:szCs w:val="20"/>
          <w:color w:val="auto"/>
        </w:rPr>
      </w:pPr>
    </w:p>
    <w:p>
      <w:pPr>
        <w:jc w:val="both"/>
        <w:ind w:left="120" w:right="40" w:firstLine="648"/>
        <w:spacing w:after="0" w:line="290"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(Topic 848). The update provides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beginning in 2021 through 2023. The ASU includes optional expedients and exceptions for applying GAAP to contracts, hedging relationships and other transactions affected by reference rate reform if certain criteria are met. This standard may be elected and applied prospectively over time from March 12, 2020 through December 31, 2022 as reference rate reform activities occur. The adoption of, and future elections under, this ASU are not expected to have a material impact on our consolidated financial statements as the ASU will ease, if warranted, the requirements for accounting for the future effects of the rate reform. We continue to monitor the impact the discontinuance of LIBOR or another reference rate will have on our contracts and other transactions.</w:t>
      </w:r>
    </w:p>
    <w:p>
      <w:pPr>
        <w:spacing w:after="0" w:line="111" w:lineRule="exact"/>
        <w:rPr>
          <w:sz w:val="20"/>
          <w:szCs w:val="20"/>
          <w:color w:val="auto"/>
        </w:rPr>
      </w:pPr>
    </w:p>
    <w:p>
      <w:pPr>
        <w:jc w:val="both"/>
        <w:ind w:left="120" w:right="40" w:firstLine="648"/>
        <w:spacing w:after="0" w:line="275"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w:t>
      </w:r>
      <w:r>
        <w:rPr>
          <w:rFonts w:ascii="Arial" w:cs="Arial" w:eastAsia="Arial" w:hAnsi="Arial"/>
          <w:sz w:val="17"/>
          <w:szCs w:val="17"/>
          <w:color w:val="auto"/>
        </w:rPr>
        <w:t xml:space="preserve"> (Subtopic 470-20) </w:t>
      </w:r>
      <w:r>
        <w:rPr>
          <w:rFonts w:ascii="Arial" w:cs="Arial" w:eastAsia="Arial" w:hAnsi="Arial"/>
          <w:sz w:val="17"/>
          <w:szCs w:val="17"/>
          <w:i w:val="1"/>
          <w:iCs w:val="1"/>
          <w:color w:val="auto"/>
        </w:rPr>
        <w:t>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Contracts in Entity's Own Equity (Subtopic 815-40</w:t>
      </w:r>
      <w:r>
        <w:rPr>
          <w:rFonts w:ascii="Arial" w:cs="Arial" w:eastAsia="Arial" w:hAnsi="Arial"/>
          <w:sz w:val="17"/>
          <w:szCs w:val="17"/>
          <w:color w:val="auto"/>
        </w:rPr>
        <w:t>). This update simplifies the accounting for convertible instruments and contracts on an</w:t>
      </w:r>
      <w:r>
        <w:rPr>
          <w:rFonts w:ascii="Arial" w:cs="Arial" w:eastAsia="Arial" w:hAnsi="Arial"/>
          <w:sz w:val="17"/>
          <w:szCs w:val="17"/>
          <w:i w:val="1"/>
          <w:iCs w:val="1"/>
          <w:color w:val="auto"/>
        </w:rPr>
        <w:t xml:space="preserve"> </w:t>
      </w:r>
      <w:r>
        <w:rPr>
          <w:rFonts w:ascii="Arial" w:cs="Arial" w:eastAsia="Arial" w:hAnsi="Arial"/>
          <w:sz w:val="17"/>
          <w:szCs w:val="17"/>
          <w:color w:val="auto"/>
        </w:rPr>
        <w:t>entity's own equity, including warrants, eliminating certain triggers for derivative accounting. The standard will take effect for public business entities for fiscal years, and interim periods within those fiscal years, beginning after December 15, 2021. We have evaluated the impact the adoption of this ASU and we do not expect it to have a material impact on our consolidated financial statements, including our warrant liability.</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hold all investments on an available-for-sale basis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"Net Realized Investment Loss." To the extent we determine that a security impairment is credit-related, an impairment loss is recognized through the statement of operations as a provision for credit loss expense. The portion of a security impairment attributed to other non-credit related factors is recognized in other comprehensive income, net of taxes.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2"/>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jc w:val="right"/>
              <w:ind w:right="9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4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rPr>
              <w:t>U.S. Treasury securities and obligations of U.S.</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29,419</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470,470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7,148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471,110</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1,184,374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1,196,712</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132,330</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1,814,820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1,831,141</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1,831,511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Gross Unrealized</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Losses</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2"/>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0" w:type="dxa"/>
            <w:vAlign w:val="bottom"/>
            <w:gridSpan w:val="3"/>
          </w:tcPr>
          <w:p>
            <w:pPr>
              <w:jc w:val="right"/>
              <w:ind w:right="696"/>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4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rPr>
              <w:t>U.S. Treasury securities and obligations of U.S.</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29,412</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31,598</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407,323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14,027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421,348</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1,165,260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1,219,791</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131,180</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1,803,917</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1,804,286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own any mortgage-backed securities in our asset-backed securities portfolio at March 31, 2021 or December 31, 2020.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breakdown of the fair value of our corporate debt securities by issuer industry group as of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92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 2021</w:t>
            </w:r>
          </w:p>
        </w:tc>
        <w:tc>
          <w:tcPr>
            <w:tcW w:w="1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Consumer</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23</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Industrial</w:t>
            </w:r>
          </w:p>
        </w:tc>
        <w:tc>
          <w:tcPr>
            <w:tcW w:w="1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2021 and December 31, 2020, approximately $5.7 million of our cash and investments were held in the form of U.S. Treasury securities on deposit with various state insurance departments to satisfy regulatory requirements.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amortized cost and fair value of available-for-sale securities as of March 31, 2021 and December 31, 2020,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3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14"/>
                <w:szCs w:val="14"/>
                <w:color w:val="auto"/>
              </w:rPr>
            </w:pPr>
          </w:p>
        </w:tc>
        <w:tc>
          <w:tcPr>
            <w:tcW w:w="1200" w:type="dxa"/>
            <w:vAlign w:val="bottom"/>
          </w:tcPr>
          <w:p>
            <w:pPr>
              <w:jc w:val="right"/>
              <w:ind w:right="6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0"/>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60,399</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60,995</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541,790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564,386</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1,031,646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1,024,333</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50,798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49,467</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130,557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132,330</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1,815,190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1,831,511</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14"/>
                <w:szCs w:val="14"/>
                <w:color w:val="auto"/>
              </w:rPr>
            </w:pPr>
          </w:p>
        </w:tc>
        <w:tc>
          <w:tcPr>
            <w:tcW w:w="1200" w:type="dxa"/>
            <w:vAlign w:val="bottom"/>
          </w:tcPr>
          <w:p>
            <w:pPr>
              <w:jc w:val="right"/>
              <w:ind w:right="6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0"/>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57,429</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57,949</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507,444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536,520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1,056,098</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21,261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22,539</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128,471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131,180</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1,730,835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1,804,286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2021, the investment portfolio had gross unrealized losses of $25.5 million, none of which had been in an unrealized loss position for a period of twelve months or longer. As of December 31, 2020, the investment portfolio had gross unrealized losses of $0.5 million, of which $8 thousand had been in an unrealized loss position for a period of twelve months or longer. For those securities in an unrealized loss position, the length of time the securities were in such a position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80" w:type="dxa"/>
            <w:vAlign w:val="bottom"/>
            <w:gridSpan w:val="7"/>
          </w:tcPr>
          <w:p>
            <w:pPr>
              <w:ind w:left="700"/>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16"/>
                <w:szCs w:val="16"/>
                <w:color w:val="auto"/>
              </w:rPr>
            </w:pPr>
          </w:p>
        </w:tc>
        <w:tc>
          <w:tcPr>
            <w:tcW w:w="2900" w:type="dxa"/>
            <w:vAlign w:val="bottom"/>
            <w:gridSpan w:val="5"/>
          </w:tcPr>
          <w:p>
            <w:pPr>
              <w:ind w:left="720"/>
              <w:spacing w:after="0"/>
              <w:rPr>
                <w:sz w:val="20"/>
                <w:szCs w:val="20"/>
                <w:color w:val="auto"/>
              </w:rPr>
            </w:pPr>
            <w:r>
              <w:rPr>
                <w:rFonts w:ascii="Arial" w:cs="Arial" w:eastAsia="Arial" w:hAnsi="Arial"/>
                <w:sz w:val="14"/>
                <w:szCs w:val="14"/>
                <w:b w:val="1"/>
                <w:bCs w:val="1"/>
                <w:color w:val="auto"/>
              </w:rPr>
              <w:t>12 Months or Greater</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25"/>
              <w:spacing w:after="0" w:line="135" w:lineRule="exact"/>
              <w:rPr>
                <w:sz w:val="20"/>
                <w:szCs w:val="20"/>
                <w:color w:val="auto"/>
              </w:rPr>
            </w:pPr>
            <w:r>
              <w:rPr>
                <w:rFonts w:ascii="Arial" w:cs="Arial" w:eastAsia="Arial" w:hAnsi="Arial"/>
                <w:sz w:val="14"/>
                <w:szCs w:val="14"/>
                <w:b w:val="1"/>
                <w:bCs w:val="1"/>
                <w:color w:val="auto"/>
              </w:rPr>
              <w:t># of</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6"/>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79"/>
              <w:spacing w:after="0" w:line="135" w:lineRule="exact"/>
              <w:rPr>
                <w:sz w:val="20"/>
                <w:szCs w:val="20"/>
                <w:color w:val="auto"/>
              </w:rPr>
            </w:pPr>
            <w:r>
              <w:rPr>
                <w:rFonts w:ascii="Arial" w:cs="Arial" w:eastAsia="Arial" w:hAnsi="Arial"/>
                <w:sz w:val="14"/>
                <w:szCs w:val="14"/>
                <w:b w:val="1"/>
                <w:bCs w:val="1"/>
                <w:color w:val="auto"/>
                <w:w w:val="88"/>
              </w:rPr>
              <w:t># of</w:t>
            </w:r>
          </w:p>
        </w:tc>
        <w:tc>
          <w:tcPr>
            <w:tcW w:w="9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820" w:type="dxa"/>
            <w:vAlign w:val="bottom"/>
            <w:tcBorders>
              <w:top w:val="single" w:sz="8" w:color="auto"/>
            </w:tcBorders>
          </w:tcPr>
          <w:p>
            <w:pPr>
              <w:jc w:val="center"/>
              <w:ind w:right="56"/>
              <w:spacing w:after="0" w:line="135"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8"/>
              </w:rPr>
              <w:t># of</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160"/>
              <w:spacing w:after="0" w:line="135"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86"/>
        </w:trPr>
        <w:tc>
          <w:tcPr>
            <w:tcW w:w="25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Securities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Securities</w:t>
            </w:r>
          </w:p>
        </w:tc>
        <w:tc>
          <w:tcPr>
            <w:tcW w:w="9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82"/>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591,836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591,836</w:t>
            </w: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(18,843)</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859,818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 $</w:t>
            </w:r>
          </w:p>
        </w:tc>
        <w:tc>
          <w:tcPr>
            <w:tcW w:w="9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859,818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80" w:type="dxa"/>
            <w:vAlign w:val="bottom"/>
            <w:gridSpan w:val="7"/>
          </w:tcPr>
          <w:p>
            <w:pPr>
              <w:ind w:left="720"/>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24"/>
                <w:szCs w:val="24"/>
                <w:color w:val="auto"/>
              </w:rPr>
            </w:pPr>
          </w:p>
        </w:tc>
        <w:tc>
          <w:tcPr>
            <w:tcW w:w="2900" w:type="dxa"/>
            <w:vAlign w:val="bottom"/>
            <w:gridSpan w:val="5"/>
          </w:tcPr>
          <w:p>
            <w:pPr>
              <w:ind w:left="720"/>
              <w:spacing w:after="0"/>
              <w:rPr>
                <w:sz w:val="20"/>
                <w:szCs w:val="20"/>
                <w:color w:val="auto"/>
              </w:rPr>
            </w:pPr>
            <w:r>
              <w:rPr>
                <w:rFonts w:ascii="Arial" w:cs="Arial" w:eastAsia="Arial" w:hAnsi="Arial"/>
                <w:sz w:val="14"/>
                <w:szCs w:val="14"/>
                <w:b w:val="1"/>
                <w:bCs w:val="1"/>
                <w:color w:val="auto"/>
              </w:rPr>
              <w:t>12 Months or Greater</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tcBorders>
          </w:tcPr>
          <w:p>
            <w:pPr>
              <w:jc w:val="right"/>
              <w:ind w:right="205"/>
              <w:spacing w:after="0" w:line="135" w:lineRule="exact"/>
              <w:rPr>
                <w:sz w:val="20"/>
                <w:szCs w:val="20"/>
                <w:color w:val="auto"/>
              </w:rPr>
            </w:pPr>
            <w:r>
              <w:rPr>
                <w:rFonts w:ascii="Arial" w:cs="Arial" w:eastAsia="Arial" w:hAnsi="Arial"/>
                <w:sz w:val="14"/>
                <w:szCs w:val="14"/>
                <w:b w:val="1"/>
                <w:bCs w:val="1"/>
                <w:color w:val="auto"/>
              </w:rPr>
              <w:t># of</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auto"/>
            </w:tcBorders>
          </w:tcPr>
          <w:p>
            <w:pPr>
              <w:jc w:val="center"/>
              <w:ind w:right="39"/>
              <w:spacing w:after="0" w:line="135" w:lineRule="exact"/>
              <w:rPr>
                <w:sz w:val="20"/>
                <w:szCs w:val="20"/>
                <w:color w:val="auto"/>
              </w:rPr>
            </w:pPr>
            <w:r>
              <w:rPr>
                <w:rFonts w:ascii="Arial" w:cs="Arial" w:eastAsia="Arial" w:hAnsi="Arial"/>
                <w:sz w:val="14"/>
                <w:szCs w:val="14"/>
                <w:b w:val="1"/>
                <w:bCs w:val="1"/>
                <w:color w:val="auto"/>
                <w:w w:val="88"/>
              </w:rPr>
              <w:t># of</w:t>
            </w:r>
          </w:p>
        </w:tc>
        <w:tc>
          <w:tcPr>
            <w:tcW w:w="98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840" w:type="dxa"/>
            <w:vAlign w:val="bottom"/>
            <w:tcBorders>
              <w:top w:val="single" w:sz="8" w:color="auto"/>
            </w:tcBorders>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6"/>
              </w:rPr>
              <w:t># of</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0"/>
              </w:rPr>
              <w:t>Unrealized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jc w:val="right"/>
              <w:ind w:right="25"/>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Securities</w:t>
            </w:r>
          </w:p>
        </w:tc>
        <w:tc>
          <w:tcPr>
            <w:tcW w:w="980" w:type="dxa"/>
            <w:vAlign w:val="bottom"/>
            <w:vMerge w:val="continue"/>
          </w:tcPr>
          <w:p>
            <w:pPr>
              <w:spacing w:after="0"/>
              <w:rPr>
                <w:sz w:val="16"/>
                <w:szCs w:val="16"/>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78"/>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ind w:left="18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5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3,548</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3,548</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33</w:t>
            </w:r>
          </w:p>
        </w:tc>
        <w:tc>
          <w:tcPr>
            <w:tcW w:w="9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40,114</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1</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2,495</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7,686</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2 $</w:t>
            </w:r>
          </w:p>
        </w:tc>
        <w:tc>
          <w:tcPr>
            <w:tcW w:w="9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6"/>
              </w:rPr>
              <w:t>2,528 $</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Allowance for credit losses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2021, we did not recognize an allowance for credit loss for any security in the investment portfolio and we did not record any provision for credit loss for investment securities during the three months ended March 31, 2021, and March 31, 2020.</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the number of securities in and the aggregate size of the unrealized loss position as of March 31, 2021, was primarily driven by interest rate movements following the purchase date of certain securities. Based on current facts and circumstances, we believe the unrealized losses as of March 31, 2021 are not indicative of the ultimate collectability of the current amortized cost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net investment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3020" w:type="dxa"/>
            <w:vAlign w:val="bottom"/>
            <w:tcBorders>
              <w:bottom w:val="single" w:sz="8" w:color="auto"/>
            </w:tcBorders>
            <w:gridSpan w:val="4"/>
          </w:tcPr>
          <w:p>
            <w:pPr>
              <w:jc w:val="center"/>
              <w:ind w:left="459"/>
              <w:spacing w:after="0"/>
              <w:rPr>
                <w:sz w:val="20"/>
                <w:szCs w:val="20"/>
                <w:color w:val="auto"/>
              </w:rPr>
            </w:pPr>
            <w:r>
              <w:rPr>
                <w:rFonts w:ascii="Arial" w:cs="Arial" w:eastAsia="Arial" w:hAnsi="Arial"/>
                <w:sz w:val="14"/>
                <w:szCs w:val="14"/>
                <w:b w:val="1"/>
                <w:bCs w:val="1"/>
                <w:color w:val="auto"/>
                <w:w w:val="93"/>
              </w:rPr>
              <w:t>For the three months ended March 31,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00" w:type="dxa"/>
            <w:vAlign w:val="bottom"/>
            <w:gridSpan w:val="3"/>
          </w:tcPr>
          <w:p>
            <w:pPr>
              <w:jc w:val="center"/>
              <w:ind w:right="496"/>
              <w:spacing w:after="0"/>
              <w:rPr>
                <w:sz w:val="20"/>
                <w:szCs w:val="20"/>
                <w:color w:val="auto"/>
              </w:rPr>
            </w:pPr>
            <w:r>
              <w:rPr>
                <w:rFonts w:ascii="Arial" w:cs="Arial" w:eastAsia="Arial" w:hAnsi="Arial"/>
                <w:sz w:val="14"/>
                <w:szCs w:val="14"/>
                <w:i w:val="1"/>
                <w:iCs w:val="1"/>
                <w:color w:val="auto"/>
                <w:w w:val="93"/>
              </w:rPr>
              <w:t>(In Thousands)</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8,349</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expenses</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8,104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The following table presents the components of net realized investment losses: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76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640" w:type="dxa"/>
            <w:vAlign w:val="bottom"/>
          </w:tcPr>
          <w:p>
            <w:pPr>
              <w:spacing w:after="0"/>
              <w:rPr>
                <w:sz w:val="24"/>
                <w:szCs w:val="24"/>
                <w:color w:val="auto"/>
              </w:rPr>
            </w:pPr>
          </w:p>
        </w:tc>
        <w:tc>
          <w:tcPr>
            <w:tcW w:w="3020" w:type="dxa"/>
            <w:vAlign w:val="bottom"/>
            <w:tcBorders>
              <w:bottom w:val="single" w:sz="8" w:color="auto"/>
            </w:tcBorders>
            <w:gridSpan w:val="4"/>
          </w:tcPr>
          <w:p>
            <w:pPr>
              <w:jc w:val="center"/>
              <w:ind w:left="459"/>
              <w:spacing w:after="0"/>
              <w:rPr>
                <w:sz w:val="20"/>
                <w:szCs w:val="20"/>
                <w:color w:val="auto"/>
              </w:rPr>
            </w:pPr>
            <w:r>
              <w:rPr>
                <w:rFonts w:ascii="Arial" w:cs="Arial" w:eastAsia="Arial" w:hAnsi="Arial"/>
                <w:sz w:val="14"/>
                <w:szCs w:val="14"/>
                <w:b w:val="1"/>
                <w:bCs w:val="1"/>
                <w:color w:val="auto"/>
                <w:w w:val="93"/>
              </w:rPr>
              <w:t>For the three months ended March 31,</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00" w:type="dxa"/>
            <w:vAlign w:val="bottom"/>
            <w:gridSpan w:val="3"/>
          </w:tcPr>
          <w:p>
            <w:pPr>
              <w:jc w:val="center"/>
              <w:ind w:right="496"/>
              <w:spacing w:after="0"/>
              <w:rPr>
                <w:sz w:val="20"/>
                <w:szCs w:val="20"/>
                <w:color w:val="auto"/>
              </w:rPr>
            </w:pPr>
            <w:r>
              <w:rPr>
                <w:rFonts w:ascii="Arial" w:cs="Arial" w:eastAsia="Arial" w:hAnsi="Arial"/>
                <w:sz w:val="14"/>
                <w:szCs w:val="14"/>
                <w:i w:val="1"/>
                <w:iCs w:val="1"/>
                <w:color w:val="auto"/>
                <w:w w:val="93"/>
              </w:rPr>
              <w:t>(In Thousands)</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investment gains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Gross realized investment losses</w:t>
            </w:r>
          </w:p>
        </w:tc>
        <w:tc>
          <w:tcPr>
            <w:tcW w:w="11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8"/>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investment losses</w:t>
            </w:r>
          </w:p>
        </w:tc>
        <w:tc>
          <w:tcPr>
            <w:tcW w:w="112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1 - Fair value measurements based on quoted prices in active markets that we have the ability to access for identical assets or liabilities.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price data generally is obtained from exchange or dealer markets. We do not adjust the quoted price for such instruments.</w:t>
      </w:r>
    </w:p>
    <w:p>
      <w:pPr>
        <w:spacing w:after="0" w:line="15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33"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right="270"/>
              <w:spacing w:after="0"/>
              <w:rPr>
                <w:sz w:val="20"/>
                <w:szCs w:val="20"/>
                <w:color w:val="auto"/>
              </w:rPr>
            </w:pPr>
            <w:r>
              <w:rPr>
                <w:rFonts w:ascii="Arial" w:cs="Arial" w:eastAsia="Arial" w:hAnsi="Arial"/>
                <w:sz w:val="14"/>
                <w:szCs w:val="14"/>
                <w:b w:val="1"/>
                <w:bCs w:val="1"/>
                <w:color w:val="auto"/>
                <w:w w:val="92"/>
              </w:rPr>
              <w:t>Fair Value Measurements Using</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420" w:type="dxa"/>
            <w:vAlign w:val="bottom"/>
          </w:tcPr>
          <w:p>
            <w:pPr>
              <w:spacing w:after="0"/>
              <w:rPr>
                <w:sz w:val="11"/>
                <w:szCs w:val="11"/>
                <w:color w:val="auto"/>
              </w:rPr>
            </w:pPr>
          </w:p>
        </w:tc>
        <w:tc>
          <w:tcPr>
            <w:tcW w:w="1300" w:type="dxa"/>
            <w:vAlign w:val="bottom"/>
          </w:tcPr>
          <w:p>
            <w:pPr>
              <w:jc w:val="center"/>
              <w:ind w:right="336"/>
              <w:spacing w:after="0" w:line="135" w:lineRule="exact"/>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1"/>
                <w:szCs w:val="11"/>
                <w:color w:val="auto"/>
              </w:rPr>
            </w:pPr>
          </w:p>
        </w:tc>
        <w:tc>
          <w:tcPr>
            <w:tcW w:w="14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 of March 31, 2021</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04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U.S. Treasury securities and obligations of U.S.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36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18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471,110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471,110</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1,196,712</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132,330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132,330</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115,887</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146,876</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1,800,152</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1,947,028</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4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right="270"/>
              <w:spacing w:after="0"/>
              <w:rPr>
                <w:sz w:val="20"/>
                <w:szCs w:val="20"/>
                <w:color w:val="auto"/>
              </w:rPr>
            </w:pPr>
            <w:r>
              <w:rPr>
                <w:rFonts w:ascii="Arial" w:cs="Arial" w:eastAsia="Arial" w:hAnsi="Arial"/>
                <w:sz w:val="14"/>
                <w:szCs w:val="14"/>
                <w:b w:val="1"/>
                <w:bCs w:val="1"/>
                <w:color w:val="auto"/>
                <w:w w:val="92"/>
              </w:rPr>
              <w:t>Fair Value Measurements Using</w:t>
            </w: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420" w:type="dxa"/>
            <w:vAlign w:val="bottom"/>
          </w:tcPr>
          <w:p>
            <w:pPr>
              <w:spacing w:after="0"/>
              <w:rPr>
                <w:sz w:val="11"/>
                <w:szCs w:val="11"/>
                <w:color w:val="auto"/>
              </w:rPr>
            </w:pPr>
          </w:p>
        </w:tc>
        <w:tc>
          <w:tcPr>
            <w:tcW w:w="1300" w:type="dxa"/>
            <w:vAlign w:val="bottom"/>
          </w:tcPr>
          <w:p>
            <w:pPr>
              <w:jc w:val="center"/>
              <w:ind w:right="336"/>
              <w:spacing w:after="0" w:line="135" w:lineRule="exact"/>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1"/>
                <w:szCs w:val="11"/>
                <w:color w:val="auto"/>
              </w:rPr>
            </w:pPr>
          </w:p>
        </w:tc>
        <w:tc>
          <w:tcPr>
            <w:tcW w:w="14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U.S. Treasury securities and obligations of U.S.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31,598</w:t>
            </w:r>
          </w:p>
        </w:tc>
        <w:tc>
          <w:tcPr>
            <w:tcW w:w="36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31,598</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18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421,348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421,348</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1,219,791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1,219,791</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131,180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131,180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127,306</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158,904</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1,772,319</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1,931,223</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transfers between Level 2 and Level 3 of the fair value hierarchy during the three months ended March 31, 2021, 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roll-forward of Level 3 liabilities measured at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2020</w:t>
            </w:r>
          </w:p>
        </w:tc>
      </w:tr>
      <w:tr>
        <w:trPr>
          <w:trHeight w:val="223"/>
        </w:trPr>
        <w:tc>
          <w:tcPr>
            <w:tcW w:w="7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19"/>
                <w:szCs w:val="19"/>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 included in earnings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(5,959)</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 on warrant exercise</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Balance, March 31</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r>
      <w:tr>
        <w:trPr>
          <w:trHeight w:val="21"/>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outlines the key inputs and assumptions used to calculate the fair value of the warrant liability in the Black-Scholes option-pricing model as of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As of March 31,</w:t>
            </w:r>
          </w:p>
        </w:tc>
        <w:tc>
          <w:tcPr>
            <w:tcW w:w="1240" w:type="dxa"/>
            <w:vAlign w:val="bottom"/>
            <w:tcBorders>
              <w:bottom w:val="single" w:sz="8" w:color="auto"/>
            </w:tcBorders>
          </w:tcPr>
          <w:p>
            <w:pPr>
              <w:spacing w:after="0"/>
              <w:rPr>
                <w:sz w:val="16"/>
                <w:szCs w:val="16"/>
                <w:color w:val="auto"/>
              </w:rPr>
            </w:pPr>
          </w:p>
        </w:tc>
      </w:tr>
      <w:tr>
        <w:trPr>
          <w:trHeight w:val="187"/>
        </w:trPr>
        <w:tc>
          <w:tcPr>
            <w:tcW w:w="74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2020</w:t>
            </w:r>
          </w:p>
        </w:tc>
      </w:tr>
      <w:tr>
        <w:trPr>
          <w:trHeight w:val="224"/>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price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11.61</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0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0.08 %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0.23 %</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w:t>
            </w:r>
          </w:p>
        </w:tc>
        <w:tc>
          <w:tcPr>
            <w:tcW w:w="10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1.06 years</w:t>
            </w: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 years</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89.4 %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61.4 %</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changes in fair value of the warrant liability for the three months ended March 31, 2021 and 2020 were driven by changes in the price of our common stock, exercise of outstanding warrants and changes in other Black-Scholes model inputs during the respective periods.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19, 2020, we issued $400.0 million aggregate principal amount of senior secured notes that mature on June 1, 2025 (the Notes) and used a portion of the proceeds from the Notes offering to repay the outstanding amount due under our $150 million term loan (2018 Term Loan). At March 31, 2021, the Notes were carried at a cost of $393.6 million, net of unamortized debt issuance costs of $6.4 million, and had a fair value of $461.7 million as assessed under our Level 2 hierarchy. At December 31, 2020, the Notes were carried at a cost of $393.3 million, net of unamortized debt issuance costs of $6.7 million, and had a fair value of $447.1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Secured Notes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March 31, 2021, we had $400.0 million aggregate principal amount of senior secured notes outstanding. The Notes were issued pursuant to an indenture dated June 19, 2020 (the Indenture) and bear interest at a rate of 7.375%, payable semi-annually on June 1 and December 1. $244.4 million of proceeds from the Notes offering were contributed to our lead operating subsidiary, NMIC and remaining proceeds were used to repay the outstanding amount due under the 2018 Term Loan due on May 24, 2023 and to pay underwriting fees incurred connection with the offering.</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Notes mature on June 1, 2025. At any time, or from time to time, prior to March 1, 2025, we may elect to redeem the Notes in whole or in part at a price based on 100% of the aggregate principal amount of any Notes redeemed plus the "Applicable Premium," plus accrued and unpaid interest thereon. Applicable Premium is defined as the greater of (1) 1.0% of the principal amount of the Notes, or (2) the principal value of the Notes plus the present value of all future interest payments. At any time on or after March 1, 2025, we may elect to redeem the Notes in whole or in part at a price equal to 100% of the aggregate principal amount of the Notes to be redeemed plus accrued and unpaid interest thereon. From time to time prior to June 1, 2022, we may also elect to use proceeds raised from one or more equity offerings to redeem up to 40% of the aggregate principal amount of the Notes at a price equal to 107.375% of the aggregate principal amount thereof plus accrued and unpaid interest thereon,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At March 31, 2021, $6.4 million of unamortized debt issuance costs remained.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March 31, 2021 and December 31, 2020, $9.8 million and $2.5 million, respectively, of accrued and unpaid interest on the Notes was included in "Accounts Payable and Accrued Expenses" on our condensed consolidated balance sheet.</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2020 Revolving Credit Facility</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March 20, 2020, we amended our $85 million three-year secured revolving credit facility (the 2018 Revolving Credit Facility), increasing borrowing capacity under the facility to $100 million, extending its maturity date from May 24, 2021 to February 22, 2023, and reducing the interest cost related to both undrawn commitments and drawn borrowings under the facility (as amended, the 2020 Revolving Credit Facility). Borrowings under the 2020 Revolving Credit Facility may be used for general corporate purposes, including to support the growth of our new business production and operations, and accrue interest at a variable rate equal to, at our discretion, (i) a base rate (as defined in our existing credit agreement (the Credit Agreement), subject to a floor of 1.00% per annum) plus a margin of 0.375% to 1.875% per annum or (ii) the Eurodollar Rate plus a margin of 1.375% to 2.875% per annum, based on the applicable corporate credit rating at the time.</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30, 2020, we entered into a Joinder Agreement to the Credit Agreement, increasing the aggregate principal amount of commitments under the 2020 Revolving Credit Facility from $100 million to $110 million. All other terms remained unchanged. As of March 31, 2021, no amounts were drawn under the 2020 Revolving Credit Facility.</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2020 Revolving Credit Facility, we are required to pay a quarterly commitment fee on the average daily undrawn amount of 0.175% to 0.525%, based on the applicable corporate credit rating at the time. As of March 31, 2021, the applicable commitment fee was 0.35%. For the three months ended March 31, 2021, we recorded $0.1 million of commitment fees in interest expense.</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incurred debt issuance costs of $0.8 million in connection with the 2020 Revolving Credit Facility and had $0.6 million of unamortized debt issuance costs associated with the 2018 Revolving Credit Facility remaining at the time of its amendment and replacement. Combined unamortized debt issuance will be amortized through interest expense on a straight-line basis over the contractual life of the 2020 Revolving Credit Facility. At March 31, 2021, remaining unamortized deferred debt issuance costs were $0.9 million.</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certain covenants under the 2020 Revolving Credit Facility, including, but not limited to, the following: a maximum debt-to-total capitalization ratio of 35%, a minimum liquidity requirement, compliance with the PMIERs' financial requirements (subject to any GSE approved waivers), and minimum consolidated net worth and statutory capital requirements (respectively, as defined therein). We were in compliance with all covenants at March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including levels of approved capital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87"/>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4"/>
              </w:rPr>
              <w:t>March 31, 2020</w:t>
            </w:r>
          </w:p>
        </w:tc>
      </w:tr>
      <w:tr>
        <w:trPr>
          <w:trHeight w:val="181"/>
        </w:trPr>
        <w:tc>
          <w:tcPr>
            <w:tcW w:w="7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3"/>
          </w:tcPr>
          <w:p>
            <w:pPr>
              <w:jc w:val="center"/>
              <w:ind w:left="1016"/>
              <w:spacing w:after="0"/>
              <w:rPr>
                <w:sz w:val="20"/>
                <w:szCs w:val="20"/>
                <w:color w:val="auto"/>
              </w:rPr>
            </w:pPr>
            <w:r>
              <w:rPr>
                <w:rFonts w:ascii="Arial" w:cs="Arial" w:eastAsia="Arial" w:hAnsi="Arial"/>
                <w:sz w:val="14"/>
                <w:szCs w:val="14"/>
                <w:i w:val="1"/>
                <w:iCs w:val="1"/>
                <w:color w:val="auto"/>
                <w:w w:val="93"/>
              </w:rPr>
              <w:t>(In Thousands)</w:t>
            </w:r>
          </w:p>
        </w:tc>
        <w:tc>
          <w:tcPr>
            <w:tcW w:w="1340" w:type="dxa"/>
            <w:vAlign w:val="bottom"/>
          </w:tcPr>
          <w:p>
            <w:pPr>
              <w:spacing w:after="0"/>
              <w:rPr>
                <w:sz w:val="15"/>
                <w:szCs w:val="15"/>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Direct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820"/>
              <w:spacing w:after="0"/>
              <w:rPr>
                <w:sz w:val="20"/>
                <w:szCs w:val="20"/>
                <w:color w:val="auto"/>
              </w:rPr>
            </w:pPr>
            <w:r>
              <w:rPr>
                <w:rFonts w:ascii="Arial" w:cs="Arial" w:eastAsia="Arial" w:hAnsi="Arial"/>
                <w:sz w:val="18"/>
                <w:szCs w:val="18"/>
                <w:color w:val="auto"/>
                <w:w w:val="98"/>
              </w:rPr>
              <w:t>136,232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103,453</w:t>
            </w:r>
          </w:p>
        </w:tc>
      </w:tr>
      <w:tr>
        <w:trPr>
          <w:trHeight w:val="229"/>
        </w:trPr>
        <w:tc>
          <w:tcPr>
            <w:tcW w:w="76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2"/>
              </w:rPr>
              <w:t>(20,417)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(12,082)</w:t>
            </w: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color w:val="auto"/>
              </w:rPr>
              <w:t>Net premiums written</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5"/>
              </w:rPr>
              <w:t>115,815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91,371</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7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127,643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113,187</w:t>
            </w:r>
          </w:p>
        </w:tc>
      </w:tr>
      <w:tr>
        <w:trPr>
          <w:trHeight w:val="229"/>
        </w:trPr>
        <w:tc>
          <w:tcPr>
            <w:tcW w:w="76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2"/>
              </w:rPr>
              <w:t>(21,764)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(14,470)</w:t>
            </w:r>
          </w:p>
        </w:tc>
      </w:tr>
      <w:tr>
        <w:trPr>
          <w:trHeight w:val="24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premiums earned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8"/>
              </w:rPr>
              <w:t>105,879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Net of profit commission.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NMIC is party to excess-of-loss reinsurance agreements with Oaktown Re Ltd., Oaktown Re II Ltd., Oaktown Re III Ltd., Oaktown Re IV Ltd. and Oaktown Re V Ltd. (special purpose reinsurance entities collectively referred to as the Oaktown Re Vehicles). Each agreement provides NMIC with aggregate excess-of-loss reinsurance coverage on a defined portfolio of mortgage insurance policies written during a discrete period.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NMIC makes risk premium payments to the Oaktown Re Vehicles for the applicable outstanding reinsurance coverage amount and pays an additional amount for anticipated operating expenses (capped at $300 thousand per year to Oaktown Re Ltd. and $250 thousand per year to Oaktown Re II Ltd., Oaktown Re III Ltd., Oaktown Re IV Ltd. and Oaktown Re V Ltd.). NMIC ceded aggregate premiums to the Oaktown Re Vehicles of $9.4 million and $3.9 million during the three months ended March 31, 2021 and March 31, 2020, respectively. The increase in premiums ceded is due to the inception of the excess-of-loss reinsurance agreements that NMIC entered in with Oaktown Re IV Ltd. and Oaktown Re V Ltd.</w:t>
      </w:r>
    </w:p>
    <w:p>
      <w:pPr>
        <w:spacing w:after="0" w:line="1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NMIC applies claims paid on covered policies against its first layer aggregate retained loss exposure under each excess-of-loss agreement. NMIC did not cede any incurred losses on covered policies to the Oaktown Re Vehicles during the three months ended March 31, 2021 and 2020, as the aggregate first layer risk retention for each applicable agreement was not exhausted during such periods.</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We refer to NMIC's reinsurance agreements with and the insurance-linked note issuances by Oaktown Re Ltd., Oaktown Re II Ltd., Oaktown Re III Ltd., Oaktown Re IV Ltd. and Oaktown Re V Ltd., individually as the 2017 ILN Transaction, 2018 ILN Transaction, 2019 ILN Transaction, 2020-1 ILN Transaction and 2020-2 ILN Transaction, and collectively as the ILN Transactions.</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respective reinsurance coverage amounts provided by the Oaktown Re Vehicles decrease from the inception of each agreement over a ten-year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Effective June 25, 2020, a Lock-Out Event was deemed to have occurred for each of the 2017, 2018 and 2019 ILN Transactions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suspended for the duration of the Lock-Out Event for each ILN Transaction, and during such period assets will be preserved in the applicable reinsurance trust account to collateralize the excess-of-loss reinsurance coverage provided to NMIC.</w:t>
      </w:r>
    </w:p>
    <w:p>
      <w:pPr>
        <w:spacing w:after="0" w:line="11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table presents the inception date, covered production period, initial and current reinsurance coverage amount, and initial and current first layer retained aggregate loss under each of the ILN Transactions. Current amounts are presented as of March 31,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Current</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Initial First Layer</w:t>
            </w:r>
          </w:p>
        </w:tc>
        <w:tc>
          <w:tcPr>
            <w:tcW w:w="12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w w:val="99"/>
              </w:rPr>
              <w:t>Current First</w:t>
            </w:r>
          </w:p>
        </w:tc>
        <w:tc>
          <w:tcPr>
            <w:tcW w:w="0" w:type="dxa"/>
            <w:vAlign w:val="bottom"/>
          </w:tcPr>
          <w:p>
            <w:pPr>
              <w:spacing w:after="0"/>
              <w:rPr>
                <w:sz w:val="1"/>
                <w:szCs w:val="1"/>
                <w:color w:val="auto"/>
              </w:rPr>
            </w:pPr>
          </w:p>
        </w:tc>
      </w:tr>
      <w:tr>
        <w:trPr>
          <w:trHeight w:val="135"/>
        </w:trPr>
        <w:tc>
          <w:tcPr>
            <w:tcW w:w="2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Inception Date</w:t>
            </w:r>
          </w:p>
        </w:tc>
        <w:tc>
          <w:tcPr>
            <w:tcW w:w="22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Covered Production</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Reinsurance</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Reinsurance</w:t>
            </w:r>
          </w:p>
        </w:tc>
        <w:tc>
          <w:tcPr>
            <w:tcW w:w="13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5"/>
              </w:rPr>
              <w:t>Layer Retained</w:t>
            </w:r>
          </w:p>
        </w:tc>
        <w:tc>
          <w:tcPr>
            <w:tcW w:w="0" w:type="dxa"/>
            <w:vAlign w:val="bottom"/>
          </w:tcPr>
          <w:p>
            <w:pPr>
              <w:spacing w:after="0"/>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Coverage</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Coverage</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Retained Loss</w:t>
            </w:r>
          </w:p>
        </w:tc>
        <w:tc>
          <w:tcPr>
            <w:tcW w:w="120" w:type="dxa"/>
            <w:vAlign w:val="bottom"/>
          </w:tcPr>
          <w:p>
            <w:pPr>
              <w:spacing w:after="0"/>
              <w:rPr>
                <w:sz w:val="16"/>
                <w:szCs w:val="16"/>
                <w:color w:val="auto"/>
              </w:rPr>
            </w:pPr>
          </w:p>
        </w:tc>
        <w:tc>
          <w:tcPr>
            <w:tcW w:w="1140" w:type="dxa"/>
            <w:vAlign w:val="bottom"/>
          </w:tcPr>
          <w:p>
            <w:pPr>
              <w:jc w:val="center"/>
              <w:ind w:right="37"/>
              <w:spacing w:after="0" w:line="189" w:lineRule="exact"/>
              <w:rPr>
                <w:sz w:val="20"/>
                <w:szCs w:val="20"/>
                <w:color w:val="auto"/>
              </w:rPr>
            </w:pPr>
            <w:r>
              <w:rPr>
                <w:rFonts w:ascii="Arial" w:cs="Arial" w:eastAsia="Arial" w:hAnsi="Arial"/>
                <w:sz w:val="14"/>
                <w:szCs w:val="14"/>
                <w:b w:val="1"/>
                <w:bCs w:val="1"/>
                <w:color w:val="auto"/>
                <w:w w:val="81"/>
              </w:rPr>
              <w:t xml:space="preserve">Loss </w:t>
            </w:r>
            <w:r>
              <w:rPr>
                <w:rFonts w:ascii="Arial" w:cs="Arial" w:eastAsia="Arial" w:hAnsi="Arial"/>
                <w:sz w:val="18"/>
                <w:szCs w:val="18"/>
                <w:b w:val="1"/>
                <w:bCs w:val="1"/>
                <w:color w:val="auto"/>
                <w:w w:val="81"/>
                <w:vertAlign w:val="superscript"/>
              </w:rPr>
              <w:t>(1)</w:t>
            </w:r>
          </w:p>
        </w:tc>
        <w:tc>
          <w:tcPr>
            <w:tcW w:w="0" w:type="dxa"/>
            <w:vAlign w:val="bottom"/>
          </w:tcPr>
          <w:p>
            <w:pPr>
              <w:spacing w:after="0"/>
              <w:rPr>
                <w:sz w:val="1"/>
                <w:szCs w:val="1"/>
                <w:color w:val="auto"/>
              </w:rPr>
            </w:pP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 ILN Transaction</w:t>
            </w: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May 2, 2017</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1/1/2013 - 12/31/2016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126,793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121,376</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2018 ILN Transaction</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25, 2018</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1/1/2017 - 5/31/2018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264,545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158,489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125,312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123,051</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ILN Transaction</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30, 2019</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6/1/2018 - 6/30/2019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122,838</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2020-1 ILN Transaction</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30, 2020</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7/1/2019 - 3/31/2020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322,076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169,514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169,514</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2020-2 ILN Transaction</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29, 2020</w:t>
            </w:r>
          </w:p>
        </w:tc>
        <w:tc>
          <w:tcPr>
            <w:tcW w:w="216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9"/>
              </w:rPr>
              <w:t xml:space="preserve">4/1/2020 - 9/30/2020 </w:t>
            </w:r>
            <w:r>
              <w:rPr>
                <w:rFonts w:ascii="Arial" w:cs="Arial" w:eastAsia="Arial" w:hAnsi="Arial"/>
                <w:sz w:val="23"/>
                <w:szCs w:val="23"/>
                <w:color w:val="auto"/>
                <w:w w:val="89"/>
                <w:vertAlign w:val="superscript"/>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121,177</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right="400" w:hanging="332"/>
        <w:spacing w:after="0" w:line="212" w:lineRule="auto"/>
        <w:tabs>
          <w:tab w:leader="none" w:pos="269"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ind w:left="280" w:hanging="272"/>
        <w:spacing w:after="0" w:line="186" w:lineRule="auto"/>
        <w:tabs>
          <w:tab w:leader="none" w:pos="28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Less than 1% of the production covered by the 2020-2 ILN Transaction has coverage reporting dates between July 1, 2019 and March 31, 2020.</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2018, 2019, 2020-1 and 2020-2 ILN Transactions, we are required to maintain a certain level of restricted funds in premium deposit accounts with Bank of New York Mellon until the respective notes have been redeemed in full. "Cash and cash equivalents" on our condensed consolidated balance sheet includes restricted amounts of $4.9 million as of March 31, 2021. We are not required to deposit additional funds into the premium deposit accounts in the future and the restricted balances required under these transactions will decline over time as the outstanding principal balance of the respective insurance-linked notes are amortized.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NMIC is party to four outstanding quota share reinsurance treaties - the 2016 QSR Transaction, effective September 1, 2016, the 2018 QSR Transaction, effective January 1, 2018, the 2020 QSR Transaction, effective April 1, 2020, and the 2021 QSR Transaction, effective January 1, 2021 - which we refer to collectively as the QSR Transactions.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Standard &amp; Poor's Rating Service (S&amp;P), A.M. Best Company, Inc. (A.M. Best) or both.</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8"/>
          <w:szCs w:val="18"/>
          <w:color w:val="212529"/>
        </w:rPr>
        <w:t>The 2016 QSR Transaction is scheduled to terminate</w:t>
      </w:r>
      <w:r>
        <w:rPr>
          <w:rFonts w:ascii="Arial" w:cs="Arial" w:eastAsia="Arial" w:hAnsi="Arial"/>
          <w:sz w:val="18"/>
          <w:szCs w:val="18"/>
          <w:color w:val="auto"/>
        </w:rPr>
        <w:t xml:space="preserve"> </w:t>
      </w:r>
      <w:r>
        <w:rPr>
          <w:rFonts w:ascii="Arial" w:cs="Arial" w:eastAsia="Arial" w:hAnsi="Arial"/>
          <w:sz w:val="18"/>
          <w:szCs w:val="18"/>
          <w:color w:val="212529"/>
        </w:rPr>
        <w:t>on December 31, 2027, except with respect to the ceded pool risk, which is scheduled to terminate on August 31, 2023. NMIC has the option, based on certain conditions and subject to a termination fee, to terminate the agreement as of December 31, 2020, or at the end of any calendar quarter thereafter, which would result in NMIC recapturing the related risk.</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recapturing the related risk.</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2020 QSR Transaction, NMIC cedes premiums earned related to 21% of the risk on eligible policies written from April 1, 2020 to December 31, 2020. The 2020 QSR Transaction is scheduled to terminate on December 31, 2030. NMIC has the option, based on certain conditions and subject to a termination fee, to terminate the agreement as of December 31, 2023, or at the end of any calendar quarter thereafter, which would result in NMIC recapturing the related risk.</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2021 QSR Transaction, NMIC cedes premiums earned related to 22.5% of the risk on eligible policies written in 2021. The 2021 QSR Transaction is scheduled to terminate on December 31, 2031. NMIC has the option, based on certain conditions and subject to a termination fee, to terminate the agreement as of December 31, 2024, or at the end of any calendar quarter thereafter, which would result in NMIC recapturing the related risk.</w:t>
      </w:r>
    </w:p>
    <w:p>
      <w:pPr>
        <w:spacing w:after="0" w:line="1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related to the QSR Transactions: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
          </w:tcPr>
          <w:p>
            <w:pPr>
              <w:jc w:val="center"/>
              <w:ind w:right="173"/>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87"/>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March 31, 2021</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4"/>
              </w:rPr>
              <w:t>March 31, 2020</w:t>
            </w:r>
          </w:p>
        </w:tc>
      </w:tr>
      <w:tr>
        <w:trPr>
          <w:trHeight w:val="180"/>
        </w:trPr>
        <w:tc>
          <w:tcPr>
            <w:tcW w:w="7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2"/>
          </w:tcPr>
          <w:p>
            <w:pPr>
              <w:jc w:val="center"/>
              <w:ind w:left="1017"/>
              <w:spacing w:after="0"/>
              <w:rPr>
                <w:sz w:val="20"/>
                <w:szCs w:val="20"/>
                <w:color w:val="auto"/>
              </w:rPr>
            </w:pPr>
            <w:r>
              <w:rPr>
                <w:rFonts w:ascii="Arial" w:cs="Arial" w:eastAsia="Arial" w:hAnsi="Arial"/>
                <w:sz w:val="14"/>
                <w:szCs w:val="14"/>
                <w:i w:val="1"/>
                <w:iCs w:val="1"/>
                <w:color w:val="auto"/>
                <w:w w:val="93"/>
              </w:rPr>
              <w:t>(In Thousands)</w:t>
            </w:r>
          </w:p>
        </w:tc>
        <w:tc>
          <w:tcPr>
            <w:tcW w:w="1340" w:type="dxa"/>
            <w:vAlign w:val="bottom"/>
          </w:tcPr>
          <w:p>
            <w:pPr>
              <w:spacing w:after="0"/>
              <w:rPr>
                <w:sz w:val="15"/>
                <w:szCs w:val="15"/>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risk-in-force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6,330,409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4,843,715</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Ceded premiums earned</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(25,747)</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(23,011)</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claims and claim expenses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1,180</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Ceding commission earned</w:t>
            </w:r>
          </w:p>
        </w:tc>
        <w:tc>
          <w:tcPr>
            <w:tcW w:w="240" w:type="dxa"/>
            <w:vAlign w:val="bottom"/>
          </w:tcPr>
          <w:p>
            <w:pPr>
              <w:spacing w:after="0"/>
              <w:rPr>
                <w:sz w:val="19"/>
                <w:szCs w:val="19"/>
                <w:color w:val="auto"/>
              </w:rPr>
            </w:pP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5,162</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4,513</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commission</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13,380</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Ceded premiums written under the 2016 QSR Transaction are recorded on the balance sheet as prepaid reinsurance premiums and amortized to ceded premiums earned in a manner consistent with the recognition of revenue on direct premiums. Under the 2018, 2020 and 2021 QSR Transactions, premiums are ceded on an earned basis as defined in the agreement. NMIC receives a 20% ceding commission for premiums ceded under the QSR Transactions. NMIC also receives a profit commission under each of the QSR Transactions, provided that the loss ratios on loans covered under the 2016 QSR Transaction, 2018 QSR Transaction, 2020 QSR Transaction and 2021 QSR Transaction, generally remain below 60%, 61%, 50% and 57.5%, respectively, as measured annually. Ceded claims and claim expenses under each of the QSR Transactions reduce the respective profit commission received by NMIC on a dollar-for-dollar basis.</w:t>
      </w:r>
    </w:p>
    <w:p>
      <w:pPr>
        <w:spacing w:after="0" w:line="14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$4.5 million as of March 31, 2021.</w:t>
      </w:r>
    </w:p>
    <w:p>
      <w:pPr>
        <w:spacing w:after="0" w:line="1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accordance with the terms of the 2018, 2020 and 2021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Reinsurance recoverables on loss reserves related to the 2018 QSR Transaction and 2020 QSR Transaction were $13.4 million and $0.8 million, respectively, as of March 31, 2021.</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remain directly liable for all claim payments if we are unable to collect reinsurance recoverables due from our reinsurers and, as such, we actively monitor and manage our counterparty credit exposure to our reinsurance providers. We establish an allowance for expected credit loss against our reinsurance recoverables if we do not expect to recover amounts due from one or more of our reinsurance counterparties, and report our reinsurance recoverables net of such allowance, if any. We actively monitor the counterparty credit profiles of our reinsurers and each is required to partially collateralize its obligations under the terms of our QSR Transactions. As of March 31, 2021, we did not recognize any allowance for credit loss with respect to our reinsurance recoverables.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 Expenses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 reported (IBNR) reserves. We also establish reserves for claim expenses, which represent the estimated cost of the claim administration process, including legal and other fees, as well as other general expenses of administering the claim settlement process. As of March 31, 2021, we had 11,090 primary loans in default and held gross reserves for insurance claims and claim expenses of $96.1 million. During the three months ended March 31, 2021, we paid 16 claims totaling $0.6 million, including 15 claims covered under the QSR Transactions representing $0.1 million of ceded claims and claim expenses.</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March 31, 2021, 198 loans in the pool were in default. These 198 loans represented approximately $16.3 million of RIF. Due to the size of the remaining deductible, our expectation that a limited number of loans in default will progress to a claim and the expected severity on such claim submissions (all loans in the pool had loan-to-value (LTV) ratios under 80% at origination), we did not establish any case or IBNR reserves for pool risk at March 31, 2021. In connection with the settlement of pool claims, we applied $1.0 million to the pool deductible through March 31, 2021. At March 31, 2021, the remaining pool deductible was $9.4 million. We have not paid any pool claims to date. 100% of our pool RIF is reinsured under the 2016 QSR Transaction.</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had 11,090 loans in default in our primary insured portfolio as of March 31, 2021, which represented a 2.54% default rate against 436,652 total policies in-force. We had 1,449 loans in default in our primary insured portfolio as of March 31, 2020, which represented a 0.38% default rate against 376,852 total policies in-force. The increase in our default population is primarily due to challenges borrowers have faced related to the COVID-19 outbreak and their decision to access the forbearance program for federally backed loans codified under the Coronavirus Aid, Relief, and Economic Security (CARES) Act or similar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made available by private lenders.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 In response to the COVID-19 outbreak, the Federal Housing Financing Agency (FHFA) and GSEs introduced new repayment and loan modification options to further assist borrowers with their transition out of forbearance programs and default status.</w:t>
      </w:r>
    </w:p>
    <w:p>
      <w:pPr>
        <w:spacing w:after="0" w:line="1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reserve setting process considers the beneficial impact of forbearance, foreclosure moratorium and other assistance programs available to defaulted borrowers. At March 31, 2021, we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While we established lower reserves per defaulted loan at March 31, 2021 compared to March 31, 2020, our total reserve position increased due to the growth in the size of our default population.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gross reserve balances for primary insurance claims and claim expenses: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580" w:type="dxa"/>
            <w:vAlign w:val="bottom"/>
            <w:tcBorders>
              <w:bottom w:val="single" w:sz="8" w:color="auto"/>
            </w:tcBorders>
          </w:tcPr>
          <w:p>
            <w:pPr>
              <w:spacing w:after="0"/>
              <w:rPr>
                <w:sz w:val="16"/>
                <w:szCs w:val="16"/>
                <w:color w:val="auto"/>
              </w:rPr>
            </w:pPr>
          </w:p>
        </w:tc>
      </w:tr>
      <w:tr>
        <w:trPr>
          <w:trHeight w:val="187"/>
        </w:trPr>
        <w:tc>
          <w:tcPr>
            <w:tcW w:w="76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180"/>
        </w:trPr>
        <w:tc>
          <w:tcPr>
            <w:tcW w:w="7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40" w:type="dxa"/>
            <w:vAlign w:val="bottom"/>
            <w:gridSpan w:val="3"/>
          </w:tcPr>
          <w:p>
            <w:pPr>
              <w:jc w:val="right"/>
              <w:ind w:right="676"/>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5"/>
                <w:szCs w:val="15"/>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90,567</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23,752</w:t>
            </w:r>
          </w:p>
        </w:tc>
      </w:tr>
      <w:tr>
        <w:trPr>
          <w:trHeight w:val="229"/>
        </w:trPr>
        <w:tc>
          <w:tcPr>
            <w:tcW w:w="7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(17,608)</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(4,939)</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72,959</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18,813</w:t>
            </w:r>
          </w:p>
        </w:tc>
      </w:tr>
      <w:tr>
        <w:trPr>
          <w:trHeight w:val="88"/>
        </w:trPr>
        <w:tc>
          <w:tcPr>
            <w:tcW w:w="7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expenses incurred: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76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w:t>
            </w:r>
          </w:p>
        </w:tc>
      </w:tr>
      <w:tr>
        <w:trPr>
          <w:trHeight w:val="230"/>
        </w:trPr>
        <w:tc>
          <w:tcPr>
            <w:tcW w:w="7680" w:type="dxa"/>
            <w:vAlign w:val="bottom"/>
            <w:tcBorders>
              <w:bottom w:val="single" w:sz="8" w:color="CCEEFF"/>
            </w:tcBorders>
          </w:tcPr>
          <w:p>
            <w:pPr>
              <w:ind w:left="480"/>
              <w:spacing w:after="0" w:line="23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(1,861)</w:t>
            </w:r>
          </w:p>
        </w:tc>
      </w:tr>
      <w:tr>
        <w:trPr>
          <w:trHeight w:val="223"/>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incurred</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w:t>
            </w:r>
          </w:p>
        </w:tc>
      </w:tr>
      <w:tr>
        <w:trPr>
          <w:trHeight w:val="129"/>
        </w:trPr>
        <w:tc>
          <w:tcPr>
            <w:tcW w:w="7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76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tcBorders>
              <w:bottom w:val="single" w:sz="8" w:color="CCEEFF"/>
            </w:tcBorders>
          </w:tcPr>
          <w:p>
            <w:pPr>
              <w:ind w:left="480"/>
              <w:spacing w:after="0" w:line="23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r>
      <w:tr>
        <w:trPr>
          <w:trHeight w:val="223"/>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paid</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88"/>
        </w:trPr>
        <w:tc>
          <w:tcPr>
            <w:tcW w:w="7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23,286</w:t>
            </w:r>
          </w:p>
        </w:tc>
      </w:tr>
      <w:tr>
        <w:trPr>
          <w:trHeight w:val="230"/>
        </w:trPr>
        <w:tc>
          <w:tcPr>
            <w:tcW w:w="7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18,686</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96,103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29,479</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Related to ceded losses recoverable under the QSR Transactions. See Note 5, "</w:t>
      </w:r>
      <w:r>
        <w:rPr>
          <w:rFonts w:ascii="Arial" w:cs="Arial" w:eastAsia="Arial" w:hAnsi="Arial"/>
          <w:sz w:val="14"/>
          <w:szCs w:val="14"/>
          <w:i w:val="1"/>
          <w:iCs w:val="1"/>
          <w:color w:val="auto"/>
        </w:rPr>
        <w:t>Reinsurance</w:t>
      </w:r>
      <w:r>
        <w:rPr>
          <w:rFonts w:ascii="Arial" w:cs="Arial" w:eastAsia="Arial" w:hAnsi="Arial"/>
          <w:sz w:val="14"/>
          <w:szCs w:val="14"/>
          <w:color w:val="auto"/>
        </w:rPr>
        <w:t>" for additional information.</w:t>
      </w:r>
    </w:p>
    <w:p>
      <w:pPr>
        <w:ind w:left="340" w:hanging="332"/>
        <w:spacing w:after="0" w:line="241" w:lineRule="auto"/>
        <w:tabs>
          <w:tab w:leader="none" w:pos="148"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$5.3 million attributed to net case reserves and $5.3 million attributed to net IBNR reserves for the three months ended March 31, 2021 and $6.0 million attributed to net case reserves and $1.6 million attributed to net IBNR reserves for the three months ended March 31, 2020.</w:t>
      </w:r>
    </w:p>
    <w:p>
      <w:pPr>
        <w:spacing w:after="0" w:line="1" w:lineRule="exact"/>
        <w:rPr>
          <w:rFonts w:ascii="Arial" w:cs="Arial" w:eastAsia="Arial" w:hAnsi="Arial"/>
          <w:sz w:val="17"/>
          <w:szCs w:val="17"/>
          <w:color w:val="auto"/>
          <w:vertAlign w:val="superscript"/>
        </w:rPr>
      </w:pPr>
    </w:p>
    <w:p>
      <w:pPr>
        <w:ind w:left="340" w:hanging="332"/>
        <w:spacing w:after="0" w:line="211" w:lineRule="auto"/>
        <w:tabs>
          <w:tab w:leader="none" w:pos="162"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Related to insured loans with defaults occurring in prior years, which have been continuously in default before the start of the current year. Amounts are presented net of reinsurance and included $0.6 million attributed to net case reserves and $5.0 million attributed to net IBNR reserves for the three months</w:t>
      </w:r>
    </w:p>
    <w:p>
      <w:pPr>
        <w:ind w:left="340"/>
        <w:spacing w:after="0"/>
        <w:rPr>
          <w:rFonts w:ascii="Arial" w:cs="Arial" w:eastAsia="Arial" w:hAnsi="Arial"/>
          <w:sz w:val="18"/>
          <w:szCs w:val="18"/>
          <w:color w:val="auto"/>
          <w:vertAlign w:val="superscript"/>
        </w:rPr>
      </w:pPr>
      <w:r>
        <w:rPr>
          <w:rFonts w:ascii="Arial" w:cs="Arial" w:eastAsia="Arial" w:hAnsi="Arial"/>
          <w:sz w:val="14"/>
          <w:szCs w:val="14"/>
          <w:color w:val="auto"/>
        </w:rPr>
        <w:t>ended March 31, 2021 and $0.6 million attributed to net case reserves and $1.3 million attributed to net IBNR reserves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"claims incurred"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$83.0 million related to prior year defaults remained as of March 31, 2021.</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 based and performance and service-based restricted stock units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 The following table reconciles the net income and the weighted average shares of common stock outstanding used in the computations of basic and diluted EPS of common stock.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580" w:type="dxa"/>
            <w:vAlign w:val="bottom"/>
            <w:tcBorders>
              <w:bottom w:val="single" w:sz="8" w:color="auto"/>
            </w:tcBorders>
          </w:tcPr>
          <w:p>
            <w:pPr>
              <w:spacing w:after="0"/>
              <w:rPr>
                <w:sz w:val="16"/>
                <w:szCs w:val="16"/>
                <w:color w:val="auto"/>
              </w:rPr>
            </w:pPr>
          </w:p>
        </w:tc>
      </w:tr>
      <w:tr>
        <w:trPr>
          <w:trHeight w:val="187"/>
        </w:trPr>
        <w:tc>
          <w:tcPr>
            <w:tcW w:w="76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181"/>
        </w:trPr>
        <w:tc>
          <w:tcPr>
            <w:tcW w:w="7640" w:type="dxa"/>
            <w:vAlign w:val="bottom"/>
          </w:tcPr>
          <w:p>
            <w:pPr>
              <w:spacing w:after="0"/>
              <w:rPr>
                <w:sz w:val="15"/>
                <w:szCs w:val="15"/>
                <w:color w:val="auto"/>
              </w:rPr>
            </w:pPr>
          </w:p>
        </w:tc>
        <w:tc>
          <w:tcPr>
            <w:tcW w:w="298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 except for per share data)</w:t>
            </w:r>
          </w:p>
        </w:tc>
        <w:tc>
          <w:tcPr>
            <w:tcW w:w="580" w:type="dxa"/>
            <w:vAlign w:val="bottom"/>
          </w:tcPr>
          <w:p>
            <w:pPr>
              <w:spacing w:after="0"/>
              <w:rPr>
                <w:sz w:val="15"/>
                <w:szCs w:val="15"/>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52,891</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58,271</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85,317</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68,563</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58,271</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Gain from change in fair value of warrant liability</w:t>
            </w:r>
          </w:p>
        </w:tc>
        <w:tc>
          <w:tcPr>
            <w:tcW w:w="10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(5,959)</w:t>
            </w:r>
          </w:p>
        </w:tc>
      </w:tr>
      <w:tr>
        <w:trPr>
          <w:trHeight w:val="223"/>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w:t>
            </w:r>
          </w:p>
        </w:tc>
        <w:tc>
          <w:tcPr>
            <w:tcW w:w="1080" w:type="dxa"/>
            <w:vAlign w:val="bottom"/>
            <w:tcBorders>
              <w:top w:val="single" w:sz="8" w:color="auto"/>
            </w:tcBorders>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52,891</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52,312</w:t>
            </w:r>
          </w:p>
        </w:tc>
      </w:tr>
      <w:tr>
        <w:trPr>
          <w:trHeight w:val="256"/>
        </w:trPr>
        <w:tc>
          <w:tcPr>
            <w:tcW w:w="7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68,563</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issuable shares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70,401</w:t>
            </w:r>
          </w:p>
        </w:tc>
      </w:tr>
      <w:tr>
        <w:trPr>
          <w:trHeight w:val="256"/>
        </w:trPr>
        <w:tc>
          <w:tcPr>
            <w:tcW w:w="764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shares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issued 992 thousand warrants in connection with a private placement of our common stock in April 2012, of which 285 thousand remained outstanding available for exercise at March 31, 2021. Each warrant gives the holder thereof the right to purchase one share of common stock at an exercise price equal to $10.00. The warrants were issued with an aggregate fair value of $5.1 million.</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three months ended March 31, 2021, 27 thousand warrants were exercised resulting in the issuance of 24 thousand shares of common stock. Upon exercise, we reclassified approximately $0.4 million of warrant fair value from warrant liability to additional paid-in capital. During the three months ended March 31, 2020, nine thousand warrants were exercised resulting in the issuance of six thousand shares of common stock. Upon exercise, we reclassified approximately $0.2 million of warrant fair value from warrant liability to additional paid-in capital.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U.S. taxpayer and are subject to a statutory U.S. federal corporate income tax rate of 21%. NMIH files a consolidated U.S. federal and various state income tax returns on behalf of itself and its subsidiaries. Our effective tax rate on our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pre-tax income was 21.6% for the three months ended March 31, 2021, compared to 19.2% for the three months ended March 31, 2020.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and the change in fair value of our warrant liability. Such items are treated on a discrete basis in the reporting period in which they occur.</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months ended March 31, 2021 represents a change in our net deferred tax liability. As of March 31, 2021 and December 31, 2020, we held $46.4 million of tax and loss bonds in "Other assets" on our condensed consolidated balance sheet.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Premium Receivable</w:t>
      </w:r>
    </w:p>
    <w:p>
      <w:pPr>
        <w:spacing w:after="0" w:line="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did not establish an allowance for credit loss at March 31, 2021.</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Premiums receivable may be written off prior to 120 days in the ordinary course of business for non-credit events including, but not limited to, the modification or refinancing of an underlying insured loan.</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establish a reserve for the write-off of premiums receivable based on historical experience. Our premium write-off reserve was not material at March 31, 2021 or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Regulatory Information</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Statutory Requirements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NMIC and Re One's combined statutory net income was $6.4 million and $7.7 million for the three months ended March 31, 2021 and 2020, respectively.</w:t>
      </w:r>
    </w:p>
    <w:p>
      <w:pPr>
        <w:spacing w:after="0" w:line="1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NMIC and Re One's combined statutory surplus, contingency reserve, statutory capital and risk-to-capital (RTC)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ratio:</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December 31, 2020</w:t>
            </w:r>
          </w:p>
        </w:tc>
      </w:tr>
      <w:tr>
        <w:trPr>
          <w:trHeight w:val="185"/>
        </w:trPr>
        <w:tc>
          <w:tcPr>
            <w:tcW w:w="59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2020" w:type="dxa"/>
            <w:vAlign w:val="bottom"/>
          </w:tcPr>
          <w:p>
            <w:pPr>
              <w:spacing w:after="0"/>
              <w:rPr>
                <w:sz w:val="16"/>
                <w:szCs w:val="16"/>
                <w:color w:val="auto"/>
              </w:rPr>
            </w:pPr>
          </w:p>
        </w:tc>
      </w:tr>
      <w:tr>
        <w:trPr>
          <w:trHeight w:val="23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surplus</w:t>
            </w:r>
          </w:p>
        </w:tc>
        <w:tc>
          <w:tcPr>
            <w:tcW w:w="1800" w:type="dxa"/>
            <w:vAlign w:val="bottom"/>
            <w:shd w:val="clear" w:color="auto" w:fill="CCEEFF"/>
          </w:tcPr>
          <w:p>
            <w:pPr>
              <w:jc w:val="right"/>
              <w:ind w:right="159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899,412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894,331</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w:t>
            </w:r>
          </w:p>
        </w:tc>
        <w:tc>
          <w:tcPr>
            <w:tcW w:w="1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832,145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768,324</w:t>
            </w:r>
          </w:p>
        </w:tc>
      </w:tr>
      <w:tr>
        <w:trPr>
          <w:trHeight w:val="223"/>
        </w:trPr>
        <w:tc>
          <w:tcPr>
            <w:tcW w:w="59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Statutory capital </w:t>
            </w:r>
            <w:r>
              <w:rPr>
                <w:rFonts w:ascii="Arial" w:cs="Arial" w:eastAsia="Arial" w:hAnsi="Arial"/>
                <w:sz w:val="23"/>
                <w:szCs w:val="23"/>
                <w:color w:val="auto"/>
                <w:vertAlign w:val="superscript"/>
              </w:rPr>
              <w:t>(1)</w:t>
            </w:r>
          </w:p>
        </w:tc>
        <w:tc>
          <w:tcPr>
            <w:tcW w:w="1800" w:type="dxa"/>
            <w:vAlign w:val="bottom"/>
            <w:shd w:val="clear" w:color="auto" w:fill="CCEEFF"/>
          </w:tcPr>
          <w:p>
            <w:pPr>
              <w:jc w:val="right"/>
              <w:ind w:right="159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1,731,557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1,662,655</w:t>
            </w:r>
          </w:p>
        </w:tc>
      </w:tr>
      <w:tr>
        <w:trPr>
          <w:trHeight w:val="270"/>
        </w:trPr>
        <w:tc>
          <w:tcPr>
            <w:tcW w:w="59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Risk-to-capital</w:t>
            </w:r>
          </w:p>
        </w:tc>
        <w:tc>
          <w:tcPr>
            <w:tcW w:w="18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r>
    </w:tbl>
    <w:p>
      <w:pPr>
        <w:spacing w:after="0" w:line="114"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Represents the total of the statutory surplus and contingency reserve.</w:t>
      </w:r>
    </w:p>
    <w:p>
      <w:pPr>
        <w:spacing w:after="0" w:line="148" w:lineRule="exact"/>
        <w:rPr>
          <w:sz w:val="20"/>
          <w:szCs w:val="20"/>
          <w:color w:val="auto"/>
        </w:rPr>
      </w:pPr>
    </w:p>
    <w:p>
      <w:pPr>
        <w:jc w:val="both"/>
        <w:ind w:firstLine="688"/>
        <w:spacing w:after="0" w:line="263" w:lineRule="auto"/>
        <w:rPr>
          <w:sz w:val="20"/>
          <w:szCs w:val="20"/>
          <w:color w:val="auto"/>
        </w:rPr>
      </w:pPr>
      <w:r>
        <w:rPr>
          <w:rFonts w:ascii="Arial" w:cs="Arial" w:eastAsia="Arial" w:hAnsi="Arial"/>
          <w:sz w:val="18"/>
          <w:szCs w:val="18"/>
          <w:color w:val="auto"/>
        </w:rPr>
        <w:t>NMIH is not subject to any limitations on its ability to pay dividends except those generally applicable to corporations that are incorporated in the State of Delaware. Delaware law provides that dividends are only payable out of a corporation's capital surplus or, subject to certain limitations, recent net profits.</w:t>
      </w:r>
    </w:p>
    <w:p>
      <w:pPr>
        <w:spacing w:after="0" w:line="130" w:lineRule="exact"/>
        <w:rPr>
          <w:sz w:val="20"/>
          <w:szCs w:val="20"/>
          <w:color w:val="auto"/>
        </w:rPr>
      </w:pPr>
    </w:p>
    <w:p>
      <w:pPr>
        <w:jc w:val="both"/>
        <w:ind w:firstLine="688"/>
        <w:spacing w:after="0" w:line="257" w:lineRule="auto"/>
        <w:rPr>
          <w:sz w:val="20"/>
          <w:szCs w:val="20"/>
          <w:color w:val="auto"/>
        </w:rPr>
      </w:pPr>
      <w:r>
        <w:rPr>
          <w:rFonts w:ascii="Arial" w:cs="Arial" w:eastAsia="Arial" w:hAnsi="Arial"/>
          <w:sz w:val="18"/>
          <w:szCs w:val="18"/>
          <w:color w:val="auto"/>
        </w:rPr>
        <w:t>NMIC and Re One are subject to certain rules and regulations prescribed by jurisdictions in which they are authorized to operate and the GSEs that may restrict their ability to pay dividends to NMIH. Re One has the capacity to pay $1.6 million of aggregate ordinary dividends to NMIH during the twelve-month period ending December 31, 2021. NMIC reported a statutory net loss for the year ended December 31, 2020 and does not have the capacity to pay dividends to NMIH during the twelve-month period ended December 31, 2021 without prior approval from the Wisconsin OCI. Neither Re One nor NMIC have ever paid dividends to NMIH.</w:t>
      </w:r>
    </w:p>
    <w:p>
      <w:pPr>
        <w:spacing w:after="0" w:line="13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As an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under PMIERs, NMIC would generally be subject to prior GSE approval of its ability to pay dividends to NMIH if it failed to meet the financial requirements prescribed by PMIERs. In response to the COVID pandemic, the GSEs issued temporary PMIERs guidance, effective for the period from June 30, 2020 to June 30, 2021, that requires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to secure approval from the GSEs prior to paying any dividends, even if the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otherwise satisfies the financial requirements prescribed by PMIERs. We cannot be certain that the GSEs will not amend the terms, or extend the duration, of this prior approval requirement beyond its current expiration of June 30,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April 27, 2021, NMIC entered into a reinsurance agreement with Oaktown Re VI Ltd. (Oaktown Re VI), a Bermuda domiciled special purpose reinsurer, that provides for up to $367.2 million of aggregate excess-of-loss reinsurance coverage at inception for new delinquencies on an existing portfolio of mortgage insurance policies primarily written between October 1, 2020 and March 31, 2021. For the reinsurance coverage period, NMIC will retain the first layer of $163.7 million of aggregate losses and Oaktown Re VI will then provide second layer coverage up to the outstanding reinsurance coverage amount. NMIC will then retain losses in excess of the outstanding reinsurance coverage amount.</w:t>
      </w:r>
    </w:p>
    <w:p>
      <w:pPr>
        <w:spacing w:after="0" w:line="12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Oaktown Re VI financed the coverage by issuing mortgage insurance-linked notes in an aggregate principal amount of $367.2 million to unaffiliated investors. The notes issued by Oaktown Re VI mature on October 25, 2033; all proceeds raised were deposited into a reinsurance trust to collateralize and fund the obligations of Oaktown Re VI to NMIC under the reinsurance agreement. Funds in the reinsurance trust account are required to be invested in high credit quality money market funds at all times. We refer to NMIC's reinsurance agreement with and the insurance-linked notes issued by Oaktown Re VI as the 2021-1 ILN Transaction. Under the terms of the 2021-1 ILN Transaction, NMIC makes risk premium payments for the applicable outstanding reinsurance coverage amount and pays Oaktown Re VI for anticipated operating expenses (capped at $250,000 per year).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193"/>
        <w:spacing w:after="0" w:line="291" w:lineRule="auto"/>
        <w:rPr>
          <w:sz w:val="20"/>
          <w:szCs w:val="20"/>
          <w:color w:val="auto"/>
        </w:rPr>
      </w:pPr>
      <w:r>
        <w:rPr>
          <w:rFonts w:ascii="Arial" w:cs="Arial" w:eastAsia="Arial" w:hAnsi="Arial"/>
          <w:sz w:val="16"/>
          <w:szCs w:val="16"/>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2020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2020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private MI through our wholly-owned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reinsurance to NMIC on insured loans after giving effect to third-party reinsurance. Our subsidiary, NMIS, provides outsourced loan review services to mortgage loan originators.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March 31, 2021, we had master policies with 1,609 customers, including national and regional mortgage banks, money center banks, credit unions, community banks, builder-owned mortgage lenders, internet-sourced lenders and other non-bank lenders. As of March 31, 2021, we had $125.4 billion of total insurance-in-force (IIF), including primary IIF of $123.8 billion, and $31.3 billion of gross RIF, including primary RIF of $31.2 billion.</w:t>
      </w:r>
    </w:p>
    <w:p>
      <w:pPr>
        <w:spacing w:after="0" w:line="1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unique customer service experience, establish a differentiated risk management approach that emphasizes the individual underwriting review or validation of the vast majority of the loans we insure, utilizing our proprietary Rate GPS pricing platform to dynamically evaluate risk and price our policies, and foster a culture of collaboration and excellence that helps us attract and retain experienced industry leaders.</w:t>
      </w:r>
    </w:p>
    <w:p>
      <w:pPr>
        <w:spacing w:after="0" w:line="1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Our common stock trades on the NASDAQ under the symbol "NMIH." Our headquarters is located in Emeryville, California. As of March 31, 2021, we had 250 employees. Our corporate website is located at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3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Developments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30, 2020, the WHO declared the outbreak of COVID-19 a global health emergency and subsequently characterized the outbreak as a global pandemic on March 11, 2020. In an effort to stem contagion and control the COVID-19 pandemic, the population at large severely curtailed day-to-day activity and local, state and federal regulators imposed a broad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ind w:right="20"/>
        <w:spacing w:after="0" w:line="342" w:lineRule="auto"/>
        <w:rPr>
          <w:sz w:val="20"/>
          <w:szCs w:val="20"/>
          <w:color w:val="auto"/>
        </w:rPr>
      </w:pPr>
      <w:r>
        <w:rPr>
          <w:rFonts w:ascii="Arial" w:cs="Arial" w:eastAsia="Arial" w:hAnsi="Arial"/>
          <w:sz w:val="16"/>
          <w:szCs w:val="16"/>
          <w:color w:val="auto"/>
        </w:rPr>
        <w:t>of restrictions on personal and business conduct nationwide. The COVID-19 pandemic, along with the widespread public and regulatory response, caused a dramatic slowdown in U.S. and global economic activity and a record number of Americans were furloughed or laid-off in the ensuing downturn.</w:t>
      </w:r>
    </w:p>
    <w:p>
      <w:pPr>
        <w:spacing w:after="0" w:line="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global dislocation caused by COVID-19 was unprecedented. In response to the COVID-19 outbreak and uncertainty that it introduced, we activated our disaster continuity program to ensure our employees were safe and able to manage our business without interruption. We pursued a broad series of capital and reinsurance transactions to bolster our balance sheet and expand our ability to serve our customers and their borrowers, and we updated our underwriting guidelines and policy pricing in consideration for the increased level of macroeconomic volatility.</w:t>
      </w:r>
    </w:p>
    <w:p>
      <w:pPr>
        <w:spacing w:after="0" w:line="19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U.S. housing market demonstrated notable resiliency in the face of COVID stress, with significant purchase demand, record levels of mortgage origination activity and nationwide house price appreciation emerging shortly after the onset of the pandemic. More recently, the development of new vaccines and accelerating pace of the inoculation effort across the U.S. has allowed for the broad resumption of personal and business activity nationwide, and provided hope for a sharp economic rebound in 2021.</w:t>
      </w:r>
    </w:p>
    <w:p>
      <w:pPr>
        <w:spacing w:after="0" w:line="214" w:lineRule="exact"/>
        <w:rPr>
          <w:sz w:val="20"/>
          <w:szCs w:val="20"/>
          <w:color w:val="auto"/>
        </w:rPr>
      </w:pPr>
    </w:p>
    <w:p>
      <w:pPr>
        <w:ind w:right="280" w:firstLine="648"/>
        <w:spacing w:after="0" w:line="275" w:lineRule="auto"/>
        <w:rPr>
          <w:sz w:val="20"/>
          <w:szCs w:val="20"/>
          <w:color w:val="auto"/>
        </w:rPr>
      </w:pPr>
      <w:r>
        <w:rPr>
          <w:rFonts w:ascii="Arial" w:cs="Arial" w:eastAsia="Arial" w:hAnsi="Arial"/>
          <w:sz w:val="17"/>
          <w:szCs w:val="17"/>
          <w:color w:val="auto"/>
        </w:rPr>
        <w:t>While there is increased optimism that the acute health risk posed by and economic impact of COVID-19 has begun to recede, the pandemic continues to affect communities across the U.S. and poses significant risk globally. The path and pace of global economic recovery will depend, in large part, on the course of the virus, which itself remains unknown and subject to risk. Given this uncertainty, we are not able to fully assess or estimate the ultimate impact COVID-19 will have on the mortgage insurance market, our business performance or our financial position including our new business production, default and claims experience, and investment portfolio results at this time.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Potential Impact on the U.S. Housing Market and Mortgage Insurance Industry</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U.S. housing market has demonstrated significant resiliency amidst the broader economic dislocation caused by the outbreak of COVID-19. Low interest rates have helped to support housing affordability, medical concerns and lifestyle preferences have driven people to move from densely populated urban areas to suburban communities where social distancing is more easily achieved, and shelter-in-place directives have reinforced the value of homeownership – all of which contributed to an influx of new home buyers, record levels of purchase demand, and nationwide house price appreciation.</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 possibility remains that the housing market will soften, we believe the general strength of the market coming into the COVID-19 crisis and demonstrated resiliency thus far through the pandemic will help to mitigate the risk of a severe pullback. We observe several favorable differences in the current environment compared to the period leading up to and through the 2008 Financial Crisis – the last period of significant economic volatility in the U.S. and one noted for its significant housing market dislocation. Such differences include:</w:t>
      </w:r>
    </w:p>
    <w:p>
      <w:pPr>
        <w:spacing w:after="0" w:line="133" w:lineRule="exact"/>
        <w:rPr>
          <w:sz w:val="20"/>
          <w:szCs w:val="20"/>
          <w:color w:val="auto"/>
        </w:rPr>
      </w:pPr>
    </w:p>
    <w:p>
      <w:pPr>
        <w:ind w:left="1300" w:hanging="644"/>
        <w:spacing w:after="0" w:line="342" w:lineRule="auto"/>
        <w:tabs>
          <w:tab w:leader="none" w:pos="100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generally higher quality borrower base (as measured by weighted average FICO scores and LTV ratios) and tighter underwriting standards (with, among other items, full-documentation required to verify borrower income and asset positions) that prevail in the current market;</w:t>
      </w:r>
    </w:p>
    <w:p>
      <w:pPr>
        <w:spacing w:after="0" w:line="69" w:lineRule="exact"/>
        <w:rPr>
          <w:rFonts w:ascii="Arial" w:cs="Arial" w:eastAsia="Arial" w:hAnsi="Arial"/>
          <w:sz w:val="16"/>
          <w:szCs w:val="16"/>
          <w:color w:val="auto"/>
        </w:rPr>
      </w:pPr>
    </w:p>
    <w:p>
      <w:pPr>
        <w:ind w:left="1300" w:right="20" w:hanging="644"/>
        <w:spacing w:after="0" w:line="277" w:lineRule="auto"/>
        <w:tabs>
          <w:tab w:leader="none" w:pos="11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lower concentration of higher risk loan structures, such as negative amortizing, interest-only or short-termed option adjustable-rate mortgages being originated and outstanding in the current market;</w:t>
      </w:r>
    </w:p>
    <w:p>
      <w:pPr>
        <w:spacing w:after="0" w:line="116" w:lineRule="exact"/>
        <w:rPr>
          <w:rFonts w:ascii="Arial" w:cs="Arial" w:eastAsia="Arial" w:hAnsi="Arial"/>
          <w:sz w:val="18"/>
          <w:szCs w:val="18"/>
          <w:color w:val="auto"/>
        </w:rPr>
      </w:pPr>
    </w:p>
    <w:p>
      <w:pPr>
        <w:ind w:left="1300" w:hanging="644"/>
        <w:spacing w:after="0" w:line="263" w:lineRule="auto"/>
        <w:tabs>
          <w:tab w:leader="none" w:pos="12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meaningfully higher proportion of loans used for lower risk purposes, such as the purchase of a primary residence or rate-term refinancing in the current market, as opposed to cash-out refinancings, investment properties or second home purchases, which prevailed to a far greater degree in the lead up to the 2008 Financial Crisis;</w:t>
      </w:r>
    </w:p>
    <w:p>
      <w:pPr>
        <w:spacing w:after="0" w:line="129" w:lineRule="exact"/>
        <w:rPr>
          <w:rFonts w:ascii="Arial" w:cs="Arial" w:eastAsia="Arial" w:hAnsi="Arial"/>
          <w:sz w:val="18"/>
          <w:szCs w:val="18"/>
          <w:color w:val="auto"/>
        </w:rPr>
      </w:pPr>
    </w:p>
    <w:p>
      <w:pPr>
        <w:ind w:left="1300" w:hanging="644"/>
        <w:spacing w:after="0" w:line="263" w:lineRule="auto"/>
        <w:tabs>
          <w:tab w:leader="none" w:pos="11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and immediate application by the government, regulators, lenders, loan servicers and others of a broad toolkit of resources designed to aid distressed borrowers, including forbearance, foreclosure moratoriums and other assistance programs codified under the CARES Act enacted on March 27, 2020; and</w:t>
      </w:r>
    </w:p>
    <w:p>
      <w:pPr>
        <w:spacing w:after="0" w:line="129" w:lineRule="exact"/>
        <w:rPr>
          <w:rFonts w:ascii="Arial" w:cs="Arial" w:eastAsia="Arial" w:hAnsi="Arial"/>
          <w:sz w:val="18"/>
          <w:szCs w:val="18"/>
          <w:color w:val="auto"/>
        </w:rPr>
      </w:pPr>
    </w:p>
    <w:p>
      <w:pPr>
        <w:ind w:left="1300" w:hanging="644"/>
        <w:spacing w:after="0" w:line="279" w:lineRule="auto"/>
        <w:tabs>
          <w:tab w:leader="none" w:pos="105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broader and equally immediate application of significant fiscal and monetary stimulus by the federal government under the CARES Act, and subsequently under the Consolidated Appropriations Act enacted on December 27, 2020 (the CAA) and the American Rescue Plan Act enacted on March 11, 2021 (the American Rescue Plan), as well as across a range of other programs designed to assist unemployed individuals and distressed businesses, and support the smooth functioning of various capital and risk markets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7" w:name="page28"/>
    <w:bookmarkEnd w:id="27"/>
    <w:p>
      <w:pPr>
        <w:jc w:val="both"/>
        <w:ind w:firstLine="648"/>
        <w:spacing w:after="0" w:line="301" w:lineRule="auto"/>
        <w:rPr>
          <w:sz w:val="20"/>
          <w:szCs w:val="20"/>
          <w:color w:val="auto"/>
        </w:rPr>
      </w:pPr>
      <w:r>
        <w:rPr>
          <w:rFonts w:ascii="Arial" w:cs="Arial" w:eastAsia="Arial" w:hAnsi="Arial"/>
          <w:sz w:val="16"/>
          <w:szCs w:val="16"/>
          <w:color w:val="auto"/>
        </w:rPr>
        <w:t>We also perceive the house price environment in the period leading up to the COVID-crisis to be anchored by more balanced market fundamentals than that in the period leading up to the 2008 Financial Crisis. We believe the 2008 Financial Crisis was directly precipitated by irresponsible behavior in the housing market that drove home prices to unsustainable heights (a so-called "bubble"). We see a causal link between the housing market and the 2008 Financial Crisis that we do not see in the COVID-19 outbreak, and we believe this will further contribute to housing market stability in the current period.</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Purchase mortgage origination volume has increased significantly as factors related to the COVID-19 crisis have spurred significant incremental demand for homeownership. Refinancing origination volume has also grown dramatically as historically low mortgage rates, though rising in recent months, have created refinancing opportunities for a large number of existing borrowers.</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Growth in total mortgage origination volume increases the addressable market for the U.S. mortgage insurance industry, while accelerated refinancing activity increases prepayment speed on outstanding insured mortgages. In this context, total U.S. mortgage insurance industry new insurance written (NIW) volume increased to record levels following the onset of the COVID pandemic and the persistency of existing in-force insured risk across the industry declined meaningfully.</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we currently observe broad resiliency in the housing and high-LTV mortgage markets and, for the reasons discussed above, expect this trend to continue in the near term, the ultimate impact of COVID-19 remains highly uncertain. See Item 1A of our 2020 10K</w:t>
      </w:r>
      <w:r>
        <w:rPr>
          <w:rFonts w:ascii="Arial" w:cs="Arial" w:eastAsia="Arial" w:hAnsi="Arial"/>
          <w:sz w:val="18"/>
          <w:szCs w:val="18"/>
          <w:i w:val="1"/>
          <w:iCs w:val="1"/>
          <w:color w:val="auto"/>
        </w:rPr>
        <w:t>, "Risk Factors - The COVID-19 outbreak may continue to materially adversely affect our business, results of operations and financial condition</w:t>
      </w:r>
      <w:r>
        <w:rPr>
          <w:rFonts w:ascii="Arial" w:cs="Arial" w:eastAsia="Arial" w:hAnsi="Arial"/>
          <w:sz w:val="18"/>
          <w:szCs w:val="18"/>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Potential Impact on NMI's Business Performance and Financial Position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Operations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had 250 employees at March 31, 2021, including 112 who typically work at our corporate headquarters in Emeryville, CA and 138 who typically work from home in locations across the country. In response to the COVID-19 outbreak, we activated our business continuity program and instituted additional work-from-home practices for our 112 Emeryville-based staff. We transitioned our operations seamlessly and have continued to positively engage with customers on a remote basis. Our IT environment, underwriting capabilities, policy servicing platform and risk architecture have continued without interruption, and our internal control environment are unchanged. We achieved this transition without incurring additional capital expenditures or operating expenses and we believe our current operating platform can continue to support our newly distributed needs for an extended period without further investment beyond that planned in the ordinary course.</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 broad COVID vaccination effort and relaxation of local restrictions on indoor business operation may allow for a general resumption of in-office activity for our headquarters-based employees, the success of our remote work experience through the pandemic may cause us to offer increased flexibility for employees who prefer a full-time or part-time distributed engagement in the future. If we offer such flexibility and a large enough number of employees elect such an approach, our office and real estate needs could evolve.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Business Production</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NIW volume increased significantly following the onset of the COVID-19 pandemic driven by the broad resiliency of the housing market, growth in total mortgage origination volume and increasing size of the U.S. mortgage insurance market, as well as the continued expansion of our customer franchise. We wrote $26.4 billion of NIW during the three months ended March 31, 2021, up 134% compared to the three months ended March 31, 2020.</w:t>
      </w:r>
    </w:p>
    <w:p>
      <w:pPr>
        <w:spacing w:after="0" w:line="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we currently expect our new business production will remain elevated, the potential onset of a new viral wave and rising case counts, reintroduction of broad-based shelter in place directives, increased unemployment or other potential outcomes related to COVID-19 could drive a moderation or decline in our volume going forward.</w:t>
      </w:r>
    </w:p>
    <w:p>
      <w:pPr>
        <w:spacing w:after="0" w:line="13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We have broadly defined underwriting standards and loan-level eligibility criteria that are designed to limit our exposure to higher risk loans, and have used Rate GPS to actively shape the mix of our new business production and insured portfolio by, among other risk factors, borrower FICO score,</w:t>
      </w:r>
    </w:p>
    <w:p>
      <w:pPr>
        <w:jc w:val="both"/>
        <w:spacing w:after="0" w:line="257" w:lineRule="auto"/>
        <w:rPr>
          <w:sz w:val="20"/>
          <w:szCs w:val="20"/>
          <w:color w:val="auto"/>
        </w:rPr>
      </w:pPr>
      <w:r>
        <w:rPr>
          <w:rFonts w:ascii="Arial" w:cs="Arial" w:eastAsia="Arial" w:hAnsi="Arial"/>
          <w:sz w:val="18"/>
          <w:szCs w:val="18"/>
          <w:color w:val="auto"/>
        </w:rPr>
        <w:t>debt-to-income (DTI) ratio and LTV ratio. In the weeks following the outbreak of COVID-19, we adopted changes to our underwriting guidelines, including changes to our loan documentation requirements, asset reserve requirements, employment verification process and income continuance determinations, that further strengthened the credit risk profile of our NIW volume and IIF. At March 31, 2021, the weighted average FICO score of our RIF was 754 and we had a 3% mix of below 680 FICO score risk. Similarly, at March 31, 2021, the weighted average LTV ratio (at origination) of our insured portfolio was 92.4% and we had a 10% mix of 97% LTV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8" w:name="page29"/>
    <w:bookmarkEnd w:id="28"/>
    <w:p>
      <w:pPr>
        <w:ind w:right="220" w:firstLine="648"/>
        <w:spacing w:after="0" w:line="259" w:lineRule="auto"/>
        <w:rPr>
          <w:sz w:val="20"/>
          <w:szCs w:val="20"/>
          <w:color w:val="auto"/>
        </w:rPr>
      </w:pPr>
      <w:r>
        <w:rPr>
          <w:rFonts w:ascii="Arial" w:cs="Arial" w:eastAsia="Arial" w:hAnsi="Arial"/>
          <w:sz w:val="18"/>
          <w:szCs w:val="18"/>
          <w:color w:val="auto"/>
        </w:rPr>
        <w:t>We set our premium rates based on a broad range of individual and market variables, including property type, type of loan product, borrower credit characteristics, and lender profile. Given the significant economic dislocation caused by the COVID-19 outbreak, and the uncertain duration and ultimate global impact of this crisis, we took action to increase the premium rates we charge on all new business production, in accordance with our filed rates and applicable rating rules, following the onset of the pandemic.</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Delinquency Trends and Claims Expense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March 31, 2021, we had 11,090 defaulted loans in our primary insured portfolio, which represented a 2.5% default rate against our 436,652 total policies in-force, and identified 14,805 loans that were enrolled in a forbearance program, including 9,988 of those in default status.</w:t>
      </w:r>
    </w:p>
    <w:p>
      <w:pPr>
        <w:spacing w:after="0" w:line="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default population increased significantly following the outbreak of the pandemic as borrowers faced increased challenges related to COVID-19 and chose to access the forbearance program for federally backed loans codified under the CARES Act or other similar assistance programs made available by private lenders. After this significant initial spike our default experience has steadily improved as an increasing number of impacted borrowers have cured their delinquencies, and fewer new defaults have emerged.</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total population of defaulted loans peaked in August 2020 and has since declined every month with consistency. As of April 30, 2021, our default population was 10,060, representing a 2.24% default rate.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highlights default and forbearance activity in our primary portfolio as of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Default and Forbearance Activity as of</w:t>
            </w:r>
          </w:p>
        </w:tc>
        <w:tc>
          <w:tcPr>
            <w:tcW w:w="1260" w:type="dxa"/>
            <w:vAlign w:val="bottom"/>
            <w:tcBorders>
              <w:bottom w:val="single" w:sz="8" w:color="auto"/>
            </w:tcBorders>
          </w:tcPr>
          <w:p>
            <w:pPr>
              <w:spacing w:after="0"/>
              <w:rPr>
                <w:sz w:val="16"/>
                <w:szCs w:val="16"/>
                <w:color w:val="auto"/>
              </w:rPr>
            </w:pPr>
          </w:p>
        </w:tc>
      </w:tr>
      <w:tr>
        <w:trPr>
          <w:trHeight w:val="188"/>
        </w:trPr>
        <w:tc>
          <w:tcPr>
            <w:tcW w:w="476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3/31/2020</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6/30/2020</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9/30/2020</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12/31/2020</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3/31/21</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Number of loans in default</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1,449</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10,816</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13,765</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12,209</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11,090</w:t>
            </w:r>
          </w:p>
        </w:tc>
      </w:tr>
      <w:tr>
        <w:trPr>
          <w:trHeight w:val="229"/>
        </w:trPr>
        <w:tc>
          <w:tcPr>
            <w:tcW w:w="4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Default rate </w:t>
            </w:r>
            <w:r>
              <w:rPr>
                <w:rFonts w:ascii="Arial" w:cs="Arial" w:eastAsia="Arial" w:hAnsi="Arial"/>
                <w:sz w:val="23"/>
                <w:szCs w:val="23"/>
                <w:color w:val="auto"/>
                <w:vertAlign w:val="superscript"/>
              </w:rPr>
              <w:t>(1)</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0.38%</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3.60%</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3.06%</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2.54%</w:t>
            </w:r>
          </w:p>
        </w:tc>
      </w:tr>
      <w:tr>
        <w:trPr>
          <w:trHeight w:val="230"/>
        </w:trPr>
        <w:tc>
          <w:tcPr>
            <w:tcW w:w="4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loans in forbearance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3,122</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28,555</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24,809</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19,464</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14,805</w:t>
            </w:r>
          </w:p>
        </w:tc>
      </w:tr>
      <w:tr>
        <w:trPr>
          <w:trHeight w:val="304"/>
        </w:trPr>
        <w:tc>
          <w:tcPr>
            <w:tcW w:w="4760" w:type="dxa"/>
            <w:vAlign w:val="bottom"/>
          </w:tcPr>
          <w:p>
            <w:pPr>
              <w:ind w:left="20"/>
              <w:spacing w:after="0"/>
              <w:rPr>
                <w:sz w:val="20"/>
                <w:szCs w:val="20"/>
                <w:color w:val="auto"/>
              </w:rPr>
            </w:pPr>
            <w:r>
              <w:rPr>
                <w:rFonts w:ascii="Arial" w:cs="Arial" w:eastAsia="Arial" w:hAnsi="Arial"/>
                <w:sz w:val="18"/>
                <w:szCs w:val="18"/>
                <w:color w:val="auto"/>
              </w:rPr>
              <w:t xml:space="preserve">Forbearance rate </w:t>
            </w:r>
            <w:r>
              <w:rPr>
                <w:rFonts w:ascii="Arial" w:cs="Arial" w:eastAsia="Arial" w:hAnsi="Arial"/>
                <w:sz w:val="23"/>
                <w:szCs w:val="23"/>
                <w:color w:val="auto"/>
                <w:vertAlign w:val="superscript"/>
              </w:rPr>
              <w:t>(2)</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0.83%</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7.66%</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6.50%</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4.87%</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3.39%</w:t>
            </w:r>
          </w:p>
        </w:tc>
      </w:tr>
    </w:tbl>
    <w:p>
      <w:pPr>
        <w:spacing w:after="0" w:line="267"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Default rate is calculated as the number of loans in default divided by total polices in force</w:t>
      </w:r>
    </w:p>
    <w:p>
      <w:pPr>
        <w:ind w:left="260" w:hanging="252"/>
        <w:spacing w:after="0" w:line="186" w:lineRule="auto"/>
        <w:tabs>
          <w:tab w:leader="none" w:pos="26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Forbearance rate is calculated as the number of loans in forbearance divided by total polices in force.</w:t>
      </w:r>
    </w:p>
    <w:p>
      <w:pPr>
        <w:spacing w:after="0" w:line="2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we are encouraged by the decline in our forbearance and default populations and optimistic that we will see continued improvement as the stress of the COVID crisis recedes, a future viral wave could cause further social and economic dislocation and contribute to an increase in our forbearance and default counts in future periods.</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establish reserves for claims and allocated claim expenses when we are notified that a borrower is in default. The size of the reserve we establish for each defaulted loan (and by extension our aggregate reserve and claims expense) reflects our best estimate of the future claim payment to be made under each individual policy. Our future claims exposure is a function of the number of delinquent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fully defer the payments otherwise due during the forbearance period, over an extended length of time. In response to the onset of the COVID-19 outbreak, the GSEs have introduced new repayment and loan modification options to further assist borrowers with their transition out of forbearance and back into performing status. Our reserve setting process considers the beneficial impact of forbearance, foreclosure moratorium and other assistance programs available to defaulted borrowers. At March 31, 2021, we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9" w:name="page30"/>
    <w:bookmarkEnd w:id="29"/>
    <w:p>
      <w:pPr>
        <w:jc w:val="both"/>
        <w:ind w:firstLine="648"/>
        <w:spacing w:after="0" w:line="290" w:lineRule="auto"/>
        <w:rPr>
          <w:sz w:val="20"/>
          <w:szCs w:val="20"/>
          <w:color w:val="auto"/>
        </w:rPr>
      </w:pPr>
      <w:r>
        <w:rPr>
          <w:rFonts w:ascii="Arial" w:cs="Arial" w:eastAsia="Arial" w:hAnsi="Arial"/>
          <w:sz w:val="16"/>
          <w:szCs w:val="16"/>
          <w:color w:val="auto"/>
        </w:rPr>
        <w:t>Our Master Policies require insureds to file a claim no later than 60-days after completion of a foreclosure, and in connection with the claim, the insured is generally entitled to include in the claim amount (i) up to three years of missed interest payments and (ii) certain advances, each as incurred through the date the claim is filed. Under our Master Policies, a national foreclosure moratorium of the type currently required will not limit the amount of accrued interest (subject to the three-year limit) or advances that may be included in the claim amount. In February, the GSEs extended their moratorium on the foreclosure of enterprise-backed single-family residential mortgages through June 30, 2021. If the duration of the current foreclosure moratorium mandated by the GSEs is further extended, loans in our default inventory, including those with defaults unrelated to the COVID-19 crisis that had not yet gone through foreclosure, may remain in a pre-foreclosure default status for a prolonged period of time, which would delay our receipt of certain claims for loans that do not cure and could increase the severity of claims we may ultimately be required to pay after the moratorium is lifted.</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Regulatory Capital Position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 approved mortgage insurer and Wisconsin-domiciled carrier, we are required to satisfy financial and/or capitalization requirements stipulated by each of the GSEs and the Wisconsin OCI.</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financial requirements stipulated by the GSEs are outlined in the PMIERs. Under the PMIERs, we must maintain available assets that are equal to or exceed a minimum risk-based required asset amount, subject to a minimum floor of $400 million. At March 31, 2021, we reported $1,810 million available assets against $1,261 million risk-based required assets. Our “excess” funding position was $549 million.</w:t>
      </w:r>
    </w:p>
    <w:p>
      <w:pPr>
        <w:spacing w:after="0" w:line="1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(FEMA) to be a Major Disaster zone. In June 2020, the GSEs issued guidance (subsequently amended and restated in each of September and December 2020) on the risk-based treatment of loans affected by the COVID-19 crisis and the reporting of non-performing loans by aging category.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1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PMIERs minimum risk-based required asset amount is also adjusted for our reinsurance transactions (as approved by the GSEs). Under our quota share reinsurance treaties, we receive credit for the PMIERs risk-based required asset amount on ceded RIF. As our gross PMIERs risk-based required asset amount on ceded RIF increases, our PMIERS credit for ceded RIF automatically increases as well (in an unlimited amount). Under our ILN transactions, we generally receive credit for the PMIERs risk-based required asset amount on ceded RIF to the extent such requirement is within the subordinated coverage (excess of loss detachment threshold) afforded by the transaction. We have structured our ILN transactions to be overcollateralized, such that there are more ILN notes outstanding and cash held in trust than we currently receive credit for under the PMIERs. To the extent our PMIERs risk-based required asset amount on RIF ceded under the ILN transactions grows, we receive increased PMIERs credit under the treaties. The increasing PMIERs credit we receive under the ILN treaties is further enhanced by their delinquency lockout triggers. In the event of certain credit enhancement or delinquency events, the ILN notes stop amortizing and the cash held in trust is secured for our benefit (a Lock-Out Event). As the underlying RIF continues to run-off, this has the effect of increasing the overcollateralization within, and excess PMIERs capacity provided by, each ILN structure.</w:t>
      </w:r>
    </w:p>
    <w:p>
      <w:pPr>
        <w:spacing w:after="0" w:line="1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Effective June 25, 2020, a Lock-Out Event was deemed to have occurred for each of the 2017, 2018 and 2019 ILN Transactions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the overcollateralization within and potential PMIERs capacity provided by each ILN Transaction will grow as assets are preserved in the applicable reinsurance trust account.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the level of overcollateralization of each of our ILN Transactions at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7"/>
              </w:rPr>
              <w:t>2017 ILN Transaction</w:t>
            </w: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7"/>
              </w:rPr>
              <w:t>2018 ILN Transaction</w:t>
            </w: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7"/>
              </w:rPr>
              <w:t>2019 ILN Transaction</w:t>
            </w:r>
          </w:p>
        </w:tc>
        <w:tc>
          <w:tcPr>
            <w:tcW w:w="280" w:type="dxa"/>
            <w:vAlign w:val="bottom"/>
          </w:tcPr>
          <w:p>
            <w:pPr>
              <w:spacing w:after="0"/>
              <w:rPr>
                <w:sz w:val="14"/>
                <w:szCs w:val="14"/>
                <w:color w:val="auto"/>
              </w:rPr>
            </w:pPr>
          </w:p>
        </w:tc>
        <w:tc>
          <w:tcPr>
            <w:tcW w:w="1320" w:type="dxa"/>
            <w:vAlign w:val="bottom"/>
          </w:tcPr>
          <w:p>
            <w:pPr>
              <w:jc w:val="right"/>
              <w:ind w:right="274"/>
              <w:spacing w:after="0"/>
              <w:rPr>
                <w:sz w:val="20"/>
                <w:szCs w:val="20"/>
                <w:color w:val="auto"/>
              </w:rPr>
            </w:pPr>
            <w:r>
              <w:rPr>
                <w:rFonts w:ascii="Arial" w:cs="Arial" w:eastAsia="Arial" w:hAnsi="Arial"/>
                <w:sz w:val="14"/>
                <w:szCs w:val="14"/>
                <w:b w:val="1"/>
                <w:bCs w:val="1"/>
                <w:color w:val="auto"/>
              </w:rPr>
              <w:t>2020-1 ILN</w:t>
            </w:r>
          </w:p>
        </w:tc>
        <w:tc>
          <w:tcPr>
            <w:tcW w:w="300" w:type="dxa"/>
            <w:vAlign w:val="bottom"/>
          </w:tcPr>
          <w:p>
            <w:pPr>
              <w:spacing w:after="0"/>
              <w:rPr>
                <w:sz w:val="14"/>
                <w:szCs w:val="14"/>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2020-2 ILN</w:t>
            </w:r>
          </w:p>
        </w:tc>
      </w:tr>
      <w:tr>
        <w:trPr>
          <w:trHeight w:val="206"/>
        </w:trPr>
        <w:tc>
          <w:tcPr>
            <w:tcW w:w="3060" w:type="dxa"/>
            <w:vAlign w:val="bottom"/>
            <w:tcBorders>
              <w:bottom w:val="single" w:sz="8" w:color="A6A6A6"/>
            </w:tcBorders>
          </w:tcPr>
          <w:p>
            <w:pPr>
              <w:ind w:left="20"/>
              <w:spacing w:after="0"/>
              <w:rPr>
                <w:sz w:val="20"/>
                <w:szCs w:val="20"/>
                <w:color w:val="auto"/>
              </w:rPr>
            </w:pPr>
            <w:r>
              <w:rPr>
                <w:rFonts w:ascii="Arial" w:cs="Arial" w:eastAsia="Arial" w:hAnsi="Arial"/>
                <w:sz w:val="14"/>
                <w:szCs w:val="14"/>
                <w:b w:val="1"/>
                <w:bCs w:val="1"/>
                <w:i w:val="1"/>
                <w:iCs w:val="1"/>
                <w:color w:val="auto"/>
              </w:rPr>
              <w:t>($ values in thousands)</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Transaction</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Transaction</w:t>
            </w:r>
          </w:p>
        </w:tc>
      </w:tr>
      <w:tr>
        <w:trPr>
          <w:trHeight w:val="25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RIF</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1,865,606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2,252,220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4,235,240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5,335,934</w:t>
            </w:r>
          </w:p>
        </w:tc>
      </w:tr>
      <w:tr>
        <w:trPr>
          <w:trHeight w:val="95"/>
        </w:trPr>
        <w:tc>
          <w:tcPr>
            <w:tcW w:w="3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57"/>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Layer Retained Loss</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121,376</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123,051</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122,838</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169,514</w:t>
            </w: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121,177</w:t>
            </w:r>
          </w:p>
        </w:tc>
      </w:tr>
      <w:tr>
        <w:trPr>
          <w:trHeight w:val="250"/>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Reinsurance Coverage</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40,226</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158,489</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231,877</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174,314</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218,741</w:t>
            </w:r>
          </w:p>
        </w:tc>
      </w:tr>
      <w:tr>
        <w:trPr>
          <w:trHeight w:val="25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Eligible Coverage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354,715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343,828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339,918</w:t>
            </w:r>
          </w:p>
        </w:tc>
      </w:tr>
      <w:tr>
        <w:trPr>
          <w:trHeight w:val="257"/>
        </w:trPr>
        <w:tc>
          <w:tcPr>
            <w:tcW w:w="306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Subordinated Coverage </w:t>
            </w:r>
            <w:r>
              <w:rPr>
                <w:rFonts w:ascii="Arial" w:cs="Arial" w:eastAsia="Arial" w:hAnsi="Arial"/>
                <w:sz w:val="23"/>
                <w:szCs w:val="23"/>
                <w:color w:val="auto"/>
                <w:vertAlign w:val="superscript"/>
              </w:rPr>
              <w:t>(1)</w:t>
            </w:r>
          </w:p>
        </w:tc>
        <w:tc>
          <w:tcPr>
            <w:tcW w:w="160" w:type="dxa"/>
            <w:vAlign w:val="bottom"/>
          </w:tcPr>
          <w:p>
            <w:pPr>
              <w:spacing w:after="0"/>
              <w:rPr>
                <w:sz w:val="22"/>
                <w:szCs w:val="22"/>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9.88%</w:t>
            </w:r>
          </w:p>
        </w:tc>
        <w:tc>
          <w:tcPr>
            <w:tcW w:w="160" w:type="dxa"/>
            <w:vAlign w:val="bottom"/>
          </w:tcPr>
          <w:p>
            <w:pPr>
              <w:spacing w:after="0"/>
              <w:rPr>
                <w:sz w:val="22"/>
                <w:szCs w:val="22"/>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15.09%</w:t>
            </w:r>
          </w:p>
        </w:tc>
        <w:tc>
          <w:tcPr>
            <w:tcW w:w="160" w:type="dxa"/>
            <w:vAlign w:val="bottom"/>
          </w:tcPr>
          <w:p>
            <w:pPr>
              <w:spacing w:after="0"/>
              <w:rPr>
                <w:sz w:val="22"/>
                <w:szCs w:val="22"/>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15.75%</w:t>
            </w:r>
          </w:p>
        </w:tc>
        <w:tc>
          <w:tcPr>
            <w:tcW w:w="280" w:type="dxa"/>
            <w:vAlign w:val="bottom"/>
          </w:tcPr>
          <w:p>
            <w:pPr>
              <w:spacing w:after="0"/>
              <w:rPr>
                <w:sz w:val="22"/>
                <w:szCs w:val="22"/>
                <w:color w:val="auto"/>
              </w:rPr>
            </w:pPr>
          </w:p>
        </w:tc>
        <w:tc>
          <w:tcPr>
            <w:tcW w:w="1320" w:type="dxa"/>
            <w:vAlign w:val="bottom"/>
          </w:tcPr>
          <w:p>
            <w:pPr>
              <w:ind w:left="740"/>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22"/>
                <w:szCs w:val="22"/>
                <w:color w:val="auto"/>
              </w:rPr>
            </w:pPr>
          </w:p>
        </w:tc>
        <w:tc>
          <w:tcPr>
            <w:tcW w:w="1340" w:type="dxa"/>
            <w:vAlign w:val="bottom"/>
          </w:tcPr>
          <w:p>
            <w:pPr>
              <w:ind w:left="740"/>
              <w:spacing w:after="0"/>
              <w:rPr>
                <w:sz w:val="20"/>
                <w:szCs w:val="20"/>
                <w:color w:val="auto"/>
              </w:rPr>
            </w:pPr>
            <w:r>
              <w:rPr>
                <w:rFonts w:ascii="Arial" w:cs="Arial" w:eastAsia="Arial" w:hAnsi="Arial"/>
                <w:sz w:val="18"/>
                <w:szCs w:val="18"/>
                <w:color w:val="auto"/>
              </w:rPr>
              <w:t>6.25%</w:t>
            </w:r>
          </w:p>
        </w:tc>
      </w:tr>
      <w:tr>
        <w:trPr>
          <w:trHeight w:val="148"/>
        </w:trPr>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50"/>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PMIERs Charge on Ceded RIF</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6.23%</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7.92%</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8.10%</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6.40%</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5.44%</w:t>
            </w:r>
          </w:p>
        </w:tc>
      </w:tr>
      <w:tr>
        <w:trPr>
          <w:trHeight w:val="243"/>
        </w:trPr>
        <w:tc>
          <w:tcPr>
            <w:tcW w:w="30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Overcollateralization </w:t>
            </w:r>
            <w:r>
              <w:rPr>
                <w:rFonts w:ascii="Arial" w:cs="Arial" w:eastAsia="Arial" w:hAnsi="Arial"/>
                <w:sz w:val="23"/>
                <w:szCs w:val="23"/>
                <w:color w:val="auto"/>
                <w:vertAlign w:val="superscript"/>
              </w:rPr>
              <w:t>(2) (4)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49,601</w:t>
            </w:r>
          </w:p>
        </w:tc>
      </w:tr>
      <w:tr>
        <w:trPr>
          <w:trHeight w:val="148"/>
        </w:trPr>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57"/>
        </w:trPr>
        <w:tc>
          <w:tcPr>
            <w:tcW w:w="3060" w:type="dxa"/>
            <w:vAlign w:val="bottom"/>
            <w:tcBorders>
              <w:bottom w:val="single" w:sz="8" w:color="A6A6A6"/>
            </w:tcBorders>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Delinquency Trigger </w:t>
            </w:r>
            <w:r>
              <w:rPr>
                <w:rFonts w:ascii="Arial" w:cs="Arial" w:eastAsia="Arial" w:hAnsi="Arial"/>
                <w:sz w:val="23"/>
                <w:szCs w:val="23"/>
                <w:color w:val="auto"/>
                <w:vertAlign w:val="superscript"/>
              </w:rPr>
              <w:t>(3)</w:t>
            </w:r>
          </w:p>
        </w:tc>
        <w:tc>
          <w:tcPr>
            <w:tcW w:w="160" w:type="dxa"/>
            <w:vAlign w:val="bottom"/>
            <w:tcBorders>
              <w:bottom w:val="single" w:sz="8" w:color="A6A6A6"/>
            </w:tcBorders>
            <w:shd w:val="clear" w:color="auto" w:fill="CCEEFF"/>
          </w:tcPr>
          <w:p>
            <w:pPr>
              <w:spacing w:after="0"/>
              <w:rPr>
                <w:sz w:val="22"/>
                <w:szCs w:val="22"/>
                <w:color w:val="auto"/>
              </w:rPr>
            </w:pPr>
          </w:p>
        </w:tc>
        <w:tc>
          <w:tcPr>
            <w:tcW w:w="1460" w:type="dxa"/>
            <w:vAlign w:val="bottom"/>
            <w:tcBorders>
              <w:bottom w:val="single" w:sz="8" w:color="A6A6A6"/>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A6A6A6"/>
            </w:tcBorders>
            <w:shd w:val="clear" w:color="auto" w:fill="CCEEFF"/>
          </w:tcPr>
          <w:p>
            <w:pPr>
              <w:spacing w:after="0"/>
              <w:rPr>
                <w:sz w:val="22"/>
                <w:szCs w:val="22"/>
                <w:color w:val="auto"/>
              </w:rPr>
            </w:pPr>
          </w:p>
        </w:tc>
        <w:tc>
          <w:tcPr>
            <w:tcW w:w="1460" w:type="dxa"/>
            <w:vAlign w:val="bottom"/>
            <w:tcBorders>
              <w:bottom w:val="single" w:sz="8" w:color="A6A6A6"/>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A6A6A6"/>
            </w:tcBorders>
            <w:shd w:val="clear" w:color="auto" w:fill="CCEEFF"/>
          </w:tcPr>
          <w:p>
            <w:pPr>
              <w:spacing w:after="0"/>
              <w:rPr>
                <w:sz w:val="22"/>
                <w:szCs w:val="22"/>
                <w:color w:val="auto"/>
              </w:rPr>
            </w:pPr>
          </w:p>
        </w:tc>
        <w:tc>
          <w:tcPr>
            <w:tcW w:w="1460" w:type="dxa"/>
            <w:vAlign w:val="bottom"/>
            <w:tcBorders>
              <w:bottom w:val="single" w:sz="8" w:color="A6A6A6"/>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A6A6A6"/>
            </w:tcBorders>
            <w:shd w:val="clear" w:color="auto" w:fill="CCEEFF"/>
          </w:tcPr>
          <w:p>
            <w:pPr>
              <w:spacing w:after="0"/>
              <w:rPr>
                <w:sz w:val="22"/>
                <w:szCs w:val="22"/>
                <w:color w:val="auto"/>
              </w:rPr>
            </w:pPr>
          </w:p>
        </w:tc>
        <w:tc>
          <w:tcPr>
            <w:tcW w:w="1320" w:type="dxa"/>
            <w:vAlign w:val="bottom"/>
            <w:tcBorders>
              <w:bottom w:val="single" w:sz="8" w:color="A6A6A6"/>
            </w:tcBorders>
            <w:shd w:val="clear" w:color="auto" w:fill="CCEEFF"/>
          </w:tcPr>
          <w:p>
            <w:pPr>
              <w:ind w:left="740"/>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A6A6A6"/>
            </w:tcBorders>
            <w:shd w:val="clear" w:color="auto" w:fill="CCEEFF"/>
          </w:tcPr>
          <w:p>
            <w:pPr>
              <w:spacing w:after="0"/>
              <w:rPr>
                <w:sz w:val="22"/>
                <w:szCs w:val="22"/>
                <w:color w:val="auto"/>
              </w:rPr>
            </w:pPr>
          </w:p>
        </w:tc>
        <w:tc>
          <w:tcPr>
            <w:tcW w:w="1340" w:type="dxa"/>
            <w:vAlign w:val="bottom"/>
            <w:tcBorders>
              <w:bottom w:val="single" w:sz="8" w:color="A6A6A6"/>
            </w:tcBorders>
            <w:shd w:val="clear" w:color="auto" w:fill="CCEEFF"/>
          </w:tcPr>
          <w:p>
            <w:pPr>
              <w:ind w:left="740"/>
              <w:spacing w:after="0"/>
              <w:rPr>
                <w:sz w:val="20"/>
                <w:szCs w:val="20"/>
                <w:color w:val="auto"/>
              </w:rPr>
            </w:pPr>
            <w:r>
              <w:rPr>
                <w:rFonts w:ascii="Arial" w:cs="Arial" w:eastAsia="Arial" w:hAnsi="Arial"/>
                <w:sz w:val="18"/>
                <w:szCs w:val="18"/>
                <w:color w:val="auto"/>
              </w:rPr>
              <w:t>4.7%</w:t>
            </w:r>
          </w:p>
        </w:tc>
      </w:tr>
    </w:tbl>
    <w:p>
      <w:pPr>
        <w:spacing w:after="0" w:line="224" w:lineRule="exact"/>
        <w:rPr>
          <w:sz w:val="20"/>
          <w:szCs w:val="20"/>
          <w:color w:val="auto"/>
        </w:rPr>
      </w:pPr>
    </w:p>
    <w:p>
      <w:pPr>
        <w:ind w:right="2600" w:firstLine="8"/>
        <w:spacing w:after="0" w:line="269" w:lineRule="auto"/>
        <w:tabs>
          <w:tab w:leader="none" w:pos="132" w:val="left"/>
        </w:tabs>
        <w:numPr>
          <w:ilvl w:val="0"/>
          <w:numId w:val="14"/>
        </w:numPr>
        <w:rPr>
          <w:rFonts w:ascii="Arial" w:cs="Arial" w:eastAsia="Arial" w:hAnsi="Arial"/>
          <w:sz w:val="15"/>
          <w:szCs w:val="15"/>
          <w:color w:val="auto"/>
          <w:vertAlign w:val="superscript"/>
        </w:rPr>
      </w:pPr>
      <w:r>
        <w:rPr>
          <w:rFonts w:ascii="Arial" w:cs="Arial" w:eastAsia="Arial" w:hAnsi="Arial"/>
          <w:sz w:val="11"/>
          <w:szCs w:val="11"/>
          <w:color w:val="auto"/>
        </w:rPr>
        <w:t>For the 2020-1 ILN Transaction, absent a delinquency trigger, the subordinated coverage is capped at 8%. For the 2020-2 ILN Transaction, absent a delinquency, the subordinated coverage is capped at 6.25%.</w:t>
      </w:r>
    </w:p>
    <w:p>
      <w:pPr>
        <w:ind w:left="340" w:right="20" w:hanging="332"/>
        <w:spacing w:after="0" w:line="204" w:lineRule="auto"/>
        <w:tabs>
          <w:tab w:leader="none" w:pos="218"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Overcollateralization of the 2017 ILN Transaction is equal to its current reinsurance coverage as the PMIERs required asset amount on RIF ceded under the transaction is currently below the remaining first layer retained loss.</w:t>
      </w:r>
    </w:p>
    <w:p>
      <w:pPr>
        <w:spacing w:after="0" w:line="1" w:lineRule="exact"/>
        <w:rPr>
          <w:rFonts w:ascii="Arial" w:cs="Arial" w:eastAsia="Arial" w:hAnsi="Arial"/>
          <w:sz w:val="19"/>
          <w:szCs w:val="19"/>
          <w:color w:val="auto"/>
          <w:vertAlign w:val="superscript"/>
        </w:rPr>
      </w:pPr>
    </w:p>
    <w:p>
      <w:pPr>
        <w:ind w:left="340" w:right="640" w:hanging="332"/>
        <w:spacing w:after="0" w:line="225" w:lineRule="auto"/>
        <w:tabs>
          <w:tab w:leader="none" w:pos="148"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Delinquency triggers for 2017, 2018 and 2019 ILN Transactions are set at a fixed 4.0% and assessed on a discrete monthly basis; delinquency triggers for the 2020-1 and 2020-2 ILN Transactions are equal to seventy-five percent of the subordinated coverage level and assessed on the basis of a three-month rolling average.</w:t>
      </w:r>
    </w:p>
    <w:p>
      <w:pPr>
        <w:ind w:left="140" w:hanging="132"/>
        <w:spacing w:after="0" w:line="222" w:lineRule="auto"/>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May not be replicated based on the rounded figures presented in the table.</w:t>
      </w:r>
    </w:p>
    <w:p>
      <w:pPr>
        <w:spacing w:after="0" w:line="2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4"/>
          <w:szCs w:val="14"/>
          <w:color w:val="auto"/>
        </w:rPr>
        <w:t xml:space="preserve">At </w:t>
      </w:r>
      <w:r>
        <w:rPr>
          <w:rFonts w:ascii="Arial" w:cs="Arial" w:eastAsia="Arial" w:hAnsi="Arial"/>
          <w:sz w:val="17"/>
          <w:szCs w:val="17"/>
          <w:color w:val="auto"/>
        </w:rPr>
        <w:t>March 31, 2021, we had an aggregate $469 million of overcollateralization available across our ILN Transactions to absorb an increase in the</w:t>
      </w:r>
      <w:r>
        <w:rPr>
          <w:rFonts w:ascii="Arial" w:cs="Arial" w:eastAsia="Arial" w:hAnsi="Arial"/>
          <w:sz w:val="14"/>
          <w:szCs w:val="14"/>
          <w:color w:val="auto"/>
        </w:rPr>
        <w:t xml:space="preserve"> </w:t>
      </w:r>
      <w:r>
        <w:rPr>
          <w:rFonts w:ascii="Arial" w:cs="Arial" w:eastAsia="Arial" w:hAnsi="Arial"/>
          <w:sz w:val="17"/>
          <w:szCs w:val="17"/>
          <w:color w:val="auto"/>
        </w:rPr>
        <w:t>PMIERs risk-based required asset amount on ceded RIF. Assuming the Lock-Out Events remain in effect for each of the 2017, 2018 and 2019 ILN Transactions and our underlying RIF continues to run-off at the same rate as it did during the three months ended March 31, 2021, we estimate that our total overcollateralization would increase by up to approximately $33.7 million per quarter.</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PMIERs funding requirement will go up in future periods based on the volume and risk profile of our new business production, and performance of our in-force insurance portfolio. We estimate, however, that we will remain in compliance with our PMIERs asset requirements even if the forbearance-driven default rate on our in-force portfolio materially exceeds its current level, given our $549 million excess available asset position at March 31, 2021, the nationwide applicability of the 70% haircut on delinquent policies subject to a forbearance program accessed in response to a financial hardship related to the COVID-19 crisis, the increasing PMIERs relief automatically provided under each of our quota share treaties and ILN Transactions.</w:t>
      </w:r>
    </w:p>
    <w:p>
      <w:pPr>
        <w:spacing w:after="0" w:line="10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generally treated the same as performing loans under the RTC framework. As such, the PMIERs generally imposes a stricter financial requirement than the state RTC standard, and we expect this to remain the case through the duration of and following the COVID-19 pandemic.</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Liquidity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evaluate our liquidity position at both a holding company (NMIH) and primary operating subsidiary (NMIC) level. As of March 31, 2021, we had $1.9 billion of consolidated cash and investments, including $78 million of cash and investments at NMIH.</w:t>
      </w:r>
    </w:p>
    <w:p>
      <w:pPr>
        <w:spacing w:after="0" w:line="1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June 8, 2020, NMIH completed the sale of 15.9 million shares of common stock, including the exercise of a 15% overallotment option, and raised proceeds of approximately $220 million, net of underwriting discounts, commissions and other direct offering expenses. On June 19, 2020, NMIH also completed the sale of its $400 million aggregate principal amount of senior secured notes, raising net proceeds of $244 million after giving effect to offering expenses and the repayment of the $150 million principal amount outstanding under our 2018 Term Loan. NMIH contributed approximately $445 million of capital to NMIC following completion of its respective Notes and common stock offerings.</w:t>
      </w:r>
    </w:p>
    <w:p>
      <w:pPr>
        <w:spacing w:after="0" w:line="1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NMIH also has access to $110 million of undrawn revolving credit capacity (through the 2020 Revolving Credit Facility) and $1.6 million of ordinary course dividend capacity available from Re One without the prior approval of the Wisconsin OCI. Amounts drawn under the 2020 Revolving Credit Facility are available as directed for NMIH needs or may be down-streamed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support the requirements of our operating subsidiaries if we so decide. Item 1, "</w:t>
      </w:r>
      <w:r>
        <w:rPr>
          <w:rFonts w:ascii="Arial" w:cs="Arial" w:eastAsia="Arial" w:hAnsi="Arial"/>
          <w:sz w:val="18"/>
          <w:szCs w:val="18"/>
          <w:i w:val="1"/>
          <w:iCs w:val="1"/>
          <w:color w:val="auto"/>
        </w:rPr>
        <w:t>Financial Statements - Notes to Condensed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 4, Debt.</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NMIH's principal liquidity demands include funds for the payment of (i) certain corporate expenses, (ii) certain reimbursable expenses of our insurance subsidiaries, including NMIC, and (iii) principal and interest as due on our outstanding debt. NMIH generates cash interest income on its investment portfolio and benefits from tax, expense-sharing and debt service agreements with its subsidiaries. Such agreements have been approved by the Wisconsin OCI and provide for the reimbursement of substantially all of NMIH's annual cash expenditures. While such agreements are subject to revocation by the Wisconsin OCI, we do not expect such action to be taken at this time. The Wisconsin OCI has refreshed its approval of the debt service agreement providing for the additional reimbursement by NMIC of interest expense due on our newly issued Notes and 2020 Revolving Credit Facility.</w:t>
      </w:r>
    </w:p>
    <w:p>
      <w:pPr>
        <w:spacing w:after="0" w:line="1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March 31, 2021, NMIC had $1.8 billion of cash and investments, including $86 million of cash and equivalents. NMIC's principal liquidity demands include funds for the payment of</w:t>
      </w:r>
    </w:p>
    <w:p>
      <w:pPr>
        <w:spacing w:after="0" w:line="2" w:lineRule="exact"/>
        <w:rPr>
          <w:sz w:val="20"/>
          <w:szCs w:val="20"/>
          <w:color w:val="auto"/>
        </w:rPr>
      </w:pPr>
    </w:p>
    <w:p>
      <w:pPr>
        <w:jc w:val="both"/>
        <w:ind w:firstLine="8"/>
        <w:spacing w:after="0" w:line="286"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March 31, 2021, NMIC generated $283 million of cash flow from operations and received an additional $327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6"/>
          <w:szCs w:val="16"/>
          <w:i w:val="1"/>
          <w:iCs w:val="1"/>
          <w:color w:val="auto"/>
        </w:rPr>
        <w:t>i.e.</w:t>
      </w:r>
      <w:r>
        <w:rPr>
          <w:rFonts w:ascii="Arial" w:cs="Arial" w:eastAsia="Arial" w:hAnsi="Arial"/>
          <w:sz w:val="16"/>
          <w:szCs w:val="16"/>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11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Premiums paid to NMIC on monthly policies are generally collected and remitted by loan servicers. There was broad discussion at the onset of the COVID pandemic and concerns about potential liquidity challenges that servicers might face in the event of widespread borrower utilization of forbearance programs. These concerns have not materialized thus far and we do not believe that loan servicer liquidity constraints, should they arise in the future, would have a material impact on NMIC's premium receipts or liquidity profile. Loan servicers are contractually obligated to advance mortgage insurance premiums in a timely manner, even if the underlying borrowers fail to remit their monthly mortgage payments. In June 2020, the GSEs issued guidance to the PMIERs (subsequently amended and restated in each of September and December 2020) that, among other items, requires us to notify them of our intent to cancel coverage on policies for which servicers have failed to make timely premium payments so that the GSEs can pay the premiums directly to us and preserve the mortgage insurance coverage. Through March 31, 2021, we did not see any notable changes in servicer payment practices, with servicers generally continuing to remit monthly premium payments as scheduled, including those for policies covering loans that are in a forbearance program.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portfolio</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March 31, 2021, we had $1.9 billion of cash and invested assets. Our investment strategy equally prioritizes capital preservation alongside income generation, and we have a long-established investment policy that sets conservative limits for asset types, industry sectors, single issuers and instrument credit ratings. At March 31, 2021, our investment portfolio was comprised of 100% fixed income assets with 100% of our holdings rated investment grade and our portfolio having an average rating of "A+." At March 31, 2021, our portfolio was in a $16 million aggregate unrealized gain position; it was highly liquid and highly diversified with no Level 3 asset positions and no single issuer concentration greater than 1.5%. We did not record any allowance for credit losses in the portfolio during the three months ended March 31, 2021, as we expect to recover the amortized cost basis of all securities held.</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pre-tax book yield on our investment portfolio was 2.0% for the three months ended March 31, 2021. At the onset of the COVID-19 crisis, we decided to prioritize liquidity and increased our cash and equivalent holdings as a percentage of our total portfolio. We believe such action was prudent in light of the heightened market volatility and general uncertainty developing in the early stages of the COVID-19 pandemic. We have since redeployed much of our excess liquidity position.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CARES Act, CAA and American Rescue Plan include, among other items, provisions relating to refundable payroll tax credits, deferment of social security payments, net operating loss carryback periods, alternative minimum tax credit refunds,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modifications to the net interest deduction limitations, increased limitations on qualified charitable contributions, technical corrections to tax depreciation methods for qualified improvement property, and temporary 100% deduction for business meals. We continue to monitor the impact that the CARES Act, CAA and American Rescue Plan may have on our business, financial condition and results of operations.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Insurance-In-Force and Risk-In-Force</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most of our new business is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3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NIW;</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71"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March 31, 2021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3" w:name="page34"/>
    <w:bookmarkEnd w:id="33"/>
    <w:p>
      <w:pPr>
        <w:jc w:val="both"/>
        <w:spacing w:after="0" w:line="255" w:lineRule="auto"/>
        <w:rPr>
          <w:sz w:val="20"/>
          <w:szCs w:val="20"/>
          <w:color w:val="auto"/>
        </w:rPr>
      </w:pPr>
      <w:r>
        <w:rPr>
          <w:rFonts w:ascii="Arial" w:cs="Arial" w:eastAsia="Arial" w:hAnsi="Arial"/>
          <w:sz w:val="18"/>
          <w:szCs w:val="18"/>
          <w:color w:val="auto"/>
        </w:rPr>
        <w:t>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NMIC is a party to four outstanding quota share reinsurance treaties – the 2016 QSR Transaction, effective September 1, 2016, the 2018 QSR Transaction, effective January 1, 2018, the 2020 QSR Transaction, effective April 1, 2020 and the 2021 QSR Transaction, effective January 1, 2021.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S&amp;P, A.M. Best or both.</w:t>
      </w:r>
    </w:p>
    <w:p>
      <w:pPr>
        <w:spacing w:after="0" w:line="10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3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terms of the 2021 QSR Transaction, NMIC cedes premiums earned related to 22.5% of the risk on eligible policies written in 2021, in exchange for reimbursement of ceded claims and claim expenses on covered policies, a 20% ceding commission, and a profit commission of up to 57.5% that varies directly and inversely with ceded claims.</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may elect to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xml:space="preserve">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4" w:name="page35"/>
    <w:bookmarkEnd w:id="34"/>
    <w:p>
      <w:pPr>
        <w:jc w:val="center"/>
        <w:ind w:right="7940"/>
        <w:spacing w:after="0"/>
        <w:rPr>
          <w:sz w:val="20"/>
          <w:szCs w:val="20"/>
          <w:color w:val="auto"/>
        </w:rPr>
      </w:pPr>
      <w:r>
        <w:rPr>
          <w:rFonts w:ascii="Arial" w:cs="Arial" w:eastAsia="Arial" w:hAnsi="Arial"/>
          <w:sz w:val="16"/>
          <w:szCs w:val="16"/>
          <w:color w:val="auto"/>
        </w:rPr>
        <w:t>of pool risk under the 2016 QSR Transaction.</w:t>
      </w:r>
    </w:p>
    <w:p>
      <w:pPr>
        <w:spacing w:after="0" w:line="194" w:lineRule="exact"/>
        <w:rPr>
          <w:sz w:val="20"/>
          <w:szCs w:val="20"/>
          <w:color w:val="auto"/>
        </w:rPr>
      </w:pPr>
    </w:p>
    <w:p>
      <w:pPr>
        <w:jc w:val="center"/>
        <w:ind w:right="800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NMIC has secured aggregate excess-of-loss reinsurance coverage on defined portfolios of mortgage insurance policies written during discrete periods through a series of mortgage insurance-linked note offerings by the Oaktown Re Vehicles.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respective reinsurance coverage amounts provided by the Oaktown Re Vehicles decrease from the inception of each agreement over a ten-year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occurs.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Effective June 25, 2020, a Lock-Out Event was deemed to have occurred for each of the 2017, 2018 and 2019 ILN Transactions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assets will be preserved in the applicable reinsurance trust account to collateralize the excess-of-loss reinsurance coverage provided to NMIC.</w:t>
      </w:r>
    </w:p>
    <w:p>
      <w:pPr>
        <w:spacing w:after="0" w:line="1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presents the inception date, covered production period, initial and current reinsurance coverage amount, and initial and current first layer retained aggregate loss under each of the ILN Transactions. Current amounts are presented as of March 31,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Initial First Layer</w:t>
            </w:r>
          </w:p>
        </w:tc>
        <w:tc>
          <w:tcPr>
            <w:tcW w:w="14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w w:val="99"/>
              </w:rPr>
              <w:t>Current First</w:t>
            </w:r>
          </w:p>
        </w:tc>
        <w:tc>
          <w:tcPr>
            <w:tcW w:w="0" w:type="dxa"/>
            <w:vAlign w:val="bottom"/>
          </w:tcPr>
          <w:p>
            <w:pPr>
              <w:spacing w:after="0"/>
              <w:rPr>
                <w:sz w:val="1"/>
                <w:szCs w:val="1"/>
                <w:color w:val="auto"/>
              </w:rPr>
            </w:pPr>
          </w:p>
        </w:tc>
      </w:tr>
      <w:tr>
        <w:trPr>
          <w:trHeight w:val="135"/>
        </w:trPr>
        <w:tc>
          <w:tcPr>
            <w:tcW w:w="21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Inception Date</w:t>
            </w:r>
          </w:p>
        </w:tc>
        <w:tc>
          <w:tcPr>
            <w:tcW w:w="22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Covered Production</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Reinsurance</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Reinsurance</w:t>
            </w: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5"/>
              </w:rPr>
              <w:t>Layer Retained</w:t>
            </w:r>
          </w:p>
        </w:tc>
        <w:tc>
          <w:tcPr>
            <w:tcW w:w="0" w:type="dxa"/>
            <w:vAlign w:val="bottom"/>
          </w:tcPr>
          <w:p>
            <w:pPr>
              <w:spacing w:after="0"/>
              <w:rPr>
                <w:sz w:val="1"/>
                <w:szCs w:val="1"/>
                <w:color w:val="auto"/>
              </w:rPr>
            </w:pPr>
          </w:p>
        </w:tc>
      </w:tr>
      <w:tr>
        <w:trPr>
          <w:trHeight w:val="189"/>
        </w:trPr>
        <w:tc>
          <w:tcPr>
            <w:tcW w:w="216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Retained Loss</w:t>
            </w:r>
          </w:p>
        </w:tc>
        <w:tc>
          <w:tcPr>
            <w:tcW w:w="140" w:type="dxa"/>
            <w:vAlign w:val="bottom"/>
          </w:tcPr>
          <w:p>
            <w:pPr>
              <w:spacing w:after="0"/>
              <w:rPr>
                <w:sz w:val="16"/>
                <w:szCs w:val="16"/>
                <w:color w:val="auto"/>
              </w:rPr>
            </w:pPr>
          </w:p>
        </w:tc>
        <w:tc>
          <w:tcPr>
            <w:tcW w:w="1140" w:type="dxa"/>
            <w:vAlign w:val="bottom"/>
          </w:tcPr>
          <w:p>
            <w:pPr>
              <w:jc w:val="center"/>
              <w:ind w:right="57"/>
              <w:spacing w:after="0" w:line="189" w:lineRule="exact"/>
              <w:rPr>
                <w:sz w:val="20"/>
                <w:szCs w:val="20"/>
                <w:color w:val="auto"/>
              </w:rPr>
            </w:pPr>
            <w:r>
              <w:rPr>
                <w:rFonts w:ascii="Arial" w:cs="Arial" w:eastAsia="Arial" w:hAnsi="Arial"/>
                <w:sz w:val="14"/>
                <w:szCs w:val="14"/>
                <w:b w:val="1"/>
                <w:bCs w:val="1"/>
                <w:color w:val="auto"/>
                <w:w w:val="85"/>
              </w:rPr>
              <w:t xml:space="preserve">Loss </w:t>
            </w:r>
            <w:r>
              <w:rPr>
                <w:rFonts w:ascii="Arial" w:cs="Arial" w:eastAsia="Arial" w:hAnsi="Arial"/>
                <w:sz w:val="18"/>
                <w:szCs w:val="18"/>
                <w:b w:val="1"/>
                <w:bCs w:val="1"/>
                <w:color w:val="auto"/>
                <w:w w:val="85"/>
                <w:vertAlign w:val="superscript"/>
              </w:rPr>
              <w:t>(1)</w:t>
            </w:r>
          </w:p>
        </w:tc>
        <w:tc>
          <w:tcPr>
            <w:tcW w:w="0" w:type="dxa"/>
            <w:vAlign w:val="bottom"/>
          </w:tcPr>
          <w:p>
            <w:pPr>
              <w:spacing w:after="0"/>
              <w:rPr>
                <w:sz w:val="1"/>
                <w:szCs w:val="1"/>
                <w:color w:val="auto"/>
              </w:rPr>
            </w:pPr>
          </w:p>
        </w:tc>
      </w:tr>
      <w:tr>
        <w:trPr>
          <w:trHeight w:val="223"/>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 ILN Transaction</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May 2, 2017</w:t>
            </w:r>
          </w:p>
        </w:tc>
        <w:tc>
          <w:tcPr>
            <w:tcW w:w="12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1/1/2013 - 12/31/2016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211,320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121,376</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2018 ILN Transaction</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25, 2018</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1/1/2017 - 5/31/2018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264,545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158,489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123,051</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ILN Transaction</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30, 2019</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6/1/2018 - 6/30/2019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122,838</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2020-1 ILN Transaction</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30, 2020</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7/1/2019 - 3/31/2020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322,076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174,314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169,514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169,514</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2020-2 ILN Transaction</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October 29, 2020</w:t>
            </w:r>
          </w:p>
        </w:tc>
        <w:tc>
          <w:tcPr>
            <w:tcW w:w="210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9"/>
              </w:rPr>
              <w:t xml:space="preserve">4/1/2020 - 9/30/2020 </w:t>
            </w:r>
            <w:r>
              <w:rPr>
                <w:rFonts w:ascii="Arial" w:cs="Arial" w:eastAsia="Arial" w:hAnsi="Arial"/>
                <w:sz w:val="23"/>
                <w:szCs w:val="23"/>
                <w:color w:val="auto"/>
                <w:w w:val="89"/>
                <w:vertAlign w:val="superscript"/>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121,777</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hanging="332"/>
        <w:spacing w:after="0" w:line="217" w:lineRule="auto"/>
        <w:tabs>
          <w:tab w:leader="none" w:pos="272"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spacing w:after="0" w:line="106"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Less than 1% of the production covered by the 2020-2 ILN Transaction has coverage reporting dates between July 1, 2019 and March 31, 2020.</w:t>
      </w:r>
    </w:p>
    <w:p>
      <w:pPr>
        <w:spacing w:after="0" w:line="146" w:lineRule="exact"/>
        <w:rPr>
          <w:sz w:val="20"/>
          <w:szCs w:val="20"/>
          <w:color w:val="auto"/>
        </w:rPr>
      </w:pPr>
    </w:p>
    <w:p>
      <w:pPr>
        <w:jc w:val="both"/>
        <w:ind w:left="340" w:right="20" w:firstLine="648"/>
        <w:spacing w:after="0" w:line="277" w:lineRule="auto"/>
        <w:rPr>
          <w:sz w:val="20"/>
          <w:szCs w:val="20"/>
          <w:color w:val="auto"/>
        </w:rPr>
      </w:pPr>
      <w:r>
        <w:rPr>
          <w:rFonts w:ascii="Arial" w:cs="Arial" w:eastAsia="Arial" w:hAnsi="Arial"/>
          <w:sz w:val="18"/>
          <w:szCs w:val="18"/>
          <w:color w:val="auto"/>
        </w:rPr>
        <w:t>See Item 1, "</w:t>
      </w:r>
      <w:r>
        <w:rPr>
          <w:rFonts w:ascii="Arial" w:cs="Arial" w:eastAsia="Arial" w:hAnsi="Arial"/>
          <w:sz w:val="18"/>
          <w:szCs w:val="18"/>
          <w:i w:val="1"/>
          <w:iCs w:val="1"/>
          <w:color w:val="auto"/>
        </w:rPr>
        <w:t>Financial Statements - Notes to Condensed Consolidated Financial Statements - Note 5, Reinsurance</w:t>
      </w:r>
      <w:r>
        <w:rPr>
          <w:rFonts w:ascii="Arial" w:cs="Arial" w:eastAsia="Arial" w:hAnsi="Arial"/>
          <w:sz w:val="18"/>
          <w:szCs w:val="18"/>
          <w:color w:val="auto"/>
        </w:rPr>
        <w:t>" for further discussion of these third-party reinsurance arrangements.</w:t>
      </w:r>
    </w:p>
    <w:p>
      <w:pPr>
        <w:spacing w:after="0" w:line="116" w:lineRule="exact"/>
        <w:rPr>
          <w:sz w:val="20"/>
          <w:szCs w:val="20"/>
          <w:color w:val="auto"/>
        </w:rPr>
      </w:pPr>
    </w:p>
    <w:p>
      <w:pPr>
        <w:jc w:val="both"/>
        <w:ind w:left="340" w:firstLine="648"/>
        <w:spacing w:after="0" w:line="291" w:lineRule="auto"/>
        <w:rPr>
          <w:sz w:val="20"/>
          <w:szCs w:val="20"/>
          <w:color w:val="auto"/>
        </w:rPr>
      </w:pPr>
      <w:r>
        <w:rPr>
          <w:rFonts w:ascii="Arial" w:cs="Arial" w:eastAsia="Arial" w:hAnsi="Arial"/>
          <w:sz w:val="16"/>
          <w:szCs w:val="16"/>
          <w:color w:val="auto"/>
        </w:rPr>
        <w:t>In April 27, 2021, NMIC secured $367.2 million of aggregate excess-of-loss reinsurance coverage at inception for an existing portfolio of policies primarily written from October 1, 2020 to March 31, 2021, through a mortgage insurance-linked notes offering by Oaktown Re VI. The reinsurance coverage amount under the terms of the 2021-1 ILN Transaction decreases from $367.2 million at inception over a 12.5 year period as the underlying covered mortgages are amortized or repaid, and/or the mortgage insurance coverage is canceled. The outstanding reinsurance coverage amount will begin amortizing after an initial period in which a target level of credit enhancement is obtained. For the reinsurance coverage period, NMIC retains the first layer of $163.7 million of aggregate losses and Oaktown Re VI then provides second layer coverage up to the outstanding reinsurance coverage amount. NMIC then retains losses in excess of the outstanding reinsurance coverage amount.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Portfolio Data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Primary and pool IIF and NIW</w:t>
            </w: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120" w:type="dxa"/>
            <w:vAlign w:val="bottom"/>
            <w:gridSpan w:val="5"/>
          </w:tcPr>
          <w:p>
            <w:pPr>
              <w:ind w:left="120"/>
              <w:spacing w:after="0"/>
              <w:rPr>
                <w:sz w:val="20"/>
                <w:szCs w:val="20"/>
                <w:color w:val="auto"/>
              </w:rPr>
            </w:pPr>
            <w:r>
              <w:rPr>
                <w:rFonts w:ascii="Arial" w:cs="Arial" w:eastAsia="Arial" w:hAnsi="Arial"/>
                <w:sz w:val="14"/>
                <w:szCs w:val="14"/>
                <w:b w:val="1"/>
                <w:bCs w:val="1"/>
                <w:color w:val="auto"/>
              </w:rPr>
              <w:t>As of and for the three months ended</w:t>
            </w: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5"/>
        </w:trPr>
        <w:tc>
          <w:tcPr>
            <w:tcW w:w="3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 2021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 2020</w:t>
            </w:r>
          </w:p>
        </w:tc>
        <w:tc>
          <w:tcPr>
            <w:tcW w:w="1160" w:type="dxa"/>
            <w:vAlign w:val="bottom"/>
            <w:tcBorders>
              <w:bottom w:val="single" w:sz="8" w:color="auto"/>
            </w:tcBorders>
          </w:tcPr>
          <w:p>
            <w:pPr>
              <w:spacing w:after="0"/>
              <w:rPr>
                <w:sz w:val="16"/>
                <w:szCs w:val="16"/>
                <w:color w:val="auto"/>
              </w:rPr>
            </w:pPr>
          </w:p>
        </w:tc>
      </w:tr>
      <w:tr>
        <w:trPr>
          <w:trHeight w:val="187"/>
        </w:trPr>
        <w:tc>
          <w:tcPr>
            <w:tcW w:w="3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IIF</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NIW</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5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NIW</w:t>
            </w:r>
          </w:p>
        </w:tc>
      </w:tr>
      <w:tr>
        <w:trPr>
          <w:trHeight w:val="180"/>
        </w:trPr>
        <w:tc>
          <w:tcPr>
            <w:tcW w:w="3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10,461</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Single</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r>
      <w:tr>
        <w:trPr>
          <w:trHeight w:val="108"/>
        </w:trPr>
        <w:tc>
          <w:tcPr>
            <w:tcW w:w="3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125,419</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26,397</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100,981</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11,297</w:t>
            </w:r>
          </w:p>
        </w:tc>
      </w:tr>
      <w:tr>
        <w:trPr>
          <w:trHeight w:val="21"/>
        </w:trPr>
        <w:tc>
          <w:tcPr>
            <w:tcW w:w="3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2021, NIW increased 134%, compared to the three months ended March 31, 2020, due to growth in our monthly and single premium policy production tied to growth in the size of the total mortgage insurance market, as well as the increased penetration of existing customer accounts and new customer account activations.</w:t>
      </w:r>
    </w:p>
    <w:p>
      <w:pPr>
        <w:spacing w:after="0" w:line="13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three months ended March 31, 2021, monthly premium polices accounted for 90% of our NIW, compared to 93% for the three months ended March 31, 2020. As of March 31, 2021, monthly premium policies accounted for 86% of our primary IIF, compared to 83% at March 31, 2020.</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IIF increased 24% at March 31, 2021 compared to March 31, 2020, primarily due to the NIW generated between such measurement dates, partially offset by the run-off of in-force policies. Our persistency rate decreased to 52% at March 31, 2021 from 72% at March 31, 2020, reflecting the impact of increased refinancing activity tied to record low interest rates.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Primary and pool premiums written and earned</w:t>
            </w: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
          </w:tcPr>
          <w:p>
            <w:pPr>
              <w:jc w:val="center"/>
              <w:ind w:right="176"/>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87"/>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March 31, 2021</w:t>
            </w: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4"/>
              </w:rPr>
              <w:t>March 31, 2020</w:t>
            </w:r>
          </w:p>
        </w:tc>
      </w:tr>
      <w:tr>
        <w:trPr>
          <w:trHeight w:val="181"/>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2"/>
          </w:tcPr>
          <w:p>
            <w:pPr>
              <w:jc w:val="center"/>
              <w:ind w:left="1021"/>
              <w:spacing w:after="0"/>
              <w:rPr>
                <w:sz w:val="20"/>
                <w:szCs w:val="20"/>
                <w:color w:val="auto"/>
              </w:rPr>
            </w:pPr>
            <w:r>
              <w:rPr>
                <w:rFonts w:ascii="Arial" w:cs="Arial" w:eastAsia="Arial" w:hAnsi="Arial"/>
                <w:sz w:val="14"/>
                <w:szCs w:val="14"/>
                <w:i w:val="1"/>
                <w:iCs w:val="1"/>
                <w:color w:val="auto"/>
                <w:w w:val="93"/>
              </w:rPr>
              <w:t>(In Thousands)</w:t>
            </w:r>
          </w:p>
        </w:tc>
        <w:tc>
          <w:tcPr>
            <w:tcW w:w="1340" w:type="dxa"/>
            <w:vAlign w:val="bottom"/>
          </w:tcPr>
          <w:p>
            <w:pPr>
              <w:spacing w:after="0"/>
              <w:rPr>
                <w:sz w:val="15"/>
                <w:szCs w:val="15"/>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115,815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91,371</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20"/>
                <w:szCs w:val="20"/>
                <w:color w:val="auto"/>
              </w:rPr>
            </w:pP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105,879</w:t>
            </w:r>
          </w:p>
        </w:tc>
        <w:tc>
          <w:tcPr>
            <w:tcW w:w="4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98,717</w:t>
            </w:r>
          </w:p>
        </w:tc>
      </w:tr>
    </w:tbl>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March 31, 2021, net premiums written increased 27%, and net premiums earned increased 7%, compared to the three months ended March 31, 2020. The growth in net premiums written and earned were primarily due to the growth of our IIF and increased monthly policy production, partially offset by increased cessions under the QSR and ILN Transactions. The accelerated rate of growth in net premiums written over growth in net premiums earned is due to increase in single policy production and increase in earnings on cancellations during the three months ended March 31, 2021.</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Pool premiums written and earned for the three months ended March 31, 2021 and 2020, were $0.5 million and $0.7 million, respectively, before giving effect to the 2016 QSR Transaction, under which all of our written and earned pool premiums are ceded. A portion of our ceded pool premiums written and earned are recouped through profit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40" w:type="dxa"/>
            <w:vAlign w:val="bottom"/>
            <w:gridSpan w:val="5"/>
          </w:tcPr>
          <w:p>
            <w:pPr>
              <w:jc w:val="center"/>
              <w:ind w:right="271"/>
              <w:spacing w:after="0"/>
              <w:rPr>
                <w:sz w:val="20"/>
                <w:szCs w:val="20"/>
                <w:color w:val="auto"/>
              </w:rPr>
            </w:pPr>
            <w:r>
              <w:rPr>
                <w:rFonts w:ascii="Arial" w:cs="Arial" w:eastAsia="Arial" w:hAnsi="Arial"/>
                <w:sz w:val="14"/>
                <w:szCs w:val="14"/>
                <w:b w:val="1"/>
                <w:bCs w:val="1"/>
                <w:color w:val="auto"/>
                <w:w w:val="91"/>
              </w:rPr>
              <w:t>As of and for the three months ended</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5"/>
        </w:trPr>
        <w:tc>
          <w:tcPr>
            <w:tcW w:w="3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March 31, 2021</w:t>
            </w:r>
          </w:p>
        </w:tc>
        <w:tc>
          <w:tcPr>
            <w:tcW w:w="14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December 31, 2020</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8"/>
              </w:rPr>
              <w:t>June 30, 2020</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8"/>
              </w:rPr>
              <w:t>March 31, 2020</w:t>
            </w:r>
          </w:p>
        </w:tc>
      </w:tr>
      <w:tr>
        <w:trPr>
          <w:trHeight w:val="185"/>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40" w:type="dxa"/>
            <w:vAlign w:val="bottom"/>
            <w:gridSpan w:val="5"/>
          </w:tcPr>
          <w:p>
            <w:pPr>
              <w:jc w:val="center"/>
              <w:ind w:right="291"/>
              <w:spacing w:after="0"/>
              <w:rPr>
                <w:sz w:val="20"/>
                <w:szCs w:val="20"/>
                <w:color w:val="auto"/>
              </w:rPr>
            </w:pPr>
            <w:r>
              <w:rPr>
                <w:rFonts w:ascii="Arial" w:cs="Arial" w:eastAsia="Arial" w:hAnsi="Arial"/>
                <w:sz w:val="14"/>
                <w:szCs w:val="14"/>
                <w:i w:val="1"/>
                <w:iCs w:val="1"/>
                <w:color w:val="auto"/>
                <w:w w:val="93"/>
              </w:rPr>
              <w:t>($ Values In Millions, except as noted below)</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3"/>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insurance written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26,397</w:t>
            </w:r>
          </w:p>
        </w:tc>
        <w:tc>
          <w:tcPr>
            <w:tcW w:w="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19,782</w:t>
            </w:r>
          </w:p>
        </w:tc>
        <w:tc>
          <w:tcPr>
            <w:tcW w:w="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18,499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13,124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11,297</w:t>
            </w:r>
          </w:p>
        </w:tc>
      </w:tr>
      <w:tr>
        <w:trPr>
          <w:trHeight w:val="229"/>
        </w:trPr>
        <w:tc>
          <w:tcPr>
            <w:tcW w:w="3860" w:type="dxa"/>
            <w:vAlign w:val="bottom"/>
          </w:tcPr>
          <w:p>
            <w:pPr>
              <w:ind w:left="680"/>
              <w:spacing w:after="0"/>
              <w:rPr>
                <w:sz w:val="20"/>
                <w:szCs w:val="20"/>
                <w:color w:val="auto"/>
              </w:rPr>
            </w:pPr>
            <w:r>
              <w:rPr>
                <w:rFonts w:ascii="Arial" w:cs="Arial" w:eastAsia="Arial" w:hAnsi="Arial"/>
                <w:sz w:val="18"/>
                <w:szCs w:val="18"/>
                <w:color w:val="auto"/>
              </w:rPr>
              <w:t>Percentage of monthly premium</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90 %</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90 %</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89 %</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91 %</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29"/>
        </w:trPr>
        <w:tc>
          <w:tcPr>
            <w:tcW w:w="3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Percentage of single premium</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3860" w:type="dxa"/>
            <w:vAlign w:val="bottom"/>
          </w:tcPr>
          <w:p>
            <w:pPr>
              <w:ind w:left="220"/>
              <w:spacing w:after="0"/>
              <w:rPr>
                <w:sz w:val="20"/>
                <w:szCs w:val="20"/>
                <w:color w:val="auto"/>
              </w:rPr>
            </w:pPr>
            <w:r>
              <w:rPr>
                <w:rFonts w:ascii="Arial" w:cs="Arial" w:eastAsia="Arial" w:hAnsi="Arial"/>
                <w:sz w:val="18"/>
                <w:szCs w:val="18"/>
                <w:color w:val="auto"/>
              </w:rPr>
              <w:t>New risk written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6,531</w:t>
            </w: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4,868</w:t>
            </w:r>
          </w:p>
        </w:tc>
        <w:tc>
          <w:tcPr>
            <w:tcW w:w="4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4,577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3,260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2,897</w:t>
            </w:r>
          </w:p>
        </w:tc>
      </w:tr>
      <w:tr>
        <w:trPr>
          <w:trHeight w:val="229"/>
        </w:trPr>
        <w:tc>
          <w:tcPr>
            <w:tcW w:w="3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Insurance-in-force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123,777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111,252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104,494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98,905</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98,494</w:t>
            </w:r>
          </w:p>
        </w:tc>
      </w:tr>
      <w:tr>
        <w:trPr>
          <w:trHeight w:val="229"/>
        </w:trPr>
        <w:tc>
          <w:tcPr>
            <w:tcW w:w="3860" w:type="dxa"/>
            <w:vAlign w:val="bottom"/>
          </w:tcPr>
          <w:p>
            <w:pPr>
              <w:ind w:left="680"/>
              <w:spacing w:after="0"/>
              <w:rPr>
                <w:sz w:val="20"/>
                <w:szCs w:val="20"/>
                <w:color w:val="auto"/>
              </w:rPr>
            </w:pPr>
            <w:r>
              <w:rPr>
                <w:rFonts w:ascii="Arial" w:cs="Arial" w:eastAsia="Arial" w:hAnsi="Arial"/>
                <w:sz w:val="18"/>
                <w:szCs w:val="18"/>
                <w:color w:val="auto"/>
              </w:rPr>
              <w:t>Percentage of monthly premium</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86 %</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86 %</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85 %</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84 %</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30"/>
        </w:trPr>
        <w:tc>
          <w:tcPr>
            <w:tcW w:w="3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Percentage of single premium</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38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Risk-in-force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31,206</w:t>
            </w: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28,164</w:t>
            </w:r>
          </w:p>
        </w:tc>
        <w:tc>
          <w:tcPr>
            <w:tcW w:w="4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26,568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25,238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25,192</w:t>
            </w:r>
          </w:p>
        </w:tc>
      </w:tr>
      <w:tr>
        <w:trPr>
          <w:trHeight w:val="230"/>
        </w:trPr>
        <w:tc>
          <w:tcPr>
            <w:tcW w:w="3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436,652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399,429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381,899</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372,934</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376,852</w:t>
            </w:r>
          </w:p>
        </w:tc>
      </w:tr>
      <w:tr>
        <w:trPr>
          <w:trHeight w:val="229"/>
        </w:trPr>
        <w:tc>
          <w:tcPr>
            <w:tcW w:w="38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14"/>
                <w:szCs w:val="14"/>
                <w:i w:val="1"/>
                <w:iCs w:val="1"/>
                <w:color w:val="auto"/>
              </w:rPr>
              <w:t>($ value in thousands)</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283</w:t>
            </w: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279</w:t>
            </w:r>
          </w:p>
        </w:tc>
        <w:tc>
          <w:tcPr>
            <w:tcW w:w="4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265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261</w:t>
            </w:r>
          </w:p>
        </w:tc>
      </w:tr>
      <w:tr>
        <w:trPr>
          <w:trHeight w:val="229"/>
        </w:trPr>
        <w:tc>
          <w:tcPr>
            <w:tcW w:w="3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Coverage percentage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r>
      <w:tr>
        <w:trPr>
          <w:trHeight w:val="230"/>
        </w:trPr>
        <w:tc>
          <w:tcPr>
            <w:tcW w:w="38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Loans in default (count)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11,090</w:t>
            </w:r>
          </w:p>
        </w:tc>
        <w:tc>
          <w:tcPr>
            <w:tcW w:w="38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12,209</w:t>
            </w:r>
          </w:p>
        </w:tc>
        <w:tc>
          <w:tcPr>
            <w:tcW w:w="40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13,765</w:t>
            </w:r>
          </w:p>
        </w:tc>
        <w:tc>
          <w:tcPr>
            <w:tcW w:w="240" w:type="dxa"/>
            <w:vAlign w:val="bottom"/>
          </w:tcPr>
          <w:p>
            <w:pPr>
              <w:spacing w:after="0"/>
              <w:rPr>
                <w:sz w:val="19"/>
                <w:szCs w:val="19"/>
                <w:color w:val="auto"/>
              </w:rPr>
            </w:pP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10,816</w:t>
            </w:r>
          </w:p>
        </w:tc>
        <w:tc>
          <w:tcPr>
            <w:tcW w:w="22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1,449</w:t>
            </w:r>
          </w:p>
        </w:tc>
      </w:tr>
      <w:tr>
        <w:trPr>
          <w:trHeight w:val="229"/>
        </w:trPr>
        <w:tc>
          <w:tcPr>
            <w:tcW w:w="3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Default rate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3.06 %</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0.38 %</w:t>
            </w:r>
          </w:p>
        </w:tc>
      </w:tr>
      <w:tr>
        <w:trPr>
          <w:trHeight w:val="230"/>
        </w:trPr>
        <w:tc>
          <w:tcPr>
            <w:tcW w:w="38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Risk-in-force on defaulted loans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785</w:t>
            </w: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874</w:t>
            </w:r>
          </w:p>
        </w:tc>
        <w:tc>
          <w:tcPr>
            <w:tcW w:w="4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799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84</w:t>
            </w:r>
          </w:p>
        </w:tc>
      </w:tr>
      <w:tr>
        <w:trPr>
          <w:trHeight w:val="229"/>
        </w:trPr>
        <w:tc>
          <w:tcPr>
            <w:tcW w:w="3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Net premium yield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0.36 %</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0.37 %</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0.39 %</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0.40 %</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0.41 %</w:t>
            </w:r>
          </w:p>
        </w:tc>
      </w:tr>
      <w:tr>
        <w:trPr>
          <w:trHeight w:val="229"/>
        </w:trPr>
        <w:tc>
          <w:tcPr>
            <w:tcW w:w="3860" w:type="dxa"/>
            <w:vAlign w:val="bottom"/>
          </w:tcPr>
          <w:p>
            <w:pPr>
              <w:ind w:left="220"/>
              <w:spacing w:after="0"/>
              <w:rPr>
                <w:sz w:val="20"/>
                <w:szCs w:val="20"/>
                <w:color w:val="auto"/>
              </w:rPr>
            </w:pPr>
            <w:r>
              <w:rPr>
                <w:rFonts w:ascii="Arial" w:cs="Arial" w:eastAsia="Arial" w:hAnsi="Arial"/>
                <w:sz w:val="18"/>
                <w:szCs w:val="18"/>
                <w:color w:val="auto"/>
              </w:rPr>
              <w:t>Earnings from cancellations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9.9</w:t>
            </w: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11.7</w:t>
            </w:r>
          </w:p>
        </w:tc>
        <w:tc>
          <w:tcPr>
            <w:tcW w:w="4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15.5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8.6</w:t>
            </w:r>
          </w:p>
        </w:tc>
      </w:tr>
      <w:tr>
        <w:trPr>
          <w:trHeight w:val="230"/>
        </w:trPr>
        <w:tc>
          <w:tcPr>
            <w:tcW w:w="3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51.9 %</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55.9 %</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71.7 %</w:t>
            </w:r>
          </w:p>
        </w:tc>
      </w:tr>
      <w:tr>
        <w:trPr>
          <w:trHeight w:val="312"/>
        </w:trPr>
        <w:tc>
          <w:tcPr>
            <w:tcW w:w="3860" w:type="dxa"/>
            <w:vAlign w:val="bottom"/>
          </w:tcPr>
          <w:p>
            <w:pPr>
              <w:ind w:left="220"/>
              <w:spacing w:after="0"/>
              <w:rPr>
                <w:sz w:val="20"/>
                <w:szCs w:val="20"/>
                <w:color w:val="auto"/>
              </w:rPr>
            </w:pPr>
            <w:r>
              <w:rPr>
                <w:rFonts w:ascii="Arial" w:cs="Arial" w:eastAsia="Arial" w:hAnsi="Arial"/>
                <w:sz w:val="18"/>
                <w:szCs w:val="18"/>
                <w:color w:val="auto"/>
              </w:rPr>
              <w:t xml:space="preserve">Quarterly run-off </w:t>
            </w:r>
            <w:r>
              <w:rPr>
                <w:rFonts w:ascii="Arial" w:cs="Arial" w:eastAsia="Arial" w:hAnsi="Arial"/>
                <w:sz w:val="23"/>
                <w:szCs w:val="23"/>
                <w:color w:val="auto"/>
                <w:vertAlign w:val="superscript"/>
              </w:rPr>
              <w:t>(5)</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12.5 %</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12.5 %</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13.1 %</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12.9 %</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8.0 %</w:t>
            </w:r>
          </w:p>
        </w:tc>
      </w:tr>
    </w:tbl>
    <w:p>
      <w:pPr>
        <w:spacing w:after="0" w:line="17"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Reported as of the end of the period.</w:t>
      </w:r>
    </w:p>
    <w:p>
      <w:pPr>
        <w:ind w:left="220" w:hanging="212"/>
        <w:spacing w:after="0" w:line="187" w:lineRule="auto"/>
        <w:tabs>
          <w:tab w:leader="none" w:pos="2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Calculated as end of period RIF divided by end of period IIF.</w:t>
      </w:r>
    </w:p>
    <w:p>
      <w:pPr>
        <w:ind w:left="220" w:hanging="212"/>
        <w:spacing w:after="0" w:line="187" w:lineRule="auto"/>
        <w:tabs>
          <w:tab w:leader="none" w:pos="2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Calculated as net premiums earned divided by average primary IIF for the period, annualized.</w:t>
      </w:r>
    </w:p>
    <w:p>
      <w:pPr>
        <w:ind w:left="220" w:hanging="212"/>
        <w:spacing w:after="0" w:line="187" w:lineRule="auto"/>
        <w:tabs>
          <w:tab w:leader="none" w:pos="2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Defined as the percentage of IIF that remains on our books after a given twelve-month period.</w:t>
      </w:r>
    </w:p>
    <w:p>
      <w:pPr>
        <w:ind w:left="220" w:hanging="212"/>
        <w:spacing w:after="0" w:line="186" w:lineRule="auto"/>
        <w:tabs>
          <w:tab w:leader="none" w:pos="22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Defined as the percentage of IIF that is no longer on our books after a given three month period.</w:t>
      </w:r>
    </w:p>
    <w:p>
      <w:pPr>
        <w:spacing w:after="0" w:line="14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table below presents a summary of the change in total primary IIF for the dates and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Primary IIF</w:t>
            </w: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For the three months ended</w:t>
            </w:r>
          </w:p>
        </w:tc>
      </w:tr>
      <w:tr>
        <w:trPr>
          <w:trHeight w:val="187"/>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March 31, 2020</w:t>
            </w:r>
          </w:p>
        </w:tc>
      </w:tr>
      <w:tr>
        <w:trPr>
          <w:trHeight w:val="180"/>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380" w:type="dxa"/>
            <w:vAlign w:val="bottom"/>
          </w:tcPr>
          <w:p>
            <w:pPr>
              <w:spacing w:after="0"/>
              <w:rPr>
                <w:sz w:val="15"/>
                <w:szCs w:val="15"/>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111,252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94,754</w:t>
            </w: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NIW</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26,397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ind w:left="820"/>
              <w:spacing w:after="0"/>
              <w:rPr>
                <w:sz w:val="20"/>
                <w:szCs w:val="20"/>
                <w:color w:val="auto"/>
              </w:rPr>
            </w:pPr>
            <w:r>
              <w:rPr>
                <w:rFonts w:ascii="Arial" w:cs="Arial" w:eastAsia="Arial" w:hAnsi="Arial"/>
                <w:sz w:val="18"/>
                <w:szCs w:val="18"/>
                <w:color w:val="auto"/>
                <w:w w:val="98"/>
              </w:rPr>
              <w:t>11,297</w:t>
            </w: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Cancellations, principal repayments and other reductions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4"/>
              </w:rPr>
              <w:t>(7,557)</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IIF,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123,777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8"/>
              </w:rPr>
              <w:t>98,494</w:t>
            </w: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7" w:name="page38"/>
    <w:bookmarkEnd w:id="37"/>
    <w:p>
      <w:pPr>
        <w:jc w:val="both"/>
        <w:ind w:firstLine="648"/>
        <w:spacing w:after="0" w:line="275" w:lineRule="auto"/>
        <w:rPr>
          <w:sz w:val="20"/>
          <w:szCs w:val="20"/>
          <w:color w:val="auto"/>
        </w:rPr>
      </w:pPr>
      <w:r>
        <w:rPr>
          <w:rFonts w:ascii="Arial" w:cs="Arial" w:eastAsia="Arial" w:hAnsi="Arial"/>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Primary IIF and RIF</w:t>
            </w:r>
          </w:p>
        </w:tc>
        <w:tc>
          <w:tcPr>
            <w:tcW w:w="9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As of March 31, 2021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 2020</w:t>
            </w:r>
          </w:p>
        </w:tc>
        <w:tc>
          <w:tcPr>
            <w:tcW w:w="1020" w:type="dxa"/>
            <w:vAlign w:val="bottom"/>
            <w:tcBorders>
              <w:bottom w:val="single" w:sz="8" w:color="auto"/>
            </w:tcBorders>
          </w:tcPr>
          <w:p>
            <w:pPr>
              <w:spacing w:after="0"/>
              <w:rPr>
                <w:sz w:val="16"/>
                <w:szCs w:val="16"/>
                <w:color w:val="auto"/>
              </w:rPr>
            </w:pPr>
          </w:p>
        </w:tc>
      </w:tr>
      <w:tr>
        <w:trPr>
          <w:trHeight w:val="187"/>
        </w:trPr>
        <w:tc>
          <w:tcPr>
            <w:tcW w:w="42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RIF</w:t>
            </w:r>
          </w:p>
        </w:tc>
      </w:tr>
      <w:tr>
        <w:trPr>
          <w:trHeight w:val="181"/>
        </w:trPr>
        <w:tc>
          <w:tcPr>
            <w:tcW w:w="4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4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26,296</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2020</w:t>
            </w: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53,650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13,397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11,236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2,882</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10,259</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2018</w:t>
            </w: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8,074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17,545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4,464</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r>
      <w:tr>
        <w:trPr>
          <w:trHeight w:val="229"/>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2016 and before</w:t>
            </w: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8,655</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16,572</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w:t>
            </w:r>
          </w:p>
        </w:tc>
      </w:tr>
      <w:tr>
        <w:trPr>
          <w:trHeight w:val="223"/>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123,777</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31,206</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98,494</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25,192</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Primary NIW by FICO</w:t>
            </w: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For the three months ended</w:t>
            </w:r>
          </w:p>
        </w:tc>
      </w:tr>
      <w:tr>
        <w:trPr>
          <w:trHeight w:val="187"/>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8"/>
              </w:rPr>
              <w:t>March 31, 2020</w:t>
            </w:r>
          </w:p>
        </w:tc>
      </w:tr>
      <w:tr>
        <w:trPr>
          <w:trHeight w:val="180"/>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380" w:type="dxa"/>
            <w:vAlign w:val="bottom"/>
          </w:tcPr>
          <w:p>
            <w:pPr>
              <w:spacing w:after="0"/>
              <w:rPr>
                <w:sz w:val="15"/>
                <w:szCs w:val="15"/>
                <w:color w:val="auto"/>
              </w:rPr>
            </w:pPr>
          </w:p>
        </w:tc>
      </w:tr>
      <w:tr>
        <w:trPr>
          <w:trHeight w:val="233"/>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740-759</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1,615</w:t>
            </w: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700-719</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30"/>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Weighted average FICO</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2"/>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Primary NIW by LTV</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953"/>
              <w:spacing w:after="0"/>
              <w:rPr>
                <w:sz w:val="20"/>
                <w:szCs w:val="20"/>
                <w:color w:val="auto"/>
              </w:rPr>
            </w:pPr>
            <w:r>
              <w:rPr>
                <w:rFonts w:ascii="Arial" w:cs="Arial" w:eastAsia="Arial" w:hAnsi="Arial"/>
                <w:sz w:val="14"/>
                <w:szCs w:val="14"/>
                <w:b w:val="1"/>
                <w:bCs w:val="1"/>
                <w:color w:val="auto"/>
              </w:rPr>
              <w:t>For the three months ended</w:t>
            </w:r>
          </w:p>
        </w:tc>
      </w:tr>
      <w:tr>
        <w:trPr>
          <w:trHeight w:val="187"/>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w w:val="98"/>
              </w:rPr>
              <w:t>March 31, 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4"/>
              </w:rPr>
              <w:t>March 31, 2020</w:t>
            </w:r>
          </w:p>
        </w:tc>
      </w:tr>
      <w:tr>
        <w:trPr>
          <w:trHeight w:val="181"/>
        </w:trPr>
        <w:tc>
          <w:tcPr>
            <w:tcW w:w="7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5"/>
          </w:tcPr>
          <w:p>
            <w:pPr>
              <w:jc w:val="right"/>
              <w:ind w:right="50"/>
              <w:spacing w:after="0"/>
              <w:rPr>
                <w:sz w:val="20"/>
                <w:szCs w:val="20"/>
                <w:color w:val="auto"/>
              </w:rPr>
            </w:pPr>
            <w:r>
              <w:rPr>
                <w:rFonts w:ascii="Arial" w:cs="Arial" w:eastAsia="Arial" w:hAnsi="Arial"/>
                <w:sz w:val="14"/>
                <w:szCs w:val="14"/>
                <w:i w:val="1"/>
                <w:iCs w:val="1"/>
                <w:color w:val="auto"/>
              </w:rPr>
              <w:t>(In Millions)</w:t>
            </w:r>
          </w:p>
        </w:tc>
        <w:tc>
          <w:tcPr>
            <w:tcW w:w="1400" w:type="dxa"/>
            <w:vAlign w:val="bottom"/>
          </w:tcPr>
          <w:p>
            <w:pPr>
              <w:spacing w:after="0"/>
              <w:rPr>
                <w:sz w:val="15"/>
                <w:szCs w:val="15"/>
                <w:color w:val="auto"/>
              </w:rPr>
            </w:pPr>
          </w:p>
        </w:tc>
      </w:tr>
      <w:tr>
        <w:trPr>
          <w:trHeight w:val="233"/>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2,451</w:t>
            </w:r>
          </w:p>
        </w:tc>
        <w:tc>
          <w:tcPr>
            <w:tcW w:w="1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721</w:t>
            </w: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37"/>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5,009</w:t>
            </w: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7,848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4,082</w:t>
            </w:r>
          </w:p>
        </w:tc>
      </w:tr>
      <w:tr>
        <w:trPr>
          <w:trHeight w:val="230"/>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5,047</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1,485</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26,397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11,297</w:t>
            </w: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Weighted average LTV</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91.0 %</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91.3 %</w:t>
            </w: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r>
      <w:tr>
        <w:trPr>
          <w:trHeight w:val="771"/>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Primary NIW by purchase/refinance mix</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jc w:val="center"/>
              <w:ind w:right="93"/>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87"/>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2020</w:t>
            </w:r>
          </w:p>
        </w:tc>
      </w:tr>
      <w:tr>
        <w:trPr>
          <w:trHeight w:val="180"/>
        </w:trPr>
        <w:tc>
          <w:tcPr>
            <w:tcW w:w="7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5"/>
          </w:tcPr>
          <w:p>
            <w:pPr>
              <w:jc w:val="center"/>
              <w:ind w:left="1157"/>
              <w:spacing w:after="0"/>
              <w:rPr>
                <w:sz w:val="20"/>
                <w:szCs w:val="20"/>
                <w:color w:val="auto"/>
              </w:rPr>
            </w:pPr>
            <w:r>
              <w:rPr>
                <w:rFonts w:ascii="Arial" w:cs="Arial" w:eastAsia="Arial" w:hAnsi="Arial"/>
                <w:sz w:val="14"/>
                <w:szCs w:val="14"/>
                <w:i w:val="1"/>
                <w:iCs w:val="1"/>
                <w:color w:val="auto"/>
              </w:rPr>
              <w:t>(In Millions)</w:t>
            </w:r>
          </w:p>
        </w:tc>
        <w:tc>
          <w:tcPr>
            <w:tcW w:w="1400" w:type="dxa"/>
            <w:vAlign w:val="bottom"/>
          </w:tcPr>
          <w:p>
            <w:pPr>
              <w:spacing w:after="0"/>
              <w:rPr>
                <w:sz w:val="15"/>
                <w:szCs w:val="15"/>
                <w:color w:val="auto"/>
              </w:rPr>
            </w:pPr>
          </w:p>
        </w:tc>
      </w:tr>
      <w:tr>
        <w:trPr>
          <w:trHeight w:val="233"/>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17,909</w:t>
            </w:r>
          </w:p>
        </w:tc>
        <w:tc>
          <w:tcPr>
            <w:tcW w:w="4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r>
      <w:tr>
        <w:trPr>
          <w:trHeight w:val="230"/>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Refinance</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8,488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26,397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tables below present our total primary IIF and RIF by FICO and LTV, and total primary RIF by loan type as of the dates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IIF by FICO</w:t>
            </w: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7"/>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March 31, 2021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March 31, 2020</w:t>
            </w:r>
          </w:p>
        </w:tc>
        <w:tc>
          <w:tcPr>
            <w:tcW w:w="800" w:type="dxa"/>
            <w:vAlign w:val="bottom"/>
            <w:tcBorders>
              <w:bottom w:val="single" w:sz="8" w:color="auto"/>
            </w:tcBorders>
          </w:tcPr>
          <w:p>
            <w:pPr>
              <w:spacing w:after="0"/>
              <w:rPr>
                <w:sz w:val="16"/>
                <w:szCs w:val="16"/>
                <w:color w:val="auto"/>
              </w:rPr>
            </w:pPr>
          </w:p>
        </w:tc>
      </w:tr>
      <w:tr>
        <w:trPr>
          <w:trHeight w:val="181"/>
        </w:trPr>
        <w:tc>
          <w:tcPr>
            <w:tcW w:w="4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 Values In Millions)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63,919</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20,537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16,060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16</w:t>
            </w:r>
          </w:p>
        </w:tc>
      </w:tr>
      <w:tr>
        <w:trPr>
          <w:trHeight w:val="230"/>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11,536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10,518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29"/>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r>
      <w:tr>
        <w:trPr>
          <w:trHeight w:val="230"/>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123,777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724"/>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RIF by FICO</w:t>
            </w: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87"/>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March 31, 2021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March 31, 2020</w:t>
            </w:r>
          </w:p>
        </w:tc>
        <w:tc>
          <w:tcPr>
            <w:tcW w:w="800" w:type="dxa"/>
            <w:vAlign w:val="bottom"/>
            <w:tcBorders>
              <w:bottom w:val="single" w:sz="8" w:color="auto"/>
            </w:tcBorders>
          </w:tcPr>
          <w:p>
            <w:pPr>
              <w:spacing w:after="0"/>
              <w:rPr>
                <w:sz w:val="16"/>
                <w:szCs w:val="16"/>
                <w:color w:val="auto"/>
              </w:rPr>
            </w:pPr>
          </w:p>
        </w:tc>
      </w:tr>
      <w:tr>
        <w:trPr>
          <w:trHeight w:val="180"/>
        </w:trPr>
        <w:tc>
          <w:tcPr>
            <w:tcW w:w="4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 Values In Millions)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15,920</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12,076</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5,214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16</w:t>
            </w:r>
          </w:p>
        </w:tc>
      </w:tr>
      <w:tr>
        <w:trPr>
          <w:trHeight w:val="229"/>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30"/>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r>
      <w:tr>
        <w:trPr>
          <w:trHeight w:val="230"/>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4"/>
                <w:szCs w:val="14"/>
                <w:b w:val="1"/>
                <w:bCs w:val="1"/>
                <w:color w:val="auto"/>
                <w:w w:val="91"/>
              </w:rPr>
              <w:t>As of</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March 31, 2021</w:t>
            </w: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1011"/>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r>
      <w:tr>
        <w:trPr>
          <w:trHeight w:val="180"/>
        </w:trPr>
        <w:tc>
          <w:tcPr>
            <w:tcW w:w="4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gridSpan w:val="4"/>
          </w:tcPr>
          <w:p>
            <w:pPr>
              <w:jc w:val="center"/>
              <w:ind w:left="53"/>
              <w:spacing w:after="0"/>
              <w:rPr>
                <w:sz w:val="20"/>
                <w:szCs w:val="20"/>
                <w:color w:val="auto"/>
              </w:rPr>
            </w:pPr>
            <w:r>
              <w:rPr>
                <w:rFonts w:ascii="Arial" w:cs="Arial" w:eastAsia="Arial" w:hAnsi="Arial"/>
                <w:sz w:val="14"/>
                <w:szCs w:val="14"/>
                <w:i w:val="1"/>
                <w:iCs w:val="1"/>
                <w:color w:val="auto"/>
                <w:w w:val="96"/>
              </w:rPr>
              <w:t>($ Values In Millions)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8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0"/>
                <w:szCs w:val="20"/>
                <w:color w:val="auto"/>
              </w:rPr>
            </w:pP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54,832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46,318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1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r>
      <w:tr>
        <w:trPr>
          <w:trHeight w:val="229"/>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31,729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230"/>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11,609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123,777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98,494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4"/>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March 31, 2021</w:t>
            </w: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1011"/>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r>
      <w:tr>
        <w:trPr>
          <w:trHeight w:val="181"/>
        </w:trPr>
        <w:tc>
          <w:tcPr>
            <w:tcW w:w="4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gridSpan w:val="4"/>
          </w:tcPr>
          <w:p>
            <w:pPr>
              <w:jc w:val="center"/>
              <w:ind w:left="53"/>
              <w:spacing w:after="0"/>
              <w:rPr>
                <w:sz w:val="20"/>
                <w:szCs w:val="20"/>
                <w:color w:val="auto"/>
              </w:rPr>
            </w:pPr>
            <w:r>
              <w:rPr>
                <w:rFonts w:ascii="Arial" w:cs="Arial" w:eastAsia="Arial" w:hAnsi="Arial"/>
                <w:sz w:val="14"/>
                <w:szCs w:val="14"/>
                <w:i w:val="1"/>
                <w:iCs w:val="1"/>
                <w:color w:val="auto"/>
                <w:w w:val="96"/>
              </w:rPr>
              <w:t>($ Values In Millions)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16,139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13,587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r>
      <w:tr>
        <w:trPr>
          <w:trHeight w:val="229"/>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r>
        <w:trPr>
          <w:trHeight w:val="230"/>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1,360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25,192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4"/>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RIF by Loan Type</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1"/>
              </w:rPr>
              <w:t>As of</w:t>
            </w: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7"/>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gridSpan w:val="6"/>
          </w:tcPr>
          <w:p>
            <w:pPr>
              <w:ind w:left="20"/>
              <w:spacing w:after="0"/>
              <w:rPr>
                <w:sz w:val="20"/>
                <w:szCs w:val="20"/>
                <w:color w:val="auto"/>
              </w:rPr>
            </w:pPr>
            <w:r>
              <w:rPr>
                <w:rFonts w:ascii="Arial" w:cs="Arial" w:eastAsia="Arial" w:hAnsi="Arial"/>
                <w:sz w:val="14"/>
                <w:szCs w:val="14"/>
                <w:b w:val="1"/>
                <w:bCs w:val="1"/>
                <w:color w:val="auto"/>
              </w:rPr>
              <w:t>March 31, 2021</w:t>
            </w: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2020</w:t>
            </w:r>
          </w:p>
        </w:tc>
      </w:tr>
      <w:tr>
        <w:trPr>
          <w:trHeight w:val="251"/>
        </w:trPr>
        <w:tc>
          <w:tcPr>
            <w:tcW w:w="4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98 %</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Adjustable rate mortgages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than five years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9"/>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Five years and longer</w:t>
            </w: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19"/>
                <w:szCs w:val="19"/>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selected primary portfolio statistics, by book year, as of March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As of March 31, 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1"/>
                <w:szCs w:val="11"/>
                <w:color w:val="auto"/>
              </w:rPr>
            </w:pPr>
          </w:p>
        </w:tc>
        <w:tc>
          <w:tcPr>
            <w:tcW w:w="82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94"/>
              </w:rPr>
              <w:t>Remaining</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Remaining of</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Policies Ever</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Number of</w:t>
            </w: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 of</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Incurred Loss</w:t>
            </w:r>
          </w:p>
        </w:tc>
        <w:tc>
          <w:tcPr>
            <w:tcW w:w="11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Cumulative</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 Default</w:t>
            </w:r>
          </w:p>
        </w:tc>
        <w:tc>
          <w:tcPr>
            <w:tcW w:w="0" w:type="dxa"/>
            <w:vAlign w:val="bottom"/>
          </w:tcPr>
          <w:p>
            <w:pPr>
              <w:spacing w:after="0"/>
              <w:rPr>
                <w:sz w:val="1"/>
                <w:szCs w:val="1"/>
                <w:color w:val="auto"/>
              </w:rPr>
            </w:pPr>
          </w:p>
        </w:tc>
      </w:tr>
      <w:tr>
        <w:trPr>
          <w:trHeight w:val="135"/>
        </w:trPr>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Book Year</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Insurance</w:t>
            </w: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Insurance in</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Original</w:t>
            </w:r>
          </w:p>
        </w:tc>
        <w:tc>
          <w:tcPr>
            <w:tcW w:w="1060" w:type="dxa"/>
            <w:vAlign w:val="bottom"/>
            <w:gridSpan w:val="2"/>
            <w:vMerge w:val="continue"/>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Loans in</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Claims</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Ratio (Inception</w:t>
            </w:r>
          </w:p>
        </w:tc>
        <w:tc>
          <w:tcPr>
            <w:tcW w:w="11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6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Written</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Force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Insurance</w:t>
            </w:r>
          </w:p>
        </w:tc>
        <w:tc>
          <w:tcPr>
            <w:tcW w:w="10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in Force</w:t>
            </w: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Force</w:t>
            </w:r>
          </w:p>
        </w:tc>
        <w:tc>
          <w:tcPr>
            <w:tcW w:w="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6"/>
              </w:rPr>
              <w:t>Default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Paid</w:t>
            </w:r>
          </w:p>
        </w:tc>
        <w:tc>
          <w:tcPr>
            <w:tcW w:w="12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to Date) </w:t>
            </w:r>
            <w:r>
              <w:rPr>
                <w:rFonts w:ascii="Arial" w:cs="Arial" w:eastAsia="Arial" w:hAnsi="Arial"/>
                <w:sz w:val="18"/>
                <w:szCs w:val="18"/>
                <w:b w:val="1"/>
                <w:bCs w:val="1"/>
                <w:color w:val="auto"/>
                <w:w w:val="90"/>
                <w:vertAlign w:val="superscript"/>
              </w:rPr>
              <w:t>(1)</w:t>
            </w:r>
          </w:p>
        </w:tc>
        <w:tc>
          <w:tcPr>
            <w:tcW w:w="1180" w:type="dxa"/>
            <w:vAlign w:val="bottom"/>
            <w:tcBorders>
              <w:bottom w:val="single" w:sz="8" w:color="auto"/>
            </w:tcBorders>
          </w:tcPr>
          <w:p>
            <w:pPr>
              <w:jc w:val="right"/>
              <w:ind w:right="73"/>
              <w:spacing w:after="0" w:line="189" w:lineRule="exact"/>
              <w:rPr>
                <w:sz w:val="20"/>
                <w:szCs w:val="20"/>
                <w:color w:val="auto"/>
              </w:rPr>
            </w:pPr>
            <w:r>
              <w:rPr>
                <w:rFonts w:ascii="Arial" w:cs="Arial" w:eastAsia="Arial" w:hAnsi="Arial"/>
                <w:sz w:val="14"/>
                <w:szCs w:val="14"/>
                <w:b w:val="1"/>
                <w:bCs w:val="1"/>
                <w:color w:val="auto"/>
                <w:w w:val="99"/>
              </w:rPr>
              <w:t xml:space="preserve">Default Rate </w:t>
            </w:r>
            <w:r>
              <w:rPr>
                <w:rFonts w:ascii="Arial" w:cs="Arial" w:eastAsia="Arial" w:hAnsi="Arial"/>
                <w:sz w:val="18"/>
                <w:szCs w:val="18"/>
                <w:b w:val="1"/>
                <w:bCs w:val="1"/>
                <w:color w:val="auto"/>
                <w:w w:val="99"/>
                <w:vertAlign w:val="superscript"/>
              </w:rPr>
              <w:t>(2)</w:t>
            </w:r>
          </w:p>
        </w:tc>
        <w:tc>
          <w:tcPr>
            <w:tcW w:w="1120" w:type="dxa"/>
            <w:vAlign w:val="bottom"/>
            <w:tcBorders>
              <w:bottom w:val="single" w:sz="8" w:color="auto"/>
            </w:tcBorders>
          </w:tcPr>
          <w:p>
            <w:pPr>
              <w:jc w:val="right"/>
              <w:ind w:right="233"/>
              <w:spacing w:after="0" w:line="189"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79"/>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ind w:left="260"/>
              <w:spacing w:after="0"/>
              <w:rPr>
                <w:sz w:val="20"/>
                <w:szCs w:val="20"/>
                <w:color w:val="auto"/>
              </w:rPr>
            </w:pPr>
            <w:r>
              <w:rPr>
                <w:rFonts w:ascii="Arial" w:cs="Arial" w:eastAsia="Arial" w:hAnsi="Arial"/>
                <w:sz w:val="14"/>
                <w:szCs w:val="14"/>
                <w:i w:val="1"/>
                <w:iCs w:val="1"/>
                <w:color w:val="auto"/>
              </w:rPr>
              <w:t>($ Values in Millions)</w:t>
            </w: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12 %</w:t>
            </w:r>
          </w:p>
        </w:tc>
        <w:tc>
          <w:tcPr>
            <w:tcW w:w="960" w:type="dxa"/>
            <w:vAlign w:val="bottom"/>
          </w:tcPr>
          <w:p>
            <w:pPr>
              <w:jc w:val="right"/>
              <w:spacing w:after="0"/>
              <w:rPr>
                <w:sz w:val="20"/>
                <w:szCs w:val="20"/>
                <w:color w:val="auto"/>
              </w:rPr>
            </w:pPr>
            <w:r>
              <w:rPr>
                <w:rFonts w:ascii="Arial" w:cs="Arial" w:eastAsia="Arial" w:hAnsi="Arial"/>
                <w:sz w:val="18"/>
                <w:szCs w:val="18"/>
                <w:color w:val="auto"/>
              </w:rPr>
              <w:t>14,786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4.2 %</w:t>
            </w:r>
          </w:p>
        </w:tc>
        <w:tc>
          <w:tcPr>
            <w:tcW w:w="1180" w:type="dxa"/>
            <w:vAlign w:val="bottom"/>
          </w:tcPr>
          <w:p>
            <w:pPr>
              <w:jc w:val="right"/>
              <w:spacing w:after="0"/>
              <w:rPr>
                <w:sz w:val="20"/>
                <w:szCs w:val="20"/>
                <w:color w:val="auto"/>
              </w:rPr>
            </w:pPr>
            <w:r>
              <w:rPr>
                <w:rFonts w:ascii="Arial" w:cs="Arial" w:eastAsia="Arial" w:hAnsi="Arial"/>
                <w:sz w:val="18"/>
                <w:szCs w:val="18"/>
                <w:color w:val="auto"/>
              </w:rPr>
              <w:t>1.1 %</w:t>
            </w:r>
          </w:p>
        </w:tc>
        <w:tc>
          <w:tcPr>
            <w:tcW w:w="112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5,702</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27 %</w:t>
            </w:r>
          </w:p>
        </w:tc>
        <w:tc>
          <w:tcPr>
            <w:tcW w:w="960" w:type="dxa"/>
            <w:vAlign w:val="bottom"/>
          </w:tcPr>
          <w:p>
            <w:pPr>
              <w:jc w:val="right"/>
              <w:spacing w:after="0"/>
              <w:rPr>
                <w:sz w:val="20"/>
                <w:szCs w:val="20"/>
                <w:color w:val="auto"/>
              </w:rPr>
            </w:pPr>
            <w:r>
              <w:rPr>
                <w:rFonts w:ascii="Arial" w:cs="Arial" w:eastAsia="Arial" w:hAnsi="Arial"/>
                <w:sz w:val="18"/>
                <w:szCs w:val="18"/>
                <w:color w:val="auto"/>
              </w:rPr>
              <w:t>83,626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27,332</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2.8 %</w:t>
            </w:r>
          </w:p>
        </w:tc>
        <w:tc>
          <w:tcPr>
            <w:tcW w:w="1180" w:type="dxa"/>
            <w:vAlign w:val="bottom"/>
          </w:tcPr>
          <w:p>
            <w:pPr>
              <w:jc w:val="right"/>
              <w:spacing w:after="0"/>
              <w:rPr>
                <w:sz w:val="20"/>
                <w:szCs w:val="20"/>
                <w:color w:val="auto"/>
              </w:rPr>
            </w:pPr>
            <w:r>
              <w:rPr>
                <w:rFonts w:ascii="Arial" w:cs="Arial" w:eastAsia="Arial" w:hAnsi="Arial"/>
                <w:sz w:val="18"/>
                <w:szCs w:val="18"/>
                <w:color w:val="auto"/>
              </w:rPr>
              <w:t>1.6 %</w:t>
            </w:r>
          </w:p>
        </w:tc>
        <w:tc>
          <w:tcPr>
            <w:tcW w:w="112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8,074</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30 %</w:t>
            </w:r>
          </w:p>
        </w:tc>
        <w:tc>
          <w:tcPr>
            <w:tcW w:w="960" w:type="dxa"/>
            <w:vAlign w:val="bottom"/>
          </w:tcPr>
          <w:p>
            <w:pPr>
              <w:jc w:val="right"/>
              <w:spacing w:after="0"/>
              <w:rPr>
                <w:sz w:val="20"/>
                <w:szCs w:val="20"/>
                <w:color w:val="auto"/>
              </w:rPr>
            </w:pPr>
            <w:r>
              <w:rPr>
                <w:rFonts w:ascii="Arial" w:cs="Arial" w:eastAsia="Arial" w:hAnsi="Arial"/>
                <w:sz w:val="18"/>
                <w:szCs w:val="18"/>
                <w:color w:val="auto"/>
              </w:rPr>
              <w:t>104,043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38,090</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8.5 %</w:t>
            </w:r>
          </w:p>
        </w:tc>
        <w:tc>
          <w:tcPr>
            <w:tcW w:w="1180" w:type="dxa"/>
            <w:vAlign w:val="bottom"/>
          </w:tcPr>
          <w:p>
            <w:pPr>
              <w:jc w:val="right"/>
              <w:spacing w:after="0"/>
              <w:rPr>
                <w:sz w:val="20"/>
                <w:szCs w:val="20"/>
                <w:color w:val="auto"/>
              </w:rPr>
            </w:pPr>
            <w:r>
              <w:rPr>
                <w:rFonts w:ascii="Arial" w:cs="Arial" w:eastAsia="Arial" w:hAnsi="Arial"/>
                <w:sz w:val="18"/>
                <w:szCs w:val="18"/>
                <w:color w:val="auto"/>
              </w:rPr>
              <w:t>2.6 %</w:t>
            </w:r>
          </w:p>
        </w:tc>
        <w:tc>
          <w:tcPr>
            <w:tcW w:w="112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20,402</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14.1 %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62,702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53,650</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86 %</w:t>
            </w:r>
          </w:p>
        </w:tc>
        <w:tc>
          <w:tcPr>
            <w:tcW w:w="960" w:type="dxa"/>
            <w:vAlign w:val="bottom"/>
          </w:tcPr>
          <w:p>
            <w:pPr>
              <w:jc w:val="right"/>
              <w:spacing w:after="0"/>
              <w:rPr>
                <w:sz w:val="20"/>
                <w:szCs w:val="20"/>
                <w:color w:val="auto"/>
              </w:rPr>
            </w:pPr>
            <w:r>
              <w:rPr>
                <w:rFonts w:ascii="Arial" w:cs="Arial" w:eastAsia="Arial" w:hAnsi="Arial"/>
                <w:sz w:val="18"/>
                <w:szCs w:val="18"/>
                <w:color w:val="auto"/>
              </w:rPr>
              <w:t>186,174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163,626</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8.3 %</w:t>
            </w:r>
          </w:p>
        </w:tc>
        <w:tc>
          <w:tcPr>
            <w:tcW w:w="1180" w:type="dxa"/>
            <w:vAlign w:val="bottom"/>
          </w:tcPr>
          <w:p>
            <w:pPr>
              <w:jc w:val="right"/>
              <w:spacing w:after="0"/>
              <w:rPr>
                <w:sz w:val="20"/>
                <w:szCs w:val="20"/>
                <w:color w:val="auto"/>
              </w:rPr>
            </w:pPr>
            <w:r>
              <w:rPr>
                <w:rFonts w:ascii="Arial" w:cs="Arial" w:eastAsia="Arial" w:hAnsi="Arial"/>
                <w:sz w:val="18"/>
                <w:szCs w:val="18"/>
                <w:color w:val="auto"/>
              </w:rPr>
              <w:t>0.7 %</w:t>
            </w:r>
          </w:p>
        </w:tc>
        <w:tc>
          <w:tcPr>
            <w:tcW w:w="112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26,296</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81,975</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7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220,339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123,777</w:t>
            </w:r>
          </w:p>
        </w:tc>
        <w:tc>
          <w:tcPr>
            <w:tcW w:w="1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758,384</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436,652</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11,090</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Calculated as total claims incurred (paid and reserved) divided by cumulative premiums earned, net of reinsurance.</w:t>
      </w:r>
    </w:p>
    <w:p>
      <w:pPr>
        <w:ind w:left="220" w:hanging="212"/>
        <w:spacing w:after="0" w:line="187" w:lineRule="auto"/>
        <w:tabs>
          <w:tab w:leader="none" w:pos="2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Calculated as the sum of the number of claims paid ever to date and number of loans in default divided by policies ever in force.</w:t>
      </w:r>
    </w:p>
    <w:p>
      <w:pPr>
        <w:ind w:left="220" w:hanging="212"/>
        <w:spacing w:after="0" w:line="186" w:lineRule="auto"/>
        <w:tabs>
          <w:tab w:leader="none" w:pos="22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Calculated as the number of loans in default divided by number of policies in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shows the distribution by state of our primary RIF as of the periods indicated. The distribution of our primary RIF as of March 31, 2021 is not necessarily representative of the geographic distribution we expect in the future.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ind w:left="20"/>
              <w:spacing w:after="0"/>
              <w:rPr>
                <w:sz w:val="20"/>
                <w:szCs w:val="20"/>
                <w:color w:val="auto"/>
              </w:rPr>
            </w:pPr>
            <w:r>
              <w:rPr>
                <w:rFonts w:ascii="Arial" w:cs="Arial" w:eastAsia="Arial" w:hAnsi="Arial"/>
                <w:sz w:val="14"/>
                <w:szCs w:val="14"/>
                <w:b w:val="1"/>
                <w:bCs w:val="1"/>
                <w:color w:val="auto"/>
              </w:rPr>
              <w:t>Top 10 primary RIF by state</w:t>
            </w:r>
          </w:p>
        </w:tc>
        <w:tc>
          <w:tcPr>
            <w:tcW w:w="2220" w:type="dxa"/>
            <w:vAlign w:val="bottom"/>
            <w:tcBorders>
              <w:bottom w:val="single" w:sz="8" w:color="auto"/>
            </w:tcBorders>
            <w:gridSpan w:val="3"/>
          </w:tcPr>
          <w:p>
            <w:pPr>
              <w:ind w:left="174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187"/>
        </w:trPr>
        <w:tc>
          <w:tcPr>
            <w:tcW w:w="7460" w:type="dxa"/>
            <w:vAlign w:val="bottom"/>
          </w:tcPr>
          <w:p>
            <w:pPr>
              <w:spacing w:after="0"/>
              <w:rPr>
                <w:sz w:val="16"/>
                <w:szCs w:val="16"/>
                <w:color w:val="auto"/>
              </w:rPr>
            </w:pPr>
          </w:p>
        </w:tc>
        <w:tc>
          <w:tcPr>
            <w:tcW w:w="2220" w:type="dxa"/>
            <w:vAlign w:val="bottom"/>
            <w:gridSpan w:val="3"/>
          </w:tcPr>
          <w:p>
            <w:pPr>
              <w:ind w:left="440"/>
              <w:spacing w:after="0"/>
              <w:rPr>
                <w:sz w:val="20"/>
                <w:szCs w:val="20"/>
                <w:color w:val="auto"/>
              </w:rPr>
            </w:pPr>
            <w:r>
              <w:rPr>
                <w:rFonts w:ascii="Arial" w:cs="Arial" w:eastAsia="Arial" w:hAnsi="Arial"/>
                <w:sz w:val="14"/>
                <w:szCs w:val="14"/>
                <w:b w:val="1"/>
                <w:bCs w:val="1"/>
                <w:color w:val="auto"/>
              </w:rPr>
              <w:t>March 31, 2021</w:t>
            </w:r>
          </w:p>
        </w:tc>
        <w:tc>
          <w:tcPr>
            <w:tcW w:w="156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31, 2020</w:t>
            </w:r>
          </w:p>
        </w:tc>
      </w:tr>
      <w:tr>
        <w:trPr>
          <w:trHeight w:val="224"/>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Texas</w:t>
            </w: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8.2</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Virginia</w:t>
            </w: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5.3</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Maryland</w:t>
            </w: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3.4</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3.3</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Pennsylvania</w:t>
            </w:r>
          </w:p>
        </w:tc>
        <w:tc>
          <w:tcPr>
            <w:tcW w:w="1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3.7</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51.4 %</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spacing w:after="0" w:line="1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and ILN Transactions, as applicable under each treaty. We have not yet ceded any reserves under the ILN Transactions as incurred claims and claims expenses on each respective reference pool remain within our retained coverage layer of each transaction.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12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1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reserve setting process considers the beneficial impact of forbearance, foreclosure moratorium and other assistance programs available to defaulted borrowers. We generally observe that forbearance programs are an effective tool to bridge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7"/>
          <w:szCs w:val="17"/>
          <w:color w:val="auto"/>
        </w:rPr>
        <w:t>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w:t>
      </w:r>
    </w:p>
    <w:p>
      <w:pPr>
        <w:spacing w:after="0" w:line="1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response to the COVID-19 outbreak, politicians, regulators, lenders, loan servicers and others have offered extraordinary assistance to dislocated borrowers through, among other programs, the forbearance, foreclosure moratorium and other assistance programs codified under the CARES Act. The FHFA and GSEs have offered further assistance by introducing new repayment and loan modification options to assist borrowers with their transition out of forbearance programs and default status. At March 31, 2021, we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gross reserve balances for primary insurance claims and claim expenses.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For the three months ended</w:t>
            </w:r>
          </w:p>
        </w:tc>
      </w:tr>
      <w:tr>
        <w:trPr>
          <w:trHeight w:val="187"/>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94"/>
              </w:rPr>
              <w:t>March 31, 2020</w:t>
            </w:r>
          </w:p>
        </w:tc>
      </w:tr>
      <w:tr>
        <w:trPr>
          <w:trHeight w:val="181"/>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tcPr>
          <w:p>
            <w:pPr>
              <w:spacing w:after="0"/>
              <w:rPr>
                <w:sz w:val="15"/>
                <w:szCs w:val="15"/>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w:t>
            </w:r>
          </w:p>
        </w:tc>
      </w:tr>
      <w:tr>
        <w:trPr>
          <w:trHeight w:val="230"/>
        </w:trPr>
        <w:tc>
          <w:tcPr>
            <w:tcW w:w="7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18,813</w:t>
            </w:r>
          </w:p>
        </w:tc>
      </w:tr>
      <w:tr>
        <w:trPr>
          <w:trHeight w:val="250"/>
        </w:trPr>
        <w:tc>
          <w:tcPr>
            <w:tcW w:w="7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expenses incurred: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6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w:t>
            </w:r>
          </w:p>
        </w:tc>
      </w:tr>
      <w:tr>
        <w:trPr>
          <w:trHeight w:val="230"/>
        </w:trPr>
        <w:tc>
          <w:tcPr>
            <w:tcW w:w="7680" w:type="dxa"/>
            <w:vAlign w:val="bottom"/>
            <w:tcBorders>
              <w:bottom w:val="single" w:sz="8" w:color="CCEEFF"/>
            </w:tcBorders>
          </w:tcPr>
          <w:p>
            <w:pPr>
              <w:ind w:left="480"/>
              <w:spacing w:after="0" w:line="23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r>
      <w:tr>
        <w:trPr>
          <w:trHeight w:val="223"/>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incurred</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w:t>
            </w:r>
          </w:p>
        </w:tc>
      </w:tr>
      <w:tr>
        <w:trPr>
          <w:trHeight w:val="250"/>
        </w:trPr>
        <w:tc>
          <w:tcPr>
            <w:tcW w:w="7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6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tcBorders>
              <w:bottom w:val="single" w:sz="8" w:color="CCEEFF"/>
            </w:tcBorders>
          </w:tcPr>
          <w:p>
            <w:pPr>
              <w:ind w:left="480"/>
              <w:spacing w:after="0" w:line="23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r>
      <w:tr>
        <w:trPr>
          <w:trHeight w:val="223"/>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paid</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50"/>
        </w:trPr>
        <w:tc>
          <w:tcPr>
            <w:tcW w:w="7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77,417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23,286</w:t>
            </w:r>
          </w:p>
        </w:tc>
      </w:tr>
      <w:tr>
        <w:trPr>
          <w:trHeight w:val="223"/>
        </w:trPr>
        <w:tc>
          <w:tcPr>
            <w:tcW w:w="768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w:t>
            </w:r>
          </w:p>
        </w:tc>
      </w:tr>
      <w:tr>
        <w:trPr>
          <w:trHeight w:val="248"/>
        </w:trPr>
        <w:tc>
          <w:tcPr>
            <w:tcW w:w="76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29,479</w:t>
            </w: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line="212" w:lineRule="auto"/>
        <w:tabs>
          <w:tab w:leader="none" w:pos="272"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Related to ceded losses recoverable under the QSR Transactions. See Item 1, "</w:t>
      </w:r>
      <w:r>
        <w:rPr>
          <w:rFonts w:ascii="Arial" w:cs="Arial" w:eastAsia="Arial" w:hAnsi="Arial"/>
          <w:sz w:val="14"/>
          <w:szCs w:val="14"/>
          <w:i w:val="1"/>
          <w:iCs w:val="1"/>
          <w:color w:val="auto"/>
        </w:rPr>
        <w:t>Financial Statements - Notes to Condensed Consolidated Financial Statements - Note 5, Reinsurance</w:t>
      </w:r>
      <w:r>
        <w:rPr>
          <w:rFonts w:ascii="Arial" w:cs="Arial" w:eastAsia="Arial" w:hAnsi="Arial"/>
          <w:sz w:val="14"/>
          <w:szCs w:val="14"/>
          <w:color w:val="auto"/>
        </w:rPr>
        <w:t>" for additional information.</w:t>
      </w:r>
    </w:p>
    <w:p>
      <w:pPr>
        <w:ind w:left="340" w:hanging="332"/>
        <w:spacing w:after="0" w:line="221" w:lineRule="auto"/>
        <w:tabs>
          <w:tab w:leader="none" w:pos="232"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 and included $5.3 million attributed to net case reserves and $5.3 million attributed to net IBNR reserves for the three months ended March 31, 2021 and $6.0 million attributed to net case reserves and $1.6 million attributed to net IBNR reserves for the three months ended March 31, 2020.</w:t>
      </w:r>
    </w:p>
    <w:p>
      <w:pPr>
        <w:spacing w:after="0" w:line="2" w:lineRule="exact"/>
        <w:rPr>
          <w:rFonts w:ascii="Arial" w:cs="Arial" w:eastAsia="Arial" w:hAnsi="Arial"/>
          <w:sz w:val="19"/>
          <w:szCs w:val="19"/>
          <w:color w:val="auto"/>
          <w:vertAlign w:val="superscript"/>
        </w:rPr>
      </w:pPr>
    </w:p>
    <w:p>
      <w:pPr>
        <w:ind w:left="340" w:right="20" w:hanging="332"/>
        <w:spacing w:after="0" w:line="219" w:lineRule="auto"/>
        <w:tabs>
          <w:tab w:leader="none" w:pos="259"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Related to insured loans with defaults occurring in prior years, which have been continuously in default before the start of the current year. Amounts are presented net of reinsurance.and included $0.6 million attributed to net case reserves and $5.0 million attributed to net IBNR reserves for the three months ended March 31, 2021 and $0.6 million attributed to net case reserves and $1.3 million attributed to net IBNR reserves for the three months ended March 31, 2020</w:t>
      </w:r>
    </w:p>
    <w:p>
      <w:pPr>
        <w:spacing w:after="0" w:line="2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"claims incurred"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$83.0 million related to prior year defaults remained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3560" w:type="dxa"/>
            <w:vAlign w:val="bottom"/>
            <w:tcBorders>
              <w:bottom w:val="single" w:sz="8" w:color="auto"/>
            </w:tcBorders>
            <w:gridSpan w:val="3"/>
          </w:tcPr>
          <w:p>
            <w:pPr>
              <w:jc w:val="right"/>
              <w:ind w:right="853"/>
              <w:spacing w:after="0"/>
              <w:rPr>
                <w:sz w:val="20"/>
                <w:szCs w:val="20"/>
                <w:color w:val="auto"/>
              </w:rPr>
            </w:pPr>
            <w:r>
              <w:rPr>
                <w:rFonts w:ascii="Arial" w:cs="Arial" w:eastAsia="Arial" w:hAnsi="Arial"/>
                <w:sz w:val="14"/>
                <w:szCs w:val="14"/>
                <w:b w:val="1"/>
                <w:bCs w:val="1"/>
                <w:color w:val="auto"/>
              </w:rPr>
              <w:t>For the three months ended</w:t>
            </w:r>
          </w:p>
        </w:tc>
      </w:tr>
      <w:tr>
        <w:trPr>
          <w:trHeight w:val="187"/>
        </w:trPr>
        <w:tc>
          <w:tcPr>
            <w:tcW w:w="7680" w:type="dxa"/>
            <w:vAlign w:val="bottom"/>
          </w:tcPr>
          <w:p>
            <w:pPr>
              <w:spacing w:after="0"/>
              <w:rPr>
                <w:sz w:val="16"/>
                <w:szCs w:val="16"/>
                <w:color w:val="auto"/>
              </w:rPr>
            </w:pPr>
          </w:p>
        </w:tc>
        <w:tc>
          <w:tcPr>
            <w:tcW w:w="184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 2021</w:t>
            </w:r>
          </w:p>
        </w:tc>
        <w:tc>
          <w:tcPr>
            <w:tcW w:w="1720" w:type="dxa"/>
            <w:vAlign w:val="bottom"/>
          </w:tcPr>
          <w:p>
            <w:pPr>
              <w:jc w:val="right"/>
              <w:ind w:right="293"/>
              <w:spacing w:after="0"/>
              <w:rPr>
                <w:sz w:val="20"/>
                <w:szCs w:val="20"/>
                <w:color w:val="auto"/>
              </w:rPr>
            </w:pPr>
            <w:r>
              <w:rPr>
                <w:rFonts w:ascii="Arial" w:cs="Arial" w:eastAsia="Arial" w:hAnsi="Arial"/>
                <w:sz w:val="14"/>
                <w:szCs w:val="14"/>
                <w:b w:val="1"/>
                <w:bCs w:val="1"/>
                <w:color w:val="auto"/>
              </w:rPr>
              <w:t>March 31, 2020</w:t>
            </w:r>
          </w:p>
        </w:tc>
      </w:tr>
      <w:tr>
        <w:trPr>
          <w:trHeight w:val="224"/>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12,209</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Plus: new defaults</w:t>
            </w:r>
          </w:p>
        </w:tc>
        <w:tc>
          <w:tcPr>
            <w:tcW w:w="1720" w:type="dxa"/>
            <w:vAlign w:val="bottom"/>
          </w:tcPr>
          <w:p>
            <w:pPr>
              <w:jc w:val="right"/>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Less: claims paid</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claims denied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11,090</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the ending default inventory at March 31, 2021 compared to March 31, 2020, is primarily attributable to the COVID-19 outbreak as borrowers have faced increasing challenges and chosen to access the forbearance program for federally backed loans codified under the CARES Act and other similar assistance programs made available by private lenders. At March 31, 2021, 9,988 of our 11,090 ending default inventory were in a COVID-19 related forbearance program.</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details of our claims paid, before giving effect to claims ceded under the QSR Transactions and ILN Transactions, for the periods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3"/>
          </w:tcPr>
          <w:p>
            <w:pPr>
              <w:jc w:val="right"/>
              <w:ind w:right="954"/>
              <w:spacing w:after="0"/>
              <w:rPr>
                <w:sz w:val="20"/>
                <w:szCs w:val="20"/>
                <w:color w:val="auto"/>
              </w:rPr>
            </w:pPr>
            <w:r>
              <w:rPr>
                <w:rFonts w:ascii="Arial" w:cs="Arial" w:eastAsia="Arial" w:hAnsi="Arial"/>
                <w:sz w:val="14"/>
                <w:szCs w:val="14"/>
                <w:b w:val="1"/>
                <w:bCs w:val="1"/>
                <w:color w:val="auto"/>
              </w:rPr>
              <w:t>For the three months ended</w:t>
            </w:r>
          </w:p>
        </w:tc>
      </w:tr>
      <w:tr>
        <w:trPr>
          <w:trHeight w:val="187"/>
        </w:trPr>
        <w:tc>
          <w:tcPr>
            <w:tcW w:w="7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March 31, 2021</w:t>
            </w: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4"/>
              </w:rPr>
              <w:t>March 31, 2020</w:t>
            </w:r>
          </w:p>
        </w:tc>
      </w:tr>
      <w:tr>
        <w:trPr>
          <w:trHeight w:val="181"/>
        </w:trPr>
        <w:tc>
          <w:tcPr>
            <w:tcW w:w="7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i w:val="1"/>
                <w:iCs w:val="1"/>
                <w:color w:val="auto"/>
              </w:rPr>
              <w:t>($ In Thousands)</w:t>
            </w:r>
          </w:p>
        </w:tc>
        <w:tc>
          <w:tcPr>
            <w:tcW w:w="1400" w:type="dxa"/>
            <w:vAlign w:val="bottom"/>
          </w:tcPr>
          <w:p>
            <w:pPr>
              <w:spacing w:after="0"/>
              <w:rPr>
                <w:sz w:val="15"/>
                <w:szCs w:val="15"/>
                <w:color w:val="auto"/>
              </w:rPr>
            </w:pPr>
          </w:p>
        </w:tc>
      </w:tr>
      <w:tr>
        <w:trPr>
          <w:trHeight w:val="233"/>
        </w:trPr>
        <w:tc>
          <w:tcPr>
            <w:tcW w:w="746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34</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Total amount paid for claims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98"/>
              <w:spacing w:after="0"/>
              <w:rPr>
                <w:sz w:val="20"/>
                <w:szCs w:val="20"/>
                <w:color w:val="auto"/>
              </w:rPr>
            </w:pPr>
            <w:r>
              <w:rPr>
                <w:rFonts w:ascii="Arial" w:cs="Arial" w:eastAsia="Arial" w:hAnsi="Arial"/>
                <w:sz w:val="18"/>
                <w:szCs w:val="18"/>
                <w:color w:val="auto"/>
              </w:rPr>
              <w:t>606</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1,503</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amount paid per claim</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44</w:t>
            </w:r>
          </w:p>
        </w:tc>
      </w:tr>
      <w:tr>
        <w:trPr>
          <w:trHeight w:val="268"/>
        </w:trPr>
        <w:tc>
          <w:tcPr>
            <w:tcW w:w="7460" w:type="dxa"/>
            <w:vAlign w:val="bottom"/>
          </w:tcPr>
          <w:p>
            <w:pPr>
              <w:ind w:left="20"/>
              <w:spacing w:after="0"/>
              <w:rPr>
                <w:sz w:val="20"/>
                <w:szCs w:val="20"/>
                <w:color w:val="auto"/>
              </w:rPr>
            </w:pPr>
            <w:r>
              <w:rPr>
                <w:rFonts w:ascii="Arial" w:cs="Arial" w:eastAsia="Arial" w:hAnsi="Arial"/>
                <w:sz w:val="18"/>
                <w:szCs w:val="18"/>
                <w:color w:val="auto"/>
              </w:rPr>
              <w:t xml:space="preserve">Severity </w:t>
            </w:r>
            <w:r>
              <w:rPr>
                <w:rFonts w:ascii="Arial" w:cs="Arial" w:eastAsia="Arial" w:hAnsi="Arial"/>
                <w:sz w:val="23"/>
                <w:szCs w:val="23"/>
                <w:color w:val="auto"/>
                <w:vertAlign w:val="superscript"/>
              </w:rPr>
              <w:t>(2)</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61 %</w:t>
            </w:r>
          </w:p>
        </w:tc>
        <w:tc>
          <w:tcPr>
            <w:tcW w:w="4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83 %</w:t>
            </w:r>
          </w:p>
        </w:tc>
      </w:tr>
    </w:tbl>
    <w:p>
      <w:pPr>
        <w:ind w:left="260" w:hanging="252"/>
        <w:spacing w:after="0" w:line="197" w:lineRule="auto"/>
        <w:tabs>
          <w:tab w:leader="none" w:pos="26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Count includes one claim settled without payment in each of the three months ended March 31, 2021 and 2020.</w:t>
      </w:r>
    </w:p>
    <w:p>
      <w:pPr>
        <w:spacing w:after="0" w:line="45" w:lineRule="exact"/>
        <w:rPr>
          <w:rFonts w:ascii="Arial" w:cs="Arial" w:eastAsia="Arial" w:hAnsi="Arial"/>
          <w:sz w:val="19"/>
          <w:szCs w:val="19"/>
          <w:color w:val="auto"/>
          <w:vertAlign w:val="superscript"/>
        </w:rPr>
      </w:pPr>
    </w:p>
    <w:p>
      <w:pPr>
        <w:ind w:left="340" w:hanging="332"/>
        <w:spacing w:after="0" w:line="210" w:lineRule="auto"/>
        <w:tabs>
          <w:tab w:leader="none" w:pos="269"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22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The number of claims paid for the three months ended March 31, 2021 decreased compared to the three months ended March 31, 2020, despite the growth and seasoning of our insured portfolio, and significant increase in our default population, primarily as a result of the forbearance program and</w:t>
      </w:r>
    </w:p>
    <w:p>
      <w:pPr>
        <w:jc w:val="both"/>
        <w:ind w:right="20"/>
        <w:spacing w:after="0" w:line="263" w:lineRule="auto"/>
        <w:rPr>
          <w:sz w:val="20"/>
          <w:szCs w:val="20"/>
          <w:color w:val="auto"/>
        </w:rPr>
      </w:pPr>
      <w:r>
        <w:rPr>
          <w:rFonts w:ascii="Arial" w:cs="Arial" w:eastAsia="Arial" w:hAnsi="Arial"/>
          <w:sz w:val="18"/>
          <w:szCs w:val="18"/>
          <w:color w:val="auto"/>
        </w:rPr>
        <w:t>foreclosure moratorium implemented by the GSEs in response to the COVID outbreak and codified under the CARES Act. Such forbearance and foreclosure programs have extended, and may ultimately interrupt, the timeline over which loans would otherwise progress through the default cycle to a paid claim.</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claims severity for the three months ended March 31, 2021 was 61%, compared to 83% for the three months ended March 31, 2020. Claims severity for the three months ended March 31, 2021 benefited from the resiliency of the housing market and broad national house price appreciation.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detail on our average reserve per default, before giving effect to reserves ceded under the QSR Transactions, as of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Average reserve per default:</w:t>
            </w: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 March 31, 2021</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5"/>
              </w:rPr>
              <w:t>As of March 31, 2020</w:t>
            </w:r>
          </w:p>
        </w:tc>
      </w:tr>
      <w:tr>
        <w:trPr>
          <w:trHeight w:val="185"/>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Pr>
          <w:p>
            <w:pPr>
              <w:spacing w:after="0"/>
              <w:rPr>
                <w:sz w:val="16"/>
                <w:szCs w:val="16"/>
                <w:color w:val="auto"/>
              </w:rPr>
            </w:pPr>
          </w:p>
        </w:tc>
      </w:tr>
      <w:tr>
        <w:trPr>
          <w:trHeight w:val="233"/>
        </w:trPr>
        <w:tc>
          <w:tcPr>
            <w:tcW w:w="682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68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26"/>
                <w:szCs w:val="26"/>
                <w:color w:val="auto"/>
                <w:vertAlign w:val="subscript"/>
              </w:rPr>
              <w:t>IBNR</w:t>
            </w:r>
            <w:r>
              <w:rPr>
                <w:rFonts w:ascii="Arial" w:cs="Arial" w:eastAsia="Arial" w:hAnsi="Arial"/>
                <w:sz w:val="10"/>
                <w:szCs w:val="10"/>
                <w:color w:val="auto"/>
              </w:rPr>
              <w:t xml:space="preserve"> (1)(2)</w:t>
            </w: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bl>
    <w:p>
      <w:pPr>
        <w:spacing w:after="0" w:line="99"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Defined as the gross reserve per insured loan in default.</w:t>
      </w:r>
    </w:p>
    <w:p>
      <w:pPr>
        <w:ind w:left="220" w:hanging="212"/>
        <w:spacing w:after="0" w:line="186" w:lineRule="auto"/>
        <w:tabs>
          <w:tab w:leader="none" w:pos="22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Amount includes claims adjustment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4" w:name="page45"/>
    <w:bookmarkEnd w:id="44"/>
    <w:p>
      <w:pPr>
        <w:jc w:val="both"/>
        <w:ind w:firstLine="648"/>
        <w:spacing w:after="0" w:line="296" w:lineRule="auto"/>
        <w:rPr>
          <w:sz w:val="20"/>
          <w:szCs w:val="20"/>
          <w:color w:val="auto"/>
        </w:rPr>
      </w:pPr>
      <w:r>
        <w:rPr>
          <w:rFonts w:ascii="Arial" w:cs="Arial" w:eastAsia="Arial" w:hAnsi="Arial"/>
          <w:sz w:val="16"/>
          <w:szCs w:val="16"/>
          <w:color w:val="auto"/>
        </w:rPr>
        <w:t>The average reserve per default at March 31, 2021 decreased from March 31, 2020, primarily due to new COVID-19 related defaults. At March 31, 2021, we established lower reserves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While we established lower reserves per defaulted loan at March 31, 2021, our total reserve position increased substantially due to the increase in the size of our default population.</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688"/>
        <w:spacing w:after="0" w:line="296"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NMIC is subject to ongoing compliance with the PMIERs established by each of the GSEs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xml:space="preserve"> current vs. delinquent), LTV ratio and other risk features. In general, higher quality loans carry lower asset charges.</w:t>
      </w:r>
    </w:p>
    <w:p>
      <w:pPr>
        <w:spacing w:after="0" w:line="107" w:lineRule="exact"/>
        <w:rPr>
          <w:sz w:val="20"/>
          <w:szCs w:val="20"/>
          <w:color w:val="auto"/>
        </w:rPr>
      </w:pPr>
    </w:p>
    <w:p>
      <w:pPr>
        <w:jc w:val="both"/>
        <w:ind w:firstLine="688"/>
        <w:spacing w:after="0" w:line="254" w:lineRule="auto"/>
        <w:rPr>
          <w:sz w:val="20"/>
          <w:szCs w:val="20"/>
          <w:color w:val="auto"/>
        </w:rPr>
      </w:pPr>
      <w:r>
        <w:rPr>
          <w:rFonts w:ascii="Arial" w:cs="Arial" w:eastAsia="Arial" w:hAnsi="Arial"/>
          <w:sz w:val="18"/>
          <w:szCs w:val="18"/>
          <w:color w:val="auto"/>
        </w:rPr>
        <w:t xml:space="preserve">Under the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 xml:space="preserve">approved insurer's </w:t>
      </w:r>
      <w:r>
        <w:rPr>
          <w:rFonts w:ascii="Arial" w:cs="Arial" w:eastAsia="Arial" w:hAnsi="Arial"/>
          <w:sz w:val="18"/>
          <w:szCs w:val="18"/>
          <w:color w:val="auto"/>
        </w:rPr>
        <w:t>RIF, assessed on a loan-by-loan basis and considered against certain risk-based factors derived from tables set out in the PMIERs,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then adjusted on an aggregate basis for reinsurance transactions approved by the GSEs, such as with respect to our ILN Transactions and QSR Transactions. The </w:t>
      </w:r>
      <w:r>
        <w:rPr>
          <w:rFonts w:ascii="Arial" w:cs="Arial" w:eastAsia="Arial" w:hAnsi="Arial"/>
          <w:sz w:val="18"/>
          <w:szCs w:val="18"/>
          <w:i w:val="1"/>
          <w:iCs w:val="1"/>
          <w:color w:val="auto"/>
        </w:rPr>
        <w:t>aggregate gross risk-based required asset amount</w:t>
      </w:r>
      <w:r>
        <w:rPr>
          <w:rFonts w:ascii="Arial" w:cs="Arial" w:eastAsia="Arial" w:hAnsi="Arial"/>
          <w:sz w:val="18"/>
          <w:szCs w:val="18"/>
          <w:color w:val="auto"/>
        </w:rPr>
        <w:t xml:space="preserve"> for performing, primary insurance is subject to a floor of 5.6% of </w:t>
      </w:r>
      <w:r>
        <w:rPr>
          <w:rFonts w:ascii="Arial" w:cs="Arial" w:eastAsia="Arial" w:hAnsi="Arial"/>
          <w:sz w:val="18"/>
          <w:szCs w:val="18"/>
          <w:i w:val="1"/>
          <w:iCs w:val="1"/>
          <w:color w:val="auto"/>
        </w:rPr>
        <w:t>performing primary</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RIF</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risk-based required asset amount </w:t>
      </w:r>
      <w:r>
        <w:rPr>
          <w:rFonts w:ascii="Arial" w:cs="Arial" w:eastAsia="Arial" w:hAnsi="Arial"/>
          <w:sz w:val="18"/>
          <w:szCs w:val="18"/>
          <w:color w:val="auto"/>
        </w:rPr>
        <w:t>for pool insurance considers both factors in the PMIERs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pool insurance policy.</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2021 that NMIC was in full compliance with the PMIERs as of December 31, 2020. NMIC also has an ongoing obligation to immediately notify the GSEs in writing upon discovery of a failure to meet one or more of the PMIERs requirements. We continuously monitor NMIC's compliance with the PMIERs.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following table provides a comparison of the PMIERs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as reported by NMIC as of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r>
      <w:tr>
        <w:trPr>
          <w:trHeight w:val="187"/>
        </w:trPr>
        <w:tc>
          <w:tcPr>
            <w:tcW w:w="7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March 31, 2021</w:t>
            </w: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March 31, 2020</w:t>
            </w:r>
          </w:p>
        </w:tc>
      </w:tr>
      <w:tr>
        <w:trPr>
          <w:trHeight w:val="180"/>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60" w:type="dxa"/>
            <w:vAlign w:val="bottom"/>
            <w:gridSpan w:val="3"/>
          </w:tcPr>
          <w:p>
            <w:pPr>
              <w:jc w:val="right"/>
              <w:ind w:right="1236"/>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1,809,589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1,069,695</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Risk-based required assets</w:t>
            </w:r>
          </w:p>
        </w:tc>
        <w:tc>
          <w:tcPr>
            <w:tcW w:w="240" w:type="dxa"/>
            <w:vAlign w:val="bottom"/>
          </w:tcPr>
          <w:p>
            <w:pPr>
              <w:spacing w:after="0"/>
              <w:rPr>
                <w:sz w:val="20"/>
                <w:szCs w:val="20"/>
                <w:color w:val="auto"/>
              </w:rPr>
            </w:pPr>
          </w:p>
        </w:tc>
        <w:tc>
          <w:tcPr>
            <w:tcW w:w="1480" w:type="dxa"/>
            <w:vAlign w:val="bottom"/>
          </w:tcPr>
          <w:p>
            <w:pPr>
              <w:jc w:val="right"/>
              <w:ind w:right="21"/>
              <w:spacing w:after="0"/>
              <w:rPr>
                <w:sz w:val="20"/>
                <w:szCs w:val="20"/>
                <w:color w:val="auto"/>
              </w:rPr>
            </w:pPr>
            <w:r>
              <w:rPr>
                <w:rFonts w:ascii="Arial" w:cs="Arial" w:eastAsia="Arial" w:hAnsi="Arial"/>
                <w:sz w:val="18"/>
                <w:szCs w:val="18"/>
                <w:color w:val="auto"/>
              </w:rPr>
              <w:t>1,261,015</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912,321</w:t>
            </w:r>
          </w:p>
        </w:tc>
      </w:tr>
    </w:tbl>
    <w:p>
      <w:pPr>
        <w:spacing w:after="0" w:line="2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Available assets </w:t>
      </w:r>
      <w:r>
        <w:rPr>
          <w:rFonts w:ascii="Arial" w:cs="Arial" w:eastAsia="Arial" w:hAnsi="Arial"/>
          <w:sz w:val="18"/>
          <w:szCs w:val="18"/>
          <w:color w:val="auto"/>
        </w:rPr>
        <w:t>were $1.8 billion at March 31, 2021, compared to $1.1 billion at March 31, 2020. In June 2020, NMIH completed the sale of 15.9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shares of common stock raising net proceeds of approximately $220 million and the sale of the $400 million aggregate principal amount of senior secured notes. NMIH contributed approximately $445 million of capital to NMIC following completion of the Notes and equity offerings. The $740 million increase in NMIC's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between the dates presented was driven by the NMIH capital contribution and NMIC's positive cash flow from operations during the intervening period.</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increase in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between the dates presented was primarily due to the growth of our gross RIF, and increase in our default inventory related to the onset of the COVID-19 pandemic, partially offset by the increased cession of risk under our third-party reinsurance agreements. See "</w:t>
      </w:r>
      <w:r>
        <w:rPr>
          <w:rFonts w:ascii="Arial" w:cs="Arial" w:eastAsia="Arial" w:hAnsi="Arial"/>
          <w:sz w:val="18"/>
          <w:szCs w:val="18"/>
          <w:i w:val="1"/>
          <w:iCs w:val="1"/>
          <w:color w:val="auto"/>
        </w:rPr>
        <w:t>- COVID-19 Developments,</w:t>
      </w:r>
      <w:r>
        <w:rPr>
          <w:rFonts w:ascii="Arial" w:cs="Arial" w:eastAsia="Arial" w:hAnsi="Arial"/>
          <w:sz w:val="18"/>
          <w:szCs w:val="18"/>
          <w:color w:val="auto"/>
        </w:rPr>
        <w:t>" above.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IT capabilities. We expect the private MI market to remain competitive, with pressure for industry participants to maintain or grow their market share.</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private MI industry overall competes more broadly with government MIs who significantly increased their share in the MI market following the 2008 Financial Crisis. Although there has been broad policy consensus toward the need for</w:t>
      </w:r>
    </w:p>
    <w:p>
      <w:pPr>
        <w:sectPr>
          <w:pgSz w:w="11900" w:h="16838" w:orient="portrait"/>
          <w:cols w:equalWidth="0" w:num="1">
            <w:col w:w="11240"/>
          </w:cols>
          <w:pgMar w:left="320" w:top="11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45" w:name="page46"/>
    <w:bookmarkEnd w:id="45"/>
    <w:p>
      <w:pPr>
        <w:jc w:val="both"/>
        <w:spacing w:after="0" w:line="279" w:lineRule="auto"/>
        <w:rPr>
          <w:sz w:val="20"/>
          <w:szCs w:val="20"/>
          <w:color w:val="auto"/>
        </w:rPr>
      </w:pPr>
      <w:r>
        <w:rPr>
          <w:rFonts w:ascii="Arial" w:cs="Arial" w:eastAsia="Arial" w:hAnsi="Arial"/>
          <w:sz w:val="17"/>
          <w:szCs w:val="17"/>
          <w:color w:val="auto"/>
        </w:rPr>
        <w:t>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premium rates and other charges, loan eligibility requirements, the cancelability of private coverage, loan size limits and the relative ease of use of private MI products compared to government MI alternatives.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LIBOR Transition</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March 5, 2021, ICE Benchmark Administration Limited (“IBA”), the administrator for LIBOR, confirmed it would permanently cease the publication of overnight, one-month, three-month, six-month and twelve-month USD LIBOR settings in their current form after June 30, 2023. The U.K. Financial Conduct Authority ("FCA"), the regulator of IBA, announced on the same day that it intends to stop requiring panel banks to continue to submit to LIBOR and all USD LIBOR settings in their current form will either cease to be provided by any administrator or no longer be representative after June 30, 2023. We have exposure to USD LIBOR-based financial instruments, such as LIBOR-based securities held in our investment portfolio, and our 2020 Revolving Credit Facility and certain ILN Transactions that require LIBOR-based payments. We are in the process of reviewing our LIBOR-based contracts and transitioning, as necessary and applicable, to a set of alternative reference rates. We will continue to monitor, assess and plan for the phase out of LIBOR; however, we cannot currently estimate the impact such transition will have on our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5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March 31, 2020</w:t>
            </w:r>
          </w:p>
        </w:tc>
      </w:tr>
      <w:tr>
        <w:trPr>
          <w:trHeight w:val="21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0" w:type="dxa"/>
            <w:vAlign w:val="bottom"/>
            <w:gridSpan w:val="5"/>
            <w:shd w:val="clear" w:color="auto" w:fill="CCEEFF"/>
          </w:tcPr>
          <w:p>
            <w:pPr>
              <w:jc w:val="right"/>
              <w:ind w:right="640"/>
              <w:spacing w:after="0"/>
              <w:rPr>
                <w:sz w:val="20"/>
                <w:szCs w:val="20"/>
                <w:color w:val="auto"/>
              </w:rPr>
            </w:pPr>
            <w:r>
              <w:rPr>
                <w:rFonts w:ascii="Arial" w:cs="Arial" w:eastAsia="Arial" w:hAnsi="Arial"/>
                <w:sz w:val="14"/>
                <w:szCs w:val="14"/>
                <w:i w:val="1"/>
                <w:iCs w:val="1"/>
                <w:color w:val="auto"/>
              </w:rPr>
              <w:t>($ in thousands, except for per share data)</w:t>
            </w:r>
          </w:p>
        </w:tc>
      </w:tr>
      <w:tr>
        <w:trPr>
          <w:trHeight w:val="230"/>
        </w:trPr>
        <w:tc>
          <w:tcPr>
            <w:tcW w:w="750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Arial" w:cs="Arial" w:eastAsia="Arial" w:hAnsi="Arial"/>
                <w:sz w:val="18"/>
                <w:szCs w:val="18"/>
                <w:color w:val="auto"/>
              </w:rPr>
              <w:t>105,879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98,717</w:t>
            </w:r>
          </w:p>
        </w:tc>
        <w:tc>
          <w:tcPr>
            <w:tcW w:w="20" w:type="dxa"/>
            <w:vAlign w:val="bottom"/>
          </w:tcPr>
          <w:p>
            <w:pPr>
              <w:spacing w:after="0"/>
              <w:rPr>
                <w:sz w:val="19"/>
                <w:szCs w:val="19"/>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8,104</w:t>
            </w:r>
          </w:p>
        </w:tc>
        <w:tc>
          <w:tcPr>
            <w:tcW w:w="20" w:type="dxa"/>
            <w:vAlign w:val="bottom"/>
            <w:shd w:val="clear" w:color="auto" w:fill="CCEEFF"/>
          </w:tcPr>
          <w:p>
            <w:pPr>
              <w:spacing w:after="0"/>
              <w:rPr>
                <w:sz w:val="19"/>
                <w:szCs w:val="19"/>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8"/>
                <w:szCs w:val="18"/>
                <w:color w:val="auto"/>
              </w:rPr>
              <w:t>Net realized investment losses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900</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115,194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107,649</w:t>
            </w:r>
          </w:p>
        </w:tc>
        <w:tc>
          <w:tcPr>
            <w:tcW w:w="20" w:type="dxa"/>
            <w:vAlign w:val="bottom"/>
            <w:tcBorders>
              <w:bottom w:val="single" w:sz="8" w:color="auto"/>
            </w:tcBorders>
          </w:tcPr>
          <w:p>
            <w:pPr>
              <w:spacing w:after="0"/>
              <w:rPr>
                <w:sz w:val="19"/>
                <w:szCs w:val="19"/>
                <w:color w:val="auto"/>
              </w:rPr>
            </w:pP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Insurance claims and claim expenses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5,697</w:t>
            </w:r>
          </w:p>
        </w:tc>
        <w:tc>
          <w:tcPr>
            <w:tcW w:w="20" w:type="dxa"/>
            <w:vAlign w:val="bottom"/>
          </w:tcPr>
          <w:p>
            <w:pPr>
              <w:spacing w:after="0"/>
              <w:rPr>
                <w:sz w:val="19"/>
                <w:szCs w:val="19"/>
                <w:color w:val="auto"/>
              </w:rPr>
            </w:pPr>
          </w:p>
        </w:tc>
      </w:tr>
      <w:tr>
        <w:trPr>
          <w:trHeight w:val="230"/>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Underwriting and operating expenses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34,065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32,277</w:t>
            </w:r>
          </w:p>
        </w:tc>
        <w:tc>
          <w:tcPr>
            <w:tcW w:w="20" w:type="dxa"/>
            <w:vAlign w:val="bottom"/>
            <w:shd w:val="clear" w:color="auto" w:fill="CCEEFF"/>
          </w:tcPr>
          <w:p>
            <w:pPr>
              <w:spacing w:after="0"/>
              <w:rPr>
                <w:sz w:val="19"/>
                <w:szCs w:val="19"/>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Service expenses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9"/>
                <w:szCs w:val="19"/>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2,744</w:t>
            </w:r>
          </w:p>
        </w:tc>
        <w:tc>
          <w:tcPr>
            <w:tcW w:w="20" w:type="dxa"/>
            <w:vAlign w:val="bottom"/>
            <w:shd w:val="clear" w:color="auto" w:fill="CCEEFF"/>
          </w:tcPr>
          <w:p>
            <w:pPr>
              <w:spacing w:after="0"/>
              <w:rPr>
                <w:sz w:val="19"/>
                <w:szCs w:val="19"/>
                <w:color w:val="auto"/>
              </w:rPr>
            </w:pPr>
          </w:p>
        </w:tc>
      </w:tr>
      <w:tr>
        <w:trPr>
          <w:trHeight w:val="230"/>
        </w:trPr>
        <w:tc>
          <w:tcPr>
            <w:tcW w:w="7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Loss (gain) from change in fair value of warrant liability</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(5,959)</w:t>
            </w:r>
          </w:p>
        </w:tc>
        <w:tc>
          <w:tcPr>
            <w:tcW w:w="20" w:type="dxa"/>
            <w:vAlign w:val="bottom"/>
            <w:tcBorders>
              <w:bottom w:val="single" w:sz="8" w:color="auto"/>
            </w:tcBorders>
          </w:tcPr>
          <w:p>
            <w:pPr>
              <w:spacing w:after="0"/>
              <w:rPr>
                <w:sz w:val="19"/>
                <w:szCs w:val="19"/>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47,738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35,493</w:t>
            </w:r>
          </w:p>
        </w:tc>
        <w:tc>
          <w:tcPr>
            <w:tcW w:w="20" w:type="dxa"/>
            <w:vAlign w:val="bottom"/>
            <w:shd w:val="clear" w:color="auto" w:fill="CCEEFF"/>
          </w:tcPr>
          <w:p>
            <w:pPr>
              <w:spacing w:after="0"/>
              <w:rPr>
                <w:sz w:val="19"/>
                <w:szCs w:val="19"/>
                <w:color w:val="auto"/>
              </w:rPr>
            </w:pPr>
          </w:p>
        </w:tc>
      </w:tr>
      <w:tr>
        <w:trPr>
          <w:trHeight w:val="270"/>
        </w:trPr>
        <w:tc>
          <w:tcPr>
            <w:tcW w:w="7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67,456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72,156</w:t>
            </w:r>
          </w:p>
        </w:tc>
        <w:tc>
          <w:tcPr>
            <w:tcW w:w="20" w:type="dxa"/>
            <w:vAlign w:val="bottom"/>
            <w:shd w:val="clear" w:color="auto" w:fill="CCEEFF"/>
          </w:tcPr>
          <w:p>
            <w:pPr>
              <w:spacing w:after="0"/>
              <w:rPr>
                <w:sz w:val="19"/>
                <w:szCs w:val="19"/>
                <w:color w:val="auto"/>
              </w:rPr>
            </w:pPr>
          </w:p>
        </w:tc>
      </w:tr>
      <w:tr>
        <w:trPr>
          <w:trHeight w:val="229"/>
        </w:trPr>
        <w:tc>
          <w:tcPr>
            <w:tcW w:w="7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14,565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13,885</w:t>
            </w:r>
          </w:p>
        </w:tc>
        <w:tc>
          <w:tcPr>
            <w:tcW w:w="20" w:type="dxa"/>
            <w:vAlign w:val="bottom"/>
            <w:tcBorders>
              <w:bottom w:val="single" w:sz="8" w:color="auto"/>
            </w:tcBorders>
          </w:tcPr>
          <w:p>
            <w:pPr>
              <w:spacing w:after="0"/>
              <w:rPr>
                <w:sz w:val="19"/>
                <w:szCs w:val="19"/>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52,891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58,271</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0.85</w:t>
            </w:r>
          </w:p>
        </w:tc>
        <w:tc>
          <w:tcPr>
            <w:tcW w:w="20" w:type="dxa"/>
            <w:vAlign w:val="bottom"/>
            <w:shd w:val="clear" w:color="auto" w:fill="CCEEFF"/>
          </w:tcPr>
          <w:p>
            <w:pPr>
              <w:spacing w:after="0"/>
              <w:rPr>
                <w:sz w:val="19"/>
                <w:szCs w:val="19"/>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Earnings per share -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0.74</w:t>
            </w:r>
          </w:p>
        </w:tc>
        <w:tc>
          <w:tcPr>
            <w:tcW w:w="20" w:type="dxa"/>
            <w:vAlign w:val="bottom"/>
          </w:tcPr>
          <w:p>
            <w:pPr>
              <w:spacing w:after="0"/>
              <w:rPr>
                <w:sz w:val="19"/>
                <w:szCs w:val="19"/>
                <w:color w:val="auto"/>
              </w:rPr>
            </w:pPr>
          </w:p>
        </w:tc>
      </w:tr>
      <w:tr>
        <w:trPr>
          <w:trHeight w:val="162"/>
        </w:trPr>
        <w:tc>
          <w:tcPr>
            <w:tcW w:w="7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30"/>
        </w:trPr>
        <w:tc>
          <w:tcPr>
            <w:tcW w:w="7500" w:type="dxa"/>
            <w:vAlign w:val="bottom"/>
          </w:tcPr>
          <w:p>
            <w:pPr>
              <w:ind w:left="20"/>
              <w:spacing w:after="0" w:line="230" w:lineRule="exact"/>
              <w:rPr>
                <w:sz w:val="20"/>
                <w:szCs w:val="20"/>
                <w:color w:val="auto"/>
              </w:rPr>
            </w:pPr>
            <w:r>
              <w:rPr>
                <w:rFonts w:ascii="Arial" w:cs="Arial" w:eastAsia="Arial" w:hAnsi="Arial"/>
                <w:sz w:val="18"/>
                <w:szCs w:val="18"/>
                <w:color w:val="auto"/>
              </w:rPr>
              <w:t>Loss ratio</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5.8 %</w:t>
            </w:r>
          </w:p>
        </w:tc>
      </w:tr>
      <w:tr>
        <w:trPr>
          <w:trHeight w:val="230"/>
        </w:trPr>
        <w:tc>
          <w:tcPr>
            <w:tcW w:w="7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 ratio</w:t>
            </w:r>
            <w:r>
              <w:rPr>
                <w:rFonts w:ascii="Arial" w:cs="Arial" w:eastAsia="Arial" w:hAnsi="Arial"/>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32.7 %</w:t>
            </w:r>
          </w:p>
        </w:tc>
      </w:tr>
      <w:tr>
        <w:trPr>
          <w:trHeight w:val="224"/>
        </w:trPr>
        <w:tc>
          <w:tcPr>
            <w:tcW w:w="750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38.5 %</w:t>
            </w:r>
          </w:p>
        </w:tc>
      </w:tr>
      <w:tr>
        <w:trPr>
          <w:trHeight w:val="776"/>
        </w:trPr>
        <w:tc>
          <w:tcPr>
            <w:tcW w:w="7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7500" w:type="dxa"/>
            <w:vAlign w:val="bottom"/>
            <w:tcBorders>
              <w:top w:val="single" w:sz="8" w:color="CCEEFF"/>
            </w:tcBorders>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 xml:space="preserve">Non-GAAP financial measures </w:t>
            </w:r>
            <w:r>
              <w:rPr>
                <w:rFonts w:ascii="Arial" w:cs="Arial" w:eastAsia="Arial" w:hAnsi="Arial"/>
                <w:sz w:val="18"/>
                <w:szCs w:val="18"/>
                <w:b w:val="1"/>
                <w:bCs w:val="1"/>
                <w:color w:val="auto"/>
                <w:vertAlign w:val="superscript"/>
              </w:rPr>
              <w:t>(3)</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6"/>
                <w:szCs w:val="16"/>
                <w:color w:val="auto"/>
              </w:rPr>
            </w:pPr>
          </w:p>
        </w:tc>
      </w:tr>
      <w:tr>
        <w:trPr>
          <w:trHeight w:val="186"/>
        </w:trPr>
        <w:tc>
          <w:tcPr>
            <w:tcW w:w="7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gridSpan w:val="4"/>
          </w:tcPr>
          <w:p>
            <w:pPr>
              <w:jc w:val="right"/>
              <w:ind w:right="492"/>
              <w:spacing w:after="0"/>
              <w:rPr>
                <w:sz w:val="20"/>
                <w:szCs w:val="20"/>
                <w:color w:val="auto"/>
              </w:rPr>
            </w:pPr>
            <w:r>
              <w:rPr>
                <w:rFonts w:ascii="Arial" w:cs="Arial" w:eastAsia="Arial" w:hAnsi="Arial"/>
                <w:sz w:val="14"/>
                <w:szCs w:val="14"/>
                <w:i w:val="1"/>
                <w:iCs w:val="1"/>
                <w:color w:val="auto"/>
              </w:rPr>
              <w:t>($ in thousands, except for per share data)</w:t>
            </w:r>
          </w:p>
        </w:tc>
        <w:tc>
          <w:tcPr>
            <w:tcW w:w="20" w:type="dxa"/>
            <w:vAlign w:val="bottom"/>
          </w:tcPr>
          <w:p>
            <w:pPr>
              <w:spacing w:after="0"/>
              <w:rPr>
                <w:sz w:val="16"/>
                <w:szCs w:val="16"/>
                <w:color w:val="auto"/>
              </w:rPr>
            </w:pPr>
          </w:p>
        </w:tc>
      </w:tr>
      <w:tr>
        <w:trPr>
          <w:trHeight w:val="23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income before tax</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66,743</w:t>
            </w:r>
          </w:p>
        </w:tc>
        <w:tc>
          <w:tcPr>
            <w:tcW w:w="20" w:type="dxa"/>
            <w:vAlign w:val="bottom"/>
          </w:tcPr>
          <w:p>
            <w:pPr>
              <w:spacing w:after="0"/>
              <w:rPr>
                <w:sz w:val="20"/>
                <w:szCs w:val="20"/>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53,395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52,743</w:t>
            </w:r>
          </w:p>
        </w:tc>
        <w:tc>
          <w:tcPr>
            <w:tcW w:w="20" w:type="dxa"/>
            <w:vAlign w:val="bottom"/>
          </w:tcPr>
          <w:p>
            <w:pPr>
              <w:spacing w:after="0"/>
              <w:rPr>
                <w:sz w:val="19"/>
                <w:szCs w:val="19"/>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EPS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 w:type="dxa"/>
            <w:vAlign w:val="bottom"/>
          </w:tcPr>
          <w:p>
            <w:pPr>
              <w:spacing w:after="0"/>
              <w:rPr>
                <w:sz w:val="19"/>
                <w:szCs w:val="19"/>
                <w:color w:val="auto"/>
              </w:rPr>
            </w:pPr>
          </w:p>
        </w:tc>
      </w:tr>
    </w:tbl>
    <w:p>
      <w:pPr>
        <w:spacing w:after="0" w:line="114"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Loss ratio is calculated by dividing insurance claims and claim expenses by net premiums earned.</w:t>
      </w:r>
    </w:p>
    <w:p>
      <w:pPr>
        <w:ind w:left="300" w:hanging="292"/>
        <w:spacing w:after="0" w:line="187" w:lineRule="auto"/>
        <w:tabs>
          <w:tab w:leader="none" w:pos="30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Expense ratio is calculated by dividing underwriting and operating expenses by net premiums earned.</w:t>
      </w:r>
    </w:p>
    <w:p>
      <w:pPr>
        <w:ind w:left="240" w:hanging="232"/>
        <w:spacing w:after="0" w:line="191" w:lineRule="auto"/>
        <w:tabs>
          <w:tab w:leader="none" w:pos="24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See "</w:t>
      </w:r>
      <w:r>
        <w:rPr>
          <w:rFonts w:ascii="Arial" w:cs="Arial" w:eastAsia="Arial" w:hAnsi="Arial"/>
          <w:sz w:val="16"/>
          <w:szCs w:val="16"/>
          <w:i w:val="1"/>
          <w:iCs w:val="1"/>
          <w:color w:val="auto"/>
        </w:rPr>
        <w:t>Explanation and Reconciliation of Our Use of Non-GAAP Financial Measures,</w:t>
      </w:r>
      <w:r>
        <w:rPr>
          <w:rFonts w:ascii="Arial" w:cs="Arial" w:eastAsia="Arial" w:hAnsi="Arial"/>
          <w:sz w:val="16"/>
          <w:szCs w:val="16"/>
          <w:color w:val="auto"/>
        </w:rPr>
        <w:t>"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premiums earned were $105.9 million for the three months ended March 31, 2021 compared to $98.7 million for the three months ended March 31, 2020. The increase from period-to-period was primarily due to the growth of our IIF, a rise in our monthly policy production and higher single premium policy cancellations, partially offset by increased cessions under our QSR and ILN Transactions.</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investment income was $8.8 million for the three months ended March 31, 2021 compared to $8.1 million for the three months ended March 31, 2020. The increase was driven by growth in the size of our total investment portfolio, partially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offset by a decline in book yield tied to the prevailing interest rate and credit spread environment.</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revenues were $0.5 million for the three months ended March 31, 2021, compared to $0.9 million for the three months ended March 31, 2020. Other revenues represent underwriting fee revenue generated by our subsidiary, NMIS, which provides outsourced loan review services to mortgage loan originators. The decline in other revenues relates to a decrease in NMIS' outsourced loan review volume. Amounts recognized in other revenues generally correspond with amounts incurred as service expenses for outsourced loan review activities in the same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3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Insurance claims and claim expenses were $5.0 million for the three months ended March 31, 2021, compared to $5.7 million for the three months ended March 31, 2020. Insurance claims and claim expenses decreased period-to-period despite an increase in the number of new defaults reported during the three months ended March 31, 2021, primarily because we established lower reserves per default for loans that we consider to be impaired in connection with the COVID pandemic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Insurance claims and claim expenses during the three months ended March 31, 2021 also benefited from cure activity and a release of reserves previously held against certain loans that defaulted prior to the onset of the COVID pandemic.</w:t>
      </w:r>
    </w:p>
    <w:p>
      <w:pPr>
        <w:spacing w:after="0" w:line="112"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Underwriting and operating expenses were $34.1 million for the three months ended March 31, 2021, compared to $32.3 million for the three months ended March 31, 2020. The increase primarily relates to the recognition of previously deferred policy acquisition costs taken in connection with in-force portfolio run-off, partially offset by reductions in payroll, travel and entertainment, and office administrative expenses as a result of the COVID-19 outbreak. Underwriting and operating expenses included capital market reinsurance transaction costs of $0.4 million and $0.5 million, for the three months ended March 31, 2021 and 2020, respectively.</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Service expenses were $0.6 million for the three months ended March 31, 2021, compared to $0.7 million for the three months ended March 31, 2020. Service expenses represent third-party costs incurred by NMIS in connection with the services it provides. The decline in service expenses was driven by a decrease in NMIS' outsourced loan review volume. Amounts incurred as service expenses generally correspond with amounts recognized in other revenues in the same periods.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was $7.9 million for the three months ended March 31, 2021 compared to $2.7 million for the three months ended March 31, 2020. Interest expense increased due to the increased amount and cost of our outstanding debt following the issuance of the $400 million Notes and retirement of the $150 million 2018 Term Loan in June 2020. See Item 1, "</w:t>
      </w:r>
      <w:r>
        <w:rPr>
          <w:rFonts w:ascii="Arial" w:cs="Arial" w:eastAsia="Arial" w:hAnsi="Arial"/>
          <w:sz w:val="18"/>
          <w:szCs w:val="18"/>
          <w:i w:val="1"/>
          <w:iCs w:val="1"/>
          <w:color w:val="auto"/>
        </w:rPr>
        <w:t>Financial Statements - Notes to Condensed Consolidated Financial Statements -</w:t>
      </w:r>
      <w:r>
        <w:rPr>
          <w:rFonts w:ascii="Arial" w:cs="Arial" w:eastAsia="Arial" w:hAnsi="Arial"/>
          <w:sz w:val="18"/>
          <w:szCs w:val="18"/>
          <w:color w:val="auto"/>
        </w:rPr>
        <w:t xml:space="preserve"> </w:t>
      </w:r>
      <w:r>
        <w:rPr>
          <w:rFonts w:ascii="Arial" w:cs="Arial" w:eastAsia="Arial" w:hAnsi="Arial"/>
          <w:sz w:val="18"/>
          <w:szCs w:val="18"/>
          <w:i w:val="1"/>
          <w:iCs w:val="1"/>
          <w:color w:val="auto"/>
        </w:rPr>
        <w:t>Note 4, Debt.</w:t>
      </w:r>
      <w:r>
        <w:rPr>
          <w:rFonts w:ascii="Arial" w:cs="Arial" w:eastAsia="Arial" w:hAnsi="Arial"/>
          <w:sz w:val="18"/>
          <w:szCs w:val="18"/>
          <w:color w:val="auto"/>
        </w:rPr>
        <w:t>"</w:t>
      </w:r>
    </w:p>
    <w:p>
      <w:pPr>
        <w:spacing w:after="0" w:line="1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Income tax expense was $14.6 million for the three months ended March 31, 2021 compared to $13.9 million for the three months ended March 31, 2020. The increase in income tax expense was primarily driven by an increase in our effective tax rate. As a U.S. taxpayer, we are subject to a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 on pre-tax income was 21.6% for the three months ended March 31, 2021, compared to 19.2% for the three months ended March 31, 2020. The increase in our effective tax rate period-to-period reflects a decrease in the discrete tax benefits realized during the three months ended March 31, 2021 from the change in the fair value of our warrant liability, and excess share-based compensation realized upon the vesting of RSUs and exercise of stock options. See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w:t>
      </w:r>
      <w:r>
        <w:rPr>
          <w:rFonts w:ascii="Arial" w:cs="Arial" w:eastAsia="Arial" w:hAnsi="Arial"/>
          <w:sz w:val="17"/>
          <w:szCs w:val="17"/>
          <w:i w:val="1"/>
          <w:iCs w:val="1"/>
          <w:color w:val="auto"/>
        </w:rPr>
        <w:t>- Notes to Condensed Consolidated Financial Statements - Note 9, Income Taxes.</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income was $52.9 million for the three months ended March 31, 2021 compared to $58.3 million for the three months ended March 31, 2020. Adjusted net income was $53.4 million for the three months ended March 31, 2021 compared to $52.7 million for the three months ended March 31, 2020. The decreases in net income from period-to-period was primarily driven by a shift in the impact of the change in the fair value of our warrant liability from a gain during the three months ended March 31, 2020 to a loss during the three months ended March 31, 2021. Our adjusted net income, which excludes the gain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8" w:name="page49"/>
    <w:bookmarkEnd w:id="48"/>
    <w:p>
      <w:pPr>
        <w:jc w:val="both"/>
        <w:spacing w:after="0" w:line="342" w:lineRule="auto"/>
        <w:rPr>
          <w:sz w:val="20"/>
          <w:szCs w:val="20"/>
          <w:color w:val="auto"/>
        </w:rPr>
      </w:pPr>
      <w:r>
        <w:rPr>
          <w:rFonts w:ascii="Arial" w:cs="Arial" w:eastAsia="Arial" w:hAnsi="Arial"/>
          <w:sz w:val="16"/>
          <w:szCs w:val="16"/>
          <w:color w:val="auto"/>
        </w:rPr>
        <w:t>loss associated with the change in the fair value of the warrant liability, increased during the three months ended March 31, 2021, driven by an increase in total revenues and decline in insurance claim and claim expenses, partially offset by an increase in our interest expense and effective tax rate.</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Diluted EPS was $0.61 for the three months ended March 31, 2021, compared to $0.74 for the three months ended March 31, 2020. Adjusted diluted EPS was $0.62 for the three months ended March 31, 2021, compared to $0.75 for the three months ended March 31, 2020. Diluted and adjusted diluted EPS decreased primarily due to an increase in weighted average diluted shares outstanding in connection with the issuance of 15.9 million shares of common stock we completed in June 2020.</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non-GAAP financial measures adjusted income before tax, adjusted net income and adjusted diluted EPS are presented to enhance the comparability of financial results between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Non-GAAP Financial Measure Reconciliations</w:t>
            </w:r>
          </w:p>
        </w:tc>
        <w:tc>
          <w:tcPr>
            <w:tcW w:w="38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4"/>
        </w:trPr>
        <w:tc>
          <w:tcPr>
            <w:tcW w:w="74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r>
      <w:tr>
        <w:trPr>
          <w:trHeight w:val="211"/>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reported</w:t>
            </w:r>
          </w:p>
        </w:tc>
        <w:tc>
          <w:tcPr>
            <w:tcW w:w="380" w:type="dxa"/>
            <w:vAlign w:val="bottom"/>
            <w:shd w:val="clear" w:color="auto" w:fill="CCEEFF"/>
          </w:tcPr>
          <w:p>
            <w:pPr>
              <w:spacing w:after="0"/>
              <w:rPr>
                <w:sz w:val="18"/>
                <w:szCs w:val="18"/>
                <w:color w:val="auto"/>
              </w:rPr>
            </w:pPr>
          </w:p>
        </w:tc>
        <w:tc>
          <w:tcPr>
            <w:tcW w:w="3400" w:type="dxa"/>
            <w:vAlign w:val="bottom"/>
            <w:gridSpan w:val="4"/>
            <w:shd w:val="clear" w:color="auto" w:fill="CCEEFF"/>
          </w:tcPr>
          <w:p>
            <w:pPr>
              <w:jc w:val="right"/>
              <w:ind w:right="572"/>
              <w:spacing w:after="0"/>
              <w:rPr>
                <w:sz w:val="20"/>
                <w:szCs w:val="20"/>
                <w:color w:val="auto"/>
              </w:rPr>
            </w:pPr>
            <w:r>
              <w:rPr>
                <w:rFonts w:ascii="Arial" w:cs="Arial" w:eastAsia="Arial" w:hAnsi="Arial"/>
                <w:sz w:val="14"/>
                <w:szCs w:val="14"/>
                <w:i w:val="1"/>
                <w:iCs w:val="1"/>
                <w:color w:val="auto"/>
              </w:rPr>
              <w:t>($ in thousands, except for per share data)</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67,456</w:t>
            </w:r>
          </w:p>
        </w:tc>
        <w:tc>
          <w:tcPr>
            <w:tcW w:w="3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72,156</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14,565</w:t>
            </w:r>
          </w:p>
        </w:tc>
        <w:tc>
          <w:tcPr>
            <w:tcW w:w="3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13,885</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52,891</w:t>
            </w:r>
          </w:p>
        </w:tc>
        <w:tc>
          <w:tcPr>
            <w:tcW w:w="3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58,271</w:t>
            </w:r>
          </w:p>
        </w:tc>
      </w:tr>
      <w:tr>
        <w:trPr>
          <w:trHeight w:val="270"/>
        </w:trPr>
        <w:tc>
          <w:tcPr>
            <w:tcW w:w="74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investment losses</w:t>
            </w:r>
          </w:p>
        </w:tc>
        <w:tc>
          <w:tcPr>
            <w:tcW w:w="3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Loss (gain) from change in fair value warrant liability</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(5,959)</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market transaction costs</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Adjusted income before tax</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68,039</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66,743</w:t>
            </w:r>
          </w:p>
        </w:tc>
      </w:tr>
      <w:tr>
        <w:trPr>
          <w:trHeight w:val="270"/>
        </w:trPr>
        <w:tc>
          <w:tcPr>
            <w:tcW w:w="74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on adjustments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53,395</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52,743</w:t>
            </w:r>
          </w:p>
        </w:tc>
      </w:tr>
      <w:tr>
        <w:trPr>
          <w:trHeight w:val="270"/>
        </w:trPr>
        <w:tc>
          <w:tcPr>
            <w:tcW w:w="7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86,487</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70,401</w:t>
            </w:r>
          </w:p>
        </w:tc>
      </w:tr>
      <w:tr>
        <w:trPr>
          <w:trHeight w:val="234"/>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0.62</w:t>
            </w:r>
          </w:p>
        </w:tc>
        <w:tc>
          <w:tcPr>
            <w:tcW w:w="3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0.75</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and Reconciliation of Our Use of Non-GAAP Financial Measures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1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Adjusted income before tax </w:t>
      </w:r>
      <w:r>
        <w:rPr>
          <w:rFonts w:ascii="Arial" w:cs="Arial" w:eastAsia="Arial" w:hAnsi="Arial"/>
          <w:sz w:val="18"/>
          <w:szCs w:val="18"/>
          <w:color w:val="auto"/>
        </w:rPr>
        <w:t>is defined as GAAP income before tax, excluding the pre-tax effects of the gain or loss related to the change in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our warrant liability, periodic costs incurred in connection with capital markets transactions, net realized gains or losses from our investment portfolio, and discrete, non-recurring and non-operating items in the periods in which such items are incurred.</w:t>
      </w:r>
    </w:p>
    <w:p>
      <w:pPr>
        <w:spacing w:after="0" w:line="12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defined as GAAP net income, excluding the after-tax effects of the gain or loss related to the change in fair value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liability, periodic costs incurred in connection with capital markets transactions, net realized gains or losses from our investment portfolio, and discrete, non-recurring and non-operating items in the periods in which such items are incurred. Adjustments to components of pre-tax income are tax effected using the applicable federal statutory tax rate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9" w:name="page50"/>
    <w:bookmarkEnd w:id="49"/>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Adjusted diluted EPS </w:t>
      </w:r>
      <w:r>
        <w:rPr>
          <w:rFonts w:ascii="Arial" w:cs="Arial" w:eastAsia="Arial" w:hAnsi="Arial"/>
          <w:sz w:val="17"/>
          <w:szCs w:val="17"/>
          <w:color w:val="auto"/>
        </w:rPr>
        <w:t>is defined as adjusted net income divided by adjusted weighted average diluted shares outstanding. Adjusted weighted</w:t>
      </w:r>
      <w:r>
        <w:rPr>
          <w:rFonts w:ascii="Arial" w:cs="Arial" w:eastAsia="Arial" w:hAnsi="Arial"/>
          <w:sz w:val="17"/>
          <w:szCs w:val="17"/>
          <w:b w:val="1"/>
          <w:bCs w:val="1"/>
          <w:color w:val="auto"/>
        </w:rPr>
        <w:t xml:space="preserve"> </w:t>
      </w:r>
      <w:r>
        <w:rPr>
          <w:rFonts w:ascii="Arial" w:cs="Arial" w:eastAsia="Arial" w:hAnsi="Arial"/>
          <w:sz w:val="17"/>
          <w:szCs w:val="17"/>
          <w:color w:val="auto"/>
        </w:rPr>
        <w:t>average 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133" w:lineRule="exact"/>
        <w:rPr>
          <w:sz w:val="20"/>
          <w:szCs w:val="20"/>
          <w:color w:val="auto"/>
        </w:rPr>
      </w:pPr>
    </w:p>
    <w:p>
      <w:pPr>
        <w:jc w:val="both"/>
        <w:ind w:left="660" w:hanging="328"/>
        <w:spacing w:after="0" w:line="25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 Outstanding warrants at the end of each reporting period are revalued, and any change in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the statement of operations in the period in which the change occurred. The change in fair value of our warrant liability can vary significantly across periods and is influenced principally by equity market and general economic factors that do not impact or reflect our current period operating results. We believe trends in our operating performance can be more clearly identified by excluding fluctuations related to the change in fair value of our warrant liability.</w:t>
      </w:r>
    </w:p>
    <w:p>
      <w:pPr>
        <w:spacing w:after="0" w:line="13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Capital markets transaction costs</w:t>
      </w:r>
      <w:r>
        <w:rPr>
          <w:rFonts w:ascii="Arial" w:cs="Arial" w:eastAsia="Arial" w:hAnsi="Arial"/>
          <w:sz w:val="18"/>
          <w:szCs w:val="18"/>
          <w:color w:val="auto"/>
        </w:rPr>
        <w:t>. Capital markets transaction costs result from activities that are undertaken to improve our debt profile or</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our capital position through activities such as debt refinancing and capital markets reinsurance transactions that may vary in their size and timing due to factors such as market opportunities, tax and capital profile, and overall market cycles.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Net realized investment gains and losses</w:t>
      </w:r>
      <w:r>
        <w:rPr>
          <w:rFonts w:ascii="Arial" w:cs="Arial" w:eastAsia="Arial" w:hAnsi="Arial"/>
          <w:sz w:val="18"/>
          <w:szCs w:val="18"/>
          <w:color w:val="auto"/>
        </w:rPr>
        <w:t>. The recognition of the net realized investment gains or losses can vary significantly across periods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is highly discretionary and is influenced by factors such as market opportunities, tax and capital profile, and overall market cycles that do not reflect our current period operating results.</w:t>
      </w:r>
    </w:p>
    <w:p>
      <w:pPr>
        <w:spacing w:after="0" w:line="12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Infrequent or unusual non-operating items</w:t>
      </w:r>
      <w:r>
        <w:rPr>
          <w:rFonts w:ascii="Arial" w:cs="Arial" w:eastAsia="Arial" w:hAnsi="Arial"/>
          <w:sz w:val="18"/>
          <w:szCs w:val="18"/>
          <w:color w:val="auto"/>
        </w:rPr>
        <w:t>. Items that are the result of unforeseen or uncommon events, which occur separately from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and are not expected to recur in the future. Identification and exclusion of these items provides clarity about the impact special or rare occurrences may have on our current financial performance. Past adjustments under this category include the effects of the release of the valuation allowance recorded against our net federal and certain state net deferred tax assets in 2016 and the re-measurement of our net deferred tax assets in connection with tax reform in 2017. We believe such items are non-recurring in nature, are not part of our primary operating activities and do not reflect our current period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2"/>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4"/>
          </w:tcPr>
          <w:p>
            <w:pPr>
              <w:jc w:val="right"/>
              <w:ind w:right="1211"/>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 portfolio</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1,831,511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1,804,286</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115,517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126,937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49,779</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Deferred policy acquisition costs,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62,294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62,225</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Software and equipment, net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29,665</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Prepaid reinsurance premiums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recoverable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69,976</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2,166,666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Debt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393,622</w:t>
            </w:r>
          </w:p>
        </w:tc>
        <w:tc>
          <w:tcPr>
            <w:tcW w:w="12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393,301</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118,817</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57,139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61,716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90,567</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Reinsurance funds withheld</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 liability</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Deferred tax liability,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112,586</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807,523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797,075</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1,380,308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1,369,591</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2,187,831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2,166,666</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left="80" w:firstLine="486"/>
        <w:spacing w:after="0" w:line="311" w:lineRule="auto"/>
        <w:rPr>
          <w:sz w:val="20"/>
          <w:szCs w:val="20"/>
          <w:color w:val="auto"/>
        </w:rPr>
      </w:pPr>
      <w:r>
        <w:rPr>
          <w:rFonts w:ascii="Arial" w:cs="Arial" w:eastAsia="Arial" w:hAnsi="Arial"/>
          <w:sz w:val="16"/>
          <w:szCs w:val="16"/>
          <w:color w:val="auto"/>
        </w:rPr>
        <w:t>Total cash and investments were $1.9 billion as of March 31, 2021 and December 31, 2020. Cash and investments at March 31, 2021 included $78.2 million held by NMIH. The increase in total cash and investments between the respective measurement dates reflects cash generated from operations, partially offset by a decrease in the unrealized gain position of our fixed income portfolio caused by a rise in interest rates.</w:t>
      </w:r>
    </w:p>
    <w:p>
      <w:pPr>
        <w:spacing w:after="0" w:line="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deferred policy acquisition costs were $62.3 million as of March 31, 2021, compared to $62.2 million as of December 31, 2020. The increase was primarily driven by growth in the number of policies written during the period and the deferral of certain costs associated with the origination of those policies, partially offset by the amortization of previously deferred acquisition costs.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Prepaid reinsurance premiums were $4.8 million as of March 31, 2021, compared to $6.2 million as of December 31, 2020. Prepaid reinsurance premiums, which represent the unearned premiums on single premium policies ceded under the 2016 QSR Transaction, decreased due to the continued amortization of previously ceded unearned premiums.</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Reinsurance recoverable was $18.7 million as of March 31, 2021, compared to $17.6 million as of December 31, 2020. The increase was driven by an increase in ceded losses recoverable associated with our QSR Transactions.</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assets increased to $71.5 million as of March 31, 2021, compared to $70.0 million as of December 31, 2020, primarily driven by a $1.6 million increase in software and equipment. Included in other assets are $46.4 million of tax and loss bonds held by the Company at both March 31, 2021 and December 31, 2020. see Item 1, "</w:t>
      </w:r>
      <w:r>
        <w:rPr>
          <w:rFonts w:ascii="Arial" w:cs="Arial" w:eastAsia="Arial" w:hAnsi="Arial"/>
          <w:sz w:val="17"/>
          <w:szCs w:val="17"/>
          <w:i w:val="1"/>
          <w:iCs w:val="1"/>
          <w:color w:val="auto"/>
        </w:rPr>
        <w:t>Financial Statements - Notes to Condensed Consolidated Financial Statements - Note 9, Income Taxes.</w:t>
      </w:r>
      <w:r>
        <w:rPr>
          <w:rFonts w:ascii="Arial" w:cs="Arial" w:eastAsia="Arial" w:hAnsi="Arial"/>
          <w:sz w:val="17"/>
          <w:szCs w:val="17"/>
          <w:color w:val="auto"/>
        </w:rPr>
        <w:t>"</w:t>
      </w:r>
    </w:p>
    <w:p>
      <w:pPr>
        <w:spacing w:after="0" w:line="111"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Unearned premiums were $127.4 million as of March 31, 2021, compared to $118.8 million as of December 31, 2020. The increase was driven by single premium policy originations during the three months ended March 31, 2021, partially offset by the cancellation of other single premium policies and the amortization of existing unearned premiums through earnings in accordance with the expiration of risk on related single premium policies.</w:t>
      </w:r>
    </w:p>
    <w:p>
      <w:pPr>
        <w:spacing w:after="0" w:line="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Accounts payable and accrued expenses were $57.1 million as of March 31, 2021, compared to $61.7 million as of December 31, 2020. The decrease was primarily driven by the payment of an unsettled trade payable related to the purchase of</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investment securities at year-end 2020 and the settlement of previously accrued compensation during the three months ended March 31, 2021, partially offset by an increase in accrued and unpaid interest on the Notes.</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Reserve for insurance claims and claim expenses was $96.1 million as of March 31, 2021, compared to $90.6 million as of December 31, 2020. Reserve for insurance claims and claim expenses increased at March 31, 2021 despite a decline in the total size of our default population because of an increase in the average case reserve held against previously defaulted loans and the establishment of initial reserves newly defaulted loans during the period. While we have generally established lower reserves per default for loans that we consider to be impaired in connection with the COVID pandemic, we have increased the initial reserves held for such loans as they have aged in default status. The increase in the reserves for insurance claims and claim expenses at March 31, 2021 was partially offset by the release of prior year reserves tied to the curing of certain loans that had defaulted prior to the onset of the COVID pandemic. See "</w:t>
      </w:r>
      <w:r>
        <w:rPr>
          <w:rFonts w:ascii="Arial" w:cs="Arial" w:eastAsia="Arial" w:hAnsi="Arial"/>
          <w:sz w:val="17"/>
          <w:szCs w:val="17"/>
          <w:i w:val="1"/>
          <w:iCs w:val="1"/>
          <w:color w:val="auto"/>
        </w:rPr>
        <w:t>- Insurance Claims and Claim Expenses</w:t>
      </w:r>
      <w:r>
        <w:rPr>
          <w:rFonts w:ascii="Arial" w:cs="Arial" w:eastAsia="Arial" w:hAnsi="Arial"/>
          <w:sz w:val="17"/>
          <w:szCs w:val="17"/>
          <w:color w:val="auto"/>
        </w:rPr>
        <w:t>," above for further details.</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Reinsurance funds withheld, which represents our ceded reinsurance premiums written, less our profit and ceding commission receivables related to the 2016 QSR Transaction was $7.6 million as of March 31, 2021, compared to $8.7 million as of December 31, 2020. The decrease relates to the continued decline in ceded premiums written on single premium policies, due to the end of the reinsurance coverage period for new business under the 2016 QSR Transaction at December 31, 2017. See Item 1, "</w:t>
      </w:r>
      <w:r>
        <w:rPr>
          <w:rFonts w:ascii="Arial" w:cs="Arial" w:eastAsia="Arial" w:hAnsi="Arial"/>
          <w:sz w:val="18"/>
          <w:szCs w:val="18"/>
          <w:i w:val="1"/>
          <w:iCs w:val="1"/>
          <w:color w:val="auto"/>
        </w:rPr>
        <w:t>Financial Statements - Notes to Condensed Consolidated Financial Statements - Note 5,</w:t>
      </w:r>
      <w:r>
        <w:rPr>
          <w:rFonts w:ascii="Arial" w:cs="Arial" w:eastAsia="Arial" w:hAnsi="Arial"/>
          <w:sz w:val="18"/>
          <w:szCs w:val="18"/>
          <w:color w:val="auto"/>
        </w:rPr>
        <w:t xml:space="preserve"> </w:t>
      </w:r>
      <w:r>
        <w:rPr>
          <w:rFonts w:ascii="Arial" w:cs="Arial" w:eastAsia="Arial" w:hAnsi="Arial"/>
          <w:sz w:val="18"/>
          <w:szCs w:val="18"/>
          <w:i w:val="1"/>
          <w:iCs w:val="1"/>
          <w:color w:val="auto"/>
        </w:rPr>
        <w:t>Reinsurance</w:t>
      </w:r>
      <w:r>
        <w:rPr>
          <w:rFonts w:ascii="Arial" w:cs="Arial" w:eastAsia="Arial" w:hAnsi="Arial"/>
          <w:sz w:val="18"/>
          <w:szCs w:val="18"/>
          <w:color w:val="auto"/>
        </w:rPr>
        <w:t>."</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Warrant liability was $4.2 million at March 31, 2021, compared to $4.4 million at December 31, 2020. The decrease was primarily driven by the exercise of outstanding warrants during the three months ended March 31, 2021, partially offset by the change in Black-Scholes pricing model inputs between the respective measurement dates. For further information regarding the valuation of our warrant liability and its impact on our results of operations and financial position, see Item 1, "</w:t>
      </w:r>
      <w:r>
        <w:rPr>
          <w:rFonts w:ascii="Arial" w:cs="Arial" w:eastAsia="Arial" w:hAnsi="Arial"/>
          <w:sz w:val="18"/>
          <w:szCs w:val="18"/>
          <w:i w:val="1"/>
          <w:iCs w:val="1"/>
          <w:color w:val="auto"/>
        </w:rPr>
        <w:t>Financial Statements - Notes to Condensed Consolidated Financial Statements - Note 3, Fair Value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deferred tax liability was $115.2 million at March 31, 2021 compared to $112.6 million at December 31, 2020. The increase was primarily due to an increase in the claimed deductibility of our statutory contingency reserve, offset by the change in unrealized gains recorded in other comprehensive income. For further information regarding income taxes and their impact on our results of operations and financial position, see Item 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Notes to Condensed Consolidated Financial Statements - Note 9, Income Taxes.</w:t>
      </w:r>
      <w:r>
        <w:rPr>
          <w:rFonts w:ascii="Arial" w:cs="Arial" w:eastAsia="Arial" w:hAnsi="Arial"/>
          <w:sz w:val="18"/>
          <w:szCs w:val="18"/>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Consolidated cash flows</w:t>
            </w:r>
          </w:p>
        </w:tc>
        <w:tc>
          <w:tcPr>
            <w:tcW w:w="3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6"/>
        </w:trPr>
        <w:tc>
          <w:tcPr>
            <w:tcW w:w="7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r>
      <w:tr>
        <w:trPr>
          <w:trHeight w:val="212"/>
        </w:trPr>
        <w:tc>
          <w:tcPr>
            <w:tcW w:w="754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60" w:type="dxa"/>
            <w:vAlign w:val="bottom"/>
          </w:tcPr>
          <w:p>
            <w:pPr>
              <w:spacing w:after="0"/>
              <w:rPr>
                <w:sz w:val="18"/>
                <w:szCs w:val="18"/>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8"/>
                <w:szCs w:val="18"/>
                <w:color w:val="auto"/>
              </w:rPr>
            </w:pP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47,852</w:t>
            </w: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(96,447)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ind w:left="620"/>
              <w:spacing w:after="0"/>
              <w:rPr>
                <w:sz w:val="20"/>
                <w:szCs w:val="20"/>
                <w:color w:val="auto"/>
              </w:rPr>
            </w:pPr>
            <w:r>
              <w:rPr>
                <w:rFonts w:ascii="Arial" w:cs="Arial" w:eastAsia="Arial" w:hAnsi="Arial"/>
                <w:sz w:val="18"/>
                <w:szCs w:val="18"/>
                <w:color w:val="auto"/>
              </w:rPr>
              <w:t>25,783</w:t>
            </w: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4"/>
              </w:rPr>
              <w:t>(4,903)</w:t>
            </w: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(11,420)</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68,732</w:t>
            </w:r>
          </w:p>
        </w:tc>
      </w:tr>
      <w:tr>
        <w:trPr>
          <w:trHeight w:val="20"/>
        </w:trPr>
        <w:tc>
          <w:tcPr>
            <w:tcW w:w="7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operating activities was $85.5 million for the three months ended March 31, 2021, compared to $47.9 million for the three months ended March 31, 2020. The increase in cash generated from operating activities was primarily driven by growth in premiums written, with further increase tied to a decline in claims and cash interest paid from period-to-period.</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used in investing activities for the three months ended March 31, 2021 was driven by the purchase of fixed and short-term maturities, with cash provided by operating activities, and the reinvestment of coupon payments, maturities and sale proceeds within our investment portfolio. Cash provided by investing activities for the three months ended March 31, 2020 represent the net cash proceeds from maturities of fixed maturity investments and the sales of short-term investments, partially offset by purchases. We paused reinvestment activities at the onset of the COVID-19 pandemic in the first quarter of 2020 to bolster liquidity within our investment portfolio.</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financing activities was $0.4 million for the three months ended March 31, 2021, compared to cash used in financing activities of $4.9 million for the three months ended March 31, 2020. The cash used in financing activities primarily relates to taxes paid on the net share settlement of equity awards for certain employees. The cash used in financing activities for the three months ended March 31, 2020 also includes cash paid for debt issuance costs in connection with the 2020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w:t>
      </w:r>
    </w:p>
    <w:p>
      <w:pPr>
        <w:jc w:val="both"/>
        <w:ind w:firstLine="8"/>
        <w:spacing w:after="0" w:line="253"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 of the interest related to the Notes and 2020 Revolving Credit Facility; (iv) tax payments to the Internal Revenue Service; (v) capital support for its subsidiaries; and (vi)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2021, NMIH had $78.2 million of cash and investments. NMIH's principal source of net cash is investment income. NMIH also has access to $110 million of undrawn revolving credit capacity under the 2020 Revolving Credit Facility. See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Condensed Consolidated Financial Statements - Note 4, Debt. </w:t>
      </w:r>
      <w:r>
        <w:rPr>
          <w:rFonts w:ascii="Arial" w:cs="Arial" w:eastAsia="Arial" w:hAnsi="Arial"/>
          <w:sz w:val="18"/>
          <w:szCs w:val="18"/>
          <w:color w:val="auto"/>
        </w:rPr>
        <w:t>Re One also has the capacity, under Wisconsin law, to pay $1.6 million of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dividends to NMIH during the twelve-month period ending December 31, 2021. In the future, NMIH may benefit from ordinary course dividend capacity available from NMIC as well.</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the 2020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Notes mature on June 19, 2025 and bear interest at a rate of 7.375%, payable semi-annually on June 1 and December 1. The 2020 Revolving Credit Facility matures on February 22, 2023 and accrues interest at a variable rate equal to, at our discretion, (i) a base rate (as defined in the Credit Agreement, subject to a floor of 1.00% per annum) plus a margin of 0.375% to 1.875% per annum or (ii) the Eurodollar Rate (subject to a floor of 0.00% per annum) plus a margin of 1.375% to 2.875% per annum, in each case based on the applicable corporate credit rating at the time. Borrowings under the 2020 Revolving Credit Facility may be used for general corporate purposes, including to support the growth of our new business production and operations.</w:t>
      </w:r>
    </w:p>
    <w:p>
      <w:pPr>
        <w:spacing w:after="0" w:line="13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Under the 2020 Revolving Credit Facility, NMIH is required to pay a quarterly commitment fee on the average daily undrawn amount of 0.175% to 0.525%, based on the applicable corporate credit rating at the time. As of March 31, 2021, the applicable commitment fee was 0.35%.</w:t>
      </w:r>
    </w:p>
    <w:p>
      <w:pPr>
        <w:spacing w:after="0" w:line="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subject to certain covenants under the Notes and the 2020 Revolving Credit Facility (as defined in the Credit Agreement). Under the Notes (as defined in the Indenture), we are subject to a maximum debt-to-total capitalization ratio of 35%. Under the 2020 Revolving Credit Facility (as defined in the Credit Agreement), we are subject to a maximum debt-to-total capitalization ratio of 35%, a minimum liquidity requirement, a requirement to maintain compliance with the PMIERs financial requirements (subject to any GSE-approved waivers), and minimum consolidated net worth and statutory capital requirements (respectively, as defined therein). We were in compliance with all covenants as of March 31, 2021.</w:t>
      </w:r>
    </w:p>
    <w:p>
      <w:pPr>
        <w:spacing w:after="0" w:line="1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NMIC and Re One are subject to certain capital and dividend rules and regulations prescribed by jurisdictions in which they are authorized to operate and the GSEs. Under Wisconsin law, NMIC and Re One may pay dividends up to specified levels (</w:t>
      </w:r>
      <w:r>
        <w:rPr>
          <w:rFonts w:ascii="Arial" w:cs="Arial" w:eastAsia="Arial" w:hAnsi="Arial"/>
          <w:sz w:val="17"/>
          <w:szCs w:val="17"/>
          <w:i w:val="1"/>
          <w:iCs w:val="1"/>
          <w:color w:val="auto"/>
        </w:rPr>
        <w:t>i.e.</w:t>
      </w:r>
      <w:r>
        <w:rPr>
          <w:rFonts w:ascii="Arial" w:cs="Arial" w:eastAsia="Arial" w:hAnsi="Arial"/>
          <w:sz w:val="17"/>
          <w:szCs w:val="17"/>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Re One has the capacity to pay $1.6 million of aggregate ordinary dividends to NMIH during the twelve-month period ending December 31, 2021. NMIC reported a statutory net loss for the year ended December 31, 2020 and does not have the capacity to pay dividends to NMIH during the twelve-month period ended December 31, 2021 without prior approval from the Wisconsin OCI. Since inception, neither NMIC nor Re One have paid any dividends to NMIH.</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under PMIERs, NMIC would generally be subject to prior GSE approval of its ability to pay dividends to NMIH if it failed to meet the financial requirements prescribed by PMIERs. In response to the COVID pandemic, the GSEs issued temporary PMIERs guidance, effective for the period from June 30, 2020 to June 30, 2021, that requires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to secure approval from the GSEs, even if the </w:t>
      </w:r>
      <w:r>
        <w:rPr>
          <w:rFonts w:ascii="Arial" w:cs="Arial" w:eastAsia="Arial" w:hAnsi="Arial"/>
          <w:sz w:val="18"/>
          <w:szCs w:val="18"/>
          <w:i w:val="1"/>
          <w:iCs w:val="1"/>
          <w:color w:val="auto"/>
        </w:rPr>
        <w:t>approved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insurer </w:t>
      </w:r>
      <w:r>
        <w:rPr>
          <w:rFonts w:ascii="Arial" w:cs="Arial" w:eastAsia="Arial" w:hAnsi="Arial"/>
          <w:sz w:val="18"/>
          <w:szCs w:val="18"/>
          <w:color w:val="auto"/>
        </w:rPr>
        <w:t>otherwise satisfies the financial requirements prescribed by PMIERs, prior to taking any of the following actions: (i) pay dividends, make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principal or increase payments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3" w:name="page54"/>
    <w:bookmarkEnd w:id="53"/>
    <w:p>
      <w:pPr>
        <w:jc w:val="both"/>
        <w:spacing w:after="0" w:line="296" w:lineRule="auto"/>
        <w:rPr>
          <w:sz w:val="20"/>
          <w:szCs w:val="20"/>
          <w:color w:val="auto"/>
        </w:rPr>
      </w:pPr>
      <w:r>
        <w:rPr>
          <w:rFonts w:ascii="Arial" w:cs="Arial" w:eastAsia="Arial" w:hAnsi="Arial"/>
          <w:sz w:val="16"/>
          <w:szCs w:val="16"/>
          <w:color w:val="auto"/>
        </w:rPr>
        <w:t xml:space="preserve">interest beyond those commitments made prior to the guidance effective date associated with surplus notes issued by the </w:t>
      </w:r>
      <w:r>
        <w:rPr>
          <w:rFonts w:ascii="Arial" w:cs="Arial" w:eastAsia="Arial" w:hAnsi="Arial"/>
          <w:sz w:val="16"/>
          <w:szCs w:val="16"/>
          <w:i w:val="1"/>
          <w:iCs w:val="1"/>
          <w:color w:val="auto"/>
        </w:rPr>
        <w:t>approved insurer</w:t>
      </w:r>
      <w:r>
        <w:rPr>
          <w:rFonts w:ascii="Arial" w:cs="Arial" w:eastAsia="Arial" w:hAnsi="Arial"/>
          <w:sz w:val="16"/>
          <w:szCs w:val="16"/>
          <w:color w:val="auto"/>
        </w:rPr>
        <w:t>, make any other payments, unless related to expenses incurred in the normal course of business or to commitments made prior to the guidance effective date, or pledge or transfer asset(s) to any affiliate or investor, or (ii) enter into any new arrangements or alter any existing arrangements under tax sharing and intercompany expense-sharing agreements other than renewals and extensions of agreements in effect prior to the guidance effective date. We cannot be certain that the GSEs will not amend the terms, or extend the duration, of this prior approval requirement beyond its current expiration of June 30, 2021.</w:t>
      </w:r>
    </w:p>
    <w:p>
      <w:pPr>
        <w:spacing w:after="0" w:line="1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Arial" w:cs="Arial" w:eastAsia="Arial" w:hAnsi="Arial"/>
          <w:sz w:val="17"/>
          <w:szCs w:val="17"/>
          <w:i w:val="1"/>
          <w:iCs w:val="1"/>
          <w:color w:val="auto"/>
        </w:rPr>
        <w:t>minimum required asset</w:t>
      </w:r>
      <w:r>
        <w:rPr>
          <w:rFonts w:ascii="Arial" w:cs="Arial" w:eastAsia="Arial" w:hAnsi="Arial"/>
          <w:sz w:val="17"/>
          <w:szCs w:val="17"/>
          <w:color w:val="auto"/>
        </w:rPr>
        <w:t xml:space="preserve"> thresholds under the PMIERs and minimum state capital requirements (respectively, as defined therein).</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risk-based required asset amount, subject to a minimum floor of $400 million. At March 31, 2021, we reported $1,810 million available assets against $1,261 million risk-based required assets for a $549 million of "excess" funding position</w:t>
      </w:r>
    </w:p>
    <w:p>
      <w:pPr>
        <w:spacing w:after="0" w:line="1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FEMA to be a Major Disaster zone. In June 2020, the GSEs issued guidance restated in each of September and December 2020) on the risk-based treatment of loans affected by the COVID-19 crisis.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NMIC's PMIERs minimum risk-based required asset amount is also adjusted for its reinsurance transactions (as approved by the GSEs). Under NMIC's quota share reinsurance treaties, it receives credit for the PMIERs risk-based required asset amount on ceded RIF. As its gross PMIERs risk-based required asset amount on ceded RIF increases, the PMIERS credit for ceded RIF automatically increases as well (in an unlimited amount). Under NMIC's ILN transactions, it generally receives credit for the PMIERs risk-based required asset amount on ceded RIF to the extent such requirement is within the subordinated coverage (excess of loss detachment threshold) afforded by the transaction.</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2021, NMIC's performing primary RIF, net of reinsurance, was approximately $22.8 billion. NMIC ceded 100% of its pool RIF</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2016 QSR Transaction. Based on NMIC's total statutory capital of $1.7 billion (including contingency reserves) as of March 31, 2021, NMIC's RTC ratio was 13.4:1 Re One had total statutory capital of $37.3 million as of March 31, 2021 and a RTC ratio of 1.8:1</w:t>
      </w:r>
    </w:p>
    <w:p>
      <w:pPr>
        <w:spacing w:after="0" w:line="1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March 31, 2021, NMIC had $1.8 billion of cash and investments, including $86 million of cash and equivalents. NMIC's principal liquidity demands include funds for the payment of</w:t>
      </w:r>
    </w:p>
    <w:p>
      <w:pPr>
        <w:spacing w:after="0" w:line="2" w:lineRule="exact"/>
        <w:rPr>
          <w:sz w:val="20"/>
          <w:szCs w:val="20"/>
          <w:color w:val="auto"/>
        </w:rPr>
      </w:pPr>
    </w:p>
    <w:p>
      <w:pPr>
        <w:jc w:val="both"/>
        <w:ind w:firstLine="8"/>
        <w:spacing w:after="0" w:line="251"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March 31, 2021, NMIC generated $283 million of cash flow from operations and received an additional $327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8"/>
          <w:szCs w:val="18"/>
          <w:i w:val="1"/>
          <w:iCs w:val="1"/>
          <w:color w:val="auto"/>
        </w:rPr>
        <w:t>i.e.</w:t>
      </w:r>
      <w:r>
        <w:rPr>
          <w:rFonts w:ascii="Arial" w:cs="Arial" w:eastAsia="Arial" w:hAnsi="Arial"/>
          <w:sz w:val="18"/>
          <w:szCs w:val="18"/>
          <w:color w:val="auto"/>
        </w:rPr>
        <w:t>, are of a contractually predetermined amount and due at a contractually predetermined date). NMIC's only use of cash that develops along an unscheduled path is claims payments. Given the breadth and duration of forbearance programs available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4" w:name="page55"/>
    <w:bookmarkEnd w:id="54"/>
    <w:p>
      <w:pPr>
        <w:jc w:val="both"/>
        <w:ind w:right="20"/>
        <w:spacing w:after="0" w:line="277" w:lineRule="auto"/>
        <w:rPr>
          <w:sz w:val="20"/>
          <w:szCs w:val="20"/>
          <w:color w:val="auto"/>
        </w:rPr>
      </w:pPr>
      <w:r>
        <w:rPr>
          <w:rFonts w:ascii="Arial" w:cs="Arial" w:eastAsia="Arial" w:hAnsi="Arial"/>
          <w:sz w:val="18"/>
          <w:szCs w:val="18"/>
          <w:color w:val="auto"/>
        </w:rPr>
        <w:t>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Financial Strength Ratings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NMIC's financial strength is rated "Baa2" by Moody's and "BBB" by S&amp;P. In June 2020, Moody's affirmed its financial strength rating of NMIC</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its "Ba2" rating of NMIH's 2020 Revolving Credit Facility, and assigned a "Ba2" rating to the Notes. Moody's ratings outlook is stable. In June 3, 2020, S&amp;P assigned a "BB" rating to NMIH's senior secured Notes. In April 2021, S&amp;P upgraded its outlook from negative to positive for the financial strength rating of NMIC's and NMIH's long-term counter-party credit profile.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primary objectives of our investment activity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investment portfolio is comprised entirely of fixed maturity instruments. As of March 31, 2021, the fair value of our investment portfolio was $1.8 billion and we held an additional $115.5 million of cash and equivalents. Pre-tax book yield on the investment portfolio for the three months ended March 31, 2021 was 2.0%.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tables present a breakdown of our investment portfolio and cash and cash equivalents by investment type and credit rating: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Percentage of portfolio's fair value</w:t>
            </w:r>
          </w:p>
        </w:tc>
        <w:tc>
          <w:tcPr>
            <w:tcW w:w="196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31, 2021</w:t>
            </w:r>
          </w:p>
        </w:tc>
        <w:tc>
          <w:tcPr>
            <w:tcW w:w="184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Cash, cash equivalents, and short-term investments</w:t>
            </w: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8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18"/>
                <w:szCs w:val="18"/>
                <w:b w:val="1"/>
                <w:bCs w:val="1"/>
                <w:color w:val="auto"/>
                <w:vertAlign w:val="superscript"/>
              </w:rPr>
              <w:t>(1)</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6"/>
        </w:trPr>
        <w:tc>
          <w:tcPr>
            <w:tcW w:w="7440" w:type="dxa"/>
            <w:vAlign w:val="bottom"/>
            <w:vMerge w:val="continue"/>
          </w:tcPr>
          <w:p>
            <w:pPr>
              <w:spacing w:after="0"/>
              <w:rPr>
                <w:sz w:val="24"/>
                <w:szCs w:val="24"/>
                <w:color w:val="auto"/>
              </w:rPr>
            </w:pPr>
          </w:p>
        </w:tc>
        <w:tc>
          <w:tcPr>
            <w:tcW w:w="196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31, 2021</w:t>
            </w:r>
          </w:p>
        </w:tc>
        <w:tc>
          <w:tcPr>
            <w:tcW w:w="184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line="230" w:lineRule="exact"/>
              <w:rPr>
                <w:sz w:val="20"/>
                <w:szCs w:val="20"/>
                <w:color w:val="auto"/>
              </w:rPr>
            </w:pPr>
            <w:r>
              <w:rPr>
                <w:rFonts w:ascii="Arial" w:cs="Arial" w:eastAsia="Arial" w:hAnsi="Arial"/>
                <w:sz w:val="26"/>
                <w:szCs w:val="26"/>
                <w:color w:val="auto"/>
                <w:vertAlign w:val="subscript"/>
              </w:rPr>
              <w:t>AA</w:t>
            </w:r>
            <w:r>
              <w:rPr>
                <w:rFonts w:ascii="Arial" w:cs="Arial" w:eastAsia="Arial" w:hAnsi="Arial"/>
                <w:sz w:val="10"/>
                <w:szCs w:val="10"/>
                <w:color w:val="auto"/>
              </w:rPr>
              <w:t>(2)</w:t>
            </w: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line="230" w:lineRule="exact"/>
              <w:rPr>
                <w:sz w:val="20"/>
                <w:szCs w:val="20"/>
                <w:color w:val="auto"/>
              </w:rPr>
            </w:pPr>
            <w:r>
              <w:rPr>
                <w:rFonts w:ascii="Arial" w:cs="Arial" w:eastAsia="Arial" w:hAnsi="Arial"/>
                <w:sz w:val="26"/>
                <w:szCs w:val="26"/>
                <w:color w:val="auto"/>
                <w:vertAlign w:val="subscript"/>
              </w:rPr>
              <w:t>A</w:t>
            </w:r>
            <w:r>
              <w:rPr>
                <w:rFonts w:ascii="Arial" w:cs="Arial" w:eastAsia="Arial" w:hAnsi="Arial"/>
                <w:sz w:val="10"/>
                <w:szCs w:val="10"/>
                <w:color w:val="auto"/>
              </w:rPr>
              <w:t>(2)</w:t>
            </w: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26"/>
                <w:szCs w:val="26"/>
                <w:color w:val="auto"/>
                <w:vertAlign w:val="subscript"/>
              </w:rPr>
              <w:t>BBB</w:t>
            </w:r>
            <w:r>
              <w:rPr>
                <w:rFonts w:ascii="Arial" w:cs="Arial" w:eastAsia="Arial" w:hAnsi="Arial"/>
                <w:sz w:val="10"/>
                <w:szCs w:val="10"/>
                <w:color w:val="auto"/>
              </w:rPr>
              <w:t>(2)</w:t>
            </w:r>
          </w:p>
        </w:tc>
        <w:tc>
          <w:tcPr>
            <w:tcW w:w="1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Excluding certain operating cash accounts.</w:t>
      </w:r>
    </w:p>
    <w:p>
      <w:pPr>
        <w:ind w:left="260" w:hanging="252"/>
        <w:spacing w:after="0" w:line="186" w:lineRule="auto"/>
        <w:tabs>
          <w:tab w:leader="none" w:pos="26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 ratings.</w:t>
      </w:r>
    </w:p>
    <w:p>
      <w:pPr>
        <w:spacing w:after="0" w:line="22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Investment Securities - Allowance for credit losses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did not recognize an allowance for credit loss for any security in the investment portfolio as of March 31, 2021 or December 31, 2020, and we did not record any provision for credit loss for investment securities during the three months ended March 31, 2021, and March 31, 2020.</w:t>
      </w:r>
    </w:p>
    <w:p>
      <w:pPr>
        <w:spacing w:after="0" w:line="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2021, the investment portfolio had gross unrealized losses of $25.5 million, none of which had been in an unrealized loss position for a period of twelve months or longer. As of December 31, 2020, the investment portfolio had gross unrealized losses of $0.5 million, of which $8 thousand had been in an unrealized loss position for a period of twelve months or longer. The increase in the number of securities in and the aggregate size of the unrealized loss position as of March 31, 2021, was primarily driven by interest rate movements following the purchase date of certain securities. Based on current facts and circumstances, we believe the unrealized losses as of March 31, 2021 are not indicative of the ultimate collectability of the current amortized cost of the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2020 10-K.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16" w:lineRule="exact"/>
        <w:rPr>
          <w:sz w:val="20"/>
          <w:szCs w:val="20"/>
          <w:color w:val="auto"/>
        </w:rPr>
      </w:pPr>
    </w:p>
    <w:p>
      <w:pPr>
        <w:jc w:val="both"/>
        <w:ind w:left="980" w:hanging="324"/>
        <w:spacing w:after="0" w:line="255"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13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may have unforeseen impacts on the value of certain assets.</w:t>
      </w:r>
    </w:p>
    <w:p>
      <w:pPr>
        <w:spacing w:after="0" w:line="116" w:lineRule="exact"/>
        <w:rPr>
          <w:rFonts w:ascii="Arial" w:cs="Arial" w:eastAsia="Arial" w:hAnsi="Arial"/>
          <w:sz w:val="18"/>
          <w:szCs w:val="18"/>
          <w:i w:val="1"/>
          <w:iCs w:val="1"/>
          <w:color w:val="auto"/>
        </w:rPr>
      </w:pPr>
    </w:p>
    <w:p>
      <w:pPr>
        <w:ind w:left="980" w:hanging="324"/>
        <w:spacing w:after="0" w:line="342" w:lineRule="auto"/>
        <w:tabs>
          <w:tab w:leader="none" w:pos="97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Market volatility/changes in the real or perceived credit quality of investments</w:t>
      </w:r>
      <w:r>
        <w:rPr>
          <w:rFonts w:ascii="Arial" w:cs="Arial" w:eastAsia="Arial" w:hAnsi="Arial"/>
          <w:sz w:val="16"/>
          <w:szCs w:val="16"/>
          <w:color w:val="auto"/>
        </w:rPr>
        <w:t>. 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 party (</w:t>
      </w:r>
      <w:r>
        <w:rPr>
          <w:rFonts w:ascii="Arial" w:cs="Arial" w:eastAsia="Arial" w:hAnsi="Arial"/>
          <w:sz w:val="16"/>
          <w:szCs w:val="16"/>
          <w:i w:val="1"/>
          <w:iCs w:val="1"/>
          <w:color w:val="auto"/>
        </w:rPr>
        <w:t>e.g.</w:t>
      </w:r>
      <w:r>
        <w:rPr>
          <w:rFonts w:ascii="Arial" w:cs="Arial" w:eastAsia="Arial" w:hAnsi="Arial"/>
          <w:sz w:val="16"/>
          <w:szCs w:val="16"/>
          <w:color w:val="auto"/>
        </w:rPr>
        <w:t>, rating agency) assessments, will reduce the value and potentially the liquidity of investments.</w:t>
      </w:r>
    </w:p>
    <w:p>
      <w:pPr>
        <w:spacing w:after="0" w:line="69" w:lineRule="exact"/>
        <w:rPr>
          <w:rFonts w:ascii="Arial" w:cs="Arial" w:eastAsia="Arial" w:hAnsi="Arial"/>
          <w:sz w:val="16"/>
          <w:szCs w:val="16"/>
          <w:color w:val="auto"/>
        </w:rPr>
      </w:pPr>
    </w:p>
    <w:p>
      <w:pPr>
        <w:ind w:left="980" w:hanging="324"/>
        <w:spacing w:after="0" w:line="342" w:lineRule="auto"/>
        <w:tabs>
          <w:tab w:leader="none" w:pos="97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Concentration Risk</w:t>
      </w:r>
      <w:r>
        <w:rPr>
          <w:rFonts w:ascii="Arial" w:cs="Arial" w:eastAsia="Arial" w:hAnsi="Arial"/>
          <w:sz w:val="16"/>
          <w:szCs w:val="16"/>
          <w:color w:val="auto"/>
        </w:rPr>
        <w:t>. If the investment portfolio is highly concentrated in one asset, or in multiple assets whose values are highly correlated,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of the total portfolio may be greatly affected by the change in value of just one asset or a group of highly correlated assets.</w:t>
      </w:r>
    </w:p>
    <w:p>
      <w:pPr>
        <w:spacing w:after="0" w:line="69"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March 31, 2021 and December 31, 2020 was $1.8 billion,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March 31, 2021, the duration of our fixed income portfolio, including cash and cash equivalents, was 4.84 years, which means that an instantaneous parallel shift (movement up or down) in the yield curve of 100 basis points would result in a change of 4.84% in fair value of our fixed income portfolio. Excluding cash, our fixed income portfolio duration was 4.97 years, which means that an instantaneous parallel shift (movement up or down) in the yield curve of 100 basis points would result in a change of 4.97% in fair value of our fixed income portfolio.</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also subject to market risk related to the Notes and the ILN Transactions. As discussed in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4, Debt</w:t>
      </w:r>
      <w:r>
        <w:rPr>
          <w:rFonts w:ascii="Arial" w:cs="Arial" w:eastAsia="Arial" w:hAnsi="Arial"/>
          <w:sz w:val="18"/>
          <w:szCs w:val="18"/>
          <w:color w:val="auto"/>
        </w:rPr>
        <w:t>" the Notes bear interest at a variable rate and, as a result, increases in market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would generally result in increased interest expense on our outstanding principal.</w:t>
      </w:r>
    </w:p>
    <w:p>
      <w:pPr>
        <w:spacing w:after="0" w:line="13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risk premium amounts under the ILN Transactions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March 31, 2021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March 31, 2021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2020 10-K. As of the date of this report, we are not aware of any material changes in our risk factors from the risk factors disclosed in our 2020 10-K. You should carefully consider the risks and uncertainties described herein and in our 2020 10-K, which have the potential to affect our business, financial condition, results of operations, cash flows or prospects in a material and adverse manner. The risks described herein and in our 2020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80" w:type="dxa"/>
            <w:vAlign w:val="bottom"/>
          </w:tcPr>
          <w:p>
            <w:pPr>
              <w:jc w:val="center"/>
              <w:ind w:right="2090"/>
              <w:spacing w:after="0"/>
              <w:rPr>
                <w:sz w:val="20"/>
                <w:szCs w:val="20"/>
                <w:color w:val="auto"/>
              </w:rPr>
            </w:pPr>
            <w:r>
              <w:rPr>
                <w:rFonts w:ascii="Arial" w:cs="Arial" w:eastAsia="Arial" w:hAnsi="Arial"/>
                <w:sz w:val="18"/>
                <w:szCs w:val="18"/>
                <w:b w:val="1"/>
                <w:bCs w:val="1"/>
                <w:color w:val="auto"/>
                <w:w w:val="96"/>
              </w:rPr>
              <w:t>Exhibit</w:t>
            </w:r>
          </w:p>
        </w:tc>
        <w:tc>
          <w:tcPr>
            <w:tcW w:w="3140" w:type="dxa"/>
            <w:vAlign w:val="bottom"/>
            <w:vMerge w:val="restart"/>
          </w:tcPr>
          <w:p>
            <w:pPr>
              <w:ind w:left="2260"/>
              <w:spacing w:after="0"/>
              <w:rPr>
                <w:sz w:val="20"/>
                <w:szCs w:val="20"/>
                <w:color w:val="auto"/>
              </w:rPr>
            </w:pPr>
            <w:r>
              <w:rPr>
                <w:rFonts w:ascii="Arial" w:cs="Arial" w:eastAsia="Arial" w:hAnsi="Arial"/>
                <w:sz w:val="18"/>
                <w:szCs w:val="18"/>
                <w:b w:val="1"/>
                <w:bCs w:val="1"/>
                <w:color w:val="auto"/>
                <w:w w:val="86"/>
              </w:rPr>
              <w:t>Description</w:t>
            </w:r>
          </w:p>
        </w:tc>
        <w:tc>
          <w:tcPr>
            <w:tcW w:w="0" w:type="dxa"/>
            <w:vAlign w:val="bottom"/>
          </w:tcPr>
          <w:p>
            <w:pPr>
              <w:spacing w:after="0"/>
              <w:rPr>
                <w:sz w:val="1"/>
                <w:szCs w:val="1"/>
                <w:color w:val="auto"/>
              </w:rPr>
            </w:pPr>
          </w:p>
        </w:tc>
      </w:tr>
      <w:tr>
        <w:trPr>
          <w:trHeight w:val="234"/>
        </w:trPr>
        <w:tc>
          <w:tcPr>
            <w:tcW w:w="3480" w:type="dxa"/>
            <w:vAlign w:val="bottom"/>
          </w:tcPr>
          <w:p>
            <w:pPr>
              <w:jc w:val="center"/>
              <w:ind w:right="2110"/>
              <w:spacing w:after="0"/>
              <w:rPr>
                <w:sz w:val="20"/>
                <w:szCs w:val="20"/>
                <w:color w:val="auto"/>
              </w:rPr>
            </w:pPr>
            <w:r>
              <w:rPr>
                <w:rFonts w:ascii="Arial" w:cs="Arial" w:eastAsia="Arial" w:hAnsi="Arial"/>
                <w:sz w:val="18"/>
                <w:szCs w:val="18"/>
                <w:b w:val="1"/>
                <w:bCs w:val="1"/>
                <w:color w:val="auto"/>
                <w:w w:val="94"/>
              </w:rPr>
              <w:t>Number</w:t>
            </w:r>
          </w:p>
        </w:tc>
        <w:tc>
          <w:tcPr>
            <w:tcW w:w="3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31115</wp:posOffset>
            </wp:positionV>
            <wp:extent cx="69608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177" w:lineRule="exact"/>
        <w:rPr>
          <w:sz w:val="20"/>
          <w:szCs w:val="20"/>
          <w:color w:val="auto"/>
        </w:rPr>
      </w:pPr>
    </w:p>
    <w:p>
      <w:pPr>
        <w:ind w:left="1280" w:right="200" w:hanging="744"/>
        <w:spacing w:after="0" w:line="264"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2.1</w:t>
      </w:r>
      <w:r>
        <w:rPr>
          <w:sz w:val="20"/>
          <w:szCs w:val="20"/>
          <w:color w:val="auto"/>
        </w:rPr>
        <w:tab/>
      </w:r>
      <w:hyperlink r:id="rId71">
        <w:r>
          <w:rPr>
            <w:rFonts w:ascii="Arial" w:cs="Arial" w:eastAsia="Arial" w:hAnsi="Arial"/>
            <w:sz w:val="16"/>
            <w:szCs w:val="16"/>
            <w:u w:val="single" w:color="auto"/>
            <w:color w:val="0000FF"/>
          </w:rPr>
          <w:t>Stock Purchase Agreement, dated November 30, 2011</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between NMI Holdings, Inc. and MAC Financial Ltd. (incorporated herein by</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reference to Exhibit 2.1 to our Form S-1 Registration Statement (Registration No. 333-191635), filed on October 9, 2013)</w:t>
      </w:r>
    </w:p>
    <w:p>
      <w:pPr>
        <w:spacing w:after="0" w:line="1" w:lineRule="exact"/>
        <w:rPr>
          <w:sz w:val="20"/>
          <w:szCs w:val="20"/>
          <w:color w:val="auto"/>
        </w:rPr>
      </w:pPr>
    </w:p>
    <w:p>
      <w:pPr>
        <w:jc w:val="right"/>
        <w:ind w:left="540" w:right="260"/>
        <w:spacing w:after="0" w:line="264" w:lineRule="auto"/>
        <w:rPr>
          <w:rFonts w:ascii="Arial" w:cs="Arial" w:eastAsia="Arial" w:hAnsi="Arial"/>
          <w:sz w:val="16"/>
          <w:szCs w:val="16"/>
          <w:color w:val="auto"/>
        </w:rPr>
      </w:pPr>
      <w:r>
        <w:rPr>
          <w:rFonts w:ascii="Arial" w:cs="Arial" w:eastAsia="Arial" w:hAnsi="Arial"/>
          <w:sz w:val="16"/>
          <w:szCs w:val="16"/>
          <w:color w:val="auto"/>
        </w:rPr>
        <w:t xml:space="preserve">2.2      </w:t>
      </w:r>
      <w:hyperlink r:id="rId72">
        <w:r>
          <w:rPr>
            <w:rFonts w:ascii="Arial" w:cs="Arial" w:eastAsia="Arial" w:hAnsi="Arial"/>
            <w:sz w:val="16"/>
            <w:szCs w:val="16"/>
            <w:u w:val="single" w:color="auto"/>
            <w:color w:val="0000FF"/>
          </w:rPr>
          <w:t>Amendment to Stock Purchase Agreement, dated April 6, 2012</w:t>
        </w:r>
      </w:hyperlink>
      <w:r>
        <w:rPr>
          <w:rFonts w:ascii="Arial" w:cs="Arial" w:eastAsia="Arial" w:hAnsi="Arial"/>
          <w:sz w:val="16"/>
          <w:szCs w:val="16"/>
          <w:color w:val="auto"/>
        </w:rPr>
        <w:t>, between NMI Holdings, Inc. and MAC Financial Ltd. (incorporated herein by reference to Exhibit 2.2 to our Form S-1 Registration Statement (Registration No. 333-191635), filed on October 9, 2013)</w:t>
      </w:r>
    </w:p>
    <w:p>
      <w:pPr>
        <w:ind w:left="1280" w:right="860" w:hanging="744"/>
        <w:spacing w:after="0" w:line="23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73">
        <w:r>
          <w:rPr>
            <w:rFonts w:ascii="Arial" w:cs="Arial" w:eastAsia="Arial" w:hAnsi="Arial"/>
            <w:sz w:val="18"/>
            <w:szCs w:val="18"/>
            <w:u w:val="single" w:color="auto"/>
            <w:color w:val="0000FF"/>
          </w:rPr>
          <w:t xml:space="preserve">Second Amended and Restated Certificate of Incorporation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3.1 to our Form S-1</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Statement (Registration No. 333-191635), filed on October 9, 2013)</w:t>
      </w:r>
    </w:p>
    <w:p>
      <w:pPr>
        <w:spacing w:after="0" w:line="1" w:lineRule="exact"/>
        <w:rPr>
          <w:sz w:val="20"/>
          <w:szCs w:val="20"/>
          <w:color w:val="auto"/>
        </w:rPr>
      </w:pPr>
    </w:p>
    <w:p>
      <w:pPr>
        <w:ind w:left="540"/>
        <w:spacing w:after="0"/>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74">
        <w:r>
          <w:rPr>
            <w:rFonts w:ascii="Arial" w:cs="Arial" w:eastAsia="Arial" w:hAnsi="Arial"/>
            <w:sz w:val="16"/>
            <w:szCs w:val="16"/>
            <w:u w:val="single" w:color="auto"/>
            <w:color w:val="0000FF"/>
          </w:rPr>
          <w:t xml:space="preserve">Third Amended and Restated By-Laws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3.1 to our Form 8-K, filed on December 9, 2014)</w:t>
      </w:r>
    </w:p>
    <w:p>
      <w:pPr>
        <w:spacing w:after="0" w:line="23" w:lineRule="exact"/>
        <w:rPr>
          <w:sz w:val="20"/>
          <w:szCs w:val="20"/>
          <w:color w:val="auto"/>
        </w:rPr>
      </w:pPr>
    </w:p>
    <w:p>
      <w:pPr>
        <w:ind w:left="1280" w:right="240" w:hanging="744"/>
        <w:spacing w:after="0" w:line="23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75">
        <w:r>
          <w:rPr>
            <w:rFonts w:ascii="Arial" w:cs="Arial" w:eastAsia="Arial" w:hAnsi="Arial"/>
            <w:sz w:val="18"/>
            <w:szCs w:val="18"/>
            <w:u w:val="single" w:color="auto"/>
            <w:color w:val="0000FF"/>
          </w:rPr>
          <w:t xml:space="preserve">Specimen Class A common stock certificate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4.1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1" w:lineRule="exact"/>
        <w:rPr>
          <w:sz w:val="20"/>
          <w:szCs w:val="20"/>
          <w:color w:val="auto"/>
        </w:rPr>
      </w:pPr>
    </w:p>
    <w:p>
      <w:pPr>
        <w:ind w:left="1280" w:right="300" w:hanging="744"/>
        <w:spacing w:after="0" w:line="264"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76">
        <w:r>
          <w:rPr>
            <w:rFonts w:ascii="Arial" w:cs="Arial" w:eastAsia="Arial" w:hAnsi="Arial"/>
            <w:sz w:val="16"/>
            <w:szCs w:val="16"/>
            <w:u w:val="single" w:color="auto"/>
            <w:color w:val="0000FF"/>
          </w:rPr>
          <w:t xml:space="preserve">Registration Rights Agreement between NMI Holdings, Inc. and FBR Capital Markets &amp; Co., dated April 24, 2012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4.2 to our Form S-1 Registration Statement (Registration No. 333-191635), filed on October 9, 2013)</w:t>
      </w:r>
    </w:p>
    <w:p>
      <w:pPr>
        <w:jc w:val="center"/>
        <w:ind w:left="840" w:right="20"/>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4.3      </w:t>
      </w:r>
      <w:hyperlink r:id="rId77">
        <w:r>
          <w:rPr>
            <w:rFonts w:ascii="Arial" w:cs="Arial" w:eastAsia="Arial" w:hAnsi="Arial"/>
            <w:sz w:val="17"/>
            <w:szCs w:val="17"/>
            <w:u w:val="single" w:color="auto"/>
            <w:color w:val="0000FF"/>
          </w:rPr>
          <w:t>Registration Rights Agreement by and between MAC Financial Ltd. and NMI Holdings, Inc., dated April 24, 2012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(incorporated herein by reference to Exhibit 4.3 to our Form S-1 Registration Statement (Registration No. 333-191635), filed on October 9, 2013)</w:t>
      </w:r>
    </w:p>
    <w:p>
      <w:pPr>
        <w:spacing w:after="0" w:line="1" w:lineRule="exact"/>
        <w:rPr>
          <w:sz w:val="20"/>
          <w:szCs w:val="20"/>
          <w:color w:val="auto"/>
        </w:rPr>
      </w:pPr>
    </w:p>
    <w:p>
      <w:pPr>
        <w:ind w:left="1280" w:right="80" w:hanging="744"/>
        <w:spacing w:after="0" w:line="224" w:lineRule="auto"/>
        <w:tabs>
          <w:tab w:leader="none" w:pos="1260" w:val="left"/>
        </w:tabs>
        <w:rPr>
          <w:rFonts w:ascii="Arial" w:cs="Arial" w:eastAsia="Arial" w:hAnsi="Arial"/>
          <w:sz w:val="18"/>
          <w:szCs w:val="18"/>
          <w:color w:val="0000FF"/>
        </w:rPr>
      </w:pPr>
      <w:r>
        <w:rPr>
          <w:rFonts w:ascii="Arial" w:cs="Arial" w:eastAsia="Arial" w:hAnsi="Arial"/>
          <w:sz w:val="18"/>
          <w:szCs w:val="18"/>
          <w:color w:val="auto"/>
        </w:rPr>
        <w:t>4.4</w:t>
      </w:r>
      <w:r>
        <w:rPr>
          <w:sz w:val="20"/>
          <w:szCs w:val="20"/>
          <w:color w:val="auto"/>
        </w:rPr>
        <w:tab/>
      </w:r>
      <w:hyperlink r:id="rId78">
        <w:r>
          <w:rPr>
            <w:rFonts w:ascii="Arial" w:cs="Arial" w:eastAsia="Arial" w:hAnsi="Arial"/>
            <w:sz w:val="18"/>
            <w:szCs w:val="18"/>
            <w:u w:val="single" w:color="auto"/>
            <w:color w:val="0000FF"/>
          </w:rPr>
          <w:t>Registration Rights Agreement between FBR &amp; Co., FBR Capital Markets LT, Inc., FBR Capital Markets &amp; Co., FBR Capital Markets</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PT, Inc. and NMI Holdings, Inc., dated April 24, 2012</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4.4 to our Form S-1 Registration</w:t>
        </w:r>
      </w:hyperlink>
      <w:r>
        <w:rPr>
          <w:rFonts w:ascii="Arial" w:cs="Arial" w:eastAsia="Arial" w:hAnsi="Arial"/>
          <w:sz w:val="18"/>
          <w:szCs w:val="18"/>
          <w:color w:val="0000FF"/>
        </w:rPr>
        <w:t xml:space="preserve"> </w:t>
      </w:r>
      <w:r>
        <w:rPr>
          <w:rFonts w:ascii="Arial" w:cs="Arial" w:eastAsia="Arial" w:hAnsi="Arial"/>
          <w:sz w:val="18"/>
          <w:szCs w:val="18"/>
          <w:color w:val="000000"/>
        </w:rPr>
        <w:t>Statement (Registration No. 333-191635), filed on October 9, 2013)</w:t>
      </w:r>
    </w:p>
    <w:p>
      <w:pPr>
        <w:spacing w:after="0" w:line="1" w:lineRule="exact"/>
        <w:rPr>
          <w:sz w:val="20"/>
          <w:szCs w:val="20"/>
          <w:color w:val="auto"/>
        </w:rPr>
      </w:pPr>
    </w:p>
    <w:p>
      <w:pPr>
        <w:ind w:left="1280" w:right="560" w:hanging="744"/>
        <w:spacing w:after="0" w:line="22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79">
        <w:r>
          <w:rPr>
            <w:rFonts w:ascii="Arial" w:cs="Arial" w:eastAsia="Arial" w:hAnsi="Arial"/>
            <w:sz w:val="18"/>
            <w:szCs w:val="18"/>
            <w:u w:val="single" w:color="auto"/>
            <w:color w:val="0000FF"/>
          </w:rPr>
          <w:t>Warrant No. 1 to Purchase Common Stock of NMI Holdings, Inc. issued to FBR Capital Markets &amp; Co., dated June 13, 2013</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(incorporated herein by reference to Exhibit 4.5 to our Form S-1 Registration Statement (Registration No. 333-191635), filed on October 9, 2013)</w:t>
      </w:r>
    </w:p>
    <w:p>
      <w:pPr>
        <w:spacing w:after="0" w:line="1" w:lineRule="exact"/>
        <w:rPr>
          <w:sz w:val="20"/>
          <w:szCs w:val="20"/>
          <w:color w:val="auto"/>
        </w:rPr>
      </w:pPr>
    </w:p>
    <w:p>
      <w:pPr>
        <w:ind w:left="1280" w:hanging="744"/>
        <w:spacing w:after="0" w:line="264"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4.6</w:t>
      </w:r>
      <w:r>
        <w:rPr>
          <w:sz w:val="20"/>
          <w:szCs w:val="20"/>
          <w:color w:val="auto"/>
        </w:rPr>
        <w:tab/>
      </w:r>
      <w:hyperlink r:id="rId80">
        <w:r>
          <w:rPr>
            <w:rFonts w:ascii="Arial" w:cs="Arial" w:eastAsia="Arial" w:hAnsi="Arial"/>
            <w:sz w:val="16"/>
            <w:szCs w:val="16"/>
            <w:u w:val="single" w:color="auto"/>
            <w:color w:val="0000FF"/>
          </w:rPr>
          <w:t xml:space="preserve">Form of Warrant to Purchase Common Stock of NMI Holdings, Inc. issued to former stockholders of MAC Financial Ltd.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4.6 to our Form S-1 Registration Statement (Registration No. 333-191635), filed on October 9, 2013)</w:t>
      </w:r>
    </w:p>
    <w:p>
      <w:pPr>
        <w:ind w:left="1280" w:right="120" w:hanging="744"/>
        <w:spacing w:after="0" w:line="22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hyperlink r:id="rId81">
        <w:r>
          <w:rPr>
            <w:rFonts w:ascii="Arial" w:cs="Arial" w:eastAsia="Arial" w:hAnsi="Arial"/>
            <w:sz w:val="18"/>
            <w:szCs w:val="18"/>
            <w:u w:val="single" w:color="auto"/>
            <w:color w:val="0000FF"/>
          </w:rPr>
          <w:t>Indenture, dated as of June 19, 2020, among NMI Holdings, Inc., NMI Services, Inc. as the Initial Guarantor, and the Bank of New</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 xml:space="preserve">York Mellon Trust Company, N.A. as Trustee and Notes Collateral Agent </w:t>
        </w:r>
        <w:r>
          <w:rPr>
            <w:rFonts w:ascii="Arial" w:cs="Arial" w:eastAsia="Arial" w:hAnsi="Arial"/>
            <w:sz w:val="18"/>
            <w:szCs w:val="18"/>
            <w:u w:val="single" w:color="auto"/>
            <w:color w:val="000000"/>
          </w:rPr>
          <w:t xml:space="preserve">(incorporated herein by reference to Exhibit 4.1 to our </w:t>
        </w:r>
      </w:hyperlink>
      <w:r>
        <w:rPr>
          <w:rFonts w:ascii="Arial" w:cs="Arial" w:eastAsia="Arial" w:hAnsi="Arial"/>
          <w:sz w:val="18"/>
          <w:szCs w:val="18"/>
          <w:u w:val="single" w:color="auto"/>
          <w:color w:val="0000FF"/>
        </w:rPr>
        <w:t xml:space="preserve">Form </w:t>
      </w:r>
      <w:r>
        <w:rPr>
          <w:rFonts w:ascii="Arial" w:cs="Arial" w:eastAsia="Arial" w:hAnsi="Arial"/>
          <w:sz w:val="18"/>
          <w:szCs w:val="18"/>
          <w:u w:val="single" w:color="auto"/>
          <w:color w:val="000000"/>
        </w:rPr>
        <w:t>8-K, filed on June 19, 2020)</w:t>
      </w:r>
    </w:p>
    <w:p>
      <w:pPr>
        <w:spacing w:after="0" w:line="1" w:lineRule="exact"/>
        <w:rPr>
          <w:sz w:val="20"/>
          <w:szCs w:val="20"/>
          <w:color w:val="auto"/>
        </w:rPr>
      </w:pPr>
    </w:p>
    <w:p>
      <w:pPr>
        <w:jc w:val="both"/>
        <w:ind w:left="1280" w:hanging="860"/>
        <w:spacing w:after="0" w:line="23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82">
        <w:r>
          <w:rPr>
            <w:rFonts w:ascii="Arial" w:cs="Arial" w:eastAsia="Arial" w:hAnsi="Arial"/>
            <w:sz w:val="18"/>
            <w:szCs w:val="18"/>
            <w:u w:val="single" w:color="auto"/>
            <w:color w:val="0000FF"/>
          </w:rPr>
          <w:t xml:space="preserve">NMI Holdings Inc. 2012 Stock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1" w:lineRule="exact"/>
        <w:rPr>
          <w:sz w:val="20"/>
          <w:szCs w:val="20"/>
          <w:color w:val="auto"/>
        </w:rPr>
      </w:pPr>
    </w:p>
    <w:p>
      <w:pPr>
        <w:jc w:val="both"/>
        <w:ind w:left="1280" w:hanging="860"/>
        <w:spacing w:after="0" w:line="264"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10.2 ~</w:t>
      </w:r>
      <w:r>
        <w:rPr>
          <w:sz w:val="20"/>
          <w:szCs w:val="20"/>
          <w:color w:val="auto"/>
        </w:rPr>
        <w:tab/>
      </w:r>
      <w:hyperlink r:id="rId83">
        <w:r>
          <w:rPr>
            <w:rFonts w:ascii="Arial" w:cs="Arial" w:eastAsia="Arial" w:hAnsi="Arial"/>
            <w:sz w:val="16"/>
            <w:szCs w:val="16"/>
            <w:u w:val="single" w:color="auto"/>
            <w:color w:val="0000FF"/>
          </w:rPr>
          <w:t xml:space="preserve">Form of NMI Holdings, Inc. 2012 Stock Incentive Plan Restricted Stock Unit Award Agreement for Management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by reference to Exhibit 10.3 to our Form S-1 Registration Statement (Registration No. 333-191635), filed on October 9, 2013)</w:t>
      </w:r>
    </w:p>
    <w:p>
      <w:pPr>
        <w:jc w:val="both"/>
        <w:ind w:left="1280" w:hanging="860"/>
        <w:spacing w:after="0" w:line="224" w:lineRule="auto"/>
        <w:tabs>
          <w:tab w:leader="none" w:pos="1260" w:val="left"/>
        </w:tabs>
        <w:rPr>
          <w:rFonts w:ascii="Arial" w:cs="Arial" w:eastAsia="Arial" w:hAnsi="Arial"/>
          <w:sz w:val="18"/>
          <w:szCs w:val="18"/>
          <w:color w:val="0000FF"/>
        </w:rPr>
      </w:pPr>
      <w:r>
        <w:rPr>
          <w:rFonts w:ascii="Arial" w:cs="Arial" w:eastAsia="Arial" w:hAnsi="Arial"/>
          <w:sz w:val="18"/>
          <w:szCs w:val="18"/>
          <w:color w:val="auto"/>
        </w:rPr>
        <w:t>10.3 ~</w:t>
      </w:r>
      <w:r>
        <w:rPr>
          <w:sz w:val="20"/>
          <w:szCs w:val="20"/>
          <w:color w:val="auto"/>
        </w:rPr>
        <w:tab/>
      </w:r>
      <w:hyperlink r:id="rId84">
        <w:r>
          <w:rPr>
            <w:rFonts w:ascii="Arial" w:cs="Arial" w:eastAsia="Arial" w:hAnsi="Arial"/>
            <w:sz w:val="18"/>
            <w:szCs w:val="18"/>
            <w:u w:val="single" w:color="auto"/>
            <w:color w:val="0000FF"/>
          </w:rPr>
          <w:t>Form of NMI Holdings, Inc. 2012 Stock Incentive Plan Nonqualified Stock Option Award Agreement for Chief Executive Officer and</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Chief Financial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10.5 to our Form S-1 Registration Statement (Registration No. 333-</w:t>
        </w:r>
      </w:hyperlink>
      <w:r>
        <w:rPr>
          <w:rFonts w:ascii="Arial" w:cs="Arial" w:eastAsia="Arial" w:hAnsi="Arial"/>
          <w:sz w:val="18"/>
          <w:szCs w:val="18"/>
          <w:color w:val="000000"/>
        </w:rPr>
        <w:t>191635), filed on October 9, 2013)</w:t>
      </w:r>
    </w:p>
    <w:p>
      <w:pPr>
        <w:spacing w:after="0" w:line="1" w:lineRule="exact"/>
        <w:rPr>
          <w:sz w:val="20"/>
          <w:szCs w:val="20"/>
          <w:color w:val="auto"/>
        </w:rPr>
      </w:pPr>
    </w:p>
    <w:p>
      <w:pPr>
        <w:jc w:val="both"/>
        <w:ind w:left="1280" w:hanging="860"/>
        <w:spacing w:after="0" w:line="264"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10.4 ~</w:t>
      </w:r>
      <w:r>
        <w:rPr>
          <w:sz w:val="20"/>
          <w:szCs w:val="20"/>
          <w:color w:val="auto"/>
        </w:rPr>
        <w:tab/>
      </w:r>
      <w:hyperlink r:id="rId85">
        <w:r>
          <w:rPr>
            <w:rFonts w:ascii="Arial" w:cs="Arial" w:eastAsia="Arial" w:hAnsi="Arial"/>
            <w:sz w:val="16"/>
            <w:szCs w:val="16"/>
            <w:u w:val="single" w:color="auto"/>
            <w:color w:val="0000FF"/>
          </w:rPr>
          <w:t xml:space="preserve">Form of NMI Holdings, Inc. 2012 Stock Incentive Plan Nonqualified Stock Option Award Agreement for Management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10.6 to our Form S-1 Registration Statement (Registration No. 333-191635), filed on October 9, 2013)</w:t>
      </w:r>
    </w:p>
    <w:p>
      <w:pPr>
        <w:jc w:val="both"/>
        <w:ind w:left="1280" w:hanging="860"/>
        <w:spacing w:after="0" w:line="264"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10.5 ~</w:t>
      </w:r>
      <w:r>
        <w:rPr>
          <w:sz w:val="20"/>
          <w:szCs w:val="20"/>
          <w:color w:val="auto"/>
        </w:rPr>
        <w:tab/>
      </w:r>
      <w:hyperlink r:id="rId86">
        <w:r>
          <w:rPr>
            <w:rFonts w:ascii="Arial" w:cs="Arial" w:eastAsia="Arial" w:hAnsi="Arial"/>
            <w:sz w:val="16"/>
            <w:szCs w:val="16"/>
            <w:u w:val="single" w:color="auto"/>
            <w:color w:val="0000FF"/>
          </w:rPr>
          <w:t xml:space="preserve">Form of NMI Holdings, Inc. 2012 Stock Incentive Plan Nonqualified Stock Option Award Agreement for Directors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10.7 to our Form S-1 Registration Statement (Registration No. 333-191635), filed on October 9, 2013)</w:t>
      </w:r>
    </w:p>
    <w:p>
      <w:pPr>
        <w:jc w:val="both"/>
        <w:ind w:left="1280" w:hanging="860"/>
        <w:spacing w:after="0" w:line="248" w:lineRule="auto"/>
        <w:tabs>
          <w:tab w:leader="none" w:pos="1260" w:val="left"/>
        </w:tabs>
        <w:rPr>
          <w:rFonts w:ascii="Arial" w:cs="Arial" w:eastAsia="Arial" w:hAnsi="Arial"/>
          <w:sz w:val="17"/>
          <w:szCs w:val="17"/>
          <w:color w:val="0000FF"/>
        </w:rPr>
      </w:pPr>
      <w:r>
        <w:rPr>
          <w:rFonts w:ascii="Arial" w:cs="Arial" w:eastAsia="Arial" w:hAnsi="Arial"/>
          <w:sz w:val="18"/>
          <w:szCs w:val="18"/>
          <w:color w:val="auto"/>
        </w:rPr>
        <w:t>10.6 ~</w:t>
      </w:r>
      <w:r>
        <w:rPr>
          <w:sz w:val="20"/>
          <w:szCs w:val="20"/>
          <w:color w:val="auto"/>
        </w:rPr>
        <w:tab/>
      </w:r>
      <w:hyperlink r:id="rId87">
        <w:r>
          <w:rPr>
            <w:rFonts w:ascii="Arial" w:cs="Arial" w:eastAsia="Arial" w:hAnsi="Arial"/>
            <w:sz w:val="17"/>
            <w:szCs w:val="17"/>
            <w:u w:val="single" w:color="auto"/>
            <w:color w:val="0000FF"/>
          </w:rPr>
          <w:t>Form of NMI Holdings, Inc. 2012 Stock Incentive Plan Nonqualified Stock Option Award Agreement for Chief Executive Officer and</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Chief Financial Office</w:t>
        </w:r>
        <w:r>
          <w:rPr>
            <w:rFonts w:ascii="Arial" w:cs="Arial" w:eastAsia="Arial" w:hAnsi="Arial"/>
            <w:sz w:val="17"/>
            <w:szCs w:val="17"/>
            <w:color w:val="000000"/>
          </w:rPr>
          <w:t>r (incorporated herein by reference to Exhibit 10.8 to our Form 10-K, filed on February 17, 2017)</w:t>
        </w:r>
      </w:hyperlink>
    </w:p>
    <w:p>
      <w:pPr>
        <w:spacing w:after="0" w:line="1" w:lineRule="exact"/>
        <w:rPr>
          <w:sz w:val="20"/>
          <w:szCs w:val="20"/>
          <w:color w:val="auto"/>
        </w:rPr>
      </w:pPr>
    </w:p>
    <w:p>
      <w:pPr>
        <w:jc w:val="both"/>
        <w:ind w:left="1280" w:hanging="860"/>
        <w:spacing w:after="0" w:line="23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10.7 ~</w:t>
      </w:r>
      <w:r>
        <w:rPr>
          <w:sz w:val="20"/>
          <w:szCs w:val="20"/>
          <w:color w:val="auto"/>
        </w:rPr>
        <w:tab/>
      </w:r>
      <w:hyperlink r:id="rId88">
        <w:r>
          <w:rPr>
            <w:rFonts w:ascii="Arial" w:cs="Arial" w:eastAsia="Arial" w:hAnsi="Arial"/>
            <w:sz w:val="18"/>
            <w:szCs w:val="18"/>
            <w:u w:val="single" w:color="auto"/>
            <w:color w:val="0000FF"/>
          </w:rPr>
          <w:t xml:space="preserve">Form of NMI Holdings, Inc. 2012 Stock Incentive Plan Nonqualified Stock Option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10.9 to our Form 10-K, filed on February 17, 2017)</w:t>
      </w:r>
    </w:p>
    <w:p>
      <w:pPr>
        <w:ind w:left="420"/>
        <w:spacing w:after="0" w:line="235" w:lineRule="auto"/>
        <w:tabs>
          <w:tab w:leader="none" w:pos="1260" w:val="left"/>
        </w:tabs>
        <w:rPr>
          <w:rFonts w:ascii="Arial" w:cs="Arial" w:eastAsia="Arial" w:hAnsi="Arial"/>
          <w:sz w:val="17"/>
          <w:szCs w:val="17"/>
          <w:u w:val="single" w:color="auto"/>
          <w:color w:val="0000FF"/>
        </w:rPr>
      </w:pPr>
      <w:r>
        <w:rPr>
          <w:rFonts w:ascii="Arial" w:cs="Arial" w:eastAsia="Arial" w:hAnsi="Arial"/>
          <w:sz w:val="18"/>
          <w:szCs w:val="18"/>
          <w:color w:val="auto"/>
        </w:rPr>
        <w:t>10.8 ~</w:t>
      </w:r>
      <w:r>
        <w:rPr>
          <w:sz w:val="20"/>
          <w:szCs w:val="20"/>
          <w:color w:val="auto"/>
        </w:rPr>
        <w:tab/>
      </w:r>
      <w:hyperlink r:id="rId89">
        <w:r>
          <w:rPr>
            <w:rFonts w:ascii="Arial" w:cs="Arial" w:eastAsia="Arial" w:hAnsi="Arial"/>
            <w:sz w:val="17"/>
            <w:szCs w:val="17"/>
            <w:u w:val="single" w:color="auto"/>
            <w:color w:val="0000FF"/>
          </w:rPr>
          <w:t>Amended and Restated Employment Agreement by and between NMI Holdings, Inc. and Bradley M. Shuster, dated December 23,</w:t>
        </w:r>
      </w:hyperlink>
    </w:p>
    <w:p>
      <w:pPr>
        <w:spacing w:after="0" w:line="1" w:lineRule="exact"/>
        <w:rPr>
          <w:sz w:val="20"/>
          <w:szCs w:val="20"/>
          <w:color w:val="auto"/>
        </w:rPr>
      </w:pPr>
    </w:p>
    <w:p>
      <w:pPr>
        <w:ind w:left="1280"/>
        <w:spacing w:after="0"/>
        <w:rPr>
          <w:rFonts w:ascii="Arial" w:cs="Arial" w:eastAsia="Arial" w:hAnsi="Arial"/>
          <w:sz w:val="18"/>
          <w:szCs w:val="18"/>
          <w:color w:val="0000FF"/>
        </w:rPr>
      </w:pPr>
      <w:hyperlink r:id="rId89">
        <w:r>
          <w:rPr>
            <w:rFonts w:ascii="Arial" w:cs="Arial" w:eastAsia="Arial" w:hAnsi="Arial"/>
            <w:sz w:val="18"/>
            <w:szCs w:val="18"/>
            <w:u w:val="single" w:color="auto"/>
            <w:color w:val="0000FF"/>
          </w:rPr>
          <w:t>2015</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8-K, filed on December 29, 2015)</w:t>
        </w:r>
      </w:hyperlink>
    </w:p>
    <w:p>
      <w:pPr>
        <w:spacing w:after="0" w:line="7" w:lineRule="exact"/>
        <w:rPr>
          <w:sz w:val="20"/>
          <w:szCs w:val="20"/>
          <w:color w:val="auto"/>
        </w:rPr>
      </w:pPr>
    </w:p>
    <w:p>
      <w:pPr>
        <w:jc w:val="both"/>
        <w:ind w:left="1280" w:hanging="860"/>
        <w:spacing w:after="0" w:line="23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10.9 ~</w:t>
      </w:r>
      <w:r>
        <w:rPr>
          <w:sz w:val="20"/>
          <w:szCs w:val="20"/>
          <w:color w:val="auto"/>
        </w:rPr>
        <w:tab/>
      </w:r>
      <w:hyperlink r:id="rId90">
        <w:r>
          <w:rPr>
            <w:rFonts w:ascii="Arial" w:cs="Arial" w:eastAsia="Arial" w:hAnsi="Arial"/>
            <w:sz w:val="18"/>
            <w:szCs w:val="18"/>
            <w:u w:val="single" w:color="auto"/>
            <w:color w:val="0000FF"/>
          </w:rPr>
          <w:t xml:space="preserve">Offer Letter by and between NMI Holdings, Inc. and William Leatherberry, dated July 11, 2014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10.10 to our Form 10-Q, filed on April 28, 2016)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8" w:right="499" w:bottom="1440" w:gutter="0" w:footer="0" w:header="0"/>
        </w:sectPr>
      </w:pPr>
    </w:p>
    <w:bookmarkStart w:id="60" w:name="page61"/>
    <w:bookmarkEnd w:id="60"/>
    <w:p>
      <w:pPr>
        <w:jc w:val="both"/>
        <w:ind w:left="900" w:hanging="905"/>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10.10 ~</w:t>
      </w:r>
      <w:r>
        <w:rPr>
          <w:sz w:val="20"/>
          <w:szCs w:val="20"/>
          <w:color w:val="auto"/>
        </w:rPr>
        <w:tab/>
      </w:r>
      <w:hyperlink r:id="rId92">
        <w:r>
          <w:rPr>
            <w:rFonts w:ascii="Arial" w:cs="Arial" w:eastAsia="Arial" w:hAnsi="Arial"/>
            <w:sz w:val="18"/>
            <w:szCs w:val="18"/>
            <w:u w:val="single" w:color="auto"/>
            <w:color w:val="0000FF"/>
          </w:rPr>
          <w:t xml:space="preserve">Offer Letter by and between NMI Holdings, Inc. and Adam Pollitzer, dated February 1, 2017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10.1 to our Form 8-K, filed on February 3, 2017)</w:t>
      </w:r>
    </w:p>
    <w:p>
      <w:pPr>
        <w:jc w:val="both"/>
        <w:ind w:left="900" w:hanging="901"/>
        <w:spacing w:after="0" w:line="23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10.11 ~</w:t>
      </w:r>
      <w:r>
        <w:rPr>
          <w:sz w:val="20"/>
          <w:szCs w:val="20"/>
          <w:color w:val="auto"/>
        </w:rPr>
        <w:tab/>
      </w:r>
      <w:hyperlink r:id="rId93">
        <w:r>
          <w:rPr>
            <w:rFonts w:ascii="Arial" w:cs="Arial" w:eastAsia="Arial" w:hAnsi="Arial"/>
            <w:sz w:val="18"/>
            <w:szCs w:val="18"/>
            <w:u w:val="single" w:color="auto"/>
            <w:color w:val="0000FF"/>
          </w:rPr>
          <w:t xml:space="preserve">Form of Indemnification Agreement between NMI Holdings, Inc. and its directors and certain executive officers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by reference to Exhibit 10.1 to our Form 8-K, filed on November 25, 2014)</w:t>
      </w:r>
    </w:p>
    <w:p>
      <w:pPr>
        <w:spacing w:after="0" w:line="1" w:lineRule="exact"/>
        <w:rPr>
          <w:sz w:val="20"/>
          <w:szCs w:val="20"/>
          <w:color w:val="auto"/>
        </w:rPr>
      </w:pPr>
    </w:p>
    <w:p>
      <w:pPr>
        <w:jc w:val="both"/>
        <w:ind w:left="900" w:hanging="907"/>
        <w:spacing w:after="0" w:line="219"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10.12 +</w:t>
      </w:r>
      <w:r>
        <w:rPr>
          <w:sz w:val="20"/>
          <w:szCs w:val="20"/>
          <w:color w:val="auto"/>
        </w:rPr>
        <w:tab/>
      </w:r>
      <w:hyperlink r:id="rId94">
        <w:r>
          <w:rPr>
            <w:rFonts w:ascii="Arial" w:cs="Arial" w:eastAsia="Arial" w:hAnsi="Arial"/>
            <w:sz w:val="18"/>
            <w:szCs w:val="18"/>
            <w:u w:val="single" w:color="auto"/>
            <w:color w:val="0000FF"/>
          </w:rPr>
          <w:t>Commitment Letter dated July 12, 2013 for Bulk Fannie Mae-Paid Loss-on-Sale Mortgage Insurance on the Portfolio of approximately</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$5.46 billion Purchased by Fannie Mae and Identified by Fannie Mae as Deal No. 2013 MIRT 01 and by the Company as Policy No. P-</w:t>
        </w:r>
      </w:hyperlink>
      <w:hyperlink r:id="rId94">
        <w:r>
          <w:rPr>
            <w:rFonts w:ascii="Arial" w:cs="Arial" w:eastAsia="Arial" w:hAnsi="Arial"/>
            <w:sz w:val="18"/>
            <w:szCs w:val="18"/>
            <w:u w:val="single" w:color="auto"/>
            <w:color w:val="0000FF"/>
          </w:rPr>
          <w:t>0001-01</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10.14 to our Form S-1 Registration Statement (Registration No. 333-191635),</w:t>
        </w:r>
      </w:hyperlink>
      <w:r>
        <w:rPr>
          <w:rFonts w:ascii="Arial" w:cs="Arial" w:eastAsia="Arial" w:hAnsi="Arial"/>
          <w:sz w:val="18"/>
          <w:szCs w:val="18"/>
          <w:color w:val="0000FF"/>
        </w:rPr>
        <w:t xml:space="preserve"> </w:t>
      </w:r>
      <w:r>
        <w:rPr>
          <w:rFonts w:ascii="Arial" w:cs="Arial" w:eastAsia="Arial" w:hAnsi="Arial"/>
          <w:sz w:val="18"/>
          <w:szCs w:val="18"/>
          <w:color w:val="000000"/>
        </w:rPr>
        <w:t>filed on October 9, 2013)</w:t>
      </w:r>
    </w:p>
    <w:p>
      <w:pPr>
        <w:spacing w:after="0" w:line="1" w:lineRule="exact"/>
        <w:rPr>
          <w:rFonts w:ascii="Arial" w:cs="Arial" w:eastAsia="Arial" w:hAnsi="Arial"/>
          <w:sz w:val="18"/>
          <w:szCs w:val="18"/>
          <w:u w:val="single" w:color="auto"/>
          <w:color w:val="0000FF"/>
        </w:rPr>
      </w:pPr>
    </w:p>
    <w:p>
      <w:pPr>
        <w:jc w:val="both"/>
        <w:ind w:left="900" w:hanging="834"/>
        <w:spacing w:after="0" w:line="248" w:lineRule="auto"/>
        <w:tabs>
          <w:tab w:leader="none" w:pos="880" w:val="left"/>
        </w:tabs>
        <w:rPr>
          <w:rFonts w:ascii="Arial" w:cs="Arial" w:eastAsia="Arial" w:hAnsi="Arial"/>
          <w:sz w:val="17"/>
          <w:szCs w:val="17"/>
          <w:color w:val="0000FF"/>
        </w:rPr>
      </w:pPr>
      <w:r>
        <w:rPr>
          <w:rFonts w:ascii="Arial" w:cs="Arial" w:eastAsia="Arial" w:hAnsi="Arial"/>
          <w:sz w:val="18"/>
          <w:szCs w:val="18"/>
          <w:color w:val="auto"/>
        </w:rPr>
        <w:t>10.13</w:t>
      </w:r>
      <w:r>
        <w:rPr>
          <w:sz w:val="20"/>
          <w:szCs w:val="20"/>
          <w:color w:val="auto"/>
        </w:rPr>
        <w:tab/>
      </w:r>
      <w:hyperlink r:id="rId95">
        <w:r>
          <w:rPr>
            <w:rFonts w:ascii="Arial" w:cs="Arial" w:eastAsia="Arial" w:hAnsi="Arial"/>
            <w:sz w:val="17"/>
            <w:szCs w:val="17"/>
            <w:u w:val="single" w:color="auto"/>
            <w:color w:val="0000FF"/>
          </w:rPr>
          <w:t>Credit Agreement, dated November 10, 2015, between NMI Holdings, Inc., the lenders party thereto and JPMorgan Chase Bank, N.A.,</w:t>
        </w:r>
      </w:hyperlink>
      <w:r>
        <w:rPr>
          <w:rFonts w:ascii="Arial" w:cs="Arial" w:eastAsia="Arial" w:hAnsi="Arial"/>
          <w:sz w:val="17"/>
          <w:szCs w:val="17"/>
          <w:u w:val="single" w:color="auto"/>
          <w:color w:val="0000FF"/>
        </w:rPr>
        <w:t xml:space="preserve"> </w:t>
      </w:r>
      <w:hyperlink r:id="rId95">
        <w:r>
          <w:rPr>
            <w:rFonts w:ascii="Arial" w:cs="Arial" w:eastAsia="Arial" w:hAnsi="Arial"/>
            <w:sz w:val="17"/>
            <w:szCs w:val="17"/>
            <w:u w:val="single" w:color="auto"/>
            <w:color w:val="0000FF"/>
          </w:rPr>
          <w:t>as administrative agent</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4.1 to our Form 8-K, filed on November 10, 2015)</w:t>
        </w:r>
      </w:hyperlink>
    </w:p>
    <w:p>
      <w:pPr>
        <w:spacing w:after="0" w:line="1" w:lineRule="exact"/>
        <w:rPr>
          <w:sz w:val="20"/>
          <w:szCs w:val="20"/>
          <w:color w:val="auto"/>
        </w:rPr>
      </w:pPr>
    </w:p>
    <w:p>
      <w:pPr>
        <w:jc w:val="both"/>
        <w:ind w:left="900" w:hanging="834"/>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10.14</w:t>
      </w:r>
      <w:r>
        <w:rPr>
          <w:sz w:val="20"/>
          <w:szCs w:val="20"/>
          <w:color w:val="auto"/>
        </w:rPr>
        <w:tab/>
      </w:r>
      <w:hyperlink r:id="rId96">
        <w:r>
          <w:rPr>
            <w:rFonts w:ascii="Arial" w:cs="Arial" w:eastAsia="Arial" w:hAnsi="Arial"/>
            <w:sz w:val="18"/>
            <w:szCs w:val="18"/>
            <w:u w:val="single" w:color="auto"/>
            <w:color w:val="0000FF"/>
          </w:rPr>
          <w:t>Amendment No. 1, dated February 10, 2017, to the Credit Agreement dated November 10, 2015, between NMI Holdings, Inc., the</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lender 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w:t>
        </w:r>
      </w:hyperlink>
      <w:r>
        <w:rPr>
          <w:rFonts w:ascii="Arial" w:cs="Arial" w:eastAsia="Arial" w:hAnsi="Arial"/>
          <w:sz w:val="18"/>
          <w:szCs w:val="18"/>
          <w:color w:val="0000FF"/>
        </w:rPr>
        <w:t xml:space="preserve"> </w:t>
      </w:r>
      <w:r>
        <w:rPr>
          <w:rFonts w:ascii="Arial" w:cs="Arial" w:eastAsia="Arial" w:hAnsi="Arial"/>
          <w:sz w:val="18"/>
          <w:szCs w:val="18"/>
          <w:color w:val="000000"/>
        </w:rPr>
        <w:t>Form 8-K, filed on February 10, 2017)</w:t>
      </w:r>
    </w:p>
    <w:p>
      <w:pPr>
        <w:spacing w:after="0" w:line="1" w:lineRule="exact"/>
        <w:rPr>
          <w:sz w:val="20"/>
          <w:szCs w:val="20"/>
          <w:color w:val="auto"/>
        </w:rPr>
      </w:pPr>
    </w:p>
    <w:p>
      <w:pPr>
        <w:jc w:val="both"/>
        <w:ind w:left="900" w:hanging="834"/>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10.15</w:t>
      </w:r>
      <w:r>
        <w:rPr>
          <w:sz w:val="20"/>
          <w:szCs w:val="20"/>
          <w:color w:val="auto"/>
        </w:rPr>
        <w:tab/>
      </w:r>
      <w:hyperlink r:id="rId97">
        <w:r>
          <w:rPr>
            <w:rFonts w:ascii="Arial" w:cs="Arial" w:eastAsia="Arial" w:hAnsi="Arial"/>
            <w:sz w:val="18"/>
            <w:szCs w:val="18"/>
            <w:u w:val="single" w:color="auto"/>
            <w:color w:val="0000FF"/>
          </w:rPr>
          <w:t>Amendment No. 2, dated October 25, 2017, to the Credit Agreement dated November 10, 2015, between NMI Holdings, Inc., the</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lender 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w:t>
        </w:r>
      </w:hyperlink>
      <w:r>
        <w:rPr>
          <w:rFonts w:ascii="Arial" w:cs="Arial" w:eastAsia="Arial" w:hAnsi="Arial"/>
          <w:sz w:val="18"/>
          <w:szCs w:val="18"/>
          <w:color w:val="0000FF"/>
        </w:rPr>
        <w:t xml:space="preserve"> </w:t>
      </w:r>
      <w:r>
        <w:rPr>
          <w:rFonts w:ascii="Arial" w:cs="Arial" w:eastAsia="Arial" w:hAnsi="Arial"/>
          <w:sz w:val="18"/>
          <w:szCs w:val="18"/>
          <w:color w:val="000000"/>
        </w:rPr>
        <w:t>Form 8-K, filed on October 26, 2017)</w:t>
      </w:r>
    </w:p>
    <w:p>
      <w:pPr>
        <w:spacing w:after="0" w:line="1" w:lineRule="exact"/>
        <w:rPr>
          <w:sz w:val="20"/>
          <w:szCs w:val="20"/>
          <w:color w:val="auto"/>
        </w:rPr>
      </w:pPr>
    </w:p>
    <w:p>
      <w:pPr>
        <w:jc w:val="both"/>
        <w:ind w:left="900" w:hanging="834"/>
        <w:spacing w:after="0" w:line="23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10.16</w:t>
      </w:r>
      <w:r>
        <w:rPr>
          <w:sz w:val="20"/>
          <w:szCs w:val="20"/>
          <w:color w:val="auto"/>
        </w:rPr>
        <w:tab/>
      </w:r>
      <w:hyperlink r:id="rId98">
        <w:r>
          <w:rPr>
            <w:rFonts w:ascii="Arial" w:cs="Arial" w:eastAsia="Arial" w:hAnsi="Arial"/>
            <w:sz w:val="18"/>
            <w:szCs w:val="18"/>
            <w:u w:val="single" w:color="auto"/>
            <w:color w:val="0000FF"/>
          </w:rPr>
          <w:t>Credit Agreement, dated May 24, 2018, between NMI Holdings, Inc., the lender party thereto, and JPMorgan Chase Bank, N.A., as</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4.1 to our Form 8-K, filed on May 25, 2018)</w:t>
        </w:r>
      </w:hyperlink>
    </w:p>
    <w:p>
      <w:pPr>
        <w:spacing w:after="0" w:line="1" w:lineRule="exact"/>
        <w:rPr>
          <w:sz w:val="20"/>
          <w:szCs w:val="20"/>
          <w:color w:val="auto"/>
        </w:rPr>
      </w:pPr>
    </w:p>
    <w:p>
      <w:pPr>
        <w:ind w:left="900" w:right="120" w:hanging="834"/>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10.17</w:t>
      </w:r>
      <w:r>
        <w:rPr>
          <w:sz w:val="20"/>
          <w:szCs w:val="20"/>
          <w:color w:val="auto"/>
        </w:rPr>
        <w:tab/>
      </w:r>
      <w:hyperlink r:id="rId99">
        <w:r>
          <w:rPr>
            <w:rFonts w:ascii="Arial" w:cs="Arial" w:eastAsia="Arial" w:hAnsi="Arial"/>
            <w:sz w:val="18"/>
            <w:szCs w:val="18"/>
            <w:u w:val="single" w:color="auto"/>
            <w:color w:val="0000FF"/>
          </w:rPr>
          <w:t>Extension Amendment, dated as of March 20, 2020, to the Company's Credit Agreement, dated as of May 24, 2018, by and among the</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Company, the lender 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w:t>
        </w:r>
      </w:hyperlink>
      <w:r>
        <w:rPr>
          <w:rFonts w:ascii="Arial" w:cs="Arial" w:eastAsia="Arial" w:hAnsi="Arial"/>
          <w:sz w:val="18"/>
          <w:szCs w:val="18"/>
          <w:color w:val="0000FF"/>
        </w:rPr>
        <w:t xml:space="preserve"> </w:t>
      </w:r>
      <w:r>
        <w:rPr>
          <w:rFonts w:ascii="Arial" w:cs="Arial" w:eastAsia="Arial" w:hAnsi="Arial"/>
          <w:sz w:val="18"/>
          <w:szCs w:val="18"/>
          <w:color w:val="000000"/>
        </w:rPr>
        <w:t>Exhibit 10.1 to our Form 8-K filed on March 20, 2020)</w:t>
      </w:r>
    </w:p>
    <w:p>
      <w:pPr>
        <w:spacing w:after="0" w:line="1" w:lineRule="exact"/>
        <w:rPr>
          <w:sz w:val="20"/>
          <w:szCs w:val="20"/>
          <w:color w:val="auto"/>
        </w:rPr>
      </w:pPr>
    </w:p>
    <w:p>
      <w:pPr>
        <w:ind w:left="900" w:right="20" w:hanging="834"/>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10.18</w:t>
      </w:r>
      <w:r>
        <w:rPr>
          <w:sz w:val="20"/>
          <w:szCs w:val="20"/>
          <w:color w:val="auto"/>
        </w:rPr>
        <w:tab/>
      </w:r>
      <w:hyperlink r:id="rId100">
        <w:r>
          <w:rPr>
            <w:rFonts w:ascii="Arial" w:cs="Arial" w:eastAsia="Arial" w:hAnsi="Arial"/>
            <w:sz w:val="18"/>
            <w:szCs w:val="18"/>
            <w:u w:val="single" w:color="auto"/>
            <w:color w:val="0000FF"/>
          </w:rPr>
          <w:t>Joinder Agreement, dated as of March 20, 2020, to the Company's Credit Agreement, dated as of May 24, 2018, by and among the</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Company, JPMorgan Chase Bank, N.A. as administrative agent, and Citibank, N.A.</w:t>
        </w:r>
        <w:r>
          <w:rPr>
            <w:rFonts w:ascii="Arial" w:cs="Arial" w:eastAsia="Arial" w:hAnsi="Arial"/>
            <w:sz w:val="18"/>
            <w:szCs w:val="18"/>
            <w:color w:val="0000FF"/>
          </w:rPr>
          <w:t xml:space="preserve"> </w:t>
        </w:r>
        <w:r>
          <w:rPr>
            <w:rFonts w:ascii="Arial" w:cs="Arial" w:eastAsia="Arial" w:hAnsi="Arial"/>
            <w:sz w:val="18"/>
            <w:szCs w:val="18"/>
            <w:color w:val="000000"/>
          </w:rPr>
          <w:t xml:space="preserve">(incorporated herein by reference to Exhibit </w:t>
        </w:r>
      </w:hyperlink>
      <w:r>
        <w:rPr>
          <w:rFonts w:ascii="Arial" w:cs="Arial" w:eastAsia="Arial" w:hAnsi="Arial"/>
          <w:sz w:val="18"/>
          <w:szCs w:val="18"/>
          <w:color w:val="0000FF"/>
        </w:rPr>
        <w:t xml:space="preserve">10.2 </w:t>
      </w:r>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our Form 8-K, filed on March 20, 2020)</w:t>
      </w:r>
    </w:p>
    <w:p>
      <w:pPr>
        <w:spacing w:after="0" w:line="1" w:lineRule="exact"/>
        <w:rPr>
          <w:sz w:val="20"/>
          <w:szCs w:val="20"/>
          <w:color w:val="auto"/>
        </w:rPr>
      </w:pPr>
    </w:p>
    <w:p>
      <w:pPr>
        <w:ind w:left="900" w:right="460" w:hanging="834"/>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10.19</w:t>
      </w:r>
      <w:r>
        <w:rPr>
          <w:sz w:val="20"/>
          <w:szCs w:val="20"/>
          <w:color w:val="auto"/>
        </w:rPr>
        <w:tab/>
      </w:r>
      <w:hyperlink r:id="rId101">
        <w:r>
          <w:rPr>
            <w:rFonts w:ascii="Arial" w:cs="Arial" w:eastAsia="Arial" w:hAnsi="Arial"/>
            <w:sz w:val="18"/>
            <w:szCs w:val="18"/>
            <w:u w:val="single" w:color="auto"/>
            <w:color w:val="0000FF"/>
          </w:rPr>
          <w:t>Amendment No. 1, dated as of May 6, 2020, to the Company's Credit Agreement, dated as of May 24, 2018, by and among the</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Company, the lender 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 xml:space="preserve">(incorporated herein by reference </w:t>
        </w:r>
      </w:hyperlink>
      <w:r>
        <w:rPr>
          <w:rFonts w:ascii="Arial" w:cs="Arial" w:eastAsia="Arial" w:hAnsi="Arial"/>
          <w:sz w:val="18"/>
          <w:szCs w:val="18"/>
          <w:color w:val="0000FF"/>
        </w:rPr>
        <w:t xml:space="preserve">to </w:t>
      </w:r>
      <w:r>
        <w:rPr>
          <w:rFonts w:ascii="Arial" w:cs="Arial" w:eastAsia="Arial" w:hAnsi="Arial"/>
          <w:sz w:val="18"/>
          <w:szCs w:val="18"/>
          <w:color w:val="000000"/>
        </w:rPr>
        <w:t>Exhibit 10.1 to our Form 8-K filed on May 6, 2020)</w:t>
      </w:r>
    </w:p>
    <w:p>
      <w:pPr>
        <w:spacing w:after="0" w:line="1" w:lineRule="exact"/>
        <w:rPr>
          <w:sz w:val="20"/>
          <w:szCs w:val="20"/>
          <w:color w:val="auto"/>
        </w:rPr>
      </w:pPr>
    </w:p>
    <w:p>
      <w:pPr>
        <w:ind w:left="900" w:right="260" w:hanging="834"/>
        <w:spacing w:after="0" w:line="261"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w:anchor="page64">
        <w:r>
          <w:rPr>
            <w:rFonts w:ascii="Arial" w:cs="Arial" w:eastAsia="Arial" w:hAnsi="Arial"/>
            <w:sz w:val="18"/>
            <w:szCs w:val="18"/>
            <w:u w:val="single" w:color="auto"/>
            <w:color w:val="0000FF"/>
          </w:rPr>
          <w:t>Joinder Agreement, dated as of October 29, 2020, to the Company’s Credit Agreement, dated as of May 24, 2018, by and among the</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Company, JPMorgan Chase Bank, N.A. as administrative agent, and Citibank, N.A.</w:t>
        </w:r>
      </w:hyperlink>
    </w:p>
    <w:p>
      <w:pPr>
        <w:spacing w:after="0" w:line="8" w:lineRule="exact"/>
        <w:rPr>
          <w:sz w:val="20"/>
          <w:szCs w:val="20"/>
          <w:color w:val="auto"/>
        </w:rPr>
      </w:pPr>
    </w:p>
    <w:p>
      <w:pPr>
        <w:ind w:left="900" w:hanging="905"/>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10.21 ~</w:t>
      </w:r>
      <w:r>
        <w:rPr>
          <w:sz w:val="20"/>
          <w:szCs w:val="20"/>
          <w:color w:val="auto"/>
        </w:rPr>
        <w:tab/>
      </w:r>
      <w:hyperlink r:id="rId102">
        <w:r>
          <w:rPr>
            <w:rFonts w:ascii="Arial" w:cs="Arial" w:eastAsia="Arial" w:hAnsi="Arial"/>
            <w:sz w:val="18"/>
            <w:szCs w:val="18"/>
            <w:u w:val="single" w:color="auto"/>
            <w:color w:val="0000FF"/>
          </w:rPr>
          <w:t xml:space="preserve">NMI Holdings, Inc. Amended and Restated 2014 Omnibus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Appendix A to our 2017</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Proxy Statement, filed on March 30, 2017)</w:t>
      </w:r>
    </w:p>
    <w:p>
      <w:pPr>
        <w:ind w:left="900" w:hanging="905"/>
        <w:spacing w:after="0" w:line="23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10.22 ~</w:t>
      </w:r>
      <w:r>
        <w:rPr>
          <w:sz w:val="20"/>
          <w:szCs w:val="20"/>
          <w:color w:val="auto"/>
        </w:rPr>
        <w:tab/>
      </w:r>
      <w:hyperlink r:id="rId103">
        <w:r>
          <w:rPr>
            <w:rFonts w:ascii="Arial" w:cs="Arial" w:eastAsia="Arial" w:hAnsi="Arial"/>
            <w:sz w:val="18"/>
            <w:szCs w:val="18"/>
            <w:u w:val="single" w:color="auto"/>
            <w:color w:val="0000FF"/>
          </w:rPr>
          <w:t>Form of NMI Holdings, Inc. Amended and Restated 2014 Omnibus Incentive Plan Restricted Stock Unit Award Agreement for Chief</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10.19 to our Form 10-Q filed on August 1, 2017)</w:t>
        </w:r>
      </w:hyperlink>
    </w:p>
    <w:p>
      <w:pPr>
        <w:spacing w:after="0" w:line="1" w:lineRule="exact"/>
        <w:rPr>
          <w:sz w:val="20"/>
          <w:szCs w:val="20"/>
          <w:color w:val="auto"/>
        </w:rPr>
      </w:pPr>
    </w:p>
    <w:p>
      <w:pPr>
        <w:ind w:left="900" w:hanging="905"/>
        <w:spacing w:after="0" w:line="23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10.23 ~</w:t>
      </w:r>
      <w:r>
        <w:rPr>
          <w:sz w:val="20"/>
          <w:szCs w:val="20"/>
          <w:color w:val="auto"/>
        </w:rPr>
        <w:tab/>
      </w:r>
      <w:hyperlink r:id="rId104">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Executive Officers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10.20 to our Form 10-Q filed on August 1, 2017)</w:t>
        </w:r>
      </w:hyperlink>
    </w:p>
    <w:p>
      <w:pPr>
        <w:spacing w:after="0" w:line="1" w:lineRule="exact"/>
        <w:rPr>
          <w:sz w:val="20"/>
          <w:szCs w:val="20"/>
          <w:color w:val="auto"/>
        </w:rPr>
      </w:pPr>
    </w:p>
    <w:p>
      <w:pPr>
        <w:ind w:left="900" w:hanging="905"/>
        <w:spacing w:after="0" w:line="23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10.24 ~</w:t>
      </w:r>
      <w:r>
        <w:rPr>
          <w:sz w:val="20"/>
          <w:szCs w:val="20"/>
          <w:color w:val="auto"/>
        </w:rPr>
        <w:tab/>
      </w:r>
      <w:hyperlink r:id="rId105">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10.21 to our Form 10-Q filed on August 1, 2017)</w:t>
        </w:r>
      </w:hyperlink>
    </w:p>
    <w:p>
      <w:pPr>
        <w:spacing w:after="0" w:line="1" w:lineRule="exact"/>
        <w:rPr>
          <w:sz w:val="20"/>
          <w:szCs w:val="20"/>
          <w:color w:val="auto"/>
        </w:rPr>
      </w:pPr>
    </w:p>
    <w:p>
      <w:pPr>
        <w:ind w:left="900" w:hanging="905"/>
        <w:spacing w:after="0" w:line="23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10.25 ~</w:t>
      </w:r>
      <w:r>
        <w:rPr>
          <w:sz w:val="20"/>
          <w:szCs w:val="20"/>
          <w:color w:val="auto"/>
        </w:rPr>
        <w:tab/>
      </w:r>
      <w:hyperlink r:id="rId106">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10.22 to our Form 10-Q filed on August 1, 2017)</w:t>
        </w:r>
      </w:hyperlink>
    </w:p>
    <w:p>
      <w:pPr>
        <w:spacing w:after="0" w:line="1" w:lineRule="exact"/>
        <w:rPr>
          <w:sz w:val="20"/>
          <w:szCs w:val="20"/>
          <w:color w:val="auto"/>
        </w:rPr>
      </w:pPr>
    </w:p>
    <w:p>
      <w:pPr>
        <w:ind w:left="900" w:hanging="905"/>
        <w:spacing w:after="0" w:line="248" w:lineRule="auto"/>
        <w:tabs>
          <w:tab w:leader="none" w:pos="880" w:val="left"/>
        </w:tabs>
        <w:rPr>
          <w:rFonts w:ascii="Arial" w:cs="Arial" w:eastAsia="Arial" w:hAnsi="Arial"/>
          <w:sz w:val="17"/>
          <w:szCs w:val="17"/>
          <w:color w:val="0000FF"/>
        </w:rPr>
      </w:pPr>
      <w:r>
        <w:rPr>
          <w:rFonts w:ascii="Arial" w:cs="Arial" w:eastAsia="Arial" w:hAnsi="Arial"/>
          <w:sz w:val="18"/>
          <w:szCs w:val="18"/>
          <w:color w:val="auto"/>
        </w:rPr>
        <w:t>10.26 ~</w:t>
      </w:r>
      <w:r>
        <w:rPr>
          <w:sz w:val="20"/>
          <w:szCs w:val="20"/>
          <w:color w:val="auto"/>
        </w:rPr>
        <w:tab/>
      </w:r>
      <w:hyperlink r:id="rId107">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Chief Executive Officer</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10.23 to our Form 10-Q filed on August 1, 2017)</w:t>
        </w:r>
      </w:hyperlink>
    </w:p>
    <w:p>
      <w:pPr>
        <w:spacing w:after="0" w:line="1" w:lineRule="exact"/>
        <w:rPr>
          <w:sz w:val="20"/>
          <w:szCs w:val="20"/>
          <w:color w:val="auto"/>
        </w:rPr>
      </w:pPr>
    </w:p>
    <w:p>
      <w:pPr>
        <w:ind w:left="900" w:hanging="905"/>
        <w:spacing w:after="0" w:line="248" w:lineRule="auto"/>
        <w:tabs>
          <w:tab w:leader="none" w:pos="880" w:val="left"/>
        </w:tabs>
        <w:rPr>
          <w:rFonts w:ascii="Arial" w:cs="Arial" w:eastAsia="Arial" w:hAnsi="Arial"/>
          <w:sz w:val="17"/>
          <w:szCs w:val="17"/>
          <w:color w:val="0000FF"/>
        </w:rPr>
      </w:pPr>
      <w:r>
        <w:rPr>
          <w:rFonts w:ascii="Arial" w:cs="Arial" w:eastAsia="Arial" w:hAnsi="Arial"/>
          <w:sz w:val="18"/>
          <w:szCs w:val="18"/>
          <w:color w:val="auto"/>
        </w:rPr>
        <w:t>10.27 ~</w:t>
      </w:r>
      <w:r>
        <w:rPr>
          <w:sz w:val="20"/>
          <w:szCs w:val="20"/>
          <w:color w:val="auto"/>
        </w:rPr>
        <w:tab/>
      </w:r>
      <w:hyperlink r:id="rId108">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Executive Officers and Employees</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10.24 to our Form 10-Q filed on August 1, 2017)</w:t>
        </w:r>
      </w:hyperlink>
    </w:p>
    <w:p>
      <w:pPr>
        <w:spacing w:after="0" w:line="1" w:lineRule="exact"/>
        <w:rPr>
          <w:sz w:val="20"/>
          <w:szCs w:val="20"/>
          <w:color w:val="auto"/>
        </w:rPr>
      </w:pPr>
    </w:p>
    <w:p>
      <w:pPr>
        <w:ind w:left="900" w:hanging="905"/>
        <w:spacing w:after="0" w:line="23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10.28 ~</w:t>
      </w:r>
      <w:r>
        <w:rPr>
          <w:sz w:val="20"/>
          <w:szCs w:val="20"/>
          <w:color w:val="auto"/>
        </w:rPr>
        <w:tab/>
      </w:r>
      <w:hyperlink r:id="rId109">
        <w:r>
          <w:rPr>
            <w:rFonts w:ascii="Arial" w:cs="Arial" w:eastAsia="Arial" w:hAnsi="Arial"/>
            <w:sz w:val="18"/>
            <w:szCs w:val="18"/>
            <w:u w:val="single" w:color="auto"/>
            <w:color w:val="0000FF"/>
          </w:rPr>
          <w:t>Form of NMI Holdings, Inc. 2014 Omnibus Incentive Plan Performance Based Restricted Stock Unit Award Agreement for Chief</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10.26 to our Form 10-K, filed on February 17, 2017)</w:t>
        </w:r>
      </w:hyperlink>
    </w:p>
    <w:p>
      <w:pPr>
        <w:spacing w:after="0" w:line="235"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10.29 ~</w:t>
      </w:r>
      <w:r>
        <w:rPr>
          <w:sz w:val="20"/>
          <w:szCs w:val="20"/>
          <w:color w:val="auto"/>
        </w:rPr>
        <w:tab/>
      </w:r>
      <w:hyperlink r:id="rId110">
        <w:r>
          <w:rPr>
            <w:rFonts w:ascii="Arial" w:cs="Arial" w:eastAsia="Arial" w:hAnsi="Arial"/>
            <w:sz w:val="17"/>
            <w:szCs w:val="17"/>
            <w:u w:val="single" w:color="auto"/>
            <w:color w:val="0000FF"/>
          </w:rPr>
          <w:t xml:space="preserve">NMI Holdings, Inc. Severance Benefit Plan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10.1 to our Form 8-K, filed on February 17,</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2016)</w:t>
      </w:r>
    </w:p>
    <w:p>
      <w:pPr>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10.30 ~</w:t>
      </w:r>
      <w:r>
        <w:rPr>
          <w:sz w:val="20"/>
          <w:szCs w:val="20"/>
          <w:color w:val="auto"/>
        </w:rPr>
        <w:tab/>
      </w:r>
      <w:hyperlink r:id="rId111">
        <w:r>
          <w:rPr>
            <w:rFonts w:ascii="Arial" w:cs="Arial" w:eastAsia="Arial" w:hAnsi="Arial"/>
            <w:sz w:val="17"/>
            <w:szCs w:val="17"/>
            <w:u w:val="single" w:color="auto"/>
            <w:color w:val="0000FF"/>
          </w:rPr>
          <w:t>NMI Holdings, Inc. Amended and Restated Change in Control Severance Benefit Plan (incorporated herein by reference to Exhibit</w:t>
        </w:r>
      </w:hyperlink>
    </w:p>
    <w:p>
      <w:pPr>
        <w:ind w:left="900"/>
        <w:spacing w:after="0"/>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10.30 to our Form 10-Q, filed on October 30, 2018)</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700" w:top="1232" w:right="499" w:bottom="1440" w:gutter="0" w:footer="0" w:header="0"/>
        </w:sectPr>
      </w:pPr>
    </w:p>
    <w:bookmarkStart w:id="61" w:name="page62"/>
    <w:bookmarkEnd w:id="61"/>
    <w:p>
      <w:pPr>
        <w:ind w:left="4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10.31 ~</w:t>
      </w:r>
      <w:r>
        <w:rPr>
          <w:sz w:val="20"/>
          <w:szCs w:val="20"/>
          <w:color w:val="auto"/>
        </w:rPr>
        <w:tab/>
      </w:r>
      <w:hyperlink r:id="rId113">
        <w:r>
          <w:rPr>
            <w:rFonts w:ascii="Arial" w:cs="Arial" w:eastAsia="Arial" w:hAnsi="Arial"/>
            <w:sz w:val="16"/>
            <w:szCs w:val="16"/>
            <w:u w:val="single" w:color="auto"/>
            <w:color w:val="0000FF"/>
          </w:rPr>
          <w:t xml:space="preserve">NMI Holdings, Inc. Clawback Policy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10.2 to our Form 8-K, filed on February 23, 2017)</w:t>
      </w:r>
    </w:p>
    <w:p>
      <w:pPr>
        <w:spacing w:after="0" w:line="23"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10.32 ~</w:t>
      </w:r>
      <w:r>
        <w:rPr>
          <w:sz w:val="20"/>
          <w:szCs w:val="20"/>
          <w:color w:val="auto"/>
        </w:rPr>
        <w:tab/>
      </w:r>
      <w:hyperlink r:id="rId114">
        <w:r>
          <w:rPr>
            <w:rFonts w:ascii="Arial" w:cs="Arial" w:eastAsia="Arial" w:hAnsi="Arial"/>
            <w:sz w:val="18"/>
            <w:szCs w:val="18"/>
            <w:u w:val="single" w:color="auto"/>
            <w:color w:val="0000FF"/>
          </w:rPr>
          <w:t xml:space="preserve">Employment Letter by and between NMI Holdings, Inc. and Bradley M. Shuster,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by reference to Exhibit 10.1 to our Form 8-K, filed on December 28, 2018)</w:t>
      </w:r>
    </w:p>
    <w:p>
      <w:pPr>
        <w:spacing w:after="0" w:line="1"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10.33 ~</w:t>
      </w:r>
      <w:r>
        <w:rPr>
          <w:sz w:val="20"/>
          <w:szCs w:val="20"/>
          <w:color w:val="auto"/>
        </w:rPr>
        <w:tab/>
      </w:r>
      <w:hyperlink r:id="rId115">
        <w:r>
          <w:rPr>
            <w:rFonts w:ascii="Arial" w:cs="Arial" w:eastAsia="Arial" w:hAnsi="Arial"/>
            <w:sz w:val="18"/>
            <w:szCs w:val="18"/>
            <w:u w:val="single" w:color="auto"/>
            <w:color w:val="0000FF"/>
          </w:rPr>
          <w:t xml:space="preserve">Employment Letter by and between NMI Holdings, Inc. and Claudia J. Merkle,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10.2 to our Form 8-K, filed on December 28, 2018)</w:t>
      </w:r>
    </w:p>
    <w:p>
      <w:pPr>
        <w:spacing w:after="0" w:line="1"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10.34 ~</w:t>
      </w:r>
      <w:r>
        <w:rPr>
          <w:sz w:val="20"/>
          <w:szCs w:val="20"/>
          <w:color w:val="auto"/>
        </w:rPr>
        <w:tab/>
      </w:r>
      <w:hyperlink r:id="rId116">
        <w:r>
          <w:rPr>
            <w:rFonts w:ascii="Arial" w:cs="Arial" w:eastAsia="Arial" w:hAnsi="Arial"/>
            <w:sz w:val="18"/>
            <w:szCs w:val="18"/>
            <w:u w:val="single" w:color="auto"/>
            <w:color w:val="0000FF"/>
          </w:rPr>
          <w:t>Form of NMI Holdings, Inc. 2012 Stock Incentive Plan Restricted Stock Unit Award Agreement for Independent Directors</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(incorporated herein by reference to Exhibit 10.30 to our Form 10-Q, filed on May 2, 2019)</w:t>
      </w:r>
    </w:p>
    <w:p>
      <w:pPr>
        <w:spacing w:after="0" w:line="1"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10.35 ~</w:t>
      </w:r>
      <w:r>
        <w:rPr>
          <w:sz w:val="20"/>
          <w:szCs w:val="20"/>
          <w:color w:val="auto"/>
        </w:rPr>
        <w:tab/>
      </w:r>
      <w:hyperlink r:id="rId117">
        <w:r>
          <w:rPr>
            <w:rFonts w:ascii="Arial" w:cs="Arial" w:eastAsia="Arial" w:hAnsi="Arial"/>
            <w:sz w:val="18"/>
            <w:szCs w:val="18"/>
            <w:u w:val="single" w:color="auto"/>
            <w:color w:val="0000FF"/>
          </w:rPr>
          <w:t xml:space="preserve">Form of NMI Holdings, Inc. 2012 Stock Incentive Plan Restricted Stock Unit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10.31 to our Form 10-Q, filed on May 2, 2019)</w:t>
      </w:r>
    </w:p>
    <w:p>
      <w:pPr>
        <w:spacing w:after="0" w:line="1"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10.36 ~</w:t>
      </w:r>
      <w:r>
        <w:rPr>
          <w:sz w:val="20"/>
          <w:szCs w:val="20"/>
          <w:color w:val="auto"/>
        </w:rPr>
        <w:tab/>
      </w:r>
      <w:hyperlink r:id="rId118">
        <w:r>
          <w:rPr>
            <w:rFonts w:ascii="Arial" w:cs="Arial" w:eastAsia="Arial" w:hAnsi="Arial"/>
            <w:sz w:val="18"/>
            <w:szCs w:val="18"/>
            <w:u w:val="single" w:color="auto"/>
            <w:color w:val="0000FF"/>
          </w:rPr>
          <w:t xml:space="preserve">Form of NMI Holdings, Inc. 2012 Stock Incentive Plan Nonqualified Stock Option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10.32 to our Form 10-Q, filed on May 2, 2019)</w:t>
      </w:r>
    </w:p>
    <w:p>
      <w:pPr>
        <w:spacing w:after="0" w:line="1"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color w:val="0000FF"/>
        </w:rPr>
      </w:pPr>
      <w:r>
        <w:rPr>
          <w:rFonts w:ascii="Arial" w:cs="Arial" w:eastAsia="Arial" w:hAnsi="Arial"/>
          <w:sz w:val="18"/>
          <w:szCs w:val="18"/>
          <w:color w:val="auto"/>
        </w:rPr>
        <w:t>10.37 ~</w:t>
      </w:r>
      <w:r>
        <w:rPr>
          <w:sz w:val="20"/>
          <w:szCs w:val="20"/>
          <w:color w:val="auto"/>
        </w:rPr>
        <w:tab/>
      </w:r>
      <w:hyperlink r:id="rId119">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10.33 to our Form 10-Q, filed on May 2, 2019)</w:t>
        </w:r>
      </w:hyperlink>
    </w:p>
    <w:p>
      <w:pPr>
        <w:spacing w:after="0" w:line="1"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color w:val="0000FF"/>
        </w:rPr>
      </w:pPr>
      <w:r>
        <w:rPr>
          <w:rFonts w:ascii="Arial" w:cs="Arial" w:eastAsia="Arial" w:hAnsi="Arial"/>
          <w:sz w:val="18"/>
          <w:szCs w:val="18"/>
          <w:color w:val="auto"/>
        </w:rPr>
        <w:t>10.38 ~</w:t>
      </w:r>
      <w:r>
        <w:rPr>
          <w:sz w:val="20"/>
          <w:szCs w:val="20"/>
          <w:color w:val="auto"/>
        </w:rPr>
        <w:tab/>
      </w:r>
      <w:hyperlink r:id="rId120">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10.34 to our Form 10-Q, filed on May 2, 2019)</w:t>
        </w:r>
      </w:hyperlink>
    </w:p>
    <w:p>
      <w:pPr>
        <w:spacing w:after="0" w:line="1"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color w:val="0000FF"/>
        </w:rPr>
      </w:pPr>
      <w:r>
        <w:rPr>
          <w:rFonts w:ascii="Arial" w:cs="Arial" w:eastAsia="Arial" w:hAnsi="Arial"/>
          <w:sz w:val="18"/>
          <w:szCs w:val="18"/>
          <w:color w:val="auto"/>
        </w:rPr>
        <w:t>10.39 ~</w:t>
      </w:r>
      <w:r>
        <w:rPr>
          <w:sz w:val="20"/>
          <w:szCs w:val="20"/>
          <w:color w:val="auto"/>
        </w:rPr>
        <w:tab/>
      </w:r>
      <w:hyperlink r:id="rId121">
        <w:r>
          <w:rPr>
            <w:rFonts w:ascii="Arial" w:cs="Arial" w:eastAsia="Arial" w:hAnsi="Arial"/>
            <w:sz w:val="18"/>
            <w:szCs w:val="18"/>
            <w:u w:val="single" w:color="auto"/>
            <w:color w:val="0000FF"/>
          </w:rPr>
          <w:t>Form of NMI Holdings, Inc. Amended and Restated 2014 Omnibus Incentive Plan Nonqualified Stock Option Agreement for</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10.35 to our Form 10-Q, filed on May 2, 2019)</w:t>
        </w:r>
      </w:hyperlink>
    </w:p>
    <w:p>
      <w:pPr>
        <w:spacing w:after="0" w:line="1" w:lineRule="exact"/>
        <w:rPr>
          <w:sz w:val="20"/>
          <w:szCs w:val="20"/>
          <w:color w:val="auto"/>
        </w:rPr>
      </w:pPr>
    </w:p>
    <w:p>
      <w:pPr>
        <w:ind w:left="940" w:right="900" w:hanging="905"/>
        <w:spacing w:after="0" w:line="264" w:lineRule="auto"/>
        <w:tabs>
          <w:tab w:leader="none" w:pos="920" w:val="left"/>
        </w:tabs>
        <w:rPr>
          <w:rFonts w:ascii="Arial" w:cs="Arial" w:eastAsia="Arial" w:hAnsi="Arial"/>
          <w:sz w:val="16"/>
          <w:szCs w:val="16"/>
          <w:color w:val="0000FF"/>
        </w:rPr>
      </w:pPr>
      <w:r>
        <w:rPr>
          <w:rFonts w:ascii="Arial" w:cs="Arial" w:eastAsia="Arial" w:hAnsi="Arial"/>
          <w:sz w:val="18"/>
          <w:szCs w:val="18"/>
          <w:color w:val="auto"/>
        </w:rPr>
        <w:t>10.40 ~</w:t>
      </w:r>
      <w:r>
        <w:rPr>
          <w:sz w:val="20"/>
          <w:szCs w:val="20"/>
          <w:color w:val="auto"/>
        </w:rPr>
        <w:tab/>
      </w:r>
      <w:hyperlink r:id="rId122">
        <w:r>
          <w:rPr>
            <w:rFonts w:ascii="Arial" w:cs="Arial" w:eastAsia="Arial" w:hAnsi="Arial"/>
            <w:sz w:val="16"/>
            <w:szCs w:val="16"/>
            <w:u w:val="single" w:color="auto"/>
            <w:color w:val="0000FF"/>
          </w:rPr>
          <w:t>Form of NMI Holdings, Inc. Amended and Restated 2014 Omnibus Incentive Plan Restricted Stock Unit Award Agreement</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(Performance Based)</w:t>
        </w:r>
        <w:r>
          <w:rPr>
            <w:rFonts w:ascii="Arial" w:cs="Arial" w:eastAsia="Arial" w:hAnsi="Arial"/>
            <w:sz w:val="16"/>
            <w:szCs w:val="16"/>
            <w:color w:val="0000FF"/>
          </w:rPr>
          <w:t xml:space="preserve"> </w:t>
        </w:r>
        <w:r>
          <w:rPr>
            <w:rFonts w:ascii="Arial" w:cs="Arial" w:eastAsia="Arial" w:hAnsi="Arial"/>
            <w:sz w:val="16"/>
            <w:szCs w:val="16"/>
            <w:color w:val="000000"/>
          </w:rPr>
          <w:t>(incorporated herein by reference to Exhibit 10.38 to our Form 10-Q, filed on May 7, 2020)</w:t>
        </w:r>
      </w:hyperlink>
    </w:p>
    <w:p>
      <w:pPr>
        <w:ind w:left="16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123">
        <w:r>
          <w:rPr>
            <w:rFonts w:ascii="Arial" w:cs="Arial" w:eastAsia="Arial" w:hAnsi="Arial"/>
            <w:sz w:val="16"/>
            <w:szCs w:val="16"/>
            <w:u w:val="single" w:color="auto"/>
            <w:color w:val="0000FF"/>
          </w:rPr>
          <w:t xml:space="preserve">Subsidiaries of NMI Holdings, Inc.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21.1 to our Form 10-Q, filed on October 30, 2015)</w:t>
      </w:r>
    </w:p>
    <w:p>
      <w:pPr>
        <w:spacing w:after="0" w:line="23" w:lineRule="exact"/>
        <w:rPr>
          <w:sz w:val="20"/>
          <w:szCs w:val="20"/>
          <w:color w:val="auto"/>
        </w:rPr>
      </w:pPr>
    </w:p>
    <w:p>
      <w:pPr>
        <w:ind w:left="16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70">
        <w:r>
          <w:rPr>
            <w:rFonts w:ascii="Arial" w:cs="Arial" w:eastAsia="Arial" w:hAnsi="Arial"/>
            <w:sz w:val="16"/>
            <w:szCs w:val="16"/>
            <w:u w:val="single" w:color="auto"/>
            <w:color w:val="0000FF"/>
          </w:rPr>
          <w:t>Principal Executive Officer's Certification Pursuant to Section 302 of the Sarbanes-Oxley Act of 2002</w:t>
        </w:r>
      </w:hyperlink>
    </w:p>
    <w:p>
      <w:pPr>
        <w:spacing w:after="0" w:line="23" w:lineRule="exact"/>
        <w:rPr>
          <w:sz w:val="20"/>
          <w:szCs w:val="20"/>
          <w:color w:val="auto"/>
        </w:rPr>
      </w:pPr>
    </w:p>
    <w:p>
      <w:pPr>
        <w:ind w:left="16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71">
        <w:r>
          <w:rPr>
            <w:rFonts w:ascii="Arial" w:cs="Arial" w:eastAsia="Arial" w:hAnsi="Arial"/>
            <w:sz w:val="16"/>
            <w:szCs w:val="16"/>
            <w:u w:val="single" w:color="auto"/>
            <w:color w:val="0000FF"/>
          </w:rPr>
          <w:t>Principal Financial Officer's Certification Pursuant to Section 302 of the Sarbanes-Oxley Act of 2002</w:t>
        </w:r>
      </w:hyperlink>
    </w:p>
    <w:p>
      <w:pPr>
        <w:spacing w:after="0" w:line="6" w:lineRule="exact"/>
        <w:rPr>
          <w:sz w:val="20"/>
          <w:szCs w:val="20"/>
          <w:color w:val="auto"/>
        </w:rPr>
      </w:pPr>
    </w:p>
    <w:p>
      <w:pPr>
        <w:ind w:left="8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32.1 #</w:t>
      </w:r>
      <w:r>
        <w:rPr>
          <w:sz w:val="20"/>
          <w:szCs w:val="20"/>
          <w:color w:val="auto"/>
        </w:rPr>
        <w:tab/>
      </w:r>
      <w:hyperlink w:anchor="page72">
        <w:r>
          <w:rPr>
            <w:rFonts w:ascii="Arial" w:cs="Arial" w:eastAsia="Arial" w:hAnsi="Arial"/>
            <w:sz w:val="16"/>
            <w:szCs w:val="16"/>
            <w:u w:val="single" w:color="auto"/>
            <w:color w:val="0000FF"/>
          </w:rPr>
          <w:t>Certifications of CEO and CFO Pursuant to 18 U.S.C. Section 1350, as Adopted Pursuant to Section 906 of the Sarbanes-Oxley Act of</w:t>
        </w:r>
      </w:hyperlink>
    </w:p>
    <w:p>
      <w:pPr>
        <w:ind w:left="94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2002</w:t>
        </w:r>
      </w:hyperlink>
    </w:p>
    <w:p>
      <w:pPr>
        <w:spacing w:after="0" w:line="3" w:lineRule="exact"/>
        <w:rPr>
          <w:sz w:val="20"/>
          <w:szCs w:val="20"/>
          <w:color w:val="auto"/>
        </w:rPr>
      </w:pPr>
    </w:p>
    <w:p>
      <w:pPr>
        <w:ind w:left="940" w:hanging="766"/>
        <w:spacing w:after="0"/>
        <w:tabs>
          <w:tab w:leader="none" w:pos="9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following financial information from NMI Holdings, Inc.'s Quarterly Report on Form 10-Q for the quarter ended September 30,</w:t>
      </w:r>
    </w:p>
    <w:p>
      <w:pPr>
        <w:ind w:left="940"/>
        <w:spacing w:after="0"/>
        <w:rPr>
          <w:rFonts w:ascii="Arial" w:cs="Arial" w:eastAsia="Arial" w:hAnsi="Arial"/>
          <w:sz w:val="17"/>
          <w:szCs w:val="17"/>
          <w:color w:val="auto"/>
        </w:rPr>
      </w:pPr>
      <w:r>
        <w:rPr>
          <w:rFonts w:ascii="Arial" w:cs="Arial" w:eastAsia="Arial" w:hAnsi="Arial"/>
          <w:sz w:val="18"/>
          <w:szCs w:val="18"/>
          <w:color w:val="auto"/>
        </w:rPr>
        <w:t>2020 formatted in XBRL (eXtensible Business Reporting Language):</w:t>
      </w:r>
    </w:p>
    <w:p>
      <w:pPr>
        <w:spacing w:after="0" w:line="7" w:lineRule="exact"/>
        <w:rPr>
          <w:rFonts w:ascii="Arial" w:cs="Arial" w:eastAsia="Arial" w:hAnsi="Arial"/>
          <w:sz w:val="17"/>
          <w:szCs w:val="17"/>
          <w:color w:val="auto"/>
        </w:rPr>
      </w:pPr>
    </w:p>
    <w:p>
      <w:pPr>
        <w:ind w:left="1160" w:hanging="219"/>
        <w:spacing w:after="0"/>
        <w:tabs>
          <w:tab w:leader="none" w:pos="11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Condensed Consolidated Balance Sheets as of March 31, 2021 and December 31, 2020;</w:t>
      </w:r>
    </w:p>
    <w:p>
      <w:pPr>
        <w:spacing w:after="0" w:line="22" w:lineRule="exact"/>
        <w:rPr>
          <w:rFonts w:ascii="Arial" w:cs="Arial" w:eastAsia="Arial" w:hAnsi="Arial"/>
          <w:sz w:val="18"/>
          <w:szCs w:val="18"/>
          <w:color w:val="auto"/>
        </w:rPr>
      </w:pPr>
    </w:p>
    <w:p>
      <w:pPr>
        <w:ind w:left="940" w:right="140" w:firstLine="1"/>
        <w:spacing w:after="0" w:line="234" w:lineRule="auto"/>
        <w:tabs>
          <w:tab w:leader="none" w:pos="1205" w:val="left"/>
        </w:tabs>
        <w:numPr>
          <w:ilvl w:val="2"/>
          <w:numId w:val="29"/>
        </w:numPr>
        <w:rPr>
          <w:rFonts w:ascii="Arial" w:cs="Arial" w:eastAsia="Arial" w:hAnsi="Arial"/>
          <w:sz w:val="18"/>
          <w:szCs w:val="18"/>
          <w:color w:val="auto"/>
        </w:rPr>
      </w:pPr>
      <w:r>
        <w:rPr>
          <w:rFonts w:ascii="Arial" w:cs="Arial" w:eastAsia="Arial" w:hAnsi="Arial"/>
          <w:sz w:val="18"/>
          <w:szCs w:val="18"/>
          <w:color w:val="auto"/>
        </w:rPr>
        <w:t>Condensed Consolidated Statements of Operations and Comprehensive Income (Loss) for the three months ended March 31, 2021 and 2020;</w:t>
      </w:r>
    </w:p>
    <w:p>
      <w:pPr>
        <w:spacing w:after="0" w:line="1" w:lineRule="exact"/>
        <w:rPr>
          <w:rFonts w:ascii="Arial" w:cs="Arial" w:eastAsia="Arial" w:hAnsi="Arial"/>
          <w:sz w:val="18"/>
          <w:szCs w:val="18"/>
          <w:color w:val="auto"/>
        </w:rPr>
      </w:pPr>
    </w:p>
    <w:p>
      <w:pPr>
        <w:ind w:left="1260" w:hanging="319"/>
        <w:spacing w:after="0"/>
        <w:tabs>
          <w:tab w:leader="none" w:pos="1260" w:val="left"/>
        </w:tabs>
        <w:numPr>
          <w:ilvl w:val="2"/>
          <w:numId w:val="29"/>
        </w:numPr>
        <w:rPr>
          <w:rFonts w:ascii="Arial" w:cs="Arial" w:eastAsia="Arial" w:hAnsi="Arial"/>
          <w:sz w:val="16"/>
          <w:szCs w:val="16"/>
          <w:color w:val="auto"/>
        </w:rPr>
      </w:pPr>
      <w:r>
        <w:rPr>
          <w:rFonts w:ascii="Arial" w:cs="Arial" w:eastAsia="Arial" w:hAnsi="Arial"/>
          <w:sz w:val="16"/>
          <w:szCs w:val="16"/>
          <w:color w:val="auto"/>
        </w:rPr>
        <w:t>Condensed Consolidated Statements of Changes in Shareholders' Equity for the three months ended March 31, 2021 and 2020;</w:t>
      </w:r>
    </w:p>
    <w:p>
      <w:pPr>
        <w:spacing w:after="0" w:line="45" w:lineRule="exact"/>
        <w:rPr>
          <w:rFonts w:ascii="Arial" w:cs="Arial" w:eastAsia="Arial" w:hAnsi="Arial"/>
          <w:sz w:val="16"/>
          <w:szCs w:val="16"/>
          <w:color w:val="auto"/>
        </w:rPr>
      </w:pPr>
    </w:p>
    <w:p>
      <w:pPr>
        <w:ind w:left="1240" w:hanging="299"/>
        <w:spacing w:after="0"/>
        <w:tabs>
          <w:tab w:leader="none" w:pos="1240" w:val="left"/>
        </w:tabs>
        <w:numPr>
          <w:ilvl w:val="2"/>
          <w:numId w:val="29"/>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three months ended March 31, 2021 and 2020; and</w:t>
      </w:r>
    </w:p>
    <w:p>
      <w:pPr>
        <w:spacing w:after="0" w:line="22" w:lineRule="exact"/>
        <w:rPr>
          <w:rFonts w:ascii="Arial" w:cs="Arial" w:eastAsia="Arial" w:hAnsi="Arial"/>
          <w:sz w:val="18"/>
          <w:szCs w:val="18"/>
          <w:color w:val="auto"/>
        </w:rPr>
      </w:pPr>
    </w:p>
    <w:p>
      <w:pPr>
        <w:ind w:left="940" w:right="40" w:firstLine="1"/>
        <w:spacing w:after="0" w:line="234" w:lineRule="auto"/>
        <w:tabs>
          <w:tab w:leader="none" w:pos="1195" w:val="left"/>
        </w:tabs>
        <w:numPr>
          <w:ilvl w:val="2"/>
          <w:numId w:val="29"/>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The instance document does not appear in the Interactive Data File because XBRL tags are embedded within the Inline XBRL document.</w:t>
      </w:r>
    </w:p>
    <w:p>
      <w:pPr>
        <w:spacing w:after="0" w:line="383" w:lineRule="exact"/>
        <w:rPr>
          <w:rFonts w:ascii="Arial" w:cs="Arial" w:eastAsia="Arial" w:hAnsi="Arial"/>
          <w:sz w:val="18"/>
          <w:szCs w:val="18"/>
          <w:color w:val="auto"/>
        </w:rPr>
      </w:pPr>
    </w:p>
    <w:p>
      <w:pPr>
        <w:ind w:left="280" w:hanging="277"/>
        <w:spacing w:after="0"/>
        <w:tabs>
          <w:tab w:leader="none" w:pos="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32" w:lineRule="exact"/>
        <w:rPr>
          <w:sz w:val="20"/>
          <w:szCs w:val="20"/>
          <w:color w:val="auto"/>
        </w:rPr>
      </w:pPr>
    </w:p>
    <w:p>
      <w:pPr>
        <w:ind w:left="280" w:hanging="277"/>
        <w:spacing w:after="0"/>
        <w:tabs>
          <w:tab w:leader="none" w:pos="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Confidential treatment granted as to certain portions, which portions have been filed separately with the SEC.</w:t>
      </w:r>
    </w:p>
    <w:p>
      <w:pPr>
        <w:spacing w:after="0" w:line="32" w:lineRule="exact"/>
        <w:rPr>
          <w:sz w:val="20"/>
          <w:szCs w:val="20"/>
          <w:color w:val="auto"/>
        </w:rPr>
      </w:pPr>
    </w:p>
    <w:p>
      <w:pPr>
        <w:ind w:left="280" w:right="200" w:hanging="277"/>
        <w:spacing w:after="0" w:line="248" w:lineRule="auto"/>
        <w:tabs>
          <w:tab w:leader="none" w:pos="2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660" w:top="1232" w:right="49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NMI HOLDINGS, INC.</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 May 4, 2021</w:t>
      </w:r>
    </w:p>
    <w:p>
      <w:pPr>
        <w:spacing w:after="0" w:line="27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-10160</wp:posOffset>
            </wp:positionV>
            <wp:extent cx="14376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5">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3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Name: Adam S. Pollitzer</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42"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JOINDER AGREEMENT</w:t>
      </w:r>
      <w:r>
        <w:rPr>
          <w:rFonts w:ascii="Arial" w:cs="Arial" w:eastAsia="Arial" w:hAnsi="Arial"/>
          <w:sz w:val="22"/>
          <w:szCs w:val="22"/>
          <w:color w:val="auto"/>
        </w:rPr>
        <w:t>, dated as of October 29, 2020 (this “</w:t>
      </w:r>
      <w:r>
        <w:rPr>
          <w:rFonts w:ascii="Arial" w:cs="Arial" w:eastAsia="Arial" w:hAnsi="Arial"/>
          <w:sz w:val="22"/>
          <w:szCs w:val="22"/>
          <w:u w:val="single" w:color="auto"/>
          <w:color w:val="auto"/>
        </w:rPr>
        <w:t>Agreement</w:t>
      </w:r>
      <w:r>
        <w:rPr>
          <w:rFonts w:ascii="Arial" w:cs="Arial" w:eastAsia="Arial" w:hAnsi="Arial"/>
          <w:sz w:val="22"/>
          <w:szCs w:val="22"/>
          <w:color w:val="auto"/>
        </w:rPr>
        <w:t>”), among NMI Holdings, INC., a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NMI SERVICES, INC., a Delaware corporation, CITIBANK, N.A., as Lender (“</w:t>
      </w:r>
      <w:r>
        <w:rPr>
          <w:rFonts w:ascii="Arial" w:cs="Arial" w:eastAsia="Arial" w:hAnsi="Arial"/>
          <w:sz w:val="22"/>
          <w:szCs w:val="22"/>
          <w:u w:val="single" w:color="auto"/>
          <w:color w:val="auto"/>
        </w:rPr>
        <w:t>Citi</w:t>
      </w:r>
      <w:r>
        <w:rPr>
          <w:rFonts w:ascii="Arial" w:cs="Arial" w:eastAsia="Arial" w:hAnsi="Arial"/>
          <w:sz w:val="22"/>
          <w:szCs w:val="22"/>
          <w:color w:val="auto"/>
        </w:rPr>
        <w:t>”) and JPMORGAN CHASE BANK, N.A., as administrative agent (the “</w:t>
      </w:r>
      <w:r>
        <w:rPr>
          <w:rFonts w:ascii="Arial" w:cs="Arial" w:eastAsia="Arial" w:hAnsi="Arial"/>
          <w:sz w:val="22"/>
          <w:szCs w:val="22"/>
          <w:u w:val="single" w:color="auto"/>
          <w:color w:val="auto"/>
        </w:rPr>
        <w:t>Agent</w:t>
      </w:r>
      <w:r>
        <w:rPr>
          <w:rFonts w:ascii="Arial" w:cs="Arial" w:eastAsia="Arial" w:hAnsi="Arial"/>
          <w:sz w:val="22"/>
          <w:szCs w:val="22"/>
          <w:color w:val="auto"/>
        </w:rPr>
        <w:t>”), to the Credit Agreement dated, as of May 24, 2018, among the Company, the several banks and other financial institutions or entities from time to time party to the Credit Agreement (the “</w:t>
      </w:r>
      <w:r>
        <w:rPr>
          <w:rFonts w:ascii="Arial" w:cs="Arial" w:eastAsia="Arial" w:hAnsi="Arial"/>
          <w:sz w:val="22"/>
          <w:szCs w:val="22"/>
          <w:u w:val="single" w:color="auto"/>
          <w:color w:val="auto"/>
        </w:rPr>
        <w:t>Lenders</w:t>
      </w:r>
      <w:r>
        <w:rPr>
          <w:rFonts w:ascii="Arial" w:cs="Arial" w:eastAsia="Arial" w:hAnsi="Arial"/>
          <w:sz w:val="22"/>
          <w:szCs w:val="22"/>
          <w:color w:val="auto"/>
        </w:rPr>
        <w:t>”), and the Agent (as amended, modified and supplemented from time to time prior to the date hereof, the “</w:t>
      </w:r>
      <w:r>
        <w:rPr>
          <w:rFonts w:ascii="Arial" w:cs="Arial" w:eastAsia="Arial" w:hAnsi="Arial"/>
          <w:sz w:val="22"/>
          <w:szCs w:val="22"/>
          <w:u w:val="single" w:color="auto"/>
          <w:color w:val="auto"/>
        </w:rPr>
        <w:t>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Capitalized terms used and not otherwise defined herein shall have the meanings assigned to such terms in the Credit Agreement.</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WHEREAS, pursuant to Section 2.15 of the Credit Agreement, the Company is hereby requesting a $10,000,000 New Revolving Commitment (the “</w:t>
      </w:r>
      <w:r>
        <w:rPr>
          <w:rFonts w:ascii="Arial" w:cs="Arial" w:eastAsia="Arial" w:hAnsi="Arial"/>
          <w:sz w:val="22"/>
          <w:szCs w:val="22"/>
          <w:u w:val="single" w:color="auto"/>
          <w:color w:val="auto"/>
        </w:rPr>
        <w:t>Joinder No. 2 New Revolving Commitment</w:t>
      </w:r>
      <w:r>
        <w:rPr>
          <w:rFonts w:ascii="Arial" w:cs="Arial" w:eastAsia="Arial" w:hAnsi="Arial"/>
          <w:sz w:val="22"/>
          <w:szCs w:val="22"/>
          <w:color w:val="auto"/>
        </w:rPr>
        <w:t>”) having the same terms as the Revolving Commitments as in effect on the Joinder No. 2 Effective Date (as defined below);</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WHEREAS, the Company has requested that Citi provide the Joinder No. 2 New Revolving Commitment on the Joinder No. 2 Effective Date and Citi has agreed to provide the Joinder No. 2 New Revolving Commitment on the Joinder No. 2 Effective Date;</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207"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b w:val="1"/>
          <w:bCs w:val="1"/>
          <w:u w:val="single" w:color="auto"/>
          <w:color w:val="auto"/>
        </w:rPr>
        <w:t>Joinder No. 2 New Revolving Commitment</w:t>
      </w:r>
      <w:r>
        <w:rPr>
          <w:rFonts w:ascii="Arial" w:cs="Arial" w:eastAsia="Arial" w:hAnsi="Arial"/>
          <w:sz w:val="19"/>
          <w:szCs w:val="19"/>
          <w:color w:val="auto"/>
        </w:rPr>
        <w:t>.</w:t>
      </w:r>
    </w:p>
    <w:p>
      <w:pPr>
        <w:spacing w:after="0" w:line="239" w:lineRule="exact"/>
        <w:rPr>
          <w:sz w:val="20"/>
          <w:szCs w:val="20"/>
          <w:color w:val="auto"/>
        </w:rPr>
      </w:pPr>
    </w:p>
    <w:p>
      <w:pPr>
        <w:ind w:firstLine="8"/>
        <w:spacing w:after="0" w:line="250" w:lineRule="auto"/>
        <w:tabs>
          <w:tab w:leader="none" w:pos="294" w:val="left"/>
        </w:tabs>
        <w:numPr>
          <w:ilvl w:val="0"/>
          <w:numId w:val="32"/>
        </w:numPr>
        <w:rPr>
          <w:rFonts w:ascii="Arial" w:cs="Arial" w:eastAsia="Arial" w:hAnsi="Arial"/>
          <w:sz w:val="22"/>
          <w:szCs w:val="22"/>
          <w:color w:val="auto"/>
        </w:rPr>
      </w:pPr>
      <w:r>
        <w:rPr>
          <w:rFonts w:ascii="Arial" w:cs="Arial" w:eastAsia="Arial" w:hAnsi="Arial"/>
          <w:sz w:val="22"/>
          <w:szCs w:val="22"/>
          <w:color w:val="auto"/>
        </w:rPr>
        <w:t>Effective as of the Joinder No. 2 Effective Date, Citi shall have a Joinder No. 2 New Revolving Commitment in the amount of $10,000,000.</w:t>
      </w:r>
    </w:p>
    <w:p>
      <w:pPr>
        <w:spacing w:after="0" w:line="201" w:lineRule="exact"/>
        <w:rPr>
          <w:rFonts w:ascii="Arial" w:cs="Arial" w:eastAsia="Arial" w:hAnsi="Arial"/>
          <w:sz w:val="22"/>
          <w:szCs w:val="22"/>
          <w:color w:val="auto"/>
        </w:rPr>
      </w:pPr>
    </w:p>
    <w:p>
      <w:pPr>
        <w:jc w:val="both"/>
        <w:ind w:firstLine="8"/>
        <w:spacing w:after="0"/>
        <w:tabs>
          <w:tab w:leader="none" w:pos="306"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terms and conditions of the Joinder No. 2 New Revolving Commitment and the Revolving Loans made thereunder shall be identical to the terms and conditions of the Revolving Commitments and the Revolving Loans thereunder as in effect on the Joinder No. 2 Effective Date.</w:t>
      </w:r>
    </w:p>
    <w:p>
      <w:pPr>
        <w:spacing w:after="0" w:line="207"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b w:val="1"/>
          <w:bCs w:val="1"/>
          <w:u w:val="single" w:color="auto"/>
          <w:color w:val="auto"/>
        </w:rPr>
        <w:t>Representations and Warranties, No Default</w:t>
      </w:r>
      <w:r>
        <w:rPr>
          <w:rFonts w:ascii="Arial" w:cs="Arial" w:eastAsia="Arial" w:hAnsi="Arial"/>
          <w:sz w:val="19"/>
          <w:szCs w:val="19"/>
          <w:color w:val="auto"/>
        </w:rPr>
        <w:t>. The Company</w:t>
      </w:r>
    </w:p>
    <w:p>
      <w:pPr>
        <w:spacing w:after="0" w:line="14"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hereby represents and warrants that as of the Joinder No. 2 Effective Date, each of the conditions set forth in the second proviso to Section 2.15(a) of the Credit Agreement (to the extent applicable to New Revolving Commitments incurred pursuant to Section 2.15(a) of the Credit Agreement) is satisfied.</w:t>
      </w:r>
    </w:p>
    <w:p>
      <w:pPr>
        <w:spacing w:after="0" w:line="208"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b w:val="1"/>
          <w:bCs w:val="1"/>
          <w:u w:val="single" w:color="auto"/>
          <w:color w:val="auto"/>
        </w:rPr>
        <w:t>Effectiveness</w:t>
      </w:r>
      <w:r>
        <w:rPr>
          <w:rFonts w:ascii="Arial" w:cs="Arial" w:eastAsia="Arial" w:hAnsi="Arial"/>
          <w:sz w:val="19"/>
          <w:szCs w:val="19"/>
          <w:color w:val="auto"/>
        </w:rPr>
        <w:t>. Section 1 of this Agreement shall become effective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on the date (such date, if any, the “</w:t>
      </w:r>
      <w:r>
        <w:rPr>
          <w:rFonts w:ascii="Arial" w:cs="Arial" w:eastAsia="Arial" w:hAnsi="Arial"/>
          <w:sz w:val="22"/>
          <w:szCs w:val="22"/>
          <w:u w:val="single" w:color="auto"/>
          <w:color w:val="auto"/>
        </w:rPr>
        <w:t>Joinder No. 2 Effective Date</w:t>
      </w:r>
      <w:r>
        <w:rPr>
          <w:rFonts w:ascii="Arial" w:cs="Arial" w:eastAsia="Arial" w:hAnsi="Arial"/>
          <w:sz w:val="22"/>
          <w:szCs w:val="22"/>
          <w:color w:val="auto"/>
        </w:rPr>
        <w:t>”) that the following conditions have been satisfied:</w:t>
      </w:r>
    </w:p>
    <w:p>
      <w:pPr>
        <w:spacing w:after="0" w:line="215" w:lineRule="exact"/>
        <w:rPr>
          <w:sz w:val="20"/>
          <w:szCs w:val="20"/>
          <w:color w:val="auto"/>
        </w:rPr>
      </w:pPr>
    </w:p>
    <w:p>
      <w:pPr>
        <w:ind w:left="660" w:firstLine="644"/>
        <w:spacing w:after="0" w:line="250" w:lineRule="auto"/>
        <w:tabs>
          <w:tab w:leader="none" w:pos="1755"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Execution of Agreement</w:t>
      </w:r>
      <w:r>
        <w:rPr>
          <w:rFonts w:ascii="Arial" w:cs="Arial" w:eastAsia="Arial" w:hAnsi="Arial"/>
          <w:sz w:val="22"/>
          <w:szCs w:val="22"/>
          <w:color w:val="auto"/>
        </w:rPr>
        <w:t>. The Agent shall have received executed signature pages hereto from the Company, the Subsidiary Guarantor, Citi and the Agent;</w:t>
      </w:r>
    </w:p>
    <w:p>
      <w:pPr>
        <w:spacing w:after="0" w:line="201" w:lineRule="exact"/>
        <w:rPr>
          <w:rFonts w:ascii="Arial" w:cs="Arial" w:eastAsia="Arial" w:hAnsi="Arial"/>
          <w:sz w:val="22"/>
          <w:szCs w:val="22"/>
          <w:color w:val="auto"/>
        </w:rPr>
      </w:pPr>
    </w:p>
    <w:p>
      <w:pPr>
        <w:jc w:val="both"/>
        <w:ind w:left="660" w:firstLine="644"/>
        <w:spacing w:after="0" w:line="238" w:lineRule="auto"/>
        <w:tabs>
          <w:tab w:leader="none" w:pos="193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Fees and Expenses</w:t>
      </w:r>
      <w:r>
        <w:rPr>
          <w:rFonts w:ascii="Arial" w:cs="Arial" w:eastAsia="Arial" w:hAnsi="Arial"/>
          <w:sz w:val="22"/>
          <w:szCs w:val="22"/>
          <w:color w:val="auto"/>
        </w:rPr>
        <w:t>. The Agent shall have received (i) payment of all expenses required to be paid or reimbursed in connection with the execution of this Agreement under Section 10.04 of the Credit Agreement for which invoices have been presented to Company within a reasonable period of time prior to the Joinder No. 2 Effective Date, in each case on or before the</w:t>
      </w:r>
    </w:p>
    <w:p>
      <w:pPr>
        <w:sectPr>
          <w:pgSz w:w="11900" w:h="16838" w:orient="portrait"/>
          <w:cols w:equalWidth="0" w:num="1">
            <w:col w:w="11240"/>
          </w:cols>
          <w:pgMar w:left="320" w:top="126"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Joinder No. 2 Effective Date and (ii) payment to the Agent of an upfront fee for the account of Citi in an amount equal to 0.12% of the Joinder No. 2 New Revolving Commitment;</w:t>
      </w:r>
    </w:p>
    <w:p>
      <w:pPr>
        <w:spacing w:after="0" w:line="202" w:lineRule="exact"/>
        <w:rPr>
          <w:sz w:val="20"/>
          <w:szCs w:val="20"/>
          <w:color w:val="auto"/>
        </w:rPr>
      </w:pPr>
    </w:p>
    <w:p>
      <w:pPr>
        <w:jc w:val="both"/>
        <w:ind w:firstLine="644"/>
        <w:spacing w:after="0"/>
        <w:tabs>
          <w:tab w:leader="none" w:pos="1201"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Legal Opinions</w:t>
      </w:r>
      <w:r>
        <w:rPr>
          <w:rFonts w:ascii="Arial" w:cs="Arial" w:eastAsia="Arial" w:hAnsi="Arial"/>
          <w:sz w:val="22"/>
          <w:szCs w:val="22"/>
          <w:color w:val="auto"/>
        </w:rPr>
        <w:t>. The Agent shall have received a customary legal opinion of (x) Wachtell, Lipton, Rosen &amp; Katz, as special New York counsel for the Obligors and (y) Potter Anderson &amp; Corroon LLP, Delaware counsel for the Obligors, relating to this Agreement;</w:t>
      </w:r>
    </w:p>
    <w:p>
      <w:pPr>
        <w:spacing w:after="0" w:line="213" w:lineRule="exact"/>
        <w:rPr>
          <w:rFonts w:ascii="Arial" w:cs="Arial" w:eastAsia="Arial" w:hAnsi="Arial"/>
          <w:sz w:val="22"/>
          <w:szCs w:val="22"/>
          <w:color w:val="auto"/>
        </w:rPr>
      </w:pPr>
    </w:p>
    <w:p>
      <w:pPr>
        <w:jc w:val="both"/>
        <w:ind w:firstLine="644"/>
        <w:spacing w:after="0"/>
        <w:tabs>
          <w:tab w:leader="none" w:pos="1216"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The Agent shall have received a certificate of a Responsible Officer of the Company dated as of the Joinder No. 2 Effective Date certifying that the representations and warranties of the Company contained in Section 2 of this Agreement are true and correct; and</w:t>
      </w:r>
    </w:p>
    <w:p>
      <w:pPr>
        <w:spacing w:after="0" w:line="213" w:lineRule="exact"/>
        <w:rPr>
          <w:rFonts w:ascii="Arial" w:cs="Arial" w:eastAsia="Arial" w:hAnsi="Arial"/>
          <w:sz w:val="22"/>
          <w:szCs w:val="22"/>
          <w:color w:val="auto"/>
        </w:rPr>
      </w:pPr>
    </w:p>
    <w:p>
      <w:pPr>
        <w:ind w:firstLine="644"/>
        <w:spacing w:after="0" w:line="250" w:lineRule="auto"/>
        <w:tabs>
          <w:tab w:leader="none" w:pos="1183"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Closing Certificates</w:t>
      </w:r>
      <w:r>
        <w:rPr>
          <w:rFonts w:ascii="Arial" w:cs="Arial" w:eastAsia="Arial" w:hAnsi="Arial"/>
          <w:sz w:val="22"/>
          <w:szCs w:val="22"/>
          <w:color w:val="auto"/>
        </w:rPr>
        <w:t>. The Agent shall have received a certificate of the Secretary or Assistant Secretary or similar officer of each Obligor dated as of the Joinder No. 2 Effective Date and certifying:</w:t>
      </w:r>
    </w:p>
    <w:p>
      <w:pPr>
        <w:spacing w:after="0" w:line="202" w:lineRule="exact"/>
        <w:rPr>
          <w:sz w:val="20"/>
          <w:szCs w:val="20"/>
          <w:color w:val="auto"/>
        </w:rPr>
      </w:pPr>
    </w:p>
    <w:p>
      <w:pPr>
        <w:jc w:val="both"/>
        <w:ind w:left="640" w:firstLine="4"/>
        <w:spacing w:after="0" w:line="234" w:lineRule="auto"/>
        <w:tabs>
          <w:tab w:leader="none" w:pos="1177"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that either (a) attached thereto is a true and complete copy of the certificate or articles of incorporation or other equivalent constituent and governing documents, including all amendments thereto, of such Obligor, certified as of a recent date by the Secretary of State (or other similar official or Governmental Authority) of the jurisdiction of its organization or by the Secretary or Assistant Secretary or similar officer of such Obligor or other person duly authorized by the constituent documents of such Obligor or (b) such certificate or articles of incorporation or other equivalent constituent and governing documents have not been amended since the Joinder No. 1 Effective Date,</w:t>
      </w:r>
    </w:p>
    <w:p>
      <w:pPr>
        <w:spacing w:after="0" w:line="217" w:lineRule="exact"/>
        <w:rPr>
          <w:rFonts w:ascii="Arial" w:cs="Arial" w:eastAsia="Arial" w:hAnsi="Arial"/>
          <w:sz w:val="22"/>
          <w:szCs w:val="22"/>
          <w:color w:val="auto"/>
        </w:rPr>
      </w:pPr>
    </w:p>
    <w:p>
      <w:pPr>
        <w:ind w:left="640" w:firstLine="4"/>
        <w:spacing w:after="0" w:line="328" w:lineRule="auto"/>
        <w:tabs>
          <w:tab w:leader="none" w:pos="1119"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that attached thereto is a true and complete copy of a certificate as to the good standing of such Obligor as of a recent date from such Secretary of State (or other similar official or Governmental Authority),</w:t>
      </w:r>
    </w:p>
    <w:p>
      <w:pPr>
        <w:spacing w:after="0" w:line="131" w:lineRule="exact"/>
        <w:rPr>
          <w:rFonts w:ascii="Arial" w:cs="Arial" w:eastAsia="Arial" w:hAnsi="Arial"/>
          <w:sz w:val="19"/>
          <w:szCs w:val="19"/>
          <w:color w:val="auto"/>
        </w:rPr>
      </w:pPr>
    </w:p>
    <w:p>
      <w:pPr>
        <w:jc w:val="both"/>
        <w:ind w:left="640" w:firstLine="4"/>
        <w:spacing w:after="0" w:line="287" w:lineRule="auto"/>
        <w:tabs>
          <w:tab w:leader="none" w:pos="1113"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that either (a) attached thereto is a true and complete copy of the by-laws (or other equivalent constituent and governing documents) of such Obligor as in effect on the Joinder No. 2 Effective Date and at all times since the date of the resolutions described in the following subclause (4) or (b) such by-laws (or other equivalent constituent and governing documents) have not been amended since the Joinder No. 1 Effective Date,</w:t>
      </w:r>
    </w:p>
    <w:p>
      <w:pPr>
        <w:spacing w:after="0" w:line="169" w:lineRule="exact"/>
        <w:rPr>
          <w:rFonts w:ascii="Arial" w:cs="Arial" w:eastAsia="Arial" w:hAnsi="Arial"/>
          <w:sz w:val="19"/>
          <w:szCs w:val="19"/>
          <w:color w:val="auto"/>
        </w:rPr>
      </w:pPr>
    </w:p>
    <w:p>
      <w:pPr>
        <w:jc w:val="both"/>
        <w:ind w:left="640" w:firstLine="4"/>
        <w:spacing w:after="0" w:line="238" w:lineRule="auto"/>
        <w:tabs>
          <w:tab w:leader="none" w:pos="1164"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that attached thereto is a true and complete copy of resolutions duly adopted by the Board of Directors (or equivalent governing body) of such Obligor, authorizing the execution, delivery and performance by such Obligor of this Agreement and that such resolutions have not been modified, rescinded or amended and are in full force and effect on the Joinder No. 2 Effective Date, and</w:t>
      </w:r>
    </w:p>
    <w:p>
      <w:pPr>
        <w:spacing w:after="0" w:line="211" w:lineRule="exact"/>
        <w:rPr>
          <w:rFonts w:ascii="Arial" w:cs="Arial" w:eastAsia="Arial" w:hAnsi="Arial"/>
          <w:sz w:val="22"/>
          <w:szCs w:val="22"/>
          <w:color w:val="auto"/>
        </w:rPr>
      </w:pPr>
    </w:p>
    <w:p>
      <w:pPr>
        <w:ind w:left="640" w:right="20" w:firstLine="4"/>
        <w:spacing w:after="0" w:line="274" w:lineRule="auto"/>
        <w:tabs>
          <w:tab w:leader="none" w:pos="1312" w:val="left"/>
        </w:tabs>
        <w:numPr>
          <w:ilvl w:val="0"/>
          <w:numId w:val="35"/>
        </w:numPr>
        <w:rPr>
          <w:rFonts w:ascii="Arial" w:cs="Arial" w:eastAsia="Arial" w:hAnsi="Arial"/>
          <w:sz w:val="21"/>
          <w:szCs w:val="21"/>
          <w:color w:val="auto"/>
        </w:rPr>
      </w:pPr>
      <w:r>
        <w:rPr>
          <w:rFonts w:ascii="Arial" w:cs="Arial" w:eastAsia="Arial" w:hAnsi="Arial"/>
          <w:sz w:val="21"/>
          <w:szCs w:val="21"/>
          <w:color w:val="auto"/>
        </w:rPr>
        <w:t>as to the incumbency and specimen signature of each officer or authorized signatory executing this Agreement or any other Loan Document delivered in connection herewith on behalf of such Obligor.</w:t>
      </w:r>
    </w:p>
    <w:p>
      <w:pPr>
        <w:spacing w:after="0" w:line="172"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any number</w:t>
      </w:r>
    </w:p>
    <w:p>
      <w:pPr>
        <w:sectPr>
          <w:pgSz w:w="11900" w:h="16838" w:orient="portrait"/>
          <w:cols w:equalWidth="0" w:num="1">
            <w:col w:w="10580"/>
          </w:cols>
          <w:pgMar w:left="980" w:top="126"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Agreement by facsimile or any other electronic transmission shall be effective as delivery of a manually executed counterpart hereof. The words “executed,” “signed,” “signature,” “delivery,” and words of like import in or relating to this Agreement or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purposes of this Section 4, “Electronic Signature” means an electronic symbol or process attached to a contract or other record and adopted by a Person with the intent to sign, authenticate or accept such contract or record. The execution of this Agreement by the Company and its delivery thereof to the Agent shall constitute delivery to the Agent of the notice required by Section 2.15(a) of the Credit Agreement.</w:t>
      </w:r>
    </w:p>
    <w:p>
      <w:pPr>
        <w:spacing w:after="0" w:line="177"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b w:val="1"/>
          <w:bCs w:val="1"/>
          <w:u w:val="single" w:color="auto"/>
          <w:color w:val="auto"/>
        </w:rPr>
        <w:t>Governing Law; Jurisdiction; Consent to Service of Process;</w:t>
      </w:r>
    </w:p>
    <w:p>
      <w:pPr>
        <w:spacing w:after="0" w:line="1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u w:val="single" w:color="auto"/>
          <w:color w:val="auto"/>
        </w:rPr>
        <w:t>Waiver of Jury Trial</w:t>
      </w:r>
      <w:r>
        <w:rPr>
          <w:rFonts w:ascii="Arial" w:cs="Arial" w:eastAsia="Arial" w:hAnsi="Arial"/>
          <w:sz w:val="19"/>
          <w:szCs w:val="19"/>
          <w:color w:val="auto"/>
        </w:rPr>
        <w:t>. The provisions set forth in Sections 10.15 and 10.16 of the Credit Agreement are hereby incorporated</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mutatis mutandis </w:t>
      </w:r>
      <w:r>
        <w:rPr>
          <w:rFonts w:ascii="Arial" w:cs="Arial" w:eastAsia="Arial" w:hAnsi="Arial"/>
          <w:sz w:val="19"/>
          <w:szCs w:val="19"/>
          <w:color w:val="auto"/>
        </w:rPr>
        <w:t>with all references to the “Agreement” therein being deemed references to this Agreement.</w:t>
      </w:r>
    </w:p>
    <w:p>
      <w:pPr>
        <w:spacing w:after="0" w:line="144" w:lineRule="exact"/>
        <w:rPr>
          <w:sz w:val="20"/>
          <w:szCs w:val="20"/>
          <w:color w:val="auto"/>
        </w:rPr>
      </w:pPr>
    </w:p>
    <w:p>
      <w:pPr>
        <w:ind w:right="3440" w:firstLine="1296"/>
        <w:spacing w:after="0" w:line="334"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b w:val="1"/>
          <w:bCs w:val="1"/>
          <w:u w:val="single" w:color="auto"/>
          <w:color w:val="auto"/>
        </w:rPr>
        <w:t>Headings</w:t>
      </w:r>
      <w:r>
        <w:rPr>
          <w:rFonts w:ascii="Arial" w:cs="Arial" w:eastAsia="Arial" w:hAnsi="Arial"/>
          <w:sz w:val="19"/>
          <w:szCs w:val="19"/>
          <w:color w:val="auto"/>
        </w:rPr>
        <w:t>. The headings of this Agreement are for purposes of reference only and shall not limit or otherwise affect the meaning hereof.</w:t>
      </w:r>
    </w:p>
    <w:p>
      <w:pPr>
        <w:spacing w:after="0" w:line="121"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b w:val="1"/>
          <w:bCs w:val="1"/>
          <w:u w:val="single" w:color="auto"/>
          <w:color w:val="auto"/>
        </w:rPr>
        <w:t>Effect of Agreement</w:t>
      </w:r>
      <w:r>
        <w:rPr>
          <w:rFonts w:ascii="Arial" w:cs="Arial" w:eastAsia="Arial" w:hAnsi="Arial"/>
          <w:sz w:val="19"/>
          <w:szCs w:val="19"/>
          <w:color w:val="auto"/>
        </w:rPr>
        <w:t>. Except as expressly set forth herein, (i) this</w:t>
      </w:r>
    </w:p>
    <w:p>
      <w:pPr>
        <w:spacing w:after="0" w:line="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Agreement shall not by implication or otherwise limit, impair, constitute a waiver of or otherwise affect the rights and remedies of the Lenders or the Agent,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This Agreement shall constitute a Loan Document for purposes of the Credit Agreement and from and after the Joinder No. 2 Effective Date, all references to the Credit Agreement in any Loan Document and all references in the Credit Agreement to “this Agreement”, “hereunder”, “hereof” or words of like import referring to the Credit Agreement, shall, unless expressly provided otherwise, refer to the Credit Agreement as supplemented hereby. Each Obligor hereby (i) acknowledges all of the terms and conditions of this Agreement and confirms that all of its obligations under the Loan Documents to which it is a party shall continue to apply to the Credit Agreement as supplemented hereby, (ii) in the case of the Subsidiary Guarantor, reaffirms, as of the date hereof, its guarantee of the Secured Obligations under the Guarantee and Security Agreement and (iii) reaffirms its prior grant of Liens on the Collateral (as defined in the Guarantee and Security Agreement) to secure the Secured Obligations pursuant to the Guarantee and Security Agreement, and confirms that all such Liens shall continue in full force in effect after giving effect to this Agreement to secure the Secured Obligations including the Obligations in respect of the Joinder No. 2 New Revolving Commitment. This Agreement shall not constitute a novation of the Credit Agreement or the other Loan Documents.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1240"/>
          </w:cols>
          <w:pgMar w:left="320" w:top="126"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20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NMI HOLDINGS, INC.,</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as Company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Adam Pollitzer</w:t>
      </w:r>
    </w:p>
    <w:p>
      <w:pPr>
        <w:ind w:left="4160"/>
        <w:spacing w:after="0" w:line="238" w:lineRule="auto"/>
        <w:rPr>
          <w:sz w:val="20"/>
          <w:szCs w:val="20"/>
          <w:color w:val="auto"/>
        </w:rPr>
      </w:pPr>
      <w:r>
        <w:rPr>
          <w:rFonts w:ascii="Arial" w:cs="Arial" w:eastAsia="Arial" w:hAnsi="Arial"/>
          <w:sz w:val="22"/>
          <w:szCs w:val="22"/>
          <w:color w:val="auto"/>
        </w:rPr>
        <w:t>Name: Adam Pollitzer</w:t>
      </w:r>
    </w:p>
    <w:p>
      <w:pPr>
        <w:ind w:left="41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5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NMI SERVICES, INC.,</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as a Subsidiary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Adam Pollitzer</w:t>
      </w:r>
    </w:p>
    <w:p>
      <w:pPr>
        <w:ind w:left="4160"/>
        <w:spacing w:after="0" w:line="238" w:lineRule="auto"/>
        <w:rPr>
          <w:sz w:val="20"/>
          <w:szCs w:val="20"/>
          <w:color w:val="auto"/>
        </w:rPr>
      </w:pPr>
      <w:r>
        <w:rPr>
          <w:rFonts w:ascii="Arial" w:cs="Arial" w:eastAsia="Arial" w:hAnsi="Arial"/>
          <w:sz w:val="22"/>
          <w:szCs w:val="22"/>
          <w:color w:val="auto"/>
        </w:rPr>
        <w:t>Name: Adam Pollitzer</w:t>
      </w:r>
    </w:p>
    <w:p>
      <w:pPr>
        <w:ind w:left="4160"/>
        <w:spacing w:after="0"/>
        <w:rPr>
          <w:sz w:val="20"/>
          <w:szCs w:val="20"/>
          <w:color w:val="auto"/>
        </w:rPr>
      </w:pPr>
      <w:r>
        <w:rPr>
          <w:rFonts w:ascii="Arial" w:cs="Arial" w:eastAsia="Arial" w:hAnsi="Arial"/>
          <w:sz w:val="22"/>
          <w:szCs w:val="22"/>
          <w:color w:val="auto"/>
        </w:rPr>
        <w:t>Title: Chief Financial Officer &amp; Treasurer</w:t>
      </w:r>
    </w:p>
    <w:p>
      <w:pPr>
        <w:sectPr>
          <w:pgSz w:w="11900" w:h="16838" w:orient="portrait"/>
          <w:cols w:equalWidth="0" w:num="1">
            <w:col w:w="11240"/>
          </w:cols>
          <w:pgMar w:left="320" w:top="12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Agent</w:t>
      </w:r>
    </w:p>
    <w:p>
      <w:pPr>
        <w:spacing w:after="0" w:line="200" w:lineRule="exact"/>
        <w:rPr>
          <w:sz w:val="20"/>
          <w:szCs w:val="20"/>
          <w:color w:val="auto"/>
        </w:rPr>
      </w:pPr>
    </w:p>
    <w:p>
      <w:pPr>
        <w:spacing w:after="0" w:line="258"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Kristen M. Murphy</w:t>
      </w:r>
    </w:p>
    <w:p>
      <w:pPr>
        <w:ind w:left="3680"/>
        <w:spacing w:after="0" w:line="238" w:lineRule="auto"/>
        <w:rPr>
          <w:sz w:val="20"/>
          <w:szCs w:val="20"/>
          <w:color w:val="auto"/>
        </w:rPr>
      </w:pPr>
      <w:r>
        <w:rPr>
          <w:rFonts w:ascii="Arial" w:cs="Arial" w:eastAsia="Arial" w:hAnsi="Arial"/>
          <w:sz w:val="22"/>
          <w:szCs w:val="22"/>
          <w:color w:val="auto"/>
        </w:rPr>
        <w:t>Name: Kristen M. Murphy</w:t>
      </w:r>
    </w:p>
    <w:p>
      <w:pPr>
        <w:ind w:left="368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0120"/>
          </w:cols>
          <w:pgMar w:left="1440" w:top="126"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CITIBANK, N.A.,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58"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Modin</w:t>
      </w:r>
    </w:p>
    <w:p>
      <w:pPr>
        <w:ind w:left="3680"/>
        <w:spacing w:after="0" w:line="238" w:lineRule="auto"/>
        <w:rPr>
          <w:sz w:val="20"/>
          <w:szCs w:val="20"/>
          <w:color w:val="auto"/>
        </w:rPr>
      </w:pPr>
      <w:r>
        <w:rPr>
          <w:rFonts w:ascii="Arial" w:cs="Arial" w:eastAsia="Arial" w:hAnsi="Arial"/>
          <w:sz w:val="22"/>
          <w:szCs w:val="22"/>
          <w:color w:val="auto"/>
        </w:rPr>
        <w:t>Name: John Modin</w:t>
      </w:r>
    </w:p>
    <w:p>
      <w:pPr>
        <w:ind w:left="3420"/>
        <w:spacing w:after="0"/>
        <w:rPr>
          <w:sz w:val="20"/>
          <w:szCs w:val="20"/>
          <w:color w:val="auto"/>
        </w:rPr>
      </w:pPr>
      <w:r>
        <w:rPr>
          <w:rFonts w:ascii="Arial" w:cs="Arial" w:eastAsia="Arial" w:hAnsi="Arial"/>
          <w:sz w:val="22"/>
          <w:szCs w:val="22"/>
          <w:color w:val="auto"/>
        </w:rPr>
        <w:t>Title:Vice President and Managing Director</w:t>
      </w:r>
    </w:p>
    <w:p>
      <w:pPr>
        <w:sectPr>
          <w:pgSz w:w="11900" w:h="16838" w:orient="portrait"/>
          <w:cols w:equalWidth="0" w:num="1">
            <w:col w:w="10120"/>
          </w:cols>
          <w:pgMar w:left="1440" w:top="126"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Claudia J. Merkle, certify that:</w:t>
      </w:r>
    </w:p>
    <w:p>
      <w:pPr>
        <w:spacing w:after="0" w:line="11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971"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4220" w:type="dxa"/>
            <w:vAlign w:val="bottom"/>
            <w:gridSpan w:val="2"/>
          </w:tcPr>
          <w:p>
            <w:pPr>
              <w:spacing w:after="0"/>
              <w:rPr>
                <w:sz w:val="20"/>
                <w:szCs w:val="20"/>
                <w:color w:val="auto"/>
              </w:rPr>
            </w:pPr>
            <w:r>
              <w:rPr>
                <w:rFonts w:ascii="Arial" w:cs="Arial" w:eastAsia="Arial" w:hAnsi="Arial"/>
                <w:sz w:val="18"/>
                <w:szCs w:val="18"/>
                <w:color w:val="auto"/>
              </w:rPr>
              <w:t>May 4, 2021</w:t>
            </w:r>
          </w:p>
        </w:tc>
        <w:tc>
          <w:tcPr>
            <w:tcW w:w="2800" w:type="dxa"/>
            <w:vAlign w:val="bottom"/>
          </w:tcPr>
          <w:p>
            <w:pPr>
              <w:spacing w:after="0"/>
              <w:rPr>
                <w:sz w:val="20"/>
                <w:szCs w:val="20"/>
                <w:color w:val="auto"/>
              </w:rPr>
            </w:pPr>
            <w:r>
              <w:rPr>
                <w:rFonts w:ascii="Arial" w:cs="Arial" w:eastAsia="Arial" w:hAnsi="Arial"/>
                <w:sz w:val="18"/>
                <w:szCs w:val="18"/>
                <w:color w:val="auto"/>
              </w:rPr>
              <w:t>/s/ Claudia J. Merkle</w:t>
            </w:r>
          </w:p>
        </w:tc>
      </w:tr>
      <w:tr>
        <w:trPr>
          <w:trHeight w:val="249"/>
        </w:trPr>
        <w:tc>
          <w:tcPr>
            <w:tcW w:w="920" w:type="dxa"/>
            <w:vAlign w:val="bottom"/>
            <w:tcBorders>
              <w:top w:val="single" w:sz="8" w:color="auto"/>
            </w:tcBorders>
          </w:tcPr>
          <w:p>
            <w:pPr>
              <w:spacing w:after="0"/>
              <w:rPr>
                <w:sz w:val="21"/>
                <w:szCs w:val="21"/>
                <w:color w:val="auto"/>
              </w:rPr>
            </w:pPr>
          </w:p>
        </w:tc>
        <w:tc>
          <w:tcPr>
            <w:tcW w:w="3300" w:type="dxa"/>
            <w:vAlign w:val="bottom"/>
          </w:tcPr>
          <w:p>
            <w:pPr>
              <w:spacing w:after="0"/>
              <w:rPr>
                <w:sz w:val="21"/>
                <w:szCs w:val="21"/>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Claudia J. Merkle</w:t>
            </w:r>
          </w:p>
        </w:tc>
      </w:tr>
      <w:tr>
        <w:trPr>
          <w:trHeight w:val="230"/>
        </w:trPr>
        <w:tc>
          <w:tcPr>
            <w:tcW w:w="9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9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7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158"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820" w:hanging="326"/>
        <w:spacing w:after="0" w:line="263" w:lineRule="auto"/>
        <w:tabs>
          <w:tab w:leader="none" w:pos="81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0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820" w:hanging="326"/>
        <w:spacing w:after="0" w:line="308" w:lineRule="auto"/>
        <w:tabs>
          <w:tab w:leader="none" w:pos="811"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820" w:hanging="326"/>
        <w:spacing w:after="0" w:line="263" w:lineRule="auto"/>
        <w:tabs>
          <w:tab w:leader="none" w:pos="80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820" w:hanging="326"/>
        <w:spacing w:after="0" w:line="277" w:lineRule="auto"/>
        <w:tabs>
          <w:tab w:leader="none" w:pos="81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820" w:hanging="326"/>
        <w:spacing w:after="0" w:line="277" w:lineRule="auto"/>
        <w:tabs>
          <w:tab w:leader="none" w:pos="80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May 4, 2021</w:t>
            </w:r>
          </w:p>
        </w:tc>
        <w:tc>
          <w:tcPr>
            <w:tcW w:w="2880" w:type="dxa"/>
            <w:vAlign w:val="bottom"/>
          </w:tcPr>
          <w:p>
            <w:pPr>
              <w:spacing w:after="0"/>
              <w:rPr>
                <w:sz w:val="20"/>
                <w:szCs w:val="20"/>
                <w:color w:val="auto"/>
              </w:rPr>
            </w:pPr>
            <w:r>
              <w:rPr>
                <w:rFonts w:ascii="Arial" w:cs="Arial" w:eastAsia="Arial" w:hAnsi="Arial"/>
                <w:sz w:val="18"/>
                <w:szCs w:val="18"/>
                <w:color w:val="auto"/>
              </w:rPr>
              <w:t>/s/ Adam Pollitzer</w:t>
            </w:r>
          </w:p>
        </w:tc>
      </w:tr>
      <w:tr>
        <w:trPr>
          <w:trHeight w:val="249"/>
        </w:trPr>
        <w:tc>
          <w:tcPr>
            <w:tcW w:w="920" w:type="dxa"/>
            <w:vAlign w:val="bottom"/>
            <w:tcBorders>
              <w:top w:val="single" w:sz="8" w:color="auto"/>
            </w:tcBorders>
          </w:tcPr>
          <w:p>
            <w:pPr>
              <w:spacing w:after="0"/>
              <w:rPr>
                <w:sz w:val="21"/>
                <w:szCs w:val="21"/>
                <w:color w:val="auto"/>
              </w:rPr>
            </w:pPr>
          </w:p>
        </w:tc>
        <w:tc>
          <w:tcPr>
            <w:tcW w:w="3280" w:type="dxa"/>
            <w:vAlign w:val="bottom"/>
          </w:tcPr>
          <w:p>
            <w:pPr>
              <w:spacing w:after="0"/>
              <w:rPr>
                <w:sz w:val="21"/>
                <w:szCs w:val="21"/>
                <w:color w:val="auto"/>
              </w:rPr>
            </w:pPr>
          </w:p>
        </w:tc>
        <w:tc>
          <w:tcPr>
            <w:tcW w:w="2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S. Pollitzer</w:t>
            </w:r>
          </w:p>
        </w:tc>
      </w:tr>
      <w:tr>
        <w:trPr>
          <w:trHeight w:val="230"/>
        </w:trPr>
        <w:tc>
          <w:tcPr>
            <w:tcW w:w="9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9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7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March 31, 2021,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May 4, 2021</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Claudia J. Merkle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Claudia Merkle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May 4, 2021</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Adam S. Pollitzer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Adam S. Pollitzer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1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lowerRoman"/>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lowerRoman"/>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lowerRoman"/>
      <w:start w:val="3"/>
    </w:lvl>
  </w:abstractNum>
  <w:abstractNum w:abstractNumId="25">
    <w:nsid w:val="737B8DDC"/>
    <w:multiLevelType w:val="hybridMultilevel"/>
    <w:lvl w:ilvl="0">
      <w:lvlJc w:val="left"/>
      <w:lvlText w:val="(%1)"/>
      <w:numFmt w:val="lowerRoman"/>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lvl w:ilvl="1">
      <w:lvlJc w:val="left"/>
      <w:lvlText w:val="%2"/>
      <w:numFmt w:val="decimal"/>
      <w:start w:val="101"/>
    </w:lvl>
    <w:lvl w:ilvl="2">
      <w:lvlJc w:val="left"/>
      <w:lvlText w:val="(%3)"/>
      <w:numFmt w:val="lowerRoman"/>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Roman"/>
      <w:start w:val="1"/>
    </w:lvl>
  </w:abstractNum>
  <w:abstractNum w:abstractNumId="33">
    <w:nsid w:val="440BADFC"/>
    <w:multiLevelType w:val="hybridMultilevel"/>
    <w:lvl w:ilvl="0">
      <w:lvlJc w:val="left"/>
      <w:lvlText w:val="(%1)"/>
      <w:numFmt w:val="lowerRoman"/>
      <w:start w:val="3"/>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91" Type="http://schemas.openxmlformats.org/officeDocument/2006/relationships/image" Target="media/image64.png"/><Relationship Id="rId112" Type="http://schemas.openxmlformats.org/officeDocument/2006/relationships/image" Target="media/image65.png"/><Relationship Id="rId124" Type="http://schemas.openxmlformats.org/officeDocument/2006/relationships/image" Target="media/image66.png"/><Relationship Id="rId125" Type="http://schemas.openxmlformats.org/officeDocument/2006/relationships/image" Target="media/image67.png"/><Relationship Id="rId71" Type="http://schemas.openxmlformats.org/officeDocument/2006/relationships/hyperlink" Target="http://www.sec.gov/Archives/edgar/data/1547903/000154790313000020/a21macstockpurchaseagreeme.htm" TargetMode="External"/><Relationship Id="rId72" Type="http://schemas.openxmlformats.org/officeDocument/2006/relationships/hyperlink" Target="http://www.sec.gov/Archives/edgar/data/1547903/000154790313000020/a22amendmenttomacpurhcasea.htm" TargetMode="External"/><Relationship Id="rId73" Type="http://schemas.openxmlformats.org/officeDocument/2006/relationships/hyperlink" Target="http://www.sec.gov/Archives/edgar/data/1547903/000154790313000020/a31secondamendedandrestate.htm" TargetMode="External"/><Relationship Id="rId74" Type="http://schemas.openxmlformats.org/officeDocument/2006/relationships/hyperlink" Target="http://www.sec.gov/Archives/edgar/data/1547903/000154790314000152/exhibit31december92014.htm" TargetMode="External"/><Relationship Id="rId75" Type="http://schemas.openxmlformats.org/officeDocument/2006/relationships/hyperlink" Target="http://www.sec.gov/Archives/edgar/data/1547903/000154790313000020/a41specimenclassacommonsto.htm" TargetMode="External"/><Relationship Id="rId76" Type="http://schemas.openxmlformats.org/officeDocument/2006/relationships/hyperlink" Target="http://www.sec.gov/Archives/edgar/data/1547903/000154790313000020/a42registrationrightsagree.htm" TargetMode="External"/><Relationship Id="rId77" Type="http://schemas.openxmlformats.org/officeDocument/2006/relationships/hyperlink" Target="http://www.sec.gov/Archives/edgar/data/1547903/000154790313000020/a43registrationrightsagree.htm" TargetMode="External"/><Relationship Id="rId78" Type="http://schemas.openxmlformats.org/officeDocument/2006/relationships/hyperlink" Target="http://www.sec.gov/Archives/edgar/data/1547903/000154790313000020/a44registrationrightsagree.htm" TargetMode="External"/><Relationship Id="rId79" Type="http://schemas.openxmlformats.org/officeDocument/2006/relationships/hyperlink" Target="http://www.sec.gov/Archives/edgar/data/1547903/000154790313000020/a45warrantno1fbrcapitalmar.htm" TargetMode="External"/><Relationship Id="rId80" Type="http://schemas.openxmlformats.org/officeDocument/2006/relationships/hyperlink" Target="http://www.sec.gov/Archives/edgar/data/1547903/000154790313000020/a46warrantno2macfinancial4.htm" TargetMode="External"/><Relationship Id="rId81" Type="http://schemas.openxmlformats.org/officeDocument/2006/relationships/hyperlink" Target="https://www.sec.gov/Archives/edgar/data/1547903/000119312520174237/d949308dex41.htm" TargetMode="External"/><Relationship Id="rId82" Type="http://schemas.openxmlformats.org/officeDocument/2006/relationships/hyperlink" Target="http://www.sec.gov/Archives/edgar/data/1547903/000154790313000020/a101nmiholdingsinc2012stoc.htm" TargetMode="External"/><Relationship Id="rId83" Type="http://schemas.openxmlformats.org/officeDocument/2006/relationships/hyperlink" Target="http://www.sec.gov/Archives/edgar/data/1547903/000154790313000020/a103formofnmiholdingsinc20.htm" TargetMode="External"/><Relationship Id="rId84" Type="http://schemas.openxmlformats.org/officeDocument/2006/relationships/hyperlink" Target="http://www.sec.gov/Archives/edgar/data/1547903/000154790313000020/a105formofnonqualifiedstoc.htm" TargetMode="External"/><Relationship Id="rId85" Type="http://schemas.openxmlformats.org/officeDocument/2006/relationships/hyperlink" Target="http://www.sec.gov/Archives/edgar/data/1547903/000154790313000020/a106formofnonqualifiedstoc.htm" TargetMode="External"/><Relationship Id="rId86" Type="http://schemas.openxmlformats.org/officeDocument/2006/relationships/hyperlink" Target="http://www.sec.gov/Archives/edgar/data/1547903/000154790313000020/a107formofnonqualifiedstoc.htm" TargetMode="External"/><Relationship Id="rId87" Type="http://schemas.openxmlformats.org/officeDocument/2006/relationships/hyperlink" Target="http://www.sec.gov/Archives/edgar/data/1547903/000154790317000032/exhibit108-2012stockincent.htm" TargetMode="External"/><Relationship Id="rId88" Type="http://schemas.openxmlformats.org/officeDocument/2006/relationships/hyperlink" Target="http://www.sec.gov/Archives/edgar/data/1547903/000154790317000032/exhibit109-2012stockincent.htm" TargetMode="External"/><Relationship Id="rId89" Type="http://schemas.openxmlformats.org/officeDocument/2006/relationships/hyperlink" Target="http://www.sec.gov/Archives/edgar/data/1547903/000154790315000172/a20151223shusteremployment.htm" TargetMode="External"/><Relationship Id="rId90" Type="http://schemas.openxmlformats.org/officeDocument/2006/relationships/hyperlink" Target="http://www.sec.gov/Archives/edgar/data/1547903/000154790316000230/exhibit1010leatherberrybil.htm" TargetMode="External"/><Relationship Id="rId92" Type="http://schemas.openxmlformats.org/officeDocument/2006/relationships/hyperlink" Target="http://www.sec.gov/Archives/edgar/data/1547903/000154790317000003/exhibit101offerletterdated.htm" TargetMode="External"/><Relationship Id="rId93" Type="http://schemas.openxmlformats.org/officeDocument/2006/relationships/hyperlink" Target="http://www.sec.gov/Archives/edgar/data/1547903/000154790314000146/exhibit101november252014.htm" TargetMode="External"/><Relationship Id="rId94" Type="http://schemas.openxmlformats.org/officeDocument/2006/relationships/hyperlink" Target="http://www.sec.gov/Archives/edgar/data/1547903/000154790313000020/a1014commitmentletterforbu.htm" TargetMode="External"/><Relationship Id="rId95" Type="http://schemas.openxmlformats.org/officeDocument/2006/relationships/hyperlink" Target="http://www.sec.gov/Archives/edgar/data/1547903/000154790315000142/nmihexhibit41tlb.htm" TargetMode="External"/><Relationship Id="rId96" Type="http://schemas.openxmlformats.org/officeDocument/2006/relationships/hyperlink" Target="http://www.sec.gov/Archives/edgar/data/1547903/000154790317000005/exhibit101tlaandannex.htm" TargetMode="External"/><Relationship Id="rId97" Type="http://schemas.openxmlformats.org/officeDocument/2006/relationships/hyperlink" Target="http://www.sec.gov/Archives/edgar/data/1547903/000154790317000115/exhibit101amendmentno2.htm" TargetMode="External"/><Relationship Id="rId98" Type="http://schemas.openxmlformats.org/officeDocument/2006/relationships/hyperlink" Target="http://www.sec.gov/Archives/edgar/data/1547903/000154790318000088/exhibit41-creditagreement.htm" TargetMode="External"/><Relationship Id="rId99" Type="http://schemas.openxmlformats.org/officeDocument/2006/relationships/hyperlink" Target="https://www.sec.gov/Archives/edgar/data/1547903/000154790320000032/exhibit101-extensionam.htm" TargetMode="External"/><Relationship Id="rId100" Type="http://schemas.openxmlformats.org/officeDocument/2006/relationships/hyperlink" Target="https://www.sec.gov/Archives/edgar/data/1547903/000154790320000032/exhibit102joinderagree.htm" TargetMode="External"/><Relationship Id="rId101" Type="http://schemas.openxmlformats.org/officeDocument/2006/relationships/hyperlink" Target="https://www.sec.gov/Archives/edgar/data/1547903/000154790320000043/exhibit101-amendmentto.htm" TargetMode="External"/><Relationship Id="rId102" Type="http://schemas.openxmlformats.org/officeDocument/2006/relationships/hyperlink" Target="http://www.sec.gov/Archives/edgar/data/1547903/000154790317000043/nmihproxy2017.htm" TargetMode="External"/><Relationship Id="rId103" Type="http://schemas.openxmlformats.org/officeDocument/2006/relationships/hyperlink" Target="http://www.sec.gov/Archives/edgar/data/1547903/000154790317000100/ex1019rsuceo.htm" TargetMode="External"/><Relationship Id="rId104" Type="http://schemas.openxmlformats.org/officeDocument/2006/relationships/hyperlink" Target="http://www.sec.gov/Archives/edgar/data/1547903/000154790317000100/ex1020rsueo.htm" TargetMode="External"/><Relationship Id="rId105" Type="http://schemas.openxmlformats.org/officeDocument/2006/relationships/hyperlink" Target="http://www.sec.gov/Archives/edgar/data/1547903/000154790317000100/ex1021rsuee.htm" TargetMode="External"/><Relationship Id="rId106" Type="http://schemas.openxmlformats.org/officeDocument/2006/relationships/hyperlink" Target="http://www.sec.gov/Archives/edgar/data/1547903/000154790317000100/ex1022rsuindependentdirect.htm" TargetMode="External"/><Relationship Id="rId107" Type="http://schemas.openxmlformats.org/officeDocument/2006/relationships/hyperlink" Target="http://www.sec.gov/Archives/edgar/data/1547903/000154790317000100/ex1023nqsceo.htm" TargetMode="External"/><Relationship Id="rId108" Type="http://schemas.openxmlformats.org/officeDocument/2006/relationships/hyperlink" Target="http://www.sec.gov/Archives/edgar/data/1547903/000154790317000100/ex1024nqseoee.htm" TargetMode="External"/><Relationship Id="rId109" Type="http://schemas.openxmlformats.org/officeDocument/2006/relationships/hyperlink" Target="http://www.sec.gov/Archives/edgar/data/1547903/000154790317000032/exhibit1026-2014omnibusinc.htm" TargetMode="External"/><Relationship Id="rId110" Type="http://schemas.openxmlformats.org/officeDocument/2006/relationships/hyperlink" Target="http://www.sec.gov/Archives/edgar/data/1547903/000154790316000185/ex101severancebenefitplan.htm" TargetMode="External"/><Relationship Id="rId111" Type="http://schemas.openxmlformats.org/officeDocument/2006/relationships/hyperlink" Target="http://www.sec.gov/Archives/edgar/data/1547903/000154790318000133/exhibit1030arcicsbp.htm" TargetMode="External"/><Relationship Id="rId113" Type="http://schemas.openxmlformats.org/officeDocument/2006/relationships/hyperlink" Target="http://www.sec.gov/Archives/edgar/data/1547903/000154790317000035/exhibit102.htm" TargetMode="External"/><Relationship Id="rId114" Type="http://schemas.openxmlformats.org/officeDocument/2006/relationships/hyperlink" Target="http://www.sec.gov/Archives/edgar/data/1547903/000154790318000137/exhibit101shuster.htm" TargetMode="External"/><Relationship Id="rId115" Type="http://schemas.openxmlformats.org/officeDocument/2006/relationships/hyperlink" Target="http://www.sec.gov/Archives/edgar/data/1547903/000154790318000137/exhibit102merkle.htm" TargetMode="External"/><Relationship Id="rId116" Type="http://schemas.openxmlformats.org/officeDocument/2006/relationships/hyperlink" Target="http://www.sec.gov/Archives/edgar/data/1547903/000154790319000064/exhibit1030.htm" TargetMode="External"/><Relationship Id="rId117" Type="http://schemas.openxmlformats.org/officeDocument/2006/relationships/hyperlink" Target="http://www.sec.gov/Archives/edgar/data/1547903/000154790319000064/exhibit1031.htm" TargetMode="External"/><Relationship Id="rId118" Type="http://schemas.openxmlformats.org/officeDocument/2006/relationships/hyperlink" Target="http://www.sec.gov/Archives/edgar/data/1547903/000154790319000064/exhibit1032.htm" TargetMode="External"/><Relationship Id="rId119" Type="http://schemas.openxmlformats.org/officeDocument/2006/relationships/hyperlink" Target="http://www.sec.gov/Archives/edgar/data/1547903/000154790319000064/exhibit1033.htm" TargetMode="External"/><Relationship Id="rId120" Type="http://schemas.openxmlformats.org/officeDocument/2006/relationships/hyperlink" Target="http://www.sec.gov/Archives/edgar/data/1547903/000154790319000064/exhibit1034.htm" TargetMode="External"/><Relationship Id="rId121" Type="http://schemas.openxmlformats.org/officeDocument/2006/relationships/hyperlink" Target="http://www.sec.gov/Archives/edgar/data/1547903/000154790319000064/exhibit1035.htm" TargetMode="External"/><Relationship Id="rId122" Type="http://schemas.openxmlformats.org/officeDocument/2006/relationships/hyperlink" Target="https://www.sec.gov/Archives/edgar/data/1547903/000154790320000045/ex1038202010q.htm" TargetMode="External"/><Relationship Id="rId123"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2021-05-05T05:36:27Z</dcterms:created>
  <dcterms:modified xsi:type="dcterms:W3CDTF">2021-05-05T05:36:27Z</dcterms:modified>
</cp:coreProperties>
</file>