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rPr/>
        <w:tc>
          <w:tcPr>
            <w:tcW w:w="98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18"/>
        </w:rPr>
        <w:t xml:space="preserve">Commission file number </w:t>
      </w:r>
      <w:r>
        <w:rPr>
          <w:rFonts w:ascii="Times New Roman;serif" w:hAnsi="Times New Roman;serif"/>
          <w:b/>
          <w:color w:val="000000"/>
          <w:sz w:val="18"/>
        </w:rPr>
        <w:t xml:space="preserve">001-36174 </w:t>
      </w:r>
    </w:p>
    <w:tbl>
      <w:tblPr>
        <w:tblW w:w="3720" w:type="dxa"/>
        <w:jc w:val="center"/>
        <w:tblInd w:w="0" w:type="dxa"/>
        <w:tblLayout w:type="fixed"/>
        <w:tblCellMar>
          <w:top w:w="28" w:type="dxa"/>
          <w:left w:w="28" w:type="dxa"/>
          <w:bottom w:w="28" w:type="dxa"/>
          <w:right w:w="28" w:type="dxa"/>
        </w:tblCellMar>
      </w:tblPr>
      <w:tblGrid>
        <w:gridCol w:w="1192"/>
        <w:gridCol w:w="1046"/>
        <w:gridCol w:w="1482"/>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NMI Holdings, Inc.</w:t>
            </w:r>
          </w:p>
        </w:tc>
      </w:tr>
      <w:tr>
        <w:trPr/>
        <w:tc>
          <w:tcPr>
            <w:tcW w:w="3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r>
    </w:tbl>
    <w:tbl>
      <w:tblPr>
        <w:tblW w:w="8540" w:type="dxa"/>
        <w:jc w:val="center"/>
        <w:tblInd w:w="0" w:type="dxa"/>
        <w:tblLayout w:type="fixed"/>
        <w:tblCellMar>
          <w:top w:w="28" w:type="dxa"/>
          <w:left w:w="28" w:type="dxa"/>
          <w:bottom w:w="28" w:type="dxa"/>
          <w:right w:w="28" w:type="dxa"/>
        </w:tblCellMar>
      </w:tblPr>
      <w:tblGrid>
        <w:gridCol w:w="614"/>
        <w:gridCol w:w="540"/>
        <w:gridCol w:w="540"/>
        <w:gridCol w:w="301"/>
        <w:gridCol w:w="301"/>
        <w:gridCol w:w="301"/>
        <w:gridCol w:w="355"/>
        <w:gridCol w:w="355"/>
        <w:gridCol w:w="356"/>
        <w:gridCol w:w="301"/>
        <w:gridCol w:w="301"/>
        <w:gridCol w:w="301"/>
        <w:gridCol w:w="301"/>
        <w:gridCol w:w="301"/>
        <w:gridCol w:w="301"/>
        <w:gridCol w:w="109"/>
        <w:gridCol w:w="109"/>
        <w:gridCol w:w="109"/>
        <w:gridCol w:w="801"/>
        <w:gridCol w:w="801"/>
        <w:gridCol w:w="1142"/>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45-4914248</w:t>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2100 Powell Street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Emeryville</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94608</w:t>
            </w:r>
          </w:p>
        </w:tc>
      </w:tr>
      <w:tr>
        <w:trP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(855) 530-6642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NMIH</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180"/>
        <w:jc w:val="both"/>
        <w:rPr/>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180"/>
        <w:jc w:val="both"/>
        <w:rPr/>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both"/>
        <w:rPr/>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$0.01 par value per share, of the registrant outstanding on July 27, 2026 was 75,217,851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923"/>
        <w:gridCol w:w="809"/>
        <w:gridCol w:w="809"/>
        <w:gridCol w:w="2417"/>
        <w:gridCol w:w="2414"/>
        <w:gridCol w:w="2459"/>
        <w:gridCol w:w="109"/>
        <w:gridCol w:w="109"/>
        <w:gridCol w:w="156"/>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3">
              <w:r>
                <w:rPr>
                  <w:rStyle w:val="InternetLink"/>
                  <w:rFonts w:ascii="Times New Roman;serif" w:hAnsi="Times New Roman;serif"/>
                  <w:b/>
                  <w:color w:val="0000FF"/>
                  <w:sz w:val="20"/>
                  <w:u w:val="single"/>
                </w:rPr>
                <w:t>Cautionary Note Regarding Forward-Looking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3">
              <w:r>
                <w:rPr>
                  <w:rStyle w:val="InternetLink"/>
                  <w:rFonts w:ascii="Times New Roman;serif" w:hAnsi="Times New Roman;serif"/>
                  <w:b w:val="false"/>
                  <w:color w:val="0000FF"/>
                  <w:sz w:val="20"/>
                  <w:u w:val="single"/>
                </w:rPr>
                <w:t>4</w:t>
              </w:r>
            </w:hyperlink>
          </w:p>
        </w:tc>
      </w:tr>
      <w:tr>
        <w:trPr/>
        <w:tc>
          <w:tcPr>
            <w:tcW w:w="9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6">
              <w:r>
                <w:rPr>
                  <w:rStyle w:val="InternetLink"/>
                  <w:rFonts w:ascii="Times New Roman;serif" w:hAnsi="Times New Roman;serif"/>
                  <w:b/>
                  <w:color w:val="0000FF"/>
                  <w:sz w:val="20"/>
                  <w:u w:val="single"/>
                </w:rPr>
                <w:t xml:space="preserve">PART I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6">
              <w:r>
                <w:rPr>
                  <w:rStyle w:val="InternetLink"/>
                  <w:rFonts w:ascii="Times New Roman;serif" w:hAnsi="Times New Roman;serif"/>
                  <w:b w:val="false"/>
                  <w:color w:val="0000FF"/>
                  <w:sz w:val="20"/>
                  <w:u w:val="single"/>
                </w:rPr>
                <w:t>6</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9">
              <w:r>
                <w:rPr>
                  <w:rStyle w:val="InternetLink"/>
                  <w:rFonts w:ascii="Times New Roman;serif" w:hAnsi="Times New Roman;serif"/>
                  <w:b w:val="false"/>
                  <w:color w:val="0000FF"/>
                  <w:sz w:val="20"/>
                  <w:u w:val="single"/>
                </w:rPr>
                <w:t>Financial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9">
              <w:r>
                <w:rPr>
                  <w:rStyle w:val="InternetLink"/>
                  <w:rFonts w:ascii="Times New Roman;serif" w:hAnsi="Times New Roman;serif"/>
                  <w:b w:val="false"/>
                  <w:color w:val="0000FF"/>
                  <w:sz w:val="20"/>
                  <w:u w:val="single"/>
                </w:rPr>
                <w:t>6</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82">
              <w:r>
                <w:rPr>
                  <w:rStyle w:val="InternetLink"/>
                  <w:rFonts w:ascii="Times New Roman;serif" w:hAnsi="Times New Roman;serif"/>
                  <w:b w:val="false"/>
                  <w:color w:val="0000FF"/>
                  <w:sz w:val="20"/>
                  <w:u w:val="single"/>
                </w:rPr>
                <w:t>28</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39">
              <w:r>
                <w:rPr>
                  <w:rStyle w:val="InternetLink"/>
                  <w:rFonts w:ascii="Times New Roman;serif" w:hAnsi="Times New Roman;serif"/>
                  <w:b w:val="false"/>
                  <w:color w:val="0000FF"/>
                  <w:sz w:val="20"/>
                  <w:u w:val="single"/>
                </w:rPr>
                <w:t>Quantitative and Qualitative Disclosures About Market Risk</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39">
              <w:r>
                <w:rPr>
                  <w:rStyle w:val="InternetLink"/>
                  <w:rFonts w:ascii="Times New Roman;serif" w:hAnsi="Times New Roman;serif"/>
                  <w:b w:val="false"/>
                  <w:color w:val="0000FF"/>
                  <w:sz w:val="20"/>
                  <w:u w:val="single"/>
                </w:rPr>
                <w:t>52</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42">
              <w:r>
                <w:rPr>
                  <w:rStyle w:val="InternetLink"/>
                  <w:rFonts w:ascii="Times New Roman;serif" w:hAnsi="Times New Roman;serif"/>
                  <w:b w:val="false"/>
                  <w:color w:val="0000FF"/>
                  <w:sz w:val="20"/>
                  <w:u w:val="single"/>
                </w:rPr>
                <w:t>Controls and Procedures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42">
              <w:r>
                <w:rPr>
                  <w:rStyle w:val="InternetLink"/>
                  <w:rFonts w:ascii="Times New Roman;serif" w:hAnsi="Times New Roman;serif"/>
                  <w:b w:val="false"/>
                  <w:color w:val="0000FF"/>
                  <w:sz w:val="20"/>
                  <w:u w:val="single"/>
                </w:rPr>
                <w:t>53</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45">
              <w:r>
                <w:rPr>
                  <w:rStyle w:val="InternetLink"/>
                  <w:rFonts w:ascii="Times New Roman;serif" w:hAnsi="Times New Roman;serif"/>
                  <w:b/>
                  <w:color w:val="0000FF"/>
                  <w:sz w:val="20"/>
                  <w:u w:val="single"/>
                </w:rPr>
                <w:t>PART II</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45">
              <w:r>
                <w:rPr>
                  <w:rStyle w:val="InternetLink"/>
                  <w:rFonts w:ascii="Times New Roman;serif" w:hAnsi="Times New Roman;serif"/>
                  <w:b w:val="false"/>
                  <w:color w:val="0000FF"/>
                  <w:sz w:val="20"/>
                  <w:u w:val="single"/>
                </w:rPr>
                <w:t>54</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48">
              <w:r>
                <w:rPr>
                  <w:rStyle w:val="InternetLink"/>
                  <w:rFonts w:ascii="Times New Roman;serif" w:hAnsi="Times New Roman;serif"/>
                  <w:b w:val="false"/>
                  <w:color w:val="0000FF"/>
                  <w:sz w:val="20"/>
                  <w:u w:val="single"/>
                </w:rPr>
                <w:t>Legal Proceedings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48">
              <w:r>
                <w:rPr>
                  <w:rStyle w:val="InternetLink"/>
                  <w:rFonts w:ascii="Times New Roman;serif" w:hAnsi="Times New Roman;serif"/>
                  <w:b w:val="false"/>
                  <w:color w:val="0000FF"/>
                  <w:sz w:val="20"/>
                  <w:u w:val="single"/>
                </w:rPr>
                <w:t>54</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51">
              <w:r>
                <w:rPr>
                  <w:rStyle w:val="InternetLink"/>
                  <w:rFonts w:ascii="Times New Roman;serif" w:hAnsi="Times New Roman;serif"/>
                  <w:b w:val="false"/>
                  <w:color w:val="0000FF"/>
                  <w:sz w:val="20"/>
                  <w:u w:val="single"/>
                </w:rPr>
                <w:t>Risk Factors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51">
              <w:r>
                <w:rPr>
                  <w:rStyle w:val="InternetLink"/>
                  <w:rFonts w:ascii="Times New Roman;serif" w:hAnsi="Times New Roman;serif"/>
                  <w:b w:val="false"/>
                  <w:color w:val="0000FF"/>
                  <w:sz w:val="20"/>
                  <w:u w:val="single"/>
                </w:rPr>
                <w:t>54</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54">
              <w:r>
                <w:rPr>
                  <w:rStyle w:val="InternetLink"/>
                  <w:rFonts w:ascii="Times New Roman;serif" w:hAnsi="Times New Roman;serif"/>
                  <w:b w:val="false"/>
                  <w:color w:val="0000FF"/>
                  <w:sz w:val="20"/>
                  <w:u w:val="single"/>
                </w:rPr>
                <w:t>Unregistered Sales of Equity Securities and Use of Proceeds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54">
              <w:r>
                <w:rPr>
                  <w:rStyle w:val="InternetLink"/>
                  <w:rFonts w:ascii="Times New Roman;serif" w:hAnsi="Times New Roman;serif"/>
                  <w:b w:val="false"/>
                  <w:color w:val="0000FF"/>
                  <w:sz w:val="20"/>
                  <w:u w:val="single"/>
                </w:rPr>
                <w:t>54</w:t>
              </w:r>
            </w:hyperlink>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57">
              <w:r>
                <w:rPr>
                  <w:rStyle w:val="InternetLink"/>
                  <w:rFonts w:ascii="Times New Roman;serif" w:hAnsi="Times New Roman;serif"/>
                  <w:b w:val="false"/>
                  <w:color w:val="0000FF"/>
                  <w:sz w:val="20"/>
                  <w:u w:val="single"/>
                </w:rPr>
                <w:t>Other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57">
              <w:r>
                <w:rPr>
                  <w:rStyle w:val="InternetLink"/>
                  <w:rFonts w:ascii="Times New Roman;serif" w:hAnsi="Times New Roman;serif"/>
                  <w:b w:val="false"/>
                  <w:color w:val="0000FF"/>
                  <w:sz w:val="20"/>
                  <w:u w:val="single"/>
                </w:rPr>
                <w:t>55</w:t>
              </w:r>
            </w:hyperlink>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69">
              <w:r>
                <w:rPr>
                  <w:rStyle w:val="InternetLink"/>
                  <w:rFonts w:ascii="Times New Roman;serif" w:hAnsi="Times New Roman;serif"/>
                  <w:b w:val="false"/>
                  <w:color w:val="0000FF"/>
                  <w:sz w:val="20"/>
                  <w:u w:val="single"/>
                </w:rPr>
                <w:t>Exhibits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69">
              <w:r>
                <w:rPr>
                  <w:rStyle w:val="InternetLink"/>
                  <w:rFonts w:ascii="Times New Roman;serif" w:hAnsi="Times New Roman;serif"/>
                  <w:b w:val="false"/>
                  <w:color w:val="0000FF"/>
                  <w:sz w:val="20"/>
                  <w:u w:val="single"/>
                </w:rPr>
                <w:t>56</w:t>
              </w:r>
            </w:hyperlink>
          </w:p>
        </w:tc>
      </w:tr>
      <w:tr>
        <w:trP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77a321eb10a4beb8ae18ec3402e8ab5_172">
              <w:r>
                <w:rPr>
                  <w:rStyle w:val="InternetLink"/>
                  <w:rFonts w:ascii="Times New Roman;serif" w:hAnsi="Times New Roman;serif"/>
                  <w:b/>
                  <w:color w:val="0000FF"/>
                  <w:sz w:val="20"/>
                  <w:u w:val="single"/>
                </w:rPr>
                <w:t>Signatures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172">
              <w:r>
                <w:rPr>
                  <w:rStyle w:val="InternetLink"/>
                  <w:rFonts w:ascii="Times New Roman;serif" w:hAnsi="Times New Roman;serif"/>
                  <w:b w:val="false"/>
                  <w:color w:val="0000FF"/>
                  <w:sz w:val="20"/>
                  <w:u w:val="single"/>
                </w:rPr>
                <w:t>59</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Glossary of Abbreviations and Acronyms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list defines various abbreviations and acronyms used throughout this report and in our Annual Report on Form 10-K for the year ended December 31, 2025.</w:t>
      </w:r>
    </w:p>
    <w:tbl>
      <w:tblPr>
        <w:tblW w:w="9884" w:type="dxa"/>
        <w:jc w:val="left"/>
        <w:tblInd w:w="0" w:type="dxa"/>
        <w:tblLayout w:type="fixed"/>
        <w:tblCellMar>
          <w:top w:w="28" w:type="dxa"/>
          <w:left w:w="28" w:type="dxa"/>
          <w:bottom w:w="28" w:type="dxa"/>
          <w:right w:w="28" w:type="dxa"/>
        </w:tblCellMar>
      </w:tblPr>
      <w:tblGrid>
        <w:gridCol w:w="483"/>
        <w:gridCol w:w="429"/>
        <w:gridCol w:w="438"/>
        <w:gridCol w:w="2497"/>
        <w:gridCol w:w="2497"/>
        <w:gridCol w:w="3540"/>
      </w:tblGrid>
      <w:tr>
        <w:trPr/>
        <w:tc>
          <w:tcPr>
            <w:tcW w:w="48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ASU </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Accounting Standards Update</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BPMI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Borrower-paid mortgage insurance</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CEO</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executive officer</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CODM</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operating decision maker</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DTI</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Debt-to-income</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EPS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Fannie Mae </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Federal National Mortgage Association</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FASB</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Financial Accounting Standards Board</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FHFA</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Federal Housing Finance Agency</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FICO</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Fair Isaac Corporation</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Freddie Mac</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Federal Home Loan Mortgage Corporation</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GAAP</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Generally accepted accounting principles in the U.S.</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GSEs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Government-Sponsored Enterprises (Fannie Mae and Freddie Mac)</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IBNR</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Incurred but not reported</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IIF </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Insurance-in-force</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ILN</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Insurance-linked notes</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IRC</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Internal revenue code</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Information technology</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LTV</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Loan-to-value</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LPMI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Lender-paid mortgage insurance</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MI</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Mortgage insurance</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NAIC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National Association of Insurance Commissioners</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NIW</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New insurance written</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National Mortgage Insurance Corporation, a subsidiary of NMI Holdings, Inc.</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NMIH</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 Holdings, Inc.</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NMIS</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National Mortgage Insurance Services, Inc., a subsidiary of NMI Holdings, Inc.</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PMIERs</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Private mortgage insurer eligibility requirements</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QSR</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Quota share reinsurance</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Rate card</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 fixed schedule of mortgage insurance premium rates applied uniformly across defined loan categories</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Rate GPS</w:t>
            </w:r>
            <w:r>
              <w:rPr>
                <w:rFonts w:ascii="Times New Roman;serif" w:hAnsi="Times New Roman;serif"/>
                <w:b w:val="false"/>
                <w:color w:val="000000"/>
                <w:sz w:val="12"/>
              </w:rPr>
              <w:t>®</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proprietary risk-based pricing platform</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 One</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National Mortgage Reinsurance Inc. One</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RIF</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Risk-in-force</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RSU</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stock units</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RTC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Risk-to-capital</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SAP </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Statutory accounting principles</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 Securities and Exchange Commission</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SOFR</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Secured Overnight Financing Rate</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8534" w:type="dxa"/>
            <w:gridSpan w:val="3"/>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Wisconsin OCI</w:t>
            </w:r>
          </w:p>
        </w:tc>
        <w:tc>
          <w:tcPr>
            <w:tcW w:w="8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 Wisconsin Office of the Commissioner of Insurance</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XOL</w:t>
            </w:r>
          </w:p>
        </w:tc>
        <w:tc>
          <w:tcPr>
            <w:tcW w:w="8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Excess-of-loss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international trade policies in areas such as tariffs or other trade restrictions, and their impacts on our business, operations and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first-time homebuyers or on very high-LTV mortgages; or changes in the direction of housing policy objectives of the Federal Housing Finance Agency (FHFA), such as the FHFA's priority to increase the accessibility to and affordability of homeownership for low- and moderate-income borrowers and underrepresented communities;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remain an eligible mortgage insurer under the private mortgage insurer eligibility requirements (PMIERs) and other requirements imposed by the GSEs, which they may change at any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retention of our existing certificates of authority in each state and the District of Columbia (D.C.) and our ability to remain a mortgage insurer in good standing in each state and D.C.;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future profitability, liquidity and capital resources;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federal tax reform and other potential changes in tax law and their impact on us and our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legislative or regulatory changes to the GSEs' role in the secondary mortgage market or other changes that could affect the residential mortgage industry generally or mortgage insurance industry in particular;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legal and regulatory claims, investigations, actions, audits or inquiries that could result in adverse judgments, settlements, fines or other relief that could require significant expenditures or have other negative effects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lenders, the GSEs, or other market participants seeking alternatives to private mortgage insurance;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implement our business strategy, including our ability to write mortgage insurance on high-quality low down payment residential mortgage loans, successfully and timely implement complex infrastructure, systems, procedures, and internal controls to support our business and regulatory and reporting requirements of the insurance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attract and retain a diverse customer base, including the largest mortgage originators;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of risk management or pricing or investment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decrease in the length of time our insurance policies are in force;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emergence of unexpected claim and coverage issues, including claims exceeding our reserves or amounts we had expected to experience;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adverse impacts arising from natural disasters including, with respect to affected areas, a decline in new business, adverse effects on home prices, and an increase in notices of default on insured mortgages;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climate risk and efforts to manage or regulate climate risk by government agencies could affect our business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adverse impacts arising from the occurrence of any man-made disasters or public health emergencies, including pandemics;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of our counter-parties, including third-party reinsurers, to meet their obligations to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failure to maintain, improve and continue to develop necessary information technology (IT) systems or the failure of technology providers to perform;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recruit, train and retain key personnel.</w:t>
      </w:r>
    </w:p>
    <w:p>
      <w:pPr>
        <w:pStyle w:val="TextBody"/>
        <w:bidi w:val="0"/>
        <w:spacing w:lineRule="auto" w:line="288" w:before="0" w:after="180"/>
        <w:ind w:left="0" w:right="0" w:firstLine="720"/>
        <w:jc w:val="both"/>
        <w:rPr/>
      </w:pPr>
      <w:r>
        <w:rPr>
          <w:rFonts w:ascii="Times New Roman;serif" w:hAnsi="Times New Roman;serif"/>
          <w:b w:val="false"/>
          <w:color w:val="000000"/>
          <w:sz w:val="20"/>
        </w:rPr>
        <w:t>For further information regarding these risks and uncertainties as well as certain additional risks that we face, you should refer to Part I,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of this Report and in Part I, Item 1A, of our Annual Report on Form 10-K for the year ended December 31, 2025 (2025 10-K), as subsequently updated in other reports we file from time to time with the U.S. Securities and Exchange Commission (SEC).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“we,” “our,” “us,” “Company” and “NMI” in this document refer to NMI Holdings, Inc., a Delaware corporation, and its wholly-owned subsidiaries on a consolidated basis.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INDEX TO FINANCIAL STATEMENTS</w:t>
      </w:r>
    </w:p>
    <w:tbl>
      <w:tblPr>
        <w:tblW w:w="7946" w:type="dxa"/>
        <w:jc w:val="center"/>
        <w:tblInd w:w="0" w:type="dxa"/>
        <w:tblLayout w:type="fixed"/>
        <w:tblCellMar>
          <w:top w:w="28" w:type="dxa"/>
          <w:left w:w="28" w:type="dxa"/>
          <w:bottom w:w="28" w:type="dxa"/>
          <w:right w:w="28" w:type="dxa"/>
        </w:tblCellMar>
      </w:tblPr>
      <w:tblGrid>
        <w:gridCol w:w="2741"/>
        <w:gridCol w:w="2411"/>
        <w:gridCol w:w="2422"/>
        <w:gridCol w:w="109"/>
        <w:gridCol w:w="109"/>
        <w:gridCol w:w="154"/>
      </w:tblGrid>
      <w:tr>
        <w:trPr/>
        <w:tc>
          <w:tcPr>
            <w:tcW w:w="274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Sheets (Unaudited)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22">
              <w:r>
                <w:rPr>
                  <w:rStyle w:val="InternetLink"/>
                  <w:rFonts w:ascii="Times New Roman;serif" w:hAnsi="Times New Roman;serif"/>
                  <w:b w:val="false"/>
                  <w:color w:val="0000FF"/>
                  <w:sz w:val="20"/>
                  <w:u w:val="single"/>
                </w:rPr>
                <w:t>7</w:t>
              </w:r>
            </w:hyperlink>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25">
              <w:r>
                <w:rPr>
                  <w:rStyle w:val="InternetLink"/>
                  <w:rFonts w:ascii="Times New Roman;serif" w:hAnsi="Times New Roman;serif"/>
                  <w:b w:val="false"/>
                  <w:color w:val="0000FF"/>
                  <w:sz w:val="20"/>
                  <w:u w:val="single"/>
                </w:rPr>
                <w:t>8</w:t>
              </w:r>
            </w:hyperlink>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28">
              <w:r>
                <w:rPr>
                  <w:rStyle w:val="InternetLink"/>
                  <w:rFonts w:ascii="Times New Roman;serif" w:hAnsi="Times New Roman;serif"/>
                  <w:b w:val="false"/>
                  <w:color w:val="0000FF"/>
                  <w:sz w:val="20"/>
                  <w:u w:val="single"/>
                </w:rPr>
                <w:t>9</w:t>
              </w:r>
            </w:hyperlink>
          </w:p>
        </w:tc>
      </w:tr>
      <w:tr>
        <w:trP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31">
              <w:r>
                <w:rPr>
                  <w:rStyle w:val="InternetLink"/>
                  <w:rFonts w:ascii="Times New Roman;serif" w:hAnsi="Times New Roman;serif"/>
                  <w:b w:val="false"/>
                  <w:color w:val="0000FF"/>
                  <w:sz w:val="20"/>
                  <w:u w:val="single"/>
                </w:rPr>
                <w:t>11</w:t>
              </w:r>
            </w:hyperlink>
          </w:p>
        </w:tc>
      </w:tr>
      <w:tr>
        <w:trP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77a321eb10a4beb8ae18ec3402e8ab5_34">
              <w:r>
                <w:rPr>
                  <w:rStyle w:val="InternetLink"/>
                  <w:rFonts w:ascii="Times New Roman;serif" w:hAnsi="Times New Roman;serif"/>
                  <w:b w:val="false"/>
                  <w:color w:val="0000FF"/>
                  <w:sz w:val="20"/>
                  <w:u w:val="single"/>
                </w:rPr>
                <w:t>12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717"/>
        <w:gridCol w:w="2215"/>
        <w:gridCol w:w="2242"/>
        <w:gridCol w:w="211"/>
        <w:gridCol w:w="976"/>
        <w:gridCol w:w="109"/>
        <w:gridCol w:w="109"/>
        <w:gridCol w:w="109"/>
        <w:gridCol w:w="109"/>
        <w:gridCol w:w="221"/>
        <w:gridCol w:w="1024"/>
        <w:gridCol w:w="163"/>
      </w:tblGrid>
      <w:tr>
        <w:trPr/>
        <w:tc>
          <w:tcPr>
            <w:tcW w:w="271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$3,346,838 and $3,190,174)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88,995,839 shares issued and 75,367,346 shares outstanding as of June 30, 2026 and 88,371,465 shares issued and 76,285,242 shares outstanding as of December 31, 2025 (250,000,000 shares authorized)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13,628,493 and 12,086,223 common shares as of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both"/>
        <w:rPr/>
      </w:pPr>
      <w:r>
        <w:rPr/>
      </w:r>
    </w:p>
    <w:p>
      <w:pPr>
        <w:pStyle w:val="TextBody"/>
        <w:bidi w:val="0"/>
        <w:spacing w:before="0" w:after="0"/>
        <w:ind w:left="0" w:right="0" w:hanging="360"/>
        <w:jc w:val="lef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before="0" w:after="180"/>
        <w:jc w:val="right"/>
        <w:rPr/>
      </w:pPr>
      <w:r>
        <w:rPr/>
      </w:r>
    </w:p>
    <w:p>
      <w:pPr>
        <w:pStyle w:val="TextBody"/>
        <w:bidi w:val="0"/>
        <w:spacing w:lineRule="auto" w:line="288" w:before="0" w:after="18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pPr>
      <w:r>
        <w:rPr>
          <w:rFonts w:ascii="Times New Roman;serif" w:hAnsi="Times New Roman;serif"/>
          <w:b w:val="false"/>
          <w:color w:val="000000"/>
          <w:sz w:val="20"/>
        </w:rPr>
        <w:t>C</w:t>
      </w:r>
      <w:r>
        <w:rPr>
          <w:rFonts w:ascii="Times New Roman;serif" w:hAnsi="Times New Roman;serif"/>
          <w:b w:val="false"/>
          <w:color w:val="000000"/>
          <w:sz w:val="18"/>
        </w:rPr>
        <w:t>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930"/>
        <w:gridCol w:w="1317"/>
        <w:gridCol w:w="1325"/>
        <w:gridCol w:w="212"/>
        <w:gridCol w:w="832"/>
        <w:gridCol w:w="109"/>
        <w:gridCol w:w="109"/>
        <w:gridCol w:w="109"/>
        <w:gridCol w:w="109"/>
        <w:gridCol w:w="212"/>
        <w:gridCol w:w="832"/>
        <w:gridCol w:w="109"/>
        <w:gridCol w:w="109"/>
        <w:gridCol w:w="109"/>
        <w:gridCol w:w="109"/>
        <w:gridCol w:w="211"/>
        <w:gridCol w:w="826"/>
        <w:gridCol w:w="109"/>
        <w:gridCol w:w="109"/>
        <w:gridCol w:w="109"/>
        <w:gridCol w:w="109"/>
        <w:gridCol w:w="211"/>
        <w:gridCol w:w="826"/>
        <w:gridCol w:w="163"/>
      </w:tblGrid>
      <w:tr>
        <w:trPr/>
        <w:tc>
          <w:tcPr>
            <w:tcW w:w="193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(losses) gains in accumulated other comprehensive loss, net of tax (benefit) expense of $(1,686) and $5,570 for the three months ended June 30, 2026 and 2025, and $(7,645) and $13,756 for the six months ended June 30, 2026 and 2025, respectively</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losses included in net income, net of tax benefit of $48 and $84 for the three months ended June 30, 2026 and 2025, and $138 and $79 for the six months ended June 30, 2026 and 2025, respectively</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250,757 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p>
    <w:p>
      <w:pPr>
        <w:pStyle w:val="TextBody"/>
        <w:bidi w:val="0"/>
        <w:spacing w:before="60" w:after="60"/>
        <w:ind w:left="0" w:right="0" w:hanging="360"/>
        <w:jc w:val="both"/>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4"/>
        <w:gridCol w:w="504"/>
        <w:gridCol w:w="505"/>
        <w:gridCol w:w="360"/>
        <w:gridCol w:w="361"/>
        <w:gridCol w:w="196"/>
        <w:gridCol w:w="212"/>
        <w:gridCol w:w="470"/>
        <w:gridCol w:w="110"/>
        <w:gridCol w:w="211"/>
        <w:gridCol w:w="976"/>
        <w:gridCol w:w="109"/>
        <w:gridCol w:w="222"/>
        <w:gridCol w:w="896"/>
        <w:gridCol w:w="114"/>
        <w:gridCol w:w="280"/>
        <w:gridCol w:w="980"/>
        <w:gridCol w:w="146"/>
        <w:gridCol w:w="213"/>
        <w:gridCol w:w="987"/>
        <w:gridCol w:w="110"/>
        <w:gridCol w:w="211"/>
        <w:gridCol w:w="976"/>
        <w:gridCol w:w="162"/>
      </w:tblGrid>
      <w:tr>
        <w:trPr/>
        <w:tc>
          <w:tcPr>
            <w:tcW w:w="8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134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4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2025</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benefit of $5,869</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2026</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(379,495)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(68,160)</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2,071,515 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2,632,432 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benefit of $1,638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2026</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(411,207)</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(74,324)</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2,177,303 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2,705,196 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During the three months ended June 30, 2026, we issued 44,295 common shares with a par value of $0.01 in connection with the exercise of options and vesting of restricted stock units granted under our stock plans, which is not identifiable in this schedule due to rounding.</w:t>
      </w:r>
    </w:p>
    <w:p>
      <w:pPr>
        <w:pStyle w:val="TextBody"/>
        <w:bidi w:val="0"/>
        <w:spacing w:before="0" w:after="180"/>
        <w:jc w:val="center"/>
        <w:rPr/>
      </w:pPr>
      <w:r>
        <w:rPr/>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4"/>
        <w:gridCol w:w="504"/>
        <w:gridCol w:w="505"/>
        <w:gridCol w:w="360"/>
        <w:gridCol w:w="361"/>
        <w:gridCol w:w="196"/>
        <w:gridCol w:w="212"/>
        <w:gridCol w:w="470"/>
        <w:gridCol w:w="110"/>
        <w:gridCol w:w="211"/>
        <w:gridCol w:w="976"/>
        <w:gridCol w:w="109"/>
        <w:gridCol w:w="222"/>
        <w:gridCol w:w="896"/>
        <w:gridCol w:w="114"/>
        <w:gridCol w:w="243"/>
        <w:gridCol w:w="1037"/>
        <w:gridCol w:w="125"/>
        <w:gridCol w:w="213"/>
        <w:gridCol w:w="987"/>
        <w:gridCol w:w="110"/>
        <w:gridCol w:w="211"/>
        <w:gridCol w:w="976"/>
        <w:gridCol w:w="163"/>
      </w:tblGrid>
      <w:tr>
        <w:trPr/>
        <w:tc>
          <w:tcPr>
            <w:tcW w:w="8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4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$8,181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(94,028)</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1,685,818 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2,321,571 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$5,654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2025</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(296,047)</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(72,757)</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1,781,969 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2,420,107 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bl>
      <w:tblPr>
        <w:tblW w:w="10119" w:type="dxa"/>
        <w:jc w:val="right"/>
        <w:tblInd w:w="0" w:type="dxa"/>
        <w:tblLayout w:type="fixed"/>
        <w:tblCellMar>
          <w:top w:w="28" w:type="dxa"/>
          <w:left w:w="28" w:type="dxa"/>
          <w:bottom w:w="28" w:type="dxa"/>
          <w:right w:w="28" w:type="dxa"/>
        </w:tblCellMar>
      </w:tblPr>
      <w:tblGrid>
        <w:gridCol w:w="2698"/>
        <w:gridCol w:w="2375"/>
        <w:gridCol w:w="2382"/>
        <w:gridCol w:w="211"/>
        <w:gridCol w:w="826"/>
        <w:gridCol w:w="109"/>
        <w:gridCol w:w="109"/>
        <w:gridCol w:w="109"/>
        <w:gridCol w:w="109"/>
        <w:gridCol w:w="211"/>
        <w:gridCol w:w="826"/>
        <w:gridCol w:w="154"/>
      </w:tblGrid>
      <w:tr>
        <w:trPr/>
        <w:tc>
          <w:tcPr>
            <w:tcW w:w="2698"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investment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accretion of discount on investment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Premiums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policy acquisition costs,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recoverable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Reserve for insurance claims and claim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balances,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229,507 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(91,711)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fixed-maturity investments, available-for-sale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maturities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maturities and redemptions of fixed-maturity investments, available-for-sale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sales of fixed-maturity investments, available-for-sale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Additions to software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(156,351)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(141,786)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related to employee equity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related to net share settlement of equity awards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(74,185)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(58,016)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84,013 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Supplemental disclosures of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Organization, Basis of Presentation and Summary of Accounting Principles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2025, included in our 2025 10-K. All intercompany transactions have been eliminated. The preparation of financial statements in accordance with GAAP requires management to make estimates and assumptions that affect reported amounts of assets and liabilities, and the disclosure of contingent assets and liabilities as of the balance sheet date, as well as reported amounts of income and expenses for the reporting period. Actual results could differ from those estimates. In the opinion of management, these unaudited condensed consolidated financial statements include all adjustments (including normal recurring adjustments) that are necessary to present a fair statement of financial position, results of operations and cash flows for the periods presented. The results of operations for the interim period may not be indicative of the results that may be expected for the full year ending December 31, 2026.</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Significant Accounting Principles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There have been no changes to our significant accounting principles as described in Item 8, “</w:t>
      </w:r>
      <w:r>
        <w:rPr>
          <w:rFonts w:ascii="Times New Roman;serif" w:hAnsi="Times New Roman;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erif" w:hAnsi="Times New Roman;serif"/>
          <w:b w:val="false"/>
          <w:color w:val="000000"/>
          <w:sz w:val="20"/>
        </w:rPr>
        <w:t xml:space="preserve">of our 2025 10-K.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Not Yet Adopted</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We are currently evaluating the impact the adoption of this ASU will have, if any, on our consolidated financial statements.</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Accounting for Internal-Use Software (Topic 350). The update clarifies the criteria surrounding the capitalization of certain costs and expands related disclosure requirements. The standard will take effect for all public business entities for annual reporting periods beginning after December 15, 2027, and interim reporting periods within those annual reporting periods. Early adoption is permitted. We are currently evaluating the impact the adoption of this ASU will have,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Investments</w:t>
      </w:r>
    </w:p>
    <w:p>
      <w:pPr>
        <w:pStyle w:val="TextBody"/>
        <w:bidi w:val="0"/>
        <w:spacing w:lineRule="auto" w:line="288" w:before="0" w:after="180"/>
        <w:ind w:left="0" w:right="0" w:firstLine="540"/>
        <w:jc w:val="both"/>
        <w:rPr/>
      </w:pPr>
      <w:r>
        <w:rPr>
          <w:rFonts w:ascii="Times New Roman;serif" w:hAnsi="Times New Roman;serif"/>
          <w:b w:val="false"/>
          <w:color w:val="000000"/>
          <w:sz w:val="20"/>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serif" w:hAnsi="Times New Roman;serif"/>
          <w:b w:val="false"/>
          <w:i/>
          <w:color w:val="000000"/>
          <w:sz w:val="20"/>
        </w:rPr>
        <w:t>Net Realized Investment Loss</w:t>
      </w:r>
      <w:r>
        <w:rPr>
          <w:rFonts w:ascii="Times New Roman;serif" w:hAnsi="Times New Roman;serif"/>
          <w:b w:val="false"/>
          <w:color w:val="000000"/>
          <w:sz w:val="20"/>
        </w:rPr>
        <w:t>.”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Fair Values and Gross Unrealized Gains and Losses on Investments</w:t>
      </w:r>
    </w:p>
    <w:tbl>
      <w:tblPr>
        <w:tblW w:w="10205" w:type="dxa"/>
        <w:jc w:val="left"/>
        <w:tblInd w:w="0" w:type="dxa"/>
        <w:tblLayout w:type="fixed"/>
        <w:tblCellMar>
          <w:top w:w="28" w:type="dxa"/>
          <w:left w:w="28" w:type="dxa"/>
          <w:bottom w:w="28" w:type="dxa"/>
          <w:right w:w="28" w:type="dxa"/>
        </w:tblCellMar>
      </w:tblPr>
      <w:tblGrid>
        <w:gridCol w:w="1735"/>
        <w:gridCol w:w="1382"/>
        <w:gridCol w:w="1329"/>
        <w:gridCol w:w="211"/>
        <w:gridCol w:w="976"/>
        <w:gridCol w:w="109"/>
        <w:gridCol w:w="109"/>
        <w:gridCol w:w="109"/>
        <w:gridCol w:w="109"/>
        <w:gridCol w:w="211"/>
        <w:gridCol w:w="721"/>
        <w:gridCol w:w="109"/>
        <w:gridCol w:w="109"/>
        <w:gridCol w:w="109"/>
        <w:gridCol w:w="109"/>
        <w:gridCol w:w="211"/>
        <w:gridCol w:w="778"/>
        <w:gridCol w:w="109"/>
        <w:gridCol w:w="109"/>
        <w:gridCol w:w="109"/>
        <w:gridCol w:w="109"/>
        <w:gridCol w:w="211"/>
        <w:gridCol w:w="976"/>
        <w:gridCol w:w="156"/>
      </w:tblGrid>
      <w:tr>
        <w:trPr/>
        <w:tc>
          <w:tcPr>
            <w:tcW w:w="173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57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agency mortgage-backed securities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3,168,799 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3,346,838 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3,257,940 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39"/>
        <w:gridCol w:w="1351"/>
        <w:gridCol w:w="1357"/>
        <w:gridCol w:w="211"/>
        <w:gridCol w:w="976"/>
        <w:gridCol w:w="109"/>
        <w:gridCol w:w="109"/>
        <w:gridCol w:w="109"/>
        <w:gridCol w:w="109"/>
        <w:gridCol w:w="211"/>
        <w:gridCol w:w="721"/>
        <w:gridCol w:w="109"/>
        <w:gridCol w:w="109"/>
        <w:gridCol w:w="109"/>
        <w:gridCol w:w="109"/>
        <w:gridCol w:w="211"/>
        <w:gridCol w:w="778"/>
        <w:gridCol w:w="109"/>
        <w:gridCol w:w="109"/>
        <w:gridCol w:w="109"/>
        <w:gridCol w:w="109"/>
        <w:gridCol w:w="211"/>
        <w:gridCol w:w="976"/>
        <w:gridCol w:w="155"/>
      </w:tblGrid>
      <w:tr>
        <w:trPr/>
        <w:tc>
          <w:tcPr>
            <w:tcW w:w="17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57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agency mortgage-backed securities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100% of our U.S. agency mortgage-backed securities at June 30, 2026 and December 31, 2025 were guaranteed by Ginnie Mae, which has the full faith and credit of the U.S. federal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breakdown of the fair value of our corporate debt securities by issuer industry group as of June 30, 2026 and December 31, 2025: </w:t>
      </w:r>
    </w:p>
    <w:tbl>
      <w:tblPr>
        <w:tblW w:w="4512" w:type="dxa"/>
        <w:jc w:val="left"/>
        <w:tblInd w:w="0" w:type="dxa"/>
        <w:tblLayout w:type="fixed"/>
        <w:tblCellMar>
          <w:top w:w="28" w:type="dxa"/>
          <w:left w:w="28" w:type="dxa"/>
          <w:bottom w:w="28" w:type="dxa"/>
          <w:right w:w="28" w:type="dxa"/>
        </w:tblCellMar>
      </w:tblPr>
      <w:tblGrid>
        <w:gridCol w:w="547"/>
        <w:gridCol w:w="481"/>
        <w:gridCol w:w="488"/>
        <w:gridCol w:w="250"/>
        <w:gridCol w:w="250"/>
        <w:gridCol w:w="624"/>
        <w:gridCol w:w="109"/>
        <w:gridCol w:w="109"/>
        <w:gridCol w:w="109"/>
        <w:gridCol w:w="314"/>
        <w:gridCol w:w="314"/>
        <w:gridCol w:w="917"/>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both June 30, 2026 and December 31, 2025, approximately $5.4 million of our cash and investments were held in the form of U.S. Treasury securities on deposit with various state insurance departments to satisfy regulatory requirements.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Scheduled Maturities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securities as of June 30, 2026 and December 31, 2025, by contractual maturity, are shown below. Expected maturities will differ from contractual maturities because issuers may have the right to call or prepay obligations with or without call or prepayment penalties. Because most U.S. agency mortgage-backed securities and other asset-backed securities provide for periodic payments throughout their lives, they are listed below in separate categories.</w:t>
      </w:r>
    </w:p>
    <w:tbl>
      <w:tblPr>
        <w:tblW w:w="6309" w:type="dxa"/>
        <w:jc w:val="left"/>
        <w:tblInd w:w="0" w:type="dxa"/>
        <w:tblLayout w:type="fixed"/>
        <w:tblCellMar>
          <w:top w:w="28" w:type="dxa"/>
          <w:left w:w="28" w:type="dxa"/>
          <w:bottom w:w="28" w:type="dxa"/>
          <w:right w:w="28" w:type="dxa"/>
        </w:tblCellMar>
      </w:tblPr>
      <w:tblGrid>
        <w:gridCol w:w="1206"/>
        <w:gridCol w:w="1062"/>
        <w:gridCol w:w="1077"/>
        <w:gridCol w:w="211"/>
        <w:gridCol w:w="976"/>
        <w:gridCol w:w="109"/>
        <w:gridCol w:w="109"/>
        <w:gridCol w:w="109"/>
        <w:gridCol w:w="109"/>
        <w:gridCol w:w="211"/>
        <w:gridCol w:w="97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3,346,838 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09" w:type="dxa"/>
        <w:jc w:val="left"/>
        <w:tblInd w:w="0" w:type="dxa"/>
        <w:tblLayout w:type="fixed"/>
        <w:tblCellMar>
          <w:top w:w="28" w:type="dxa"/>
          <w:left w:w="28" w:type="dxa"/>
          <w:bottom w:w="28" w:type="dxa"/>
          <w:right w:w="28" w:type="dxa"/>
        </w:tblCellMar>
      </w:tblPr>
      <w:tblGrid>
        <w:gridCol w:w="1209"/>
        <w:gridCol w:w="1065"/>
        <w:gridCol w:w="1071"/>
        <w:gridCol w:w="211"/>
        <w:gridCol w:w="976"/>
        <w:gridCol w:w="109"/>
        <w:gridCol w:w="109"/>
        <w:gridCol w:w="109"/>
        <w:gridCol w:w="109"/>
        <w:gridCol w:w="211"/>
        <w:gridCol w:w="976"/>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Aging of Unrealized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investment portfolio had gross unrealized losses of $99.1 million, of which $85.3 million were associated with securities that had been in an unrealized loss position for a period of twelve months or longer. As of December 31, 2025, the investment portfolio had gross unrealized losses of $86.3 million, of which $84.3 million were associated with securities that had been in an unrealized loss position for a period of twelve months or longer. For those securities in an unrealized loss position, the length of time the securities were in such a position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bl>
      <w:tblPr>
        <w:tblW w:w="11674" w:type="dxa"/>
        <w:jc w:val="left"/>
        <w:tblInd w:w="0" w:type="dxa"/>
        <w:tblLayout w:type="fixed"/>
        <w:tblCellMar>
          <w:top w:w="28" w:type="dxa"/>
          <w:left w:w="28" w:type="dxa"/>
          <w:bottom w:w="28" w:type="dxa"/>
          <w:right w:w="28" w:type="dxa"/>
        </w:tblCellMar>
      </w:tblPr>
      <w:tblGrid>
        <w:gridCol w:w="997"/>
        <w:gridCol w:w="384"/>
        <w:gridCol w:w="150"/>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736"/>
        <w:gridCol w:w="154"/>
      </w:tblGrid>
      <w:tr>
        <w:trPr/>
        <w:tc>
          <w:tcPr>
            <w:tcW w:w="9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2,278,654 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19" w:type="dxa"/>
        <w:jc w:val="left"/>
        <w:tblInd w:w="0" w:type="dxa"/>
        <w:tblLayout w:type="fixed"/>
        <w:tblCellMar>
          <w:top w:w="28" w:type="dxa"/>
          <w:left w:w="28" w:type="dxa"/>
          <w:bottom w:w="28" w:type="dxa"/>
          <w:right w:w="28" w:type="dxa"/>
        </w:tblCellMar>
      </w:tblPr>
      <w:tblGrid>
        <w:gridCol w:w="99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73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did not recognize an allowance for credit loss for any security in the investment portfolio and we did not record any provision for credit loss for investment securities during the three or six months ended June 30, 2026 or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June 30, 2026, assessing their credit ratings as well as any adverse conditions specifically related to the security. Based upon our assessment of the amount and timing of cash flows to be collected over the remaining life of each instrument, we believe the unrealized losses as of June 30, 2026 are not indicative of the ultimate collectability of the current amortized cost of the securities. Rather, the unrealized losses on securities held as of June 30, 2026 were primarily driven by fluctuations in interest rates, and to a lesser extent, movements in credit spreads following the purchase of those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investment income:</w:t>
      </w:r>
    </w:p>
    <w:tbl>
      <w:tblPr>
        <w:tblW w:w="7696" w:type="dxa"/>
        <w:jc w:val="left"/>
        <w:tblInd w:w="0" w:type="dxa"/>
        <w:tblLayout w:type="fixed"/>
        <w:tblCellMar>
          <w:top w:w="28" w:type="dxa"/>
          <w:left w:w="28" w:type="dxa"/>
          <w:bottom w:w="28" w:type="dxa"/>
          <w:right w:w="28" w:type="dxa"/>
        </w:tblCellMar>
      </w:tblPr>
      <w:tblGrid>
        <w:gridCol w:w="723"/>
        <w:gridCol w:w="635"/>
        <w:gridCol w:w="637"/>
        <w:gridCol w:w="241"/>
        <w:gridCol w:w="826"/>
        <w:gridCol w:w="124"/>
        <w:gridCol w:w="124"/>
        <w:gridCol w:w="124"/>
        <w:gridCol w:w="124"/>
        <w:gridCol w:w="241"/>
        <w:gridCol w:w="826"/>
        <w:gridCol w:w="124"/>
        <w:gridCol w:w="109"/>
        <w:gridCol w:w="109"/>
        <w:gridCol w:w="109"/>
        <w:gridCol w:w="225"/>
        <w:gridCol w:w="771"/>
        <w:gridCol w:w="116"/>
        <w:gridCol w:w="116"/>
        <w:gridCol w:w="116"/>
        <w:gridCol w:w="116"/>
        <w:gridCol w:w="225"/>
        <w:gridCol w:w="771"/>
        <w:gridCol w:w="16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income</w:t>
            </w:r>
            <w:r>
              <w:rPr>
                <w:color w:val="000000"/>
              </w:rPr>
              <w:t xml:space="preserve"> </w:t>
            </w:r>
            <w:r>
              <w:rPr>
                <w:rFonts w:ascii="Times New Roman;serif" w:hAnsi="Times New Roman;serif"/>
                <w:b w:val="false"/>
                <w:color w:val="000000"/>
                <w:sz w:val="13"/>
              </w:rPr>
              <w:t>(1)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48,635 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80"/>
        <w:ind w:left="0" w:right="0" w:hanging="360"/>
        <w:jc w:val="both"/>
        <w:rPr/>
      </w:pPr>
      <w:r>
        <w:rPr>
          <w:rFonts w:ascii="Times New Roman;serif" w:hAnsi="Times New Roman;serif"/>
          <w:b w:val="false"/>
          <w:color w:val="000000"/>
          <w:sz w:val="16"/>
        </w:rPr>
        <w:t>(1)    Includes interest income recognized on cash and cash equivalents of $0.8 million and $1.7 million during the three and six months ended June 30, 2026, respectively, and $1.1 million and $2.0 million during the three and six months ended</w:t>
      </w:r>
      <w:r>
        <w:rPr>
          <w:color w:val="000000"/>
        </w:rPr>
        <w:t xml:space="preserve"> </w:t>
      </w:r>
      <w:r>
        <w:rPr>
          <w:rFonts w:ascii="Times New Roman;serif" w:hAnsi="Times New Roman;serif"/>
          <w:b w:val="false"/>
          <w:color w:val="000000"/>
          <w:sz w:val="16"/>
        </w:rPr>
        <w:t>June 30, 2025, respectively.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realized investment losses:</w:t>
      </w:r>
    </w:p>
    <w:tbl>
      <w:tblPr>
        <w:tblW w:w="8430" w:type="dxa"/>
        <w:jc w:val="left"/>
        <w:tblInd w:w="0" w:type="dxa"/>
        <w:tblLayout w:type="fixed"/>
        <w:tblCellMar>
          <w:top w:w="28" w:type="dxa"/>
          <w:left w:w="28" w:type="dxa"/>
          <w:bottom w:w="28" w:type="dxa"/>
          <w:right w:w="28" w:type="dxa"/>
        </w:tblCellMar>
      </w:tblPr>
      <w:tblGrid>
        <w:gridCol w:w="990"/>
        <w:gridCol w:w="868"/>
        <w:gridCol w:w="872"/>
        <w:gridCol w:w="284"/>
        <w:gridCol w:w="728"/>
        <w:gridCol w:w="146"/>
        <w:gridCol w:w="146"/>
        <w:gridCol w:w="146"/>
        <w:gridCol w:w="146"/>
        <w:gridCol w:w="284"/>
        <w:gridCol w:w="728"/>
        <w:gridCol w:w="146"/>
        <w:gridCol w:w="109"/>
        <w:gridCol w:w="109"/>
        <w:gridCol w:w="109"/>
        <w:gridCol w:w="255"/>
        <w:gridCol w:w="745"/>
        <w:gridCol w:w="131"/>
        <w:gridCol w:w="131"/>
        <w:gridCol w:w="131"/>
        <w:gridCol w:w="131"/>
        <w:gridCol w:w="255"/>
        <w:gridCol w:w="654"/>
        <w:gridCol w:w="186"/>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gains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losses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used by us to determine the fair value of our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Classified as Level 1 and Level 2</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instruments that are measured at fair value on a recurring basis by hierarchy level:</w:t>
      </w:r>
    </w:p>
    <w:tbl>
      <w:tblPr>
        <w:tblW w:w="10205" w:type="dxa"/>
        <w:jc w:val="left"/>
        <w:tblInd w:w="0" w:type="dxa"/>
        <w:tblLayout w:type="fixed"/>
        <w:tblCellMar>
          <w:top w:w="28" w:type="dxa"/>
          <w:left w:w="28" w:type="dxa"/>
          <w:bottom w:w="28" w:type="dxa"/>
          <w:right w:w="28" w:type="dxa"/>
        </w:tblCellMar>
      </w:tblPr>
      <w:tblGrid>
        <w:gridCol w:w="1647"/>
        <w:gridCol w:w="1241"/>
        <w:gridCol w:w="1171"/>
        <w:gridCol w:w="248"/>
        <w:gridCol w:w="975"/>
        <w:gridCol w:w="128"/>
        <w:gridCol w:w="109"/>
        <w:gridCol w:w="109"/>
        <w:gridCol w:w="109"/>
        <w:gridCol w:w="223"/>
        <w:gridCol w:w="1035"/>
        <w:gridCol w:w="115"/>
        <w:gridCol w:w="109"/>
        <w:gridCol w:w="109"/>
        <w:gridCol w:w="109"/>
        <w:gridCol w:w="318"/>
        <w:gridCol w:w="612"/>
        <w:gridCol w:w="166"/>
        <w:gridCol w:w="109"/>
        <w:gridCol w:w="109"/>
        <w:gridCol w:w="109"/>
        <w:gridCol w:w="211"/>
        <w:gridCol w:w="976"/>
        <w:gridCol w:w="158"/>
      </w:tblGrid>
      <w:tr>
        <w:trPr/>
        <w:tc>
          <w:tcPr>
            <w:tcW w:w="164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6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2,198,547 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376,063 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2,953,999 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3,330,062 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31"/>
        <w:gridCol w:w="1212"/>
        <w:gridCol w:w="1216"/>
        <w:gridCol w:w="248"/>
        <w:gridCol w:w="975"/>
        <w:gridCol w:w="128"/>
        <w:gridCol w:w="109"/>
        <w:gridCol w:w="109"/>
        <w:gridCol w:w="109"/>
        <w:gridCol w:w="223"/>
        <w:gridCol w:w="1035"/>
        <w:gridCol w:w="115"/>
        <w:gridCol w:w="109"/>
        <w:gridCol w:w="109"/>
        <w:gridCol w:w="109"/>
        <w:gridCol w:w="318"/>
        <w:gridCol w:w="612"/>
        <w:gridCol w:w="166"/>
        <w:gridCol w:w="109"/>
        <w:gridCol w:w="109"/>
        <w:gridCol w:w="109"/>
        <w:gridCol w:w="211"/>
        <w:gridCol w:w="976"/>
        <w:gridCol w:w="158"/>
      </w:tblGrid>
      <w:tr>
        <w:trPr/>
        <w:tc>
          <w:tcPr>
            <w:tcW w:w="163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6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437,584 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2,743,376 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3,180,960 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2 and Level 3 of the fair value hierarchy during the six months ended June 30, 2026 or the year ended 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Not Measured at Fair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21, 2024, we issued $425 million aggregate principal amount of senior unsecured notes that mature on August 15, 2029 (the 2024 Notes). At June 30, 2026, the 2024 Notes were carried at an amortized cost of $418.0 million, net of unamortized debt issuance costs and an original issue discount totaling $7.0 million, and had a fair value of $434.0 million as assessed under our Level 2 hierarchy. At December 31, 2025, the 2024 Notes were carried at an amortized cost of $417.0 million, net of unamortized debt issuance costs and an original issue discount totaling $8.0 million, and had a fair value of $441.3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0" w:after="18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Senior Unsecured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we had $425 million aggregate principal amount of senior unsecured notes outstanding. The 2024 Notes were issued pursuant to an indenture, dated May 21, 2024, and bear interest at a rate of 6.00%, payable semi-annually on February 15 and August 15.</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 of the aggregate principal amount of the 2024 Notes to be redeemed plus accrued and unpaid interest thereon</w:t>
      </w:r>
      <w:r>
        <w:rPr>
          <w:rFonts w:ascii="Times New Roman;serif" w:hAnsi="Times New Roman;serif"/>
          <w:b w:val="false"/>
          <w:color w:val="000000"/>
          <w:sz w:val="24"/>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June 30, 2026 and December 31, 2025, $7.0 million and $8.0 million, respectively, of unamortized debt issuance costs and original issue discount remained.</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both June 30, 2026 and December 31, 2025, $9.6 million of accrued and unpaid interest on the 2024 Notes was included in </w:t>
      </w:r>
      <w:r>
        <w:rPr>
          <w:color w:val="000000"/>
        </w:rPr>
        <w:t>“</w:t>
      </w:r>
      <w:r>
        <w:rPr>
          <w:rFonts w:ascii="Times New Roman;serif" w:hAnsi="Times New Roman;serif"/>
          <w:b w:val="false"/>
          <w:i/>
          <w:color w:val="000000"/>
          <w:sz w:val="20"/>
        </w:rPr>
        <w:t>Accounts Payable and Accrued Expenses”</w:t>
      </w:r>
      <w:r>
        <w:rPr>
          <w:color w:val="000000"/>
        </w:rPr>
        <w:t xml:space="preserve"> </w:t>
      </w:r>
      <w:r>
        <w:rPr>
          <w:rFonts w:ascii="Times New Roman;serif" w:hAnsi="Times New Roman;serif"/>
          <w:b w:val="false"/>
          <w:color w:val="000000"/>
          <w:sz w:val="20"/>
        </w:rPr>
        <w:t>on our condensed consolidated balance sheets.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June 30, 2026 and December 31, 2025, no amounts were drawn under the 2024 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required to pay a quarterly commitment fee on the average daily undrawn amount of 0.175% to 0.525%, based on the applicable corporate credit rating at the time. As of June 30, 2026, the applicable commitment fee was 0.175%. For the three and six months ended June 30, 2026, we recorded $0.1 million and $0.2 million, respectively, of commitment fees in interest expense.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June 30, 2026 and December 31, 2025, remaining unamortized deferred debt issuance costs of $1.5 million and $1.8 million, respectively, were recorded in </w:t>
      </w:r>
      <w:r>
        <w:rPr>
          <w:color w:val="000000"/>
        </w:rPr>
        <w:t>“</w:t>
      </w:r>
      <w:r>
        <w:rPr>
          <w:rFonts w:ascii="Times New Roman;serif" w:hAnsi="Times New Roman;serif"/>
          <w:b w:val="false"/>
          <w:i/>
          <w:color w:val="000000"/>
          <w:sz w:val="20"/>
        </w:rPr>
        <w:t xml:space="preserve">Other Assets” </w:t>
      </w:r>
      <w:r>
        <w:rPr>
          <w:rFonts w:ascii="Times New Roman;serif" w:hAnsi="Times New Roman;serif"/>
          <w:b w:val="false"/>
          <w:color w:val="000000"/>
          <w:sz w:val="20"/>
        </w:rPr>
        <w:t>on our condensed consolidated balance sheets.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5.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 of our reinsurance agreements on premiums written and earned is as follows:</w:t>
      </w:r>
    </w:p>
    <w:tbl>
      <w:tblPr>
        <w:tblW w:w="7605" w:type="dxa"/>
        <w:jc w:val="left"/>
        <w:tblInd w:w="0" w:type="dxa"/>
        <w:tblLayout w:type="fixed"/>
        <w:tblCellMar>
          <w:top w:w="28" w:type="dxa"/>
          <w:left w:w="28" w:type="dxa"/>
          <w:bottom w:w="28" w:type="dxa"/>
          <w:right w:w="28" w:type="dxa"/>
        </w:tblCellMar>
      </w:tblPr>
      <w:tblGrid>
        <w:gridCol w:w="674"/>
        <w:gridCol w:w="591"/>
        <w:gridCol w:w="595"/>
        <w:gridCol w:w="222"/>
        <w:gridCol w:w="870"/>
        <w:gridCol w:w="114"/>
        <w:gridCol w:w="114"/>
        <w:gridCol w:w="114"/>
        <w:gridCol w:w="114"/>
        <w:gridCol w:w="222"/>
        <w:gridCol w:w="870"/>
        <w:gridCol w:w="114"/>
        <w:gridCol w:w="109"/>
        <w:gridCol w:w="109"/>
        <w:gridCol w:w="109"/>
        <w:gridCol w:w="211"/>
        <w:gridCol w:w="826"/>
        <w:gridCol w:w="109"/>
        <w:gridCol w:w="109"/>
        <w:gridCol w:w="109"/>
        <w:gridCol w:w="109"/>
        <w:gridCol w:w="211"/>
        <w:gridCol w:w="82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144,053 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Net of profit commission.</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Quota Share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nine quota share reinsurance treaties – the 2018 QSR Transaction, effective January 1, 2018, the 2020 QSR Transaction, effective April 1, 2020, the 2021 QSR Transaction, effective January 1, 2021, the 2022 QSR Transaction, effective October 1, 2021, the 2022 Seasoned QSR Transaction, effective July 1, 2022, the 2023 QSR Transaction, effective January 1, 2023, the 2024 QSR Transaction, effective January 1, 2024, the 2025 QSR Transaction, effective January 1, 2025, and the 2026 QSR Transaction, effective January 1, 2026 – which we refer to collectively as the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each of the QSR Transactions, NMIC cedes a proportional share of its risk on eligible policies to panels of third-party reinsurance providers in exchange for reimbursement of ceded claims and claim expenses on covered policies, a ceding commission and a profit commission (up to a contractually defined maximum) that varies directly and inversely with ceded claims.</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holds optional termination rights which provide it with the discretion to terminate each QSR Transaction on or after a specified date. NMIC may also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serif" w:hAnsi="Times New Roman;serif"/>
          <w:b w:val="false"/>
          <w:i/>
          <w:color w:val="000000"/>
          <w:sz w:val="20"/>
        </w:rPr>
        <w:t>i.e.</w:t>
      </w:r>
      <w:r>
        <w:rPr>
          <w:rFonts w:ascii="Times New Roman;serif" w:hAnsi="Times New Roman;serif"/>
          <w:b w:val="false"/>
          <w:color w:val="000000"/>
          <w:sz w:val="20"/>
        </w:rPr>
        <w:t>, reinsurers continue providing coverage on all risk ceded prior to the termination date, with no new cessions going forward) or cut-off basis (</w:t>
      </w:r>
      <w:r>
        <w:rPr>
          <w:rFonts w:ascii="Times New Roman;serif" w:hAnsi="Times New Roman;serif"/>
          <w:b w:val="false"/>
          <w:i/>
          <w:color w:val="000000"/>
          <w:sz w:val="20"/>
        </w:rPr>
        <w:t>i.e.</w:t>
      </w:r>
      <w:r>
        <w:rPr>
          <w:rFonts w:ascii="Times New Roman;serif" w:hAnsi="Times New Roman;serif"/>
          <w:b w:val="false"/>
          <w:color w:val="000000"/>
          <w:sz w:val="20"/>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third-party reinsurance providers that is party to the QSR Transactions has an insurer financial strength rating of A- or better by S&amp;P, A.M. Best or both.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ceding commission and profit commission for each outstanding QSR Transaction. Current amounts are presented as of June 30, 2026.</w:t>
      </w:r>
    </w:p>
    <w:tbl>
      <w:tblPr>
        <w:tblW w:w="10205" w:type="dxa"/>
        <w:jc w:val="left"/>
        <w:tblInd w:w="0" w:type="dxa"/>
        <w:tblLayout w:type="fixed"/>
        <w:tblCellMar>
          <w:top w:w="28" w:type="dxa"/>
          <w:left w:w="28" w:type="dxa"/>
          <w:bottom w:w="28" w:type="dxa"/>
          <w:right w:w="28" w:type="dxa"/>
        </w:tblCellMar>
      </w:tblPr>
      <w:tblGrid>
        <w:gridCol w:w="579"/>
        <w:gridCol w:w="508"/>
        <w:gridCol w:w="496"/>
        <w:gridCol w:w="362"/>
        <w:gridCol w:w="362"/>
        <w:gridCol w:w="363"/>
        <w:gridCol w:w="648"/>
        <w:gridCol w:w="648"/>
        <w:gridCol w:w="651"/>
        <w:gridCol w:w="109"/>
        <w:gridCol w:w="109"/>
        <w:gridCol w:w="109"/>
        <w:gridCol w:w="109"/>
        <w:gridCol w:w="109"/>
        <w:gridCol w:w="109"/>
        <w:gridCol w:w="109"/>
        <w:gridCol w:w="450"/>
        <w:gridCol w:w="450"/>
        <w:gridCol w:w="452"/>
        <w:gridCol w:w="109"/>
        <w:gridCol w:w="109"/>
        <w:gridCol w:w="109"/>
        <w:gridCol w:w="470"/>
        <w:gridCol w:w="470"/>
        <w:gridCol w:w="472"/>
        <w:gridCol w:w="109"/>
        <w:gridCol w:w="109"/>
        <w:gridCol w:w="109"/>
        <w:gridCol w:w="409"/>
        <w:gridCol w:w="409"/>
        <w:gridCol w:w="589"/>
      </w:tblGrid>
      <w:tr>
        <w:trPr/>
        <w:tc>
          <w:tcPr>
            <w:tcW w:w="57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Inception Date</w:t>
            </w:r>
          </w:p>
        </w:tc>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Profit Commission</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2018 QSR</w:t>
            </w:r>
          </w:p>
        </w:tc>
        <w:tc>
          <w:tcPr>
            <w:tcW w:w="10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1/1/2018</w:t>
            </w:r>
          </w:p>
        </w:tc>
        <w:tc>
          <w:tcPr>
            <w:tcW w:w="19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1/1/2018 – 12/31/2018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1/1/2019 – 12/31/2019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16% </w:t>
            </w:r>
          </w:p>
          <w:p>
            <w:pPr>
              <w:pStyle w:val="TableContents"/>
              <w:bidi w:val="0"/>
              <w:spacing w:lineRule="auto" w:line="240" w:before="0" w:after="0"/>
              <w:jc w:val="center"/>
              <w:rPr/>
            </w:pPr>
            <w:r>
              <w:rPr>
                <w:rFonts w:ascii="Times New Roman;serif" w:hAnsi="Times New Roman;serif"/>
                <w:b w:val="false"/>
                <w:color w:val="000000"/>
                <w:sz w:val="19"/>
              </w:rPr>
              <w:t xml:space="preserve">13%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45%</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2020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 – 12/31/2020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45%</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2021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 – 10/30/2021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54%</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2022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10/1/2021</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10/30/2021 – 12/31/2022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68%</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2022 Seasoned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7/1/2022</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1/1/2013 – 12/31/2016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7/1/2019 –3/31/2020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9"/>
              </w:rPr>
              <w:t xml:space="preserve">48%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38%</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2023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 – 12/31/2023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63%</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2024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 – 12/31/2024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56%</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2025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 – 12/31/2025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2026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1/1/2026</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1/1/2026 – 12/31/2026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61%</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Under the terms of the 2018 QSR Transaction, NMIC cedes premiums earned related to 16% of the risk on eligible policies written in 2018 and 13% of the risk on eligible policies written in 2019.</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Under the terms of the 2022 Seasoned QSR Transaction, NMIC cedes premiums earned related to 48% of the risk on eligible policies after the consideration of coverage provided under any other QSR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two additional quota share reinsurance treaties that will provide sequential coverage for mortgage insurance policies to be written in 2027 and 2028 (the 2027 QSR Transaction and 2028 QSR Transaction). Under the terms of the 2027 QSR Transaction, NMIC will cede premiums earned related to 35% of the risk on eligible policies written between January 1, 2027 and December 31, 2027. Under the terms of the 2028 QSR Transaction, NMIC will cede premiums earned related to 25% of the risk on eligible policies written between January 1, 2028 and December 31, 2028.</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amounts related to the QSR Transactions:</w:t>
      </w:r>
    </w:p>
    <w:tbl>
      <w:tblPr>
        <w:tblW w:w="10144" w:type="dxa"/>
        <w:jc w:val="left"/>
        <w:tblInd w:w="0" w:type="dxa"/>
        <w:tblLayout w:type="fixed"/>
        <w:tblCellMar>
          <w:top w:w="28" w:type="dxa"/>
          <w:left w:w="28" w:type="dxa"/>
          <w:bottom w:w="28" w:type="dxa"/>
          <w:right w:w="28" w:type="dxa"/>
        </w:tblCellMar>
      </w:tblPr>
      <w:tblGrid>
        <w:gridCol w:w="1108"/>
        <w:gridCol w:w="974"/>
        <w:gridCol w:w="977"/>
        <w:gridCol w:w="232"/>
        <w:gridCol w:w="1192"/>
        <w:gridCol w:w="120"/>
        <w:gridCol w:w="120"/>
        <w:gridCol w:w="120"/>
        <w:gridCol w:w="120"/>
        <w:gridCol w:w="232"/>
        <w:gridCol w:w="1192"/>
        <w:gridCol w:w="120"/>
        <w:gridCol w:w="109"/>
        <w:gridCol w:w="109"/>
        <w:gridCol w:w="109"/>
        <w:gridCol w:w="220"/>
        <w:gridCol w:w="1129"/>
        <w:gridCol w:w="113"/>
        <w:gridCol w:w="113"/>
        <w:gridCol w:w="113"/>
        <w:gridCol w:w="113"/>
        <w:gridCol w:w="220"/>
        <w:gridCol w:w="1129"/>
        <w:gridCol w:w="160"/>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risk-in-force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12,637,648 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12,764,708 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12,637,648 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12,764,708 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Ceded claims and claim expenses</w:t>
            </w:r>
            <w:r>
              <w:rPr>
                <w:color w:val="000000"/>
              </w:rPr>
              <w:t xml:space="preserve"> </w:t>
            </w:r>
            <w:r>
              <w:rPr>
                <w:rFonts w:ascii="Times New Roman;serif" w:hAnsi="Times New Roman;serif"/>
                <w:b w:val="false"/>
                <w:color w:val="000000"/>
                <w:sz w:val="13"/>
              </w:rPr>
              <w:t>(1)</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earned</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a $0.3 million termination fee for the three and six months ended June 30, 2025 incurred in connection with the amendment of certain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had aggregate reinsurance recoverables related to the QSR Transactions of $40.4 million and $38.6 million as of June 30, 2026 and December 31, 2025, respectively. NMIC's reinsurance recoverable balance is supported by collateral trust accounts established and maintained by each reinsurer in accordance with the terms of the QSR Transactions and the PMIERs funding requirements for risk ceded to non-affiliated reinsurers.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remain directly liable for all claim payments if we are unable to collect the recoverables due from our reinsurers and establish an allowance for expected credit loss against our reinsurance recoverable if we do not expect to recover amounts due from one or more of our reinsurance counterparties. Our reinsurance recoverable is reported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Excess-of-loss Reinsurance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Traditional Reinsurance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nine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the 2025 XOL Transaction, effective January 1, 2025, the 2026-1 XOL Transaction, effective January 1, 2026, and the 2026-2 XOL Transaction, effective April 1, 2026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XOL Transactions, NMIC makes risk premium payments to its third-party reinsurance providers for the outstanding reinsurance coverage amount and ceded aggregate premiums earned of $11.2 million and $22.2 million during the three and six months ended June 30, 2026, respectively, and $10.4 million and $20.5 million during the three and six months ended June 30, 2025, respectively. NMIC applies claims paid on covered policies against its first layer aggregate retained loss exposure under each agreement. NMIC did not cede any incurred losses on covered policies under the XOL Transactions during the three and six months ended June 30, 2026 and 2025, as the aggregate first layer risk retention for each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which provide it with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third-party reinsurance providers that is party to the XOL Transactions has an insurer financial strength rating of A- or better by S&amp;P Global Ratings (S&amp;P), A.M. Best Company Inc. (A.M. Best) or both.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XOL Transaction. Current amounts are presented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371"/>
        <w:gridCol w:w="326"/>
        <w:gridCol w:w="327"/>
        <w:gridCol w:w="305"/>
        <w:gridCol w:w="305"/>
        <w:gridCol w:w="306"/>
        <w:gridCol w:w="384"/>
        <w:gridCol w:w="384"/>
        <w:gridCol w:w="385"/>
        <w:gridCol w:w="109"/>
        <w:gridCol w:w="109"/>
        <w:gridCol w:w="109"/>
        <w:gridCol w:w="256"/>
        <w:gridCol w:w="1004"/>
        <w:gridCol w:w="132"/>
        <w:gridCol w:w="109"/>
        <w:gridCol w:w="109"/>
        <w:gridCol w:w="109"/>
        <w:gridCol w:w="260"/>
        <w:gridCol w:w="1018"/>
        <w:gridCol w:w="134"/>
        <w:gridCol w:w="109"/>
        <w:gridCol w:w="109"/>
        <w:gridCol w:w="109"/>
        <w:gridCol w:w="265"/>
        <w:gridCol w:w="1039"/>
        <w:gridCol w:w="137"/>
        <w:gridCol w:w="109"/>
        <w:gridCol w:w="109"/>
        <w:gridCol w:w="109"/>
        <w:gridCol w:w="275"/>
        <w:gridCol w:w="1076"/>
        <w:gridCol w:w="208"/>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Initial Reinsurance Coverage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First Layer Retained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 xml:space="preserve">(1) </w:t>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2022-1 XOL </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2022</w:t>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10/1/2021 – 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127,071 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2022-2 XOL</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2022</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4/1/2022 – 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2022-3 XOL</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2022</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7/1/2022 – 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2023-1 XOL</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10/1/2022 – 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2023-2 XOL</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2023</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133,319 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XOL</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XOL</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321,279 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2026-1 XOL</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2026</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183,282 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2026-2 XOL </w:t>
            </w:r>
            <w:r>
              <w:rPr>
                <w:rFonts w:ascii="Times New Roman;serif" w:hAnsi="Times New Roman;serif"/>
                <w:b w:val="false"/>
                <w:color w:val="000000"/>
                <w:sz w:val="13"/>
              </w:rPr>
              <w:t>(3)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2026</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10/1/2020 - 3/31/2021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initial reinsurance coverage, current reinsurance coverage, initial first layer retained loss and current first layer retained loss for the 2026-1 XOL Transaction will increase as incremental covered production is ceded under the transaction through December 31, 2026.</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The 2026-2 XOL Transaction provides excess-of-loss coverage for mortgage insurance policies previously covered under the reinsurance agreement with Oaktown Re VI Ltd.</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two additional excess-of-loss reinsurance treaties that will incept and provide coverage in future periods. The 2026-3 XOL Transaction will incept on October 1, 2026 and provide $160 million of aggregate excess-of-loss coverage for mortgage insurance policies covered under the existing 2021-2 ILN Transaction, and the 2027 XOL Transaction will provide $125 million of aggregate excess-of-loss coverage for mortgage insurance policies to be written in 2027.</w:t>
      </w:r>
    </w:p>
    <w:p>
      <w:pPr>
        <w:pStyle w:val="TextBody"/>
        <w:bidi w:val="0"/>
        <w:spacing w:lineRule="auto" w:line="276"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Insurance-Linked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a reinsurance agreement with Oaktown Re VII Ltd. (a special purpose reinsurance entity referred to as Oaktown Re) effective October 26, 2021 that provides aggregate excess-of-loss reinsurance coverage on a defined portfolio of mortgage insurance policies originated between April 1, 2021 and September 30, 2021. Under the agreement, NMIC retains $146.2 million of first layer aggregate loss exposure on covered policies and Oaktown Re then provides second layer loss protection up to the outstanding reinsurance coverage amount. NMIC then retains losses in excess of the reinsurance coverage amount. The reinsurance coverage amount provided by Oaktown Re decreases from $363.6 million at inception over a 12.5 year period as the underlying insured mortgages are amortized or repaid, and/or the mortgage insurance coverage is canceled, and was $149.0 million as of June 30, 2026. The outstanding reinsurance coverage amount stops amortizing if certain credit enhancement or delinquency thresholds, as defined in the agreement, are triggered.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makes risk premium payments to Oaktown Re for the applicable outstanding reinsurance coverage amount and pays an additional amount for anticipated operating expenses (capped at $250 thousand per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excess-of-loss reinsurance agreement, Oaktown Re is required to fully collateralize its outstanding reinsurance coverage amount to NMIC with funds deposited into a segregated reinsurance trust. Such trust funds are required to be invested in short-term U.S. Treasury money market funds at all times. Oaktown Re financed its collateral requirement through the issuance of mortgage insurance-linked notes to unaffiliated investors. Such insurance-linked notes mature 12.5 years from the inception date of their associated reinsurance agreement. As the reinsurance coverage decreases, a corresponding amount of collateral held in trust by Oaktown Re is distributed to noteholders as amortization of the outstanding insurance-linked note principal balance. We refer to NMIC’s reinsurance agreement with and the insurance-linked note issued by Oaktown Re as the 2021-2 ILN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applies claims paid on covered policies against its first layer aggregate retained loss exposure under the Oaktown Re excess-of-loss agreement. NMIC did not cede any incurred losses on covered policies to Oaktown Re during the three and six months ended June 30, 2026 and 2025, as the aggregate first layer risk retention was not exhausted during such periods. The first layer aggregate retained loss layer was $142.5 million as of June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holds optional termination rights under the 2021-2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reasonably determines that changes to GSE or rating agency asset requirements would cause a material and adverse effect on the capital treatment afforded to NMIC under the agreement. In addition, there are certain events that trigger mandatory termination of the agreement, including NMIC’s failure to pay premiums or consent to reductions in a trust account to make principal payments to noteholders, among others.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previously been party to other insurance-linked note transactions that it has elected to terminate in accordance with their respective terms. Effective April 27, 2026, NMIC exercised its optional call to terminate a reinsurance agreement with and the associated insurance-linked notes issued by Oaktown Re VI Ltd. In connection with the termination, NMIC's excess of loss reinsurance agreement with Oaktown Re VI Ltd. was commuted and the insurance-linked notes issued by Oaktown Re VI Ltd. were redeemed in full with a distribution of remaining collateral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ceded aggregate premiums in connection with current and previously outstanding insurance-linked notes transactions of $1.5 million and $3.9 million during the three and six months ended June 30, 2026, respectively, and $3.2 million and $6.6 million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6. Reserves for Insurance Claims and Claim Expenses</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w:t>
      </w:r>
      <w:r>
        <w:rPr>
          <w:color w:val="000000"/>
        </w:rPr>
        <w:t xml:space="preserve"> </w:t>
      </w:r>
      <w:r>
        <w:rPr>
          <w:rFonts w:ascii="Times New Roman;serif" w:hAnsi="Times New Roman;serif"/>
          <w:b w:val="false"/>
          <w:color w:val="000000"/>
          <w:sz w:val="20"/>
        </w:rPr>
        <w:t>We also establish reserves for claim expenses, which represent the estimated cost of the claim administration process, including legal and other fees, as well as other general expenses of administering the claim settlement process. As of June 30, 2026, we held gross reserves for insurance claims and claim expenses of $214.6 million. During the six months ended June 30, 2026, we paid 353 claims totaling $23.7 million, including 340 claims covered under the QSR Transactions representing $4.5 million of ceded claims and claim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8,020 loans in default in our primary insured portfolio as of June 30, 2026, which represented a 1.16% default rate against 694,273 total policies in-force, and 7,661 loans in default in our primary insured portfolio as of December 31, 2025, which represented a 1.12% default rate against 684,058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7343" w:type="dxa"/>
        <w:jc w:val="left"/>
        <w:tblInd w:w="0" w:type="dxa"/>
        <w:tblLayout w:type="fixed"/>
        <w:tblCellMar>
          <w:top w:w="28" w:type="dxa"/>
          <w:left w:w="28" w:type="dxa"/>
          <w:bottom w:w="28" w:type="dxa"/>
          <w:right w:w="28" w:type="dxa"/>
        </w:tblCellMar>
      </w:tblPr>
      <w:tblGrid>
        <w:gridCol w:w="1695"/>
        <w:gridCol w:w="1488"/>
        <w:gridCol w:w="1496"/>
        <w:gridCol w:w="211"/>
        <w:gridCol w:w="826"/>
        <w:gridCol w:w="109"/>
        <w:gridCol w:w="109"/>
        <w:gridCol w:w="109"/>
        <w:gridCol w:w="109"/>
        <w:gridCol w:w="211"/>
        <w:gridCol w:w="82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Note 5, “</w:t>
      </w:r>
      <w:r>
        <w:rPr>
          <w:rFonts w:ascii="Times New Roman;serif" w:hAnsi="Times New Roman;serif"/>
          <w:b w:val="false"/>
          <w:i/>
          <w:color w:val="000000"/>
          <w:sz w:val="16"/>
        </w:rPr>
        <w:t>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$61.4 million attributed to net case reserves and $11.8 million attributed to net IBNR reserves for the six months ended June 30, 2026 and $51.5 million attributed to net case reserves and $8.8 million attributed to net IBNR reserves for the six months ended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$28.8 million attributed to net case reserves and $10.8 million attributed to net IBNR reserves for the six months ended June 30, 2026 and $34.9 million attributed to net case reserves and $8.1 million attributed to net IBNR reserves for the six months ended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termination fees of $0.3 million for the six months ended June 30, 2025 incurred in connection with the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or amendment of certain QSR Transactions.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six months ended June 30, 2026 compared to the six months ended June 30, 2025, primarily due to an increase in the total number of new delinquencies emerging during the period tied to the growth and natural seasoning of our portfolio. Our provision for claims and claim expenses during both the six months ended June 30, 2026 and 2025 benefited from favorable development on prior year defaults. We recognized $40.6 million and $43.8 million of favorable prior year development during the six months ended June 30, 2026 and 2025,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$122.6 million related to prior year defaults remained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7. Earnings per Share (EPS)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net income and the weighted average shares of common stock outstanding used in the computations of basic and diluted EPS of common stock:</w:t>
      </w:r>
    </w:p>
    <w:tbl>
      <w:tblPr>
        <w:tblW w:w="9511" w:type="dxa"/>
        <w:jc w:val="left"/>
        <w:tblInd w:w="0" w:type="dxa"/>
        <w:tblLayout w:type="fixed"/>
        <w:tblCellMar>
          <w:top w:w="28" w:type="dxa"/>
          <w:left w:w="28" w:type="dxa"/>
          <w:bottom w:w="28" w:type="dxa"/>
          <w:right w:w="28" w:type="dxa"/>
        </w:tblCellMar>
      </w:tblPr>
      <w:tblGrid>
        <w:gridCol w:w="1363"/>
        <w:gridCol w:w="1196"/>
        <w:gridCol w:w="1206"/>
        <w:gridCol w:w="231"/>
        <w:gridCol w:w="907"/>
        <w:gridCol w:w="119"/>
        <w:gridCol w:w="119"/>
        <w:gridCol w:w="119"/>
        <w:gridCol w:w="119"/>
        <w:gridCol w:w="231"/>
        <w:gridCol w:w="791"/>
        <w:gridCol w:w="119"/>
        <w:gridCol w:w="109"/>
        <w:gridCol w:w="109"/>
        <w:gridCol w:w="109"/>
        <w:gridCol w:w="211"/>
        <w:gridCol w:w="826"/>
        <w:gridCol w:w="109"/>
        <w:gridCol w:w="109"/>
        <w:gridCol w:w="109"/>
        <w:gridCol w:w="109"/>
        <w:gridCol w:w="211"/>
        <w:gridCol w:w="82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and diluted</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issuable shares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8. Segment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business activities on a consolidated basis under a single reportable operating segment and our Chief Executive Officer (CEO) serves as our Chief Operating Decision Maker (CODM).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Our CODM reviews consolidated net income to assess segment profit and loss, and also evaluates the broader set of metrics to gauge our financial performance and make strategic decisions, such as whether to reinvest profits in our Mortgage Insurance segment or return capital to shareholders.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significant revenue and expense categories that are regularly reviewed by our CODM align with those presented on our condensed consolidated statements of operations and comprehensive income, and segment assets align with total assets as presented on our condensed consolidated balance sheets. The accounting policies governing our Mortgage Insurance segment are the same as those described in Item 8, “</w:t>
      </w:r>
      <w:r>
        <w:rPr>
          <w:rFonts w:ascii="Times New Roman;serif" w:hAnsi="Times New Roman;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erif" w:hAnsi="Times New Roman;serif"/>
          <w:b w:val="false"/>
          <w:color w:val="000000"/>
          <w:sz w:val="20"/>
        </w:rPr>
        <w:t>of our 2025 10-K.</w:t>
      </w:r>
    </w:p>
    <w:p>
      <w:pPr>
        <w:pStyle w:val="TextBody"/>
        <w:bidi w:val="0"/>
        <w:spacing w:lineRule="auto" w:line="288" w:before="0" w:after="180"/>
        <w:ind w:left="0" w:right="0" w:firstLine="720"/>
        <w:jc w:val="both"/>
        <w:rPr/>
      </w:pPr>
      <w:r>
        <w:rPr>
          <w:rFonts w:ascii="Times New Roman;serif" w:hAnsi="Times New Roman;serif"/>
          <w:b w:val="false"/>
          <w:color w:val="000000"/>
          <w:sz w:val="20"/>
        </w:rPr>
        <w:t>Investment income, also referred to as interest revenue, is reported within “</w:t>
      </w:r>
      <w:r>
        <w:rPr>
          <w:rFonts w:ascii="Times New Roman;serif" w:hAnsi="Times New Roman;serif"/>
          <w:b w:val="false"/>
          <w:i/>
          <w:color w:val="000000"/>
          <w:sz w:val="20"/>
        </w:rPr>
        <w:t>Net Investment Income</w:t>
      </w:r>
      <w:r>
        <w:rPr>
          <w:color w:val="000000"/>
        </w:rPr>
        <w:t xml:space="preserve">” </w:t>
      </w:r>
      <w:r>
        <w:rPr>
          <w:rFonts w:ascii="Times New Roman;serif" w:hAnsi="Times New Roman;serif"/>
          <w:b w:val="false"/>
          <w:color w:val="000000"/>
          <w:sz w:val="20"/>
        </w:rPr>
        <w:t>on our condensed consolidated statements of operations and was $30.7 million and $59.6 million for the three and six months ended June 30, 2026, respectively, and $25.3 million and $49.3 million for the three and six months ended June 30, 2025, respectively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Amortization and depreciation expense for software, equipment, and leasehold improvements was $2.5 million and $5.0 million for the three and six months ended June 30, 2026, respectively, and $2.8 million and $5.7 million for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22.8% and 21.7% for the three and six months ended June 30, 2026, respectively, compared to 22.2% and 22.1% for the three and six months ended June 30, 2025, respectively. Our provision for income taxes for interim reporting periods is established based on our estimated annual effective tax rate for a given year.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pStyle w:val="TextBody"/>
        <w:bidi w:val="0"/>
        <w:spacing w:lineRule="auto" w:line="288" w:before="180" w:after="180"/>
        <w:ind w:left="0" w:right="0" w:firstLine="720"/>
        <w:jc w:val="both"/>
        <w:rPr/>
      </w:pPr>
      <w:r>
        <w:rPr>
          <w:rFonts w:ascii="Times New Roman;serif" w:hAnsi="Times New Roman;serif"/>
          <w:b w:val="false"/>
          <w:color w:val="000000"/>
          <w:sz w:val="20"/>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six months ended June 30, 2026 and 2025 primarily represents a change in our net deferred tax liability. As of June 30, 2026 and December 31, 2025, we held $400.3 million of tax and loss bonds in </w:t>
      </w:r>
      <w:r>
        <w:rPr>
          <w:color w:val="000000"/>
        </w:rPr>
        <w:t>“</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repurchased 1.5 million shares at an average price of $38.29 per share (excluding associated fees and applicable taxes). As of June 30, 2026, we had $166.8 million of repurchase authorization remaining through December 31, 2027. The authorization provides us with the flexibility, based on market and business conditions, stock price and other factors, to repurchase stock through open market purchases, privately negotiated transactions, or other means, including pursuant to Rule 10b5-1 trading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11. Premiums Receivable, Net </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$1.3 million and $1.4 million reserve for premium write-offs at June 30, 2026 and December 31, 2025,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 was deemed immaterial at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Regulatory Information</w:t>
      </w:r>
    </w:p>
    <w:p>
      <w:pPr>
        <w:pStyle w:val="TextBody"/>
        <w:bidi w:val="0"/>
        <w:spacing w:lineRule="auto" w:line="288" w:before="0" w:after="180"/>
        <w:jc w:val="both"/>
        <w:rPr/>
      </w:pPr>
      <w:r>
        <w:rPr>
          <w:color w:val="000000"/>
        </w:rPr>
        <w:t>    </w:t>
      </w:r>
      <w:r>
        <w:rPr>
          <w:rFonts w:ascii="Times New Roman;serif" w:hAnsi="Times New Roman;serif"/>
          <w:b w:val="false"/>
          <w:i/>
          <w:color w:val="000000"/>
          <w:sz w:val="20"/>
        </w:rPr>
        <w:t>Statutory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and Re One generated combined statutory net income of $44.0 million and $76.8 million for the three and six months ended June 30, 2026, respectively, compared to $30.5 million and $67.3 million for the three and six months ended June 30, 2025,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NMIC's statutory surplus, contingency reserve, statutory capital and risk-to-capital (RTC) ratio as of June 30, 2026 and December 31, 2025.</w:t>
      </w:r>
    </w:p>
    <w:tbl>
      <w:tblPr>
        <w:tblW w:w="5404" w:type="dxa"/>
        <w:jc w:val="left"/>
        <w:tblInd w:w="0" w:type="dxa"/>
        <w:tblLayout w:type="fixed"/>
        <w:tblCellMar>
          <w:top w:w="28" w:type="dxa"/>
          <w:left w:w="28" w:type="dxa"/>
          <w:bottom w:w="28" w:type="dxa"/>
          <w:right w:w="28" w:type="dxa"/>
        </w:tblCellMar>
      </w:tblPr>
      <w:tblGrid>
        <w:gridCol w:w="651"/>
        <w:gridCol w:w="573"/>
        <w:gridCol w:w="576"/>
        <w:gridCol w:w="211"/>
        <w:gridCol w:w="976"/>
        <w:gridCol w:w="109"/>
        <w:gridCol w:w="109"/>
        <w:gridCol w:w="109"/>
        <w:gridCol w:w="109"/>
        <w:gridCol w:w="244"/>
        <w:gridCol w:w="1130"/>
        <w:gridCol w:w="126"/>
        <w:gridCol w:w="109"/>
        <w:gridCol w:w="109"/>
        <w:gridCol w:w="109"/>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2,245,272 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Statutory capital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3,255,546 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Risk-to-capital </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total of the statutory surplus and contingency reserve.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 One had $2.1 million of statutory capital at both June 30, 2026 and December 31, 2025.</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r>
        <w:rPr>
          <w:color w:val="000000"/>
          <w:shd w:fill="FFFFFF" w:val="clear"/>
        </w:rPr>
        <w:t xml:space="preserve"> </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rules and regulations prescribed by jurisdictions in which they are authorized to operate and the GSEs that may restrict their ability to pay dividends to NMIH.</w:t>
      </w:r>
      <w:r>
        <w:rPr>
          <w:color w:val="000000"/>
        </w:rPr>
        <w:t xml:space="preserve"> </w:t>
      </w:r>
      <w:r>
        <w:rPr>
          <w:rFonts w:ascii="Times New Roman;serif" w:hAnsi="Times New Roman;serif"/>
          <w:b w:val="false"/>
          <w:color w:val="000000"/>
          <w:sz w:val="20"/>
        </w:rPr>
        <w:t>NMIC has the capacity to pay $101.0 million of aggregate ordinary dividends to NMIH during the twelve-month period ending December 31, 2026, and, on June 3, 2026, NMIC paid a $101.0 million ordinary course dividend to NMIH.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pPr>
      <w:r>
        <w:rPr>
          <w:color w:val="000000"/>
        </w:rPr>
        <w:t>    </w:t>
      </w:r>
      <w:r>
        <w:rPr>
          <w:rFonts w:ascii="Times New Roman;serif" w:hAnsi="Times New Roman;serif"/>
          <w:b w:val="false"/>
          <w:i/>
          <w:color w:val="000000"/>
          <w:sz w:val="20"/>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2025 10-K, as well as the “Glossary of Abbreviations and Acronyms” above,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2025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pStyle w:val="TextBody"/>
        <w:bidi w:val="0"/>
        <w:spacing w:lineRule="auto" w:line="288" w:before="0" w:after="180"/>
        <w:ind w:left="0" w:right="0" w:firstLine="720"/>
        <w:jc w:val="both"/>
        <w:rPr/>
      </w:pPr>
      <w:r>
        <w:rPr>
          <w:rFonts w:ascii="Times New Roman;serif" w:hAnsi="Times New Roman;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serif" w:hAnsi="Times New Roman;serif"/>
          <w:b w:val="false"/>
          <w:i/>
          <w:color w:val="000000"/>
          <w:sz w:val="20"/>
        </w:rPr>
        <w:t xml:space="preserve">i.e., </w:t>
      </w:r>
      <w:r>
        <w:rPr>
          <w:rFonts w:ascii="Times New Roman;serif" w:hAnsi="Times New Roman;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June 30, 2026, we had issued master policies with 2,223 customers, including national and regional mortgage banks, money center banks, credit unions, community banks, builder-owned mortgage lenders, internet-sourced lenders and other non-bank lenders. As of June 30, 2026, we had $227.1 billion of primary IIF and $60.8 billion of primary RIF.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pricing platform to dynamically evaluate risk and price our policies, and foster a culture of collaboration and excellence that helps us attract and retain experienced industry leaders.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Our common stock trades on the Nasdaq under the symbol “NMIH.” Our headquarters is located in Emeryville, California. As of June 30, 2026, we had 225 employees. Our corporate website is located at </w:t>
      </w:r>
      <w:r>
        <w:rPr>
          <w:rFonts w:ascii="Times New Roman;serif" w:hAnsi="Times New Roman;serif"/>
          <w:b w:val="false"/>
          <w:i/>
          <w:color w:val="000000"/>
          <w:sz w:val="20"/>
        </w:rPr>
        <w:t>www.nationalmi.com</w:t>
      </w:r>
      <w:r>
        <w:rPr>
          <w:rFonts w:ascii="Times New Roman;serif" w:hAnsi="Times New Roman;serif"/>
          <w:b w:val="false"/>
          <w:color w:val="000000"/>
          <w:sz w:val="20"/>
        </w:rPr>
        <w:t>. Our website and the information contained on or accessible through our website are not incorporated by reference into this report.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Conditions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Macroeconomic Developments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Market Developments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April 2026, the GSEs began accepting mortgage loans evaluated using the VantageScore 4.0 credit scoring framework as an alternative to FICO scores from a limited number of approved lenders. During the second quarter of 2026, we insured a small number of loans evaluated using the VantageScore 4.0 framework. Such loans represented an immaterial portion of our new insurance written during the period; however, we expect our VantageScore 4.0 volume will increase in future periods as more lenders incorporate the new standard into their origination and delivery processes. We have evaluated VantageScore 4.0, including through internal analysis and a review of third-party and industry validation work, and believe that it is an appropriate credit scoring framework for use in our underwriting, pricing and risk management processes.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Key Factors Affecting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New Insurance Written, Insurance-In-Force and Risk-In-Force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Net Premiums Written and Net Premiums Earned</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considers a broad range of individual and layered risk variables, including borrower credit, loan-level, product and lender attributes, as well as market and geographic factors, and provides us with the ability to set and charge premium rates commensurate with the underlying risk of each loan that we insure. We also offer a rate card pricing option to a limited number of lender customers when required for business process reasons. We believe that the utilization of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provides us with a more granular and analytical approach to evaluating and pricing risk, and that this approach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NIW;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premium rates and the mix of premium payment type, which are either single, monthly or annual premiums, as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98"/>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cession of premiums under third-party reinsurance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June 30, 2026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Effect of Reinsurance on Our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pStyle w:val="TextBody"/>
        <w:bidi w:val="0"/>
        <w:spacing w:lineRule="auto" w:line="288" w:before="0" w:after="180"/>
        <w:ind w:left="0" w:right="0" w:firstLine="720"/>
        <w:jc w:val="both"/>
        <w:rPr/>
      </w:pPr>
      <w:r>
        <w:rPr>
          <w:rFonts w:ascii="Times New Roman;serif" w:hAnsi="Times New Roman;serif"/>
          <w:b w:val="false"/>
          <w:color w:val="000000"/>
          <w:sz w:val="20"/>
        </w:rPr>
        <w:t>See Item 1, “</w:t>
      </w:r>
      <w:r>
        <w:rPr>
          <w:rFonts w:ascii="Times New Roman;serif" w:hAnsi="Times New Roman;serif"/>
          <w:b w:val="false"/>
          <w:i/>
          <w:color w:val="000000"/>
          <w:sz w:val="20"/>
        </w:rPr>
        <w:t>Financial Statements - Notes to Condensed Consolidated Financial Statements - Note 5, Reinsurance”</w:t>
      </w:r>
      <w:r>
        <w:rPr>
          <w:color w:val="000000"/>
        </w:rPr>
        <w:t xml:space="preserve"> </w:t>
      </w:r>
      <w:r>
        <w:rPr>
          <w:rFonts w:ascii="Times New Roman;serif" w:hAnsi="Times New Roman;serif"/>
          <w:b w:val="false"/>
          <w:color w:val="000000"/>
          <w:sz w:val="20"/>
        </w:rPr>
        <w:t>for further discussion of these third-party reinsurance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Data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NIW and primary IIF as of the dates and for the periods indicated. Unless otherwise noted, the tables below do not include the effects of our third-party reinsurance arrangements described above.</w:t>
      </w:r>
    </w:p>
    <w:tbl>
      <w:tblPr>
        <w:tblW w:w="10205" w:type="dxa"/>
        <w:jc w:val="left"/>
        <w:tblInd w:w="0" w:type="dxa"/>
        <w:tblLayout w:type="fixed"/>
        <w:tblCellMar>
          <w:top w:w="28" w:type="dxa"/>
          <w:left w:w="28" w:type="dxa"/>
          <w:bottom w:w="28" w:type="dxa"/>
          <w:right w:w="28" w:type="dxa"/>
        </w:tblCellMar>
      </w:tblPr>
      <w:tblGrid>
        <w:gridCol w:w="547"/>
        <w:gridCol w:w="450"/>
        <w:gridCol w:w="4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64"/>
        <w:gridCol w:w="902"/>
        <w:gridCol w:w="136"/>
        <w:gridCol w:w="136"/>
        <w:gridCol w:w="136"/>
        <w:gridCol w:w="136"/>
        <w:gridCol w:w="264"/>
        <w:gridCol w:w="902"/>
        <w:gridCol w:w="196"/>
      </w:tblGrid>
      <w:tr>
        <w:trPr/>
        <w:tc>
          <w:tcPr>
            <w:tcW w:w="5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and primary IIF</w:t>
            </w:r>
          </w:p>
        </w:tc>
        <w:tc>
          <w:tcPr>
            <w:tcW w:w="5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six months ended June 30,</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NIW</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14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14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NIW increased 29% and 31%, respectively, during the three and six months ended June 30, 2026 compared to the three and six months ended June 30, 2025, due to growth in our customer franchise and market presence tied to the increased penetration of existing customer accounts and new customer activations, as well as an increase in the size of the total mortgage insurance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Primary IIF increased 6% at June 30, 2026 compared to June 30, 2025, primarily due to the NIW generated between such measurement dates, partially offset by the run-off of in-force policies. Our persistency rate was 81.4% at June 30, 2026 compared to 84.1% at June 30, 2025.</w:t>
      </w:r>
    </w:p>
    <w:p>
      <w:pPr>
        <w:pStyle w:val="TextBody"/>
        <w:bidi w:val="0"/>
        <w:spacing w:before="0" w:after="0"/>
        <w:ind w:left="0" w:right="0" w:firstLine="72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premiums written and earned for the periods indicated:</w:t>
      </w:r>
    </w:p>
    <w:tbl>
      <w:tblPr>
        <w:tblW w:w="8295" w:type="dxa"/>
        <w:jc w:val="left"/>
        <w:tblInd w:w="0" w:type="dxa"/>
        <w:tblLayout w:type="fixed"/>
        <w:tblCellMar>
          <w:top w:w="28" w:type="dxa"/>
          <w:left w:w="28" w:type="dxa"/>
          <w:bottom w:w="28" w:type="dxa"/>
          <w:right w:w="28" w:type="dxa"/>
        </w:tblCellMar>
      </w:tblPr>
      <w:tblGrid>
        <w:gridCol w:w="923"/>
        <w:gridCol w:w="812"/>
        <w:gridCol w:w="815"/>
        <w:gridCol w:w="222"/>
        <w:gridCol w:w="870"/>
        <w:gridCol w:w="114"/>
        <w:gridCol w:w="114"/>
        <w:gridCol w:w="114"/>
        <w:gridCol w:w="114"/>
        <w:gridCol w:w="222"/>
        <w:gridCol w:w="870"/>
        <w:gridCol w:w="114"/>
        <w:gridCol w:w="109"/>
        <w:gridCol w:w="109"/>
        <w:gridCol w:w="109"/>
        <w:gridCol w:w="211"/>
        <w:gridCol w:w="826"/>
        <w:gridCol w:w="109"/>
        <w:gridCol w:w="109"/>
        <w:gridCol w:w="109"/>
        <w:gridCol w:w="109"/>
        <w:gridCol w:w="211"/>
        <w:gridCol w:w="82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premiums written and earned</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written increased 8% and 7%, respectively, and net premiums earned increased 6% and 5%, respectively, during the three and six months ended June 30, 2026 compared to the three and six months ended June 30, 2025, primarily driven by growth in our monthly IIF and direct monthly pay premium receipts. The year-over-year increases in net premiums written and earned were further impacted by changes in ceded premiums written and earned under our third-party reinsurance transactions during each respective period.</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Statistics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noted, the portfolio statistics tables presented below do not include the effects of our third-party reinsurance arrangements described above. The table below highlights trends in our primary portfolio as of the dates and for the periods indicated.</w:t>
      </w:r>
    </w:p>
    <w:tbl>
      <w:tblPr>
        <w:tblW w:w="10205" w:type="dxa"/>
        <w:jc w:val="left"/>
        <w:tblInd w:w="0" w:type="dxa"/>
        <w:tblLayout w:type="fixed"/>
        <w:tblCellMar>
          <w:top w:w="28" w:type="dxa"/>
          <w:left w:w="28" w:type="dxa"/>
          <w:bottom w:w="28" w:type="dxa"/>
          <w:right w:w="28" w:type="dxa"/>
        </w:tblCellMar>
      </w:tblPr>
      <w:tblGrid>
        <w:gridCol w:w="1061"/>
        <w:gridCol w:w="596"/>
        <w:gridCol w:w="516"/>
        <w:gridCol w:w="211"/>
        <w:gridCol w:w="826"/>
        <w:gridCol w:w="271"/>
        <w:gridCol w:w="109"/>
        <w:gridCol w:w="109"/>
        <w:gridCol w:w="109"/>
        <w:gridCol w:w="211"/>
        <w:gridCol w:w="826"/>
        <w:gridCol w:w="271"/>
        <w:gridCol w:w="109"/>
        <w:gridCol w:w="109"/>
        <w:gridCol w:w="109"/>
        <w:gridCol w:w="220"/>
        <w:gridCol w:w="864"/>
        <w:gridCol w:w="283"/>
        <w:gridCol w:w="109"/>
        <w:gridCol w:w="109"/>
        <w:gridCol w:w="109"/>
        <w:gridCol w:w="223"/>
        <w:gridCol w:w="874"/>
        <w:gridCol w:w="286"/>
        <w:gridCol w:w="109"/>
        <w:gridCol w:w="109"/>
        <w:gridCol w:w="109"/>
        <w:gridCol w:w="211"/>
        <w:gridCol w:w="826"/>
        <w:gridCol w:w="321"/>
      </w:tblGrid>
      <w:tr>
        <w:trPr/>
        <w:tc>
          <w:tcPr>
            <w:tcW w:w="106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portfolio trends</w:t>
            </w:r>
          </w:p>
        </w:tc>
        <w:tc>
          <w:tcPr>
            <w:tcW w:w="80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 except as noted below)</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insurance written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risk written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Insurance-in-force</w:t>
            </w:r>
            <w:r>
              <w:rPr>
                <w:color w:val="000000"/>
              </w:rPr>
              <w:t xml:space="preserv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Risk-in-force</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Policies in force (count)</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668,638 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loan size</w:t>
            </w:r>
            <w:r>
              <w:rPr>
                <w:color w:val="000000"/>
              </w:rPr>
              <w:t xml:space="preserve"> </w:t>
            </w:r>
            <w:r>
              <w:rPr>
                <w:rFonts w:ascii="Times New Roman;serif" w:hAnsi="Times New Roman;serif"/>
                <w:b w:val="false"/>
                <w:i/>
                <w:color w:val="000000"/>
                <w:sz w:val="16"/>
              </w:rPr>
              <w:t>($ value in thousands)</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Coverage percentage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in default (count)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Default rate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Risk-in-force on defaulted loans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premium yield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cancellations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 persistency</w:t>
            </w:r>
            <w:r>
              <w:rPr>
                <w:color w:val="000000"/>
              </w:rPr>
              <w:t xml:space="preserve">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Quarterly run-off</w:t>
            </w:r>
            <w:r>
              <w:rPr>
                <w:color w:val="000000"/>
              </w:rPr>
              <w:t xml:space="preserve"> </w:t>
            </w:r>
            <w:r>
              <w:rPr>
                <w:rFonts w:ascii="Times New Roman;serif" w:hAnsi="Times New Roman;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    Reported as of the end of the period.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    Calculated as end of period RIF divided by end of period IIF.</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    Calculated as net premiums earned divided by average primary IIF for the period, annualized.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    Defined as the percentage of IIF that remains on our books after a given twelve-month period.</w:t>
      </w:r>
    </w:p>
    <w:p>
      <w:pPr>
        <w:pStyle w:val="TextBody"/>
        <w:bidi w:val="0"/>
        <w:spacing w:lineRule="auto" w:line="288" w:before="0" w:after="18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(5)    Defined as the percentage of IIF that is no longer on our books after a given three-month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the change in total primary IIF for the dates and periods indicated.</w:t>
      </w:r>
    </w:p>
    <w:tbl>
      <w:tblPr>
        <w:tblW w:w="10205" w:type="dxa"/>
        <w:jc w:val="left"/>
        <w:tblInd w:w="0" w:type="dxa"/>
        <w:tblLayout w:type="fixed"/>
        <w:tblCellMar>
          <w:top w:w="28" w:type="dxa"/>
          <w:left w:w="28" w:type="dxa"/>
          <w:bottom w:w="28" w:type="dxa"/>
          <w:right w:w="28" w:type="dxa"/>
        </w:tblCellMar>
      </w:tblPr>
      <w:tblGrid>
        <w:gridCol w:w="1395"/>
        <w:gridCol w:w="1114"/>
        <w:gridCol w:w="1098"/>
        <w:gridCol w:w="255"/>
        <w:gridCol w:w="1001"/>
        <w:gridCol w:w="131"/>
        <w:gridCol w:w="131"/>
        <w:gridCol w:w="131"/>
        <w:gridCol w:w="131"/>
        <w:gridCol w:w="255"/>
        <w:gridCol w:w="1001"/>
        <w:gridCol w:w="131"/>
        <w:gridCol w:w="109"/>
        <w:gridCol w:w="109"/>
        <w:gridCol w:w="109"/>
        <w:gridCol w:w="245"/>
        <w:gridCol w:w="961"/>
        <w:gridCol w:w="126"/>
        <w:gridCol w:w="126"/>
        <w:gridCol w:w="126"/>
        <w:gridCol w:w="126"/>
        <w:gridCol w:w="245"/>
        <w:gridCol w:w="961"/>
        <w:gridCol w:w="188"/>
      </w:tblGrid>
      <w:tr>
        <w:trPr/>
        <w:tc>
          <w:tcPr>
            <w:tcW w:w="139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w:t>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six months ended June 30,</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 principal repayments and other reductions</w:t>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our primary IIF and RIF by book year as of the dates indicated.</w:t>
      </w:r>
    </w:p>
    <w:tbl>
      <w:tblPr>
        <w:tblW w:w="7049" w:type="dxa"/>
        <w:jc w:val="left"/>
        <w:tblInd w:w="0" w:type="dxa"/>
        <w:tblLayout w:type="fixed"/>
        <w:tblCellMar>
          <w:top w:w="28" w:type="dxa"/>
          <w:left w:w="28" w:type="dxa"/>
          <w:bottom w:w="28" w:type="dxa"/>
          <w:right w:w="28" w:type="dxa"/>
        </w:tblCellMar>
      </w:tblPr>
      <w:tblGrid>
        <w:gridCol w:w="596"/>
        <w:gridCol w:w="524"/>
        <w:gridCol w:w="52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and RIF</w:t>
            </w:r>
          </w:p>
        </w:tc>
        <w:tc>
          <w:tcPr>
            <w:tcW w:w="54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Book year</w:t>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before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certain risk principles that form the basis of how we underwrite and originate NIW. We have established prudential underwriting standards and loan-level eligibility matrices which prescribe the maximum LTV, minimum borrower credit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NIW by credit score, LTV and purchase/refinance mix for the periods indicated. We calculate the LTV of a loan as the percentage of the original loan amount to the original purchase value of the property securing the loan.</w:t>
      </w:r>
    </w:p>
    <w:p>
      <w:pPr>
        <w:pStyle w:val="TextBody"/>
        <w:bidi w:val="0"/>
        <w:spacing w:before="0" w:after="180"/>
        <w:ind w:left="0" w:right="0" w:firstLine="720"/>
        <w:jc w:val="both"/>
        <w:rPr/>
      </w:pPr>
      <w:r>
        <w:rPr/>
      </w:r>
    </w:p>
    <w:tbl>
      <w:tblPr>
        <w:tblW w:w="8265" w:type="dxa"/>
        <w:jc w:val="left"/>
        <w:tblInd w:w="0" w:type="dxa"/>
        <w:tblLayout w:type="fixed"/>
        <w:tblCellMar>
          <w:top w:w="28" w:type="dxa"/>
          <w:left w:w="28" w:type="dxa"/>
          <w:bottom w:w="28" w:type="dxa"/>
          <w:right w:w="28" w:type="dxa"/>
        </w:tblCellMar>
      </w:tblPr>
      <w:tblGrid>
        <w:gridCol w:w="929"/>
        <w:gridCol w:w="815"/>
        <w:gridCol w:w="820"/>
        <w:gridCol w:w="241"/>
        <w:gridCol w:w="826"/>
        <w:gridCol w:w="124"/>
        <w:gridCol w:w="124"/>
        <w:gridCol w:w="124"/>
        <w:gridCol w:w="124"/>
        <w:gridCol w:w="241"/>
        <w:gridCol w:w="826"/>
        <w:gridCol w:w="124"/>
        <w:gridCol w:w="109"/>
        <w:gridCol w:w="109"/>
        <w:gridCol w:w="109"/>
        <w:gridCol w:w="225"/>
        <w:gridCol w:w="771"/>
        <w:gridCol w:w="116"/>
        <w:gridCol w:w="116"/>
        <w:gridCol w:w="116"/>
        <w:gridCol w:w="116"/>
        <w:gridCol w:w="225"/>
        <w:gridCol w:w="771"/>
        <w:gridCol w:w="16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NIW by credit score </w:t>
            </w:r>
            <w:r>
              <w:rPr>
                <w:rFonts w:ascii="Times New Roman;serif" w:hAnsi="Times New Roman;serif"/>
                <w:b/>
                <w:color w:val="000000"/>
                <w:sz w:val="10"/>
              </w:rPr>
              <w:t>(1)</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credit score</w:t>
            </w:r>
          </w:p>
        </w:tc>
        <w:tc>
          <w:tcPr>
            <w:tcW w:w="10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(1) Includes de minimis amounts related to loans with VantageScore 4.0 credit scores for the three and six months ended June 30, 2026.</w:t>
      </w:r>
    </w:p>
    <w:tbl>
      <w:tblPr>
        <w:tblW w:w="7872" w:type="dxa"/>
        <w:jc w:val="left"/>
        <w:tblInd w:w="0" w:type="dxa"/>
        <w:tblLayout w:type="fixed"/>
        <w:tblCellMar>
          <w:top w:w="28" w:type="dxa"/>
          <w:left w:w="28" w:type="dxa"/>
          <w:bottom w:w="28" w:type="dxa"/>
          <w:right w:w="28" w:type="dxa"/>
        </w:tblCellMar>
      </w:tblPr>
      <w:tblGrid>
        <w:gridCol w:w="724"/>
        <w:gridCol w:w="638"/>
        <w:gridCol w:w="647"/>
        <w:gridCol w:w="213"/>
        <w:gridCol w:w="728"/>
        <w:gridCol w:w="273"/>
        <w:gridCol w:w="110"/>
        <w:gridCol w:w="110"/>
        <w:gridCol w:w="110"/>
        <w:gridCol w:w="213"/>
        <w:gridCol w:w="728"/>
        <w:gridCol w:w="273"/>
        <w:gridCol w:w="109"/>
        <w:gridCol w:w="109"/>
        <w:gridCol w:w="109"/>
        <w:gridCol w:w="211"/>
        <w:gridCol w:w="721"/>
        <w:gridCol w:w="271"/>
        <w:gridCol w:w="109"/>
        <w:gridCol w:w="109"/>
        <w:gridCol w:w="109"/>
        <w:gridCol w:w="211"/>
        <w:gridCol w:w="721"/>
        <w:gridCol w:w="316"/>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LTV</w:t>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LTV</w:t>
            </w:r>
          </w:p>
        </w:tc>
        <w:tc>
          <w:tcPr>
            <w:tcW w:w="9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115" w:type="dxa"/>
        <w:jc w:val="left"/>
        <w:tblInd w:w="0" w:type="dxa"/>
        <w:tblLayout w:type="fixed"/>
        <w:tblCellMar>
          <w:top w:w="28" w:type="dxa"/>
          <w:left w:w="28" w:type="dxa"/>
          <w:bottom w:w="28" w:type="dxa"/>
          <w:right w:w="28" w:type="dxa"/>
        </w:tblCellMar>
      </w:tblPr>
      <w:tblGrid>
        <w:gridCol w:w="875"/>
        <w:gridCol w:w="768"/>
        <w:gridCol w:w="771"/>
        <w:gridCol w:w="241"/>
        <w:gridCol w:w="826"/>
        <w:gridCol w:w="124"/>
        <w:gridCol w:w="124"/>
        <w:gridCol w:w="124"/>
        <w:gridCol w:w="124"/>
        <w:gridCol w:w="241"/>
        <w:gridCol w:w="826"/>
        <w:gridCol w:w="124"/>
        <w:gridCol w:w="109"/>
        <w:gridCol w:w="109"/>
        <w:gridCol w:w="109"/>
        <w:gridCol w:w="225"/>
        <w:gridCol w:w="771"/>
        <w:gridCol w:w="116"/>
        <w:gridCol w:w="116"/>
        <w:gridCol w:w="116"/>
        <w:gridCol w:w="116"/>
        <w:gridCol w:w="225"/>
        <w:gridCol w:w="771"/>
        <w:gridCol w:w="16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purchase/refinance mix</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Refinance</w:t>
            </w:r>
            <w:r>
              <w:rPr>
                <w:color w:val="000000"/>
              </w:rPr>
              <w:t xml:space="preserv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21,685 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our total primary IIF and RIF by credit score and LTV, and total primary RIF by loan type as of the dates indicated. </w:t>
      </w:r>
    </w:p>
    <w:tbl>
      <w:tblPr>
        <w:tblW w:w="7086" w:type="dxa"/>
        <w:jc w:val="left"/>
        <w:tblInd w:w="0" w:type="dxa"/>
        <w:tblLayout w:type="fixed"/>
        <w:tblCellMar>
          <w:top w:w="28" w:type="dxa"/>
          <w:left w:w="28" w:type="dxa"/>
          <w:bottom w:w="28" w:type="dxa"/>
          <w:right w:w="28" w:type="dxa"/>
        </w:tblCellMar>
      </w:tblPr>
      <w:tblGrid>
        <w:gridCol w:w="829"/>
        <w:gridCol w:w="729"/>
        <w:gridCol w:w="736"/>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Primary IIF by credit score</w:t>
            </w:r>
            <w:r>
              <w:rPr>
                <w:color w:val="000000"/>
              </w:rPr>
              <w:t xml:space="preserve"> </w:t>
            </w:r>
            <w:r>
              <w:rPr>
                <w:rFonts w:ascii="Times New Roman;serif" w:hAnsi="Times New Roman;serif"/>
                <w:b/>
                <w:color w:val="000000"/>
                <w:sz w:val="10"/>
              </w:rPr>
              <w:t>(1)</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6"/>
        </w:rPr>
      </w:pPr>
      <w:r>
        <w:rPr>
          <w:rFonts w:ascii="Times New Roman;serif" w:hAnsi="Times New Roman;serif"/>
          <w:b w:val="false"/>
          <w:color w:val="000000"/>
          <w:sz w:val="16"/>
        </w:rPr>
        <w:t>(1) Includes de minimis amounts related to loans with VantageScore 4.0 credit scores as of June 30, 2026.</w:t>
      </w:r>
    </w:p>
    <w:tbl>
      <w:tblPr>
        <w:tblW w:w="6922" w:type="dxa"/>
        <w:jc w:val="left"/>
        <w:tblInd w:w="0" w:type="dxa"/>
        <w:tblLayout w:type="fixed"/>
        <w:tblCellMar>
          <w:top w:w="28" w:type="dxa"/>
          <w:left w:w="28" w:type="dxa"/>
          <w:bottom w:w="28" w:type="dxa"/>
          <w:right w:w="28" w:type="dxa"/>
        </w:tblCellMar>
      </w:tblPr>
      <w:tblGrid>
        <w:gridCol w:w="846"/>
        <w:gridCol w:w="744"/>
        <w:gridCol w:w="750"/>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Primary RIF by credit score </w:t>
            </w:r>
            <w:r>
              <w:rPr>
                <w:rFonts w:ascii="Times New Roman;serif" w:hAnsi="Times New Roman;serif"/>
                <w:b/>
                <w:color w:val="000000"/>
                <w:sz w:val="10"/>
              </w:rPr>
              <w:t>(1)</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&lt;=679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6"/>
        </w:rPr>
      </w:pPr>
      <w:r>
        <w:rPr>
          <w:rFonts w:ascii="Times New Roman;serif" w:hAnsi="Times New Roman;serif"/>
          <w:b w:val="false"/>
          <w:color w:val="000000"/>
          <w:sz w:val="16"/>
        </w:rPr>
        <w:t>(1) Includes de minimis amounts related to loans with VantageScore 4.0 credit scores as of June 30, 2026.</w:t>
      </w:r>
    </w:p>
    <w:tbl>
      <w:tblPr>
        <w:tblW w:w="6427" w:type="dxa"/>
        <w:jc w:val="left"/>
        <w:tblInd w:w="0" w:type="dxa"/>
        <w:tblLayout w:type="fixed"/>
        <w:tblCellMar>
          <w:top w:w="28" w:type="dxa"/>
          <w:left w:w="28" w:type="dxa"/>
          <w:bottom w:w="28" w:type="dxa"/>
          <w:right w:w="28" w:type="dxa"/>
        </w:tblCellMar>
      </w:tblPr>
      <w:tblGrid>
        <w:gridCol w:w="591"/>
        <w:gridCol w:w="520"/>
        <w:gridCol w:w="524"/>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LTV</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6247" w:type="dxa"/>
        <w:jc w:val="left"/>
        <w:tblInd w:w="0" w:type="dxa"/>
        <w:tblLayout w:type="fixed"/>
        <w:tblCellMar>
          <w:top w:w="28" w:type="dxa"/>
          <w:left w:w="28" w:type="dxa"/>
          <w:bottom w:w="28" w:type="dxa"/>
          <w:right w:w="28" w:type="dxa"/>
        </w:tblCellMar>
      </w:tblPr>
      <w:tblGrid>
        <w:gridCol w:w="602"/>
        <w:gridCol w:w="529"/>
        <w:gridCol w:w="534"/>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LTV</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4576" w:type="dxa"/>
        <w:jc w:val="left"/>
        <w:tblInd w:w="0" w:type="dxa"/>
        <w:tblLayout w:type="fixed"/>
        <w:tblCellMar>
          <w:top w:w="28" w:type="dxa"/>
          <w:left w:w="28" w:type="dxa"/>
          <w:bottom w:w="28" w:type="dxa"/>
          <w:right w:w="28" w:type="dxa"/>
        </w:tblCellMar>
      </w:tblPr>
      <w:tblGrid>
        <w:gridCol w:w="829"/>
        <w:gridCol w:w="729"/>
        <w:gridCol w:w="736"/>
        <w:gridCol w:w="231"/>
        <w:gridCol w:w="235"/>
        <w:gridCol w:w="271"/>
        <w:gridCol w:w="109"/>
        <w:gridCol w:w="109"/>
        <w:gridCol w:w="109"/>
        <w:gridCol w:w="231"/>
        <w:gridCol w:w="235"/>
        <w:gridCol w:w="271"/>
        <w:gridCol w:w="109"/>
        <w:gridCol w:w="109"/>
        <w:gridCol w:w="109"/>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Loan Type</w:t>
            </w:r>
          </w:p>
        </w:tc>
        <w:tc>
          <w:tcPr>
            <w:tcW w:w="1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five years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longer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primary portfolio statistics, by book year, as of June 30, 2026.</w:t>
      </w:r>
    </w:p>
    <w:tbl>
      <w:tblPr>
        <w:tblW w:w="13566" w:type="dxa"/>
        <w:jc w:val="left"/>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11"/>
        <w:gridCol w:w="826"/>
        <w:gridCol w:w="109"/>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rP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Book Year</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Insurance Written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Insurance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Remaining of Original Insurance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Policies Ever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Policies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Loans in Default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Claims Paid</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Incurred Loss Ratio (Inception to Date) </w:t>
            </w:r>
            <w:r>
              <w:rPr>
                <w:rFonts w:ascii="Times New Roman;serif" w:hAnsi="Times New Roman;serif"/>
                <w:b/>
                <w:color w:val="000000"/>
                <w:sz w:val="10"/>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Default Rate </w:t>
            </w:r>
            <w:r>
              <w:rPr>
                <w:rFonts w:ascii="Times New Roman;serif" w:hAnsi="Times New Roman;serif"/>
                <w:b/>
                <w:color w:val="000000"/>
                <w:sz w:val="10"/>
              </w:rPr>
              <w:t>(2)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Default Rate </w:t>
            </w:r>
            <w:r>
              <w:rPr>
                <w:rFonts w:ascii="Times New Roman;serif" w:hAnsi="Times New Roman;serif"/>
                <w:b/>
                <w:color w:val="000000"/>
                <w:sz w:val="10"/>
              </w:rPr>
              <w:t>(3)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0" w:type="dxa"/>
            <w:gridSpan w:val="5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115,741 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69,539 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501,976 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1,526,294 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694,273 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Calculated as total claims incurred (paid and reserved) divided by cumulative premiums earned, net of reinsurance.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the sum of the number of claims paid ever to date and number of loans in default divided by policies ever in force.</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as the number of loans in default divided by number of policies in force.</w:t>
      </w:r>
    </w:p>
    <w:p>
      <w:pPr>
        <w:pStyle w:val="TextBody"/>
        <w:bidi w:val="0"/>
        <w:spacing w:lineRule="auto" w:line="288" w:before="0" w:after="18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Geographic Dispersion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distribution by state of our primary RIF as of the dates indicated. The distribution of our primary RIF as of June 30, 2026 is not necessarily representative of the geographic distribution we expect in the future. </w:t>
      </w:r>
    </w:p>
    <w:tbl>
      <w:tblPr>
        <w:tblW w:w="4155" w:type="dxa"/>
        <w:jc w:val="left"/>
        <w:tblInd w:w="0" w:type="dxa"/>
        <w:tblLayout w:type="fixed"/>
        <w:tblCellMar>
          <w:top w:w="28" w:type="dxa"/>
          <w:left w:w="28" w:type="dxa"/>
          <w:bottom w:w="28" w:type="dxa"/>
          <w:right w:w="28" w:type="dxa"/>
        </w:tblCellMar>
      </w:tblPr>
      <w:tblGrid>
        <w:gridCol w:w="803"/>
        <w:gridCol w:w="705"/>
        <w:gridCol w:w="711"/>
        <w:gridCol w:w="255"/>
        <w:gridCol w:w="256"/>
        <w:gridCol w:w="271"/>
        <w:gridCol w:w="109"/>
        <w:gridCol w:w="109"/>
        <w:gridCol w:w="109"/>
        <w:gridCol w:w="255"/>
        <w:gridCol w:w="256"/>
        <w:gridCol w:w="31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Top 10 primary RIF by state</w:t>
            </w:r>
          </w:p>
        </w:tc>
        <w:tc>
          <w:tcPr>
            <w:tcW w:w="1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Insurance Claims and Claim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XOL Transactions and ILN Transaction as applicable under each treaty. We have not yet ceded reserves under any of the XOL Transactions or ILN Transaction as incurred claims and claim expenses on each respective reference pool remain within our retained coverage layer for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10205" w:type="dxa"/>
        <w:jc w:val="left"/>
        <w:tblInd w:w="0" w:type="dxa"/>
        <w:tblLayout w:type="fixed"/>
        <w:tblCellMar>
          <w:top w:w="28" w:type="dxa"/>
          <w:left w:w="28" w:type="dxa"/>
          <w:bottom w:w="28" w:type="dxa"/>
          <w:right w:w="28" w:type="dxa"/>
        </w:tblCellMar>
      </w:tblPr>
      <w:tblGrid>
        <w:gridCol w:w="1624"/>
        <w:gridCol w:w="1418"/>
        <w:gridCol w:w="1425"/>
        <w:gridCol w:w="221"/>
        <w:gridCol w:w="867"/>
        <w:gridCol w:w="113"/>
        <w:gridCol w:w="113"/>
        <w:gridCol w:w="113"/>
        <w:gridCol w:w="113"/>
        <w:gridCol w:w="221"/>
        <w:gridCol w:w="867"/>
        <w:gridCol w:w="113"/>
        <w:gridCol w:w="109"/>
        <w:gridCol w:w="109"/>
        <w:gridCol w:w="109"/>
        <w:gridCol w:w="211"/>
        <w:gridCol w:w="826"/>
        <w:gridCol w:w="109"/>
        <w:gridCol w:w="109"/>
        <w:gridCol w:w="109"/>
        <w:gridCol w:w="109"/>
        <w:gridCol w:w="211"/>
        <w:gridCol w:w="826"/>
        <w:gridCol w:w="160"/>
      </w:tblGrid>
      <w:tr>
        <w:trPr/>
        <w:tc>
          <w:tcPr>
            <w:tcW w:w="162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(5)</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Related to ceded losses recoverable under the QSR Transactions. See Item 1, “</w:t>
      </w:r>
      <w:r>
        <w:rPr>
          <w:rFonts w:ascii="Times New Roman;serif" w:hAnsi="Times New Roman;serif"/>
          <w:b w:val="false"/>
          <w:i/>
          <w:color w:val="000000"/>
          <w:sz w:val="16"/>
        </w:rPr>
        <w:t>Financial Statements - Notes to Condensed Consolidated Financial Statements - Note 5, 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$61.4 million attributed to net case reserves and $11.8 million attributed to net IBNR reserves for the six months ended June 30, 2026 and $51.5 million attributed to net case reserves and $8.8 million attributed to net IBNR reserves for the six months ended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$28.8 million attributed to net case reserves and $10.8 million attributed to net IBNR reserves for the six months ended June 30, 2026 and $34.9 million attributed to net case reserves and $8.1 million attributed to net IBNR reserves for the six months ended June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termination fees of $0.3 million for the six months ended June 30, 2025 incurred in connection with the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Represents the settlement of reinsurance recoverables in conjunction with the termination or amendment of certain QSR Transactions.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w:t>
      </w:r>
      <w:r>
        <w:rPr>
          <w:color w:val="000000"/>
        </w:rPr>
        <w:t>“</w:t>
      </w:r>
      <w:r>
        <w:rPr>
          <w:rFonts w:ascii="Times New Roman;serif" w:hAnsi="Times New Roman;serif"/>
          <w:b w:val="false"/>
          <w:color w:val="000000"/>
          <w:sz w:val="20"/>
        </w:rPr>
        <w:t>claims incurred</w:t>
      </w:r>
      <w:r>
        <w:rPr>
          <w:color w:val="000000"/>
        </w:rPr>
        <w:t xml:space="preserve">” </w:t>
      </w:r>
      <w:r>
        <w:rPr>
          <w:rFonts w:ascii="Times New Roman;serif" w:hAnsi="Times New Roman;serif"/>
          <w:b w:val="false"/>
          <w:color w:val="000000"/>
          <w:sz w:val="20"/>
        </w:rPr>
        <w:t>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$122.6 million related to prior year defaults remained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count of loans in default:</w:t>
      </w:r>
    </w:p>
    <w:tbl>
      <w:tblPr>
        <w:tblW w:w="9134" w:type="dxa"/>
        <w:jc w:val="left"/>
        <w:tblInd w:w="0" w:type="dxa"/>
        <w:tblLayout w:type="fixed"/>
        <w:tblCellMar>
          <w:top w:w="28" w:type="dxa"/>
          <w:left w:w="28" w:type="dxa"/>
          <w:bottom w:w="28" w:type="dxa"/>
          <w:right w:w="28" w:type="dxa"/>
        </w:tblCellMar>
      </w:tblPr>
      <w:tblGrid>
        <w:gridCol w:w="1049"/>
        <w:gridCol w:w="920"/>
        <w:gridCol w:w="926"/>
        <w:gridCol w:w="427"/>
        <w:gridCol w:w="306"/>
        <w:gridCol w:w="306"/>
        <w:gridCol w:w="306"/>
        <w:gridCol w:w="306"/>
        <w:gridCol w:w="306"/>
        <w:gridCol w:w="427"/>
        <w:gridCol w:w="306"/>
        <w:gridCol w:w="306"/>
        <w:gridCol w:w="109"/>
        <w:gridCol w:w="109"/>
        <w:gridCol w:w="109"/>
        <w:gridCol w:w="427"/>
        <w:gridCol w:w="278"/>
        <w:gridCol w:w="278"/>
        <w:gridCol w:w="278"/>
        <w:gridCol w:w="278"/>
        <w:gridCol w:w="278"/>
        <w:gridCol w:w="427"/>
        <w:gridCol w:w="278"/>
        <w:gridCol w:w="39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rescission and claims denied</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3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Ending default inventory increased from June 30, 2025 to June 30, 2026, primarily due to the growth and seasoning of our insured portfolio, partially offset by cure activity within our default population during the intervening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our claims paid, before giving effect to claims ceded under the QSR Transactions for the periods indicated:</w:t>
      </w:r>
    </w:p>
    <w:tbl>
      <w:tblPr>
        <w:tblW w:w="8575" w:type="dxa"/>
        <w:jc w:val="left"/>
        <w:tblInd w:w="0" w:type="dxa"/>
        <w:tblLayout w:type="fixed"/>
        <w:tblCellMar>
          <w:top w:w="28" w:type="dxa"/>
          <w:left w:w="28" w:type="dxa"/>
          <w:bottom w:w="28" w:type="dxa"/>
          <w:right w:w="28" w:type="dxa"/>
        </w:tblCellMar>
      </w:tblPr>
      <w:tblGrid>
        <w:gridCol w:w="981"/>
        <w:gridCol w:w="864"/>
        <w:gridCol w:w="869"/>
        <w:gridCol w:w="221"/>
        <w:gridCol w:w="757"/>
        <w:gridCol w:w="284"/>
        <w:gridCol w:w="114"/>
        <w:gridCol w:w="114"/>
        <w:gridCol w:w="114"/>
        <w:gridCol w:w="221"/>
        <w:gridCol w:w="647"/>
        <w:gridCol w:w="284"/>
        <w:gridCol w:w="109"/>
        <w:gridCol w:w="109"/>
        <w:gridCol w:w="109"/>
        <w:gridCol w:w="211"/>
        <w:gridCol w:w="721"/>
        <w:gridCol w:w="271"/>
        <w:gridCol w:w="109"/>
        <w:gridCol w:w="109"/>
        <w:gridCol w:w="109"/>
        <w:gridCol w:w="211"/>
        <w:gridCol w:w="721"/>
        <w:gridCol w:w="316"/>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claims paid </w:t>
            </w:r>
            <w:r>
              <w:rPr>
                <w:rFonts w:ascii="Times New Roman;serif" w:hAnsi="Times New Roman;serif"/>
                <w:b w:val="false"/>
                <w:color w:val="000000"/>
                <w:sz w:val="13"/>
              </w:rPr>
              <w:t>(1)</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paid for claims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amount paid per claim</w:t>
            </w:r>
            <w:r>
              <w:rPr>
                <w:color w:val="000000"/>
              </w:rPr>
              <w:t xml:space="preserve">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Severity </w:t>
            </w:r>
            <w:r>
              <w:rPr>
                <w:rFonts w:ascii="Times New Roman;serif" w:hAnsi="Times New Roman;serif"/>
                <w:b w:val="false"/>
                <w:color w:val="000000"/>
                <w:sz w:val="13"/>
              </w:rPr>
              <w:t>(2)</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pPr>
      <w:r>
        <w:rPr>
          <w:rFonts w:ascii="Times New Roman;serif" w:hAnsi="Times New Roman;serif"/>
          <w:b w:val="false"/>
          <w:color w:val="000000"/>
          <w:sz w:val="16"/>
        </w:rPr>
        <w:t>(1)    Count includes 15 and 27</w:t>
      </w:r>
      <w:r>
        <w:rPr>
          <w:color w:val="000000"/>
        </w:rPr>
        <w:t xml:space="preserve"> </w:t>
      </w:r>
      <w:r>
        <w:rPr>
          <w:rFonts w:ascii="Times New Roman;serif" w:hAnsi="Times New Roman;serif"/>
          <w:b w:val="false"/>
          <w:color w:val="000000"/>
          <w:sz w:val="16"/>
        </w:rPr>
        <w:t>claims settled without payment during the three and six months ended June 30, 2026, respectively, and 16 and 36 claims settled without payment during the three and six months ended June 30,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paid 183 and 353 claims during the three and six months ended June 30, 2026, respectively, and 93 and 188 claims during the three and six months ended June 30, 2025, respectively.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claims severity was 89% and 88% for the three and six months ended June 30, 2026, respectively, compared to 82% and 75% for the three and six months ended June 30, 2025, respectively. The increase in claims severity for the three and six months ended June 30, 2026, was primarily due to an increase in the proportion of claims related to loans originated in more recent years. These loans generally have less accumulated equity than loans from earlier vintages, which typically results in a higher frequency and severity of claims payments. An increase in the value of the homes collateralizing the mortgages we insure provides additional equity support to our risk exposure and raises the prospect of a third-party sale of a foreclosed property, which can mitigate the severity of our settled claims.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average reserve per default, before giving effect to reserves ceded under the QSR Transactions, as of the dates indicated:</w:t>
      </w:r>
    </w:p>
    <w:tbl>
      <w:tblPr>
        <w:tblW w:w="4239" w:type="dxa"/>
        <w:jc w:val="left"/>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reserve per default:</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IBNR </w:t>
            </w:r>
            <w:r>
              <w:rPr>
                <w:rFonts w:ascii="Times New Roman;serif" w:hAnsi="Times New Roman;serif"/>
                <w:b w:val="false"/>
                <w:color w:val="000000"/>
                <w:sz w:val="13"/>
              </w:rPr>
              <w:t>(1)(2)</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Defined as the gross reserve per insured loan in default.</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Amount includes claims adjustment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Average reserve per default increased from June 30, 2025 to June 30, 2026, primarily due to changes in the composition of our default inventory as measured by the size, vintage and current estimated LTV of defaulted loans between the measurement dates. Average reserves per default were further impacted by changes in observed and forecasted housing market conditions and macroeconomic factors between the measurement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GSE Oversight</w:t>
      </w:r>
    </w:p>
    <w:p>
      <w:pPr>
        <w:pStyle w:val="TextBody"/>
        <w:bidi w:val="0"/>
        <w:spacing w:lineRule="auto" w:line="288" w:before="0" w:after="180"/>
        <w:ind w:left="0" w:right="0" w:firstLine="765"/>
        <w:jc w:val="both"/>
        <w:rPr/>
      </w:pPr>
      <w:r>
        <w:rPr>
          <w:rFonts w:ascii="Times New Roman;serif" w:hAnsi="Times New Roman;serif"/>
          <w:b w:val="false"/>
          <w:color w:val="000000"/>
          <w:sz w:val="20"/>
        </w:rPr>
        <w:t>As an</w:t>
      </w:r>
      <w:r>
        <w:rPr>
          <w:color w:val="000000"/>
        </w:rPr>
        <w:t xml:space="preserve"> </w:t>
      </w:r>
      <w:r>
        <w:rPr>
          <w:rFonts w:ascii="Times New Roman;serif" w:hAnsi="Times New Roman;serif"/>
          <w:b w:val="false"/>
          <w:i/>
          <w:color w:val="000000"/>
          <w:sz w:val="20"/>
        </w:rPr>
        <w:t>approved insurer</w:t>
      </w:r>
      <w:r>
        <w:rPr>
          <w:rFonts w:ascii="Times New Roman;serif" w:hAnsi="Times New Roman;serif"/>
          <w:b w:val="false"/>
          <w:color w:val="000000"/>
          <w:sz w:val="20"/>
        </w:rPr>
        <w:t>, NMIC is subject to ongoing compliance with the PMIERs established by each of the GSEs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terms have the same meaning that such terms have in the PMIERs, as described below). The PMIERs establish operational, business, remedial and financial requirements applicable to</w:t>
      </w:r>
      <w:r>
        <w:rPr>
          <w:color w:val="000000"/>
        </w:rPr>
        <w:t xml:space="preserve"> </w:t>
      </w:r>
      <w:r>
        <w:rPr>
          <w:rFonts w:ascii="Times New Roman;serif" w:hAnsi="Times New Roman;serif"/>
          <w:b w:val="false"/>
          <w:i/>
          <w:color w:val="000000"/>
          <w:sz w:val="20"/>
        </w:rPr>
        <w:t>approved insurers</w:t>
      </w:r>
      <w:r>
        <w:rPr>
          <w:rFonts w:ascii="Times New Roman;serif" w:hAnsi="Times New Roman;serif"/>
          <w:b w:val="false"/>
          <w:color w:val="000000"/>
          <w:sz w:val="20"/>
        </w:rPr>
        <w:t>. The PMIERs financial requirements prescribe a risk-based methodology whereby the amount of assets required to be held against each insured loan is determined based on certain loan-level risk characteristics, such as credit score, vintage (year of origination), performing vs. non-performing (</w:t>
      </w:r>
      <w:r>
        <w:rPr>
          <w:rFonts w:ascii="Times New Roman;serif" w:hAnsi="Times New Roman;serif"/>
          <w:b w:val="false"/>
          <w:i/>
          <w:color w:val="000000"/>
          <w:sz w:val="20"/>
        </w:rPr>
        <w:t xml:space="preserve">i.e., </w:t>
      </w:r>
      <w:r>
        <w:rPr>
          <w:rFonts w:ascii="Times New Roman;serif" w:hAnsi="Times New Roman;serif"/>
          <w:b w:val="false"/>
          <w:color w:val="000000"/>
          <w:sz w:val="20"/>
        </w:rPr>
        <w:t>current vs. delinquent), LTV ratio and other risk features. In general, higher quality loans carry lower asset charges.</w:t>
      </w:r>
    </w:p>
    <w:p>
      <w:pPr>
        <w:pStyle w:val="TextBody"/>
        <w:bidi w:val="0"/>
        <w:spacing w:lineRule="auto" w:line="288" w:before="0" w:after="180"/>
        <w:ind w:left="0" w:right="0" w:firstLine="765"/>
        <w:jc w:val="both"/>
        <w:rPr/>
      </w:pPr>
      <w:r>
        <w:rPr>
          <w:rFonts w:ascii="Times New Roman;serif" w:hAnsi="Times New Roman;serif"/>
          <w:b w:val="false"/>
          <w:color w:val="000000"/>
          <w:sz w:val="20"/>
        </w:rPr>
        <w:t>Under the PMIERs,</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must maintain</w:t>
      </w:r>
      <w:r>
        <w:rPr>
          <w:color w:val="000000"/>
        </w:rPr>
        <w:t xml:space="preserve">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that equal or exceed</w:t>
      </w:r>
      <w:r>
        <w:rPr>
          <w:color w:val="000000"/>
        </w:rPr>
        <w:t xml:space="preserve">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w:t>
      </w:r>
    </w:p>
    <w:p>
      <w:pPr>
        <w:pStyle w:val="TextBody"/>
        <w:bidi w:val="0"/>
        <w:spacing w:lineRule="auto" w:line="288" w:before="0" w:after="180"/>
        <w:ind w:left="0" w:right="0" w:firstLine="765"/>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65"/>
        <w:jc w:val="both"/>
        <w:rPr/>
      </w:pPr>
      <w:r>
        <w:rPr>
          <w:rFonts w:ascii="Times New Roman;serif" w:hAnsi="Times New Roman;serif"/>
          <w:b w:val="false"/>
          <w:color w:val="000000"/>
          <w:sz w:val="20"/>
        </w:rPr>
        <w:t>The</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is a function of the risk profile of an</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RIF, assessed on a loan-by-loan basis and considered against certain risk-based factors derived from tables set out in the PMIERs, which is then adjusted on an aggregate basis for reinsurance transactions approved by the GSEs, such as with respect to our QSR Transactions, XOL Transactions and ILN Transactions. The</w:t>
      </w:r>
      <w:r>
        <w:rPr>
          <w:color w:val="000000"/>
        </w:rPr>
        <w:t xml:space="preserve"> </w:t>
      </w:r>
      <w:r>
        <w:rPr>
          <w:rFonts w:ascii="Times New Roman;serif" w:hAnsi="Times New Roman;serif"/>
          <w:b w:val="false"/>
          <w:i/>
          <w:color w:val="000000"/>
          <w:sz w:val="20"/>
        </w:rPr>
        <w:t xml:space="preserve">aggregate gross risk-based required asset </w:t>
      </w:r>
      <w:r>
        <w:rPr>
          <w:rFonts w:ascii="Times New Roman;serif" w:hAnsi="Times New Roman;serif"/>
          <w:b w:val="false"/>
          <w:color w:val="000000"/>
          <w:sz w:val="20"/>
        </w:rPr>
        <w:t>amount</w:t>
      </w:r>
      <w:r>
        <w:rPr>
          <w:color w:val="000000"/>
        </w:rPr>
        <w:t xml:space="preserve"> </w:t>
      </w:r>
      <w:r>
        <w:rPr>
          <w:rFonts w:ascii="Times New Roman;serif" w:hAnsi="Times New Roman;serif"/>
          <w:b w:val="false"/>
          <w:color w:val="000000"/>
          <w:sz w:val="20"/>
        </w:rPr>
        <w:t>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it met all PMIERs requirements as of December 31st of the prior year. We certified to the GSEs by April 15, 2026 that NMIC was in full compliance with the PMIERs as of December 31, 2025. NMIC also has an ongoing obligation to immediately notify the GSEs in writing upon discovery of a failure to meet one or more of the PMIERs requirements. We continuously monitor NMIC's compliance with the PMIERs.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On July 29, 2026, the GSEs updated PMIERs to establish risk-based required asset factors for loans carrying a VantageScore 4.0 credit score. The updated PMIERs will take effect on September 30, 2026. We do not expect the updated PMIERs to have a material impact on our </w:t>
      </w: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 xml:space="preserve">or </w:t>
      </w:r>
      <w:r>
        <w:rPr>
          <w:rFonts w:ascii="Times New Roman;serif" w:hAnsi="Times New Roman;serif"/>
          <w:b w:val="false"/>
          <w:i/>
          <w:color w:val="000000"/>
          <w:sz w:val="20"/>
        </w:rPr>
        <w:t>risk-based required assets</w:t>
      </w:r>
      <w:r>
        <w:rPr>
          <w:rFonts w:ascii="Times New Roman;serif" w:hAnsi="Times New Roman;serif"/>
          <w:b w:val="false"/>
          <w:color w:val="000000"/>
          <w:sz w:val="20"/>
        </w:rPr>
        <w:t>, and we expect to remain in full compliance with the existing and updated PMIERs, as applicable, prior to, on and after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following table provides a comparison of the PMIERs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net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as reported by NMIC as of the dates indicated:</w:t>
      </w:r>
    </w:p>
    <w:tbl>
      <w:tblPr>
        <w:tblW w:w="5468"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 xml:space="preserve">were $3.7 billion at June 30, 2026, compared to $3.2 billion at June 30, 2025. The $412 million increase 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between the dates presented was primarily driven by NMIC's positive cash flow from operations during the intervening period, partially offset by the payment of an ordinary dividend from NMIC to NMIH in June 2026.</w:t>
      </w:r>
    </w:p>
    <w:p>
      <w:pPr>
        <w:pStyle w:val="TextBody"/>
        <w:bidi w:val="0"/>
        <w:spacing w:lineRule="auto" w:line="288" w:before="0" w:after="180"/>
        <w:ind w:left="0" w:right="0" w:firstLine="720"/>
        <w:jc w:val="both"/>
        <w:rPr/>
      </w:pPr>
      <w:r>
        <w:rPr>
          <w:rFonts w:ascii="Times New Roman;serif" w:hAnsi="Times New Roman;serif"/>
          <w:b w:val="false"/>
          <w:color w:val="000000"/>
          <w:sz w:val="20"/>
        </w:rPr>
        <w:t>Net</w:t>
      </w:r>
      <w:r>
        <w:rPr>
          <w:color w:val="000000"/>
        </w:rPr>
        <w:t xml:space="preserve"> </w:t>
      </w:r>
      <w:r>
        <w:rPr>
          <w:rFonts w:ascii="Times New Roman;serif" w:hAnsi="Times New Roman;serif"/>
          <w:b w:val="false"/>
          <w:i/>
          <w:color w:val="000000"/>
          <w:sz w:val="20"/>
        </w:rPr>
        <w:t>risk-based required assets</w:t>
      </w:r>
      <w:r>
        <w:rPr>
          <w:color w:val="000000"/>
        </w:rPr>
        <w:t xml:space="preserve"> </w:t>
      </w:r>
      <w:r>
        <w:rPr>
          <w:rFonts w:ascii="Times New Roman;serif" w:hAnsi="Times New Roman;serif"/>
          <w:b w:val="false"/>
          <w:color w:val="000000"/>
          <w:sz w:val="20"/>
        </w:rPr>
        <w:t>were $2.1 billion at June 30, 2026, compared to $1.9 billion at June 30, 2025. The $179 million increase in the net</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between the dates presented was primarily due to the growth in our gross RIF and aggregate gross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Consolidated Results of Operations</w:t>
      </w:r>
    </w:p>
    <w:tbl>
      <w:tblPr>
        <w:tblW w:w="9519" w:type="dxa"/>
        <w:jc w:val="left"/>
        <w:tblInd w:w="0" w:type="dxa"/>
        <w:tblLayout w:type="fixed"/>
        <w:tblCellMar>
          <w:top w:w="28" w:type="dxa"/>
          <w:left w:w="28" w:type="dxa"/>
          <w:bottom w:w="28" w:type="dxa"/>
          <w:right w:w="28" w:type="dxa"/>
        </w:tblCellMar>
      </w:tblPr>
      <w:tblGrid>
        <w:gridCol w:w="1141"/>
        <w:gridCol w:w="1002"/>
        <w:gridCol w:w="1007"/>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218"/>
        <w:gridCol w:w="218"/>
        <w:gridCol w:w="483"/>
        <w:gridCol w:w="109"/>
        <w:gridCol w:w="109"/>
        <w:gridCol w:w="109"/>
        <w:gridCol w:w="109"/>
        <w:gridCol w:w="109"/>
        <w:gridCol w:w="109"/>
        <w:gridCol w:w="109"/>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4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tbl>
      <w:tblPr>
        <w:tblW w:w="9999" w:type="dxa"/>
        <w:jc w:val="left"/>
        <w:tblInd w:w="0" w:type="dxa"/>
        <w:tblLayout w:type="fixed"/>
        <w:tblCellMar>
          <w:top w:w="28" w:type="dxa"/>
          <w:left w:w="28" w:type="dxa"/>
          <w:bottom w:w="28" w:type="dxa"/>
          <w:right w:w="28" w:type="dxa"/>
        </w:tblCellMar>
      </w:tblPr>
      <w:tblGrid>
        <w:gridCol w:w="1141"/>
        <w:gridCol w:w="1002"/>
        <w:gridCol w:w="1007"/>
        <w:gridCol w:w="109"/>
        <w:gridCol w:w="109"/>
        <w:gridCol w:w="184"/>
        <w:gridCol w:w="184"/>
        <w:gridCol w:w="356"/>
        <w:gridCol w:w="1397"/>
        <w:gridCol w:w="458"/>
        <w:gridCol w:w="109"/>
        <w:gridCol w:w="109"/>
        <w:gridCol w:w="109"/>
        <w:gridCol w:w="211"/>
        <w:gridCol w:w="826"/>
        <w:gridCol w:w="271"/>
        <w:gridCol w:w="109"/>
        <w:gridCol w:w="109"/>
        <w:gridCol w:w="109"/>
        <w:gridCol w:w="211"/>
        <w:gridCol w:w="721"/>
        <w:gridCol w:w="109"/>
        <w:gridCol w:w="109"/>
        <w:gridCol w:w="109"/>
        <w:gridCol w:w="109"/>
        <w:gridCol w:w="202"/>
        <w:gridCol w:w="204"/>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49" w:type="dxa"/>
            <w:gridSpan w:val="6"/>
            <w:tcBorders/>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2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371,366 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33,808 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109,477 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261,889 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05" w:type="dxa"/>
        <w:jc w:val="left"/>
        <w:tblInd w:w="0" w:type="dxa"/>
        <w:tblLayout w:type="fixed"/>
        <w:tblCellMar>
          <w:top w:w="28" w:type="dxa"/>
          <w:left w:w="28" w:type="dxa"/>
          <w:bottom w:w="28" w:type="dxa"/>
          <w:right w:w="28" w:type="dxa"/>
        </w:tblCellMar>
      </w:tblPr>
      <w:tblGrid>
        <w:gridCol w:w="907"/>
        <w:gridCol w:w="797"/>
        <w:gridCol w:w="800"/>
        <w:gridCol w:w="222"/>
        <w:gridCol w:w="870"/>
        <w:gridCol w:w="114"/>
        <w:gridCol w:w="114"/>
        <w:gridCol w:w="114"/>
        <w:gridCol w:w="114"/>
        <w:gridCol w:w="222"/>
        <w:gridCol w:w="870"/>
        <w:gridCol w:w="114"/>
        <w:gridCol w:w="109"/>
        <w:gridCol w:w="109"/>
        <w:gridCol w:w="109"/>
        <w:gridCol w:w="211"/>
        <w:gridCol w:w="721"/>
        <w:gridCol w:w="109"/>
        <w:gridCol w:w="109"/>
        <w:gridCol w:w="109"/>
        <w:gridCol w:w="109"/>
        <w:gridCol w:w="194"/>
        <w:gridCol w:w="194"/>
        <w:gridCol w:w="483"/>
        <w:gridCol w:w="109"/>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Non-GAAP financial measures </w:t>
            </w:r>
            <w:r>
              <w:rPr>
                <w:rFonts w:ascii="Times New Roman;serif" w:hAnsi="Times New Roman;serif"/>
                <w:b/>
                <w:color w:val="000000"/>
                <w:sz w:val="10"/>
              </w:rPr>
              <w:t>(3)</w:t>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632" w:type="dxa"/>
        <w:jc w:val="left"/>
        <w:tblInd w:w="0" w:type="dxa"/>
        <w:tblLayout w:type="fixed"/>
        <w:tblCellMar>
          <w:top w:w="28" w:type="dxa"/>
          <w:left w:w="28" w:type="dxa"/>
          <w:bottom w:w="28" w:type="dxa"/>
          <w:right w:w="28" w:type="dxa"/>
        </w:tblCellMar>
      </w:tblPr>
      <w:tblGrid>
        <w:gridCol w:w="907"/>
        <w:gridCol w:w="797"/>
        <w:gridCol w:w="800"/>
        <w:gridCol w:w="109"/>
        <w:gridCol w:w="109"/>
        <w:gridCol w:w="109"/>
        <w:gridCol w:w="109"/>
        <w:gridCol w:w="109"/>
        <w:gridCol w:w="109"/>
        <w:gridCol w:w="466"/>
        <w:gridCol w:w="206"/>
        <w:gridCol w:w="399"/>
        <w:gridCol w:w="1562"/>
        <w:gridCol w:w="206"/>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899"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Non-GAAP financial measures </w:t>
            </w:r>
            <w:r>
              <w:rPr>
                <w:rFonts w:ascii="Times New Roman;serif" w:hAnsi="Times New Roman;serif"/>
                <w:b/>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0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899"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0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pPr>
      <w:r>
        <w:rPr>
          <w:rFonts w:ascii="Times New Roman;serif" w:hAnsi="Times New Roman;serif"/>
          <w:b w:val="false"/>
          <w:color w:val="000000"/>
          <w:sz w:val="16"/>
        </w:rPr>
        <w:t>(3)    See “</w:t>
      </w:r>
      <w:r>
        <w:rPr>
          <w:rFonts w:ascii="Times New Roman;serif" w:hAnsi="Times New Roman;serif"/>
          <w:b w:val="false"/>
          <w:i/>
          <w:color w:val="000000"/>
          <w:sz w:val="16"/>
        </w:rPr>
        <w:t>Explanation and Reconciliation of Our Use of Non-GAAP Financial Measures,”</w:t>
      </w:r>
      <w:r>
        <w:rPr>
          <w:color w:val="000000"/>
        </w:rPr>
        <w:t xml:space="preserve"> </w:t>
      </w:r>
      <w:r>
        <w:rPr>
          <w:rFonts w:ascii="Times New Roman;serif" w:hAnsi="Times New Roman;serif"/>
          <w:b w:val="false"/>
          <w:color w:val="000000"/>
          <w:sz w:val="16"/>
        </w:rPr>
        <w:t>below.</w:t>
      </w:r>
    </w:p>
    <w:p>
      <w:pPr>
        <w:pStyle w:val="TextBody"/>
        <w:bidi w:val="0"/>
        <w:spacing w:before="0" w:after="0"/>
        <w:ind w:left="0" w:right="0" w:hanging="36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premiums earned increased during the three and six months ended June 30, 2026 compared to the three and six months ended June 30, 2025 primarily due to growth in our monthly IIF and direct monthly pay premium receipts, partially offset by a reduction in the contribution of earnings from single premium policies. The year-over-year increases in net premiums earned were further impacted by changes in ceded premiums earned under our third-party reinsurance transactions during each respective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investment income increased during the three and six months ended June 30, 2026 compared to the three and six months ended June 30, 2025 primarily due to growth in the size of our total invested asset base, as well as an increase in the book yield of our investment portfolio tied to the deployment of new cash flows and reinvestment of rolling maturities at incrementally higher rates.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increased during the six months ended June 30, 2026 compared to the six months ended June 30, 2025 primarily due to an increase in the number of newly defaulted loans that emerged during the period and the establishment of initial reserves against such loans, as well as an increase in the average case reserves held against previously defaulted loans that aged in their delinquency status, partially offset by the release of a portion of the reserves we established for anticipated claims payments in prior periods in connection with cure activity and the ongoing analysis of recent loss development trends.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Underwriting and operating expenses increased during the three and six months ended June 30, 2026 compared to the three and six months ended June 30, 2025 primarily due to an increase in certain technology expenses and employee compensation costs, partially offset by an increase in ceding commissions received under our QSR Transactions and a decline in depreciation and amortization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pStyle w:val="TextBody"/>
        <w:bidi w:val="0"/>
        <w:spacing w:lineRule="auto" w:line="288" w:before="0" w:after="180"/>
        <w:ind w:left="0" w:right="0" w:firstLine="720"/>
        <w:jc w:val="both"/>
        <w:rPr/>
      </w:pPr>
      <w:r>
        <w:rPr>
          <w:rFonts w:ascii="Times New Roman;serif" w:hAnsi="Times New Roman;serif"/>
          <w:b w:val="false"/>
          <w:color w:val="000000"/>
          <w:sz w:val="20"/>
        </w:rPr>
        <w:t>Interest expense primarily reflects the carrying costs of our outstanding debt. For further information, see Item 1, “</w:t>
      </w:r>
      <w:r>
        <w:rPr>
          <w:rFonts w:ascii="Times New Roman;serif" w:hAnsi="Times New Roman;serif"/>
          <w:b w:val="false"/>
          <w:i/>
          <w:color w:val="000000"/>
          <w:sz w:val="20"/>
        </w:rPr>
        <w:t>Financial Statements - Notes to Condensed Consolidated Financial Statements - Note 4, Debt.”</w:t>
      </w:r>
    </w:p>
    <w:p>
      <w:pPr>
        <w:pStyle w:val="TextBody"/>
        <w:bidi w:val="0"/>
        <w:spacing w:lineRule="auto" w:line="288" w:before="0" w:after="180"/>
        <w:ind w:left="0" w:right="0" w:firstLine="720"/>
        <w:jc w:val="both"/>
        <w:rPr/>
      </w:pPr>
      <w:r>
        <w:rPr>
          <w:rFonts w:ascii="Times New Roman;serif" w:hAnsi="Times New Roman;serif"/>
          <w:b w:val="false"/>
          <w:color w:val="000000"/>
          <w:sz w:val="20"/>
        </w:rPr>
        <w:t>Income tax expense increased during the three and six months ended June 30, 2026 compared to the three and six months ended June 30, 2025 primarily due to an increase in our pre-tax income. Our effective tax rate on pre-tax income was 22.8% and 21.7% for the three and six months ended June 30, 2026, respectively, compared to 22.2% and 22.1% for the three and six months ended June 30, 2025,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 for the three and six months ended June 30, 2026 and 2025 reflects the discrete tax effects of the vesting of RSUs, and our effective tax rate for the six months ended June 30, 2026 further reflects the exercise of options. See Item 1, “</w:t>
      </w:r>
      <w:r>
        <w:rPr>
          <w:rFonts w:ascii="Times New Roman;serif" w:hAnsi="Times New Roman;serif"/>
          <w:b w:val="false"/>
          <w:i/>
          <w:color w:val="000000"/>
          <w:sz w:val="20"/>
        </w:rPr>
        <w:t>Financial Statements - Notes to Condensed Consolidated Financial Statements - Note 9, Income Taxes.”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and adjusted net income increased during the three and six months ended June 30, 2026 compared to the three and six months ended June 30, 2025 primarily due to growth in our total revenues, partially offset by increases in our underwriting and operating expenses and income tax expense. The year-over-year increase in net income and adjusted net income during the six months ended June 30, 2026 was further impacted by an increase in our insurance claims and claim expenses during the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and adjusted diluted EPS increased during the three and six months ended June 30, 2026 compared to the three and six months ended June 30, 2025, primarily due to growth in our net income and adjusted net income, as well as a decline in the number of weighted average diluted shares outstanding tied to share repurchase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of adjusted income before tax, adjusted net income and adjusted diluted EPS are presented to enhance the comparability of financial results between periods.</w:t>
      </w:r>
    </w:p>
    <w:tbl>
      <w:tblPr>
        <w:tblW w:w="9209" w:type="dxa"/>
        <w:jc w:val="left"/>
        <w:tblInd w:w="0" w:type="dxa"/>
        <w:tblLayout w:type="fixed"/>
        <w:tblCellMar>
          <w:top w:w="28" w:type="dxa"/>
          <w:left w:w="28" w:type="dxa"/>
          <w:bottom w:w="28" w:type="dxa"/>
          <w:right w:w="28" w:type="dxa"/>
        </w:tblCellMar>
      </w:tblPr>
      <w:tblGrid>
        <w:gridCol w:w="1368"/>
        <w:gridCol w:w="1203"/>
        <w:gridCol w:w="1209"/>
        <w:gridCol w:w="222"/>
        <w:gridCol w:w="870"/>
        <w:gridCol w:w="114"/>
        <w:gridCol w:w="114"/>
        <w:gridCol w:w="114"/>
        <w:gridCol w:w="114"/>
        <w:gridCol w:w="222"/>
        <w:gridCol w:w="870"/>
        <w:gridCol w:w="114"/>
        <w:gridCol w:w="109"/>
        <w:gridCol w:w="109"/>
        <w:gridCol w:w="109"/>
        <w:gridCol w:w="211"/>
        <w:gridCol w:w="721"/>
        <w:gridCol w:w="109"/>
        <w:gridCol w:w="109"/>
        <w:gridCol w:w="109"/>
        <w:gridCol w:w="109"/>
        <w:gridCol w:w="218"/>
        <w:gridCol w:w="218"/>
        <w:gridCol w:w="54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 Reconciliations</w:t>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54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on adjustments</w:t>
            </w:r>
            <w:r>
              <w:rPr>
                <w:color w:val="000000"/>
              </w:rPr>
              <w:t xml:space="preserve"> </w:t>
            </w:r>
            <w:r>
              <w:rPr>
                <w:rFonts w:ascii="Times New Roman;serif" w:hAnsi="Times New Roman;serif"/>
                <w:b w:val="false"/>
                <w:color w:val="000000"/>
                <w:sz w:val="13"/>
              </w:rPr>
              <w:t>(1)</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96,467 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939" w:type="dxa"/>
        <w:jc w:val="left"/>
        <w:tblInd w:w="0" w:type="dxa"/>
        <w:tblLayout w:type="fixed"/>
        <w:tblCellMar>
          <w:top w:w="28" w:type="dxa"/>
          <w:left w:w="28" w:type="dxa"/>
          <w:bottom w:w="28" w:type="dxa"/>
          <w:right w:w="28" w:type="dxa"/>
        </w:tblCellMar>
      </w:tblPr>
      <w:tblGrid>
        <w:gridCol w:w="1368"/>
        <w:gridCol w:w="1203"/>
        <w:gridCol w:w="12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03"/>
        <w:gridCol w:w="203"/>
        <w:gridCol w:w="54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 Reconciliations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on adjustments</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Explanation and Reconciliation of Our Use of 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use of the non-GAAP measures of adjusted income before tax, adjusted net income and adjusted diluted EPS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pPr>
      <w:r>
        <w:rPr>
          <w:rFonts w:ascii="Times New Roman;serif" w:hAnsi="Times New Roman;serif"/>
          <w:b/>
          <w:color w:val="000000"/>
          <w:sz w:val="20"/>
        </w:rPr>
        <w:t>Adjusted income before tax</w:t>
      </w:r>
      <w:r>
        <w:rPr>
          <w:color w:val="000000"/>
        </w:rPr>
        <w:t xml:space="preserve"> </w:t>
      </w:r>
      <w:r>
        <w:rPr>
          <w:rFonts w:ascii="Times New Roman;serif" w:hAnsi="Times New Roman;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180"/>
        <w:ind w:left="0" w:right="0" w:firstLine="720"/>
        <w:jc w:val="both"/>
        <w:rPr/>
      </w:pP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ind w:left="0" w:right="0" w:firstLine="720"/>
        <w:jc w:val="both"/>
        <w:rPr/>
      </w:pPr>
      <w:r>
        <w:rPr>
          <w:rFonts w:ascii="Times New Roman;serif" w:hAnsi="Times New Roman;serif"/>
          <w:b/>
          <w:color w:val="000000"/>
          <w:sz w:val="20"/>
        </w:rPr>
        <w:t>Adjusted diluted EPS</w:t>
      </w:r>
      <w:r>
        <w:rPr>
          <w:color w:val="000000"/>
        </w:rPr>
        <w:t xml:space="preserve"> </w:t>
      </w:r>
      <w:r>
        <w:rPr>
          <w:rFonts w:ascii="Times New Roman;serif" w:hAnsi="Times New Roman;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Net realized investment gains and losses</w:t>
      </w:r>
      <w:r>
        <w:rPr>
          <w:rFonts w:ascii="Times New Roman;serif" w:hAnsi="Times New Roman;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Capital markets transaction costs</w:t>
      </w:r>
      <w:r>
        <w:rPr>
          <w:rFonts w:ascii="Times New Roman;serif" w:hAnsi="Times New Roman;serif"/>
          <w:b w:val="false"/>
          <w:color w:val="000000"/>
          <w:sz w:val="20"/>
        </w:rPr>
        <w:t xml:space="preserve">. 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Other infrequent, unusual or non-operating items</w:t>
      </w:r>
      <w:r>
        <w:rPr>
          <w:rFonts w:ascii="Times New Roman;serif" w:hAnsi="Times New Roman;serif"/>
          <w:b w:val="false"/>
          <w:color w:val="000000"/>
          <w:sz w:val="20"/>
        </w:rPr>
        <w:t>. Items that are the result of unforeseen or uncommon events, and are not expected to recur with 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2021,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tbl>
      <w:tblPr>
        <w:tblW w:w="9953" w:type="dxa"/>
        <w:jc w:val="left"/>
        <w:tblInd w:w="0" w:type="dxa"/>
        <w:tblLayout w:type="fixed"/>
        <w:tblCellMar>
          <w:top w:w="28" w:type="dxa"/>
          <w:left w:w="28" w:type="dxa"/>
          <w:bottom w:w="28" w:type="dxa"/>
          <w:right w:w="28" w:type="dxa"/>
        </w:tblCellMar>
      </w:tblPr>
      <w:tblGrid>
        <w:gridCol w:w="1467"/>
        <w:gridCol w:w="1288"/>
        <w:gridCol w:w="1295"/>
        <w:gridCol w:w="211"/>
        <w:gridCol w:w="976"/>
        <w:gridCol w:w="109"/>
        <w:gridCol w:w="109"/>
        <w:gridCol w:w="109"/>
        <w:gridCol w:w="109"/>
        <w:gridCol w:w="244"/>
        <w:gridCol w:w="1130"/>
        <w:gridCol w:w="126"/>
        <w:gridCol w:w="109"/>
        <w:gridCol w:w="109"/>
        <w:gridCol w:w="109"/>
        <w:gridCol w:w="211"/>
        <w:gridCol w:w="826"/>
        <w:gridCol w:w="109"/>
        <w:gridCol w:w="109"/>
        <w:gridCol w:w="109"/>
        <w:gridCol w:w="109"/>
        <w:gridCol w:w="218"/>
        <w:gridCol w:w="218"/>
        <w:gridCol w:w="544"/>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sheets</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portfolio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3,997,375 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and investments increased at June 30, 2026 compared to December 31, 2025 with the addition of incremental cash provided by operating activities, partially offset by share repurchase activity during the six months ended June 30, 2026, and an increase in the unrealized loss position of our fixed income portfolio primarily tied to changes in interest rates during the period. Cash and investments at June 30, 2026 included $154.5 million held by NMIH.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deferred policy acquisition costs increased at June 30, 2026 compared to December 31, 2025 primarily due to the deferral of certain costs associated with the origination of new policies during the six months ended June 30, 2026, largely offset by the recognition of previously deferred policy acquisition costs during the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software and equipment decreased at June 30, 2026 compared to December 31, 2025 due to the amortization of previously capitalized amounts during the six months ended June 30, 2026, partially offset by the capitalization of certain software and equipment expenditures during the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Reinsurance recoverable increased at June 30, 2026 compared to December 31, 2025 due to an increase in ceded losses recoverable under our QSR Transactions tied to an increase in our gross reserve for insurance claims and claim expenses during the six months ended June 30, 2026.</w:t>
      </w:r>
    </w:p>
    <w:p>
      <w:pPr>
        <w:pStyle w:val="TextBody"/>
        <w:bidi w:val="0"/>
        <w:spacing w:lineRule="auto" w:line="288" w:before="100" w:after="180"/>
        <w:ind w:left="0" w:right="0" w:firstLine="720"/>
        <w:jc w:val="both"/>
        <w:rPr/>
      </w:pPr>
      <w:r>
        <w:rPr>
          <w:rFonts w:ascii="Times New Roman;serif" w:hAnsi="Times New Roman;serif"/>
          <w:b w:val="false"/>
          <w:color w:val="000000"/>
          <w:sz w:val="20"/>
        </w:rPr>
        <w:t>Prepaid federal income taxes represent tax and loss bonds purchased in connection with our claimed tax deduction for our statutory contingency reserve position. See Item 1, “</w:t>
      </w:r>
      <w:r>
        <w:rPr>
          <w:rFonts w:ascii="Times New Roman;serif" w:hAnsi="Times New Roman;serif"/>
          <w:b w:val="false"/>
          <w:i/>
          <w:color w:val="000000"/>
          <w:sz w:val="20"/>
        </w:rPr>
        <w:t>Financial Statements - Notes to Condensed Consolidated Financial Statements - Note 9, Income Taxes.”</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assets increased at June 30, 2026 compared to December 31, 2025 primarily due to an increase in accrued investment income and prepaid expenses during the six months ended June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Unearned premiums decreased at June 30, 2026 compared to December 31, 2025 due to the amortization of existing unearned premiums through earnings in accordance with the expiration of risk on related single premium policies and the cancellations of other single premium policies during the six months ended June 30, 2026, partially offset by single premium policy originations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decreased at June 30, 2026 compared to December 31, 2025 primarily due to the settlement of previously accrued compensation expenses during the six months ended June 30, 2026, partially offset by an increase in unsettled trade payables related to the purchase of certain investment securities, as well as an increase in taxes payable during the period.</w:t>
      </w:r>
    </w:p>
    <w:p>
      <w:pPr>
        <w:pStyle w:val="TextBody"/>
        <w:bidi w:val="0"/>
        <w:spacing w:lineRule="auto" w:line="288" w:before="0" w:after="180"/>
        <w:ind w:left="0" w:right="0" w:firstLine="720"/>
        <w:jc w:val="both"/>
        <w:rPr/>
      </w:pPr>
      <w:r>
        <w:rPr>
          <w:rFonts w:ascii="Times New Roman;serif" w:hAnsi="Times New Roman;serif"/>
          <w:b w:val="false"/>
          <w:color w:val="000000"/>
          <w:sz w:val="20"/>
        </w:rPr>
        <w:t>Reserve for insurance claims and claim expenses increased at June 30, 2026 compared to December 31, 2025 with the establishment of initial reserves on newly defaulted loans and an increase in the average case reserves held against previously defaulted loans that aged in their delinquency status during the six months ended June 30, 2026. The increase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serif" w:hAnsi="Times New Roman;serif"/>
          <w:b w:val="false"/>
          <w:i/>
          <w:color w:val="000000"/>
          <w:sz w:val="20"/>
        </w:rPr>
        <w:t>Insurance Claims and Claim Expenses</w:t>
      </w:r>
      <w:r>
        <w:rPr>
          <w:rFonts w:ascii="Times New Roman;serif" w:hAnsi="Times New Roman;serif"/>
          <w:b w:val="false"/>
          <w:color w:val="000000"/>
          <w:sz w:val="20"/>
        </w:rPr>
        <w:t>,” above</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180"/>
        <w:ind w:left="0" w:right="0" w:firstLine="720"/>
        <w:jc w:val="both"/>
        <w:rPr/>
      </w:pPr>
      <w:r>
        <w:rPr>
          <w:rFonts w:ascii="Times New Roman;serif" w:hAnsi="Times New Roman;serif"/>
          <w:b w:val="false"/>
          <w:color w:val="000000"/>
          <w:sz w:val="20"/>
        </w:rPr>
        <w:t>Net deferred tax liability increased at June 30, 2026 compared to December 31, 2025 due to an increase in the claimed deductibility of our statutory contingency reserve during the six months ended June 30, 2026, partially offset by an increase in the aggregate unrealized loss position of our fixed income portfolio recorded in other comprehensive income during the period. For further information regarding income taxes and their impact on our results of operations and financial position, see Item 1, “</w:t>
      </w:r>
      <w:r>
        <w:rPr>
          <w:rFonts w:ascii="Times New Roman;serif" w:hAnsi="Times New Roman;serif"/>
          <w:b w:val="false"/>
          <w:i/>
          <w:color w:val="000000"/>
          <w:sz w:val="20"/>
        </w:rPr>
        <w:t>Financial Statements - Notes to Condensed Consolidated Financial Statements - Note 9, Income Taxes</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from operating, investing and financing activities:</w:t>
      </w:r>
    </w:p>
    <w:tbl>
      <w:tblPr>
        <w:tblW w:w="7784" w:type="dxa"/>
        <w:jc w:val="left"/>
        <w:tblInd w:w="0" w:type="dxa"/>
        <w:tblLayout w:type="fixed"/>
        <w:tblCellMar>
          <w:top w:w="28" w:type="dxa"/>
          <w:left w:w="28" w:type="dxa"/>
          <w:bottom w:w="28" w:type="dxa"/>
          <w:right w:w="28" w:type="dxa"/>
        </w:tblCellMar>
      </w:tblPr>
      <w:tblGrid>
        <w:gridCol w:w="1254"/>
        <w:gridCol w:w="1103"/>
        <w:gridCol w:w="1108"/>
        <w:gridCol w:w="211"/>
        <w:gridCol w:w="826"/>
        <w:gridCol w:w="109"/>
        <w:gridCol w:w="109"/>
        <w:gridCol w:w="109"/>
        <w:gridCol w:w="109"/>
        <w:gridCol w:w="211"/>
        <w:gridCol w:w="826"/>
        <w:gridCol w:w="109"/>
        <w:gridCol w:w="109"/>
        <w:gridCol w:w="109"/>
        <w:gridCol w:w="109"/>
        <w:gridCol w:w="225"/>
        <w:gridCol w:w="769"/>
        <w:gridCol w:w="116"/>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cash flows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40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during the six months ended June 30, 2026 compared to the six months ended June 30, 2025 primarily due to increases in our net premium receipts, growth in our investment income, a decline in income tax paid and a decrease in interest payments on the 2024 Notes tied to the timing of the first semi-annual interest payment made in February 2025, partially offset by an increase in claim settlement costs.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six months ended June 30, 2026 and 2025 reflects the purchase of fixed and short-term maturities with cash provided by operating activities, and the reinvestment of sales proceeds, maturities, redemptions, and coupon payments within our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primarily relates to the repurchase of common stock and taxes paid on the net share settlement of equity awards for certain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As of June 30, 2026, NMIH had $154.5 million of cash, cash equivalents and investments. NMIH</w:t>
      </w:r>
      <w:r>
        <w:rPr>
          <w:color w:val="000000"/>
        </w:rPr>
        <w:t>’</w:t>
      </w:r>
      <w:r>
        <w:rPr>
          <w:rFonts w:ascii="Times New Roman;serif" w:hAnsi="Times New Roman;serif"/>
          <w:b w:val="false"/>
          <w:color w:val="000000"/>
          <w:sz w:val="20"/>
        </w:rPr>
        <w:t xml:space="preserve">s principal sources of net cash are dividends from its subsidiaries and investment income. NMIC paid a $101.0 million ordinary dividend to NMIH on June 3, 2026, representing its full ordinary dividend capacity payable under Wisconsin insurance laws for the twelve-month period ending December 31, 2026. NMIH also has access to $250 million of undrawn revolving credit capacity under the 2024 Revolving Credit Facility.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2025, our Board of Directors authorized a $250 million repurchase program, effective through December 31, 2027. The authorization provides NMIH with the flexibility, based on market and business conditions, stock price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factors, to repurchase stock from time to time through open market repurchases, privately negotiated transactions, or other means, including pursuant to Rule 10b5-1 trading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NMIH repurchased 1.5 million shares of common stock at a total cost of $59.1 million, excluding associated fees and applicable taxes. As of June 30, 2026, NMIH had $166.8 million of repurchase authority remaining.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2024 Revolving Credit Facility, NMIH is required to pay a quarterly commitment fee on the average daily undrawn amount of 0.175% to 0.525%, based on the applicable corporate credit rating at the time. As of June 30, 2026, the applicable commitment fee was 0.175%.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June 30, 2026.</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 and Re One are subject to certain capital and dividend rules and regulations prescribed by jurisdictions in which they are authorized to operate and by the GSEs. Under Wisconsin insurance laws, NMIC and Re One may pay dividends up to specified levels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ordinary” dividends) with 30 days' prior notice to the Wisconsin OCI. Dividends in larger amounts, or “extraordinary” dividends, are subject to the Wisconsin OCI's prior approval. Under Wisconsin insurance laws, an ordinary dividend is defined as any payment or distribution that, together with other dividends and distributions made within the preceding twelve months, is less than the lesser of (i) 10% of the insurer's statutory policyholders' surplus as of the preceding December 31 or (ii) adjusted statutory net income for the twelve-month period ending the preceding December 31</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On June 3, 2026, NMIC paid a $101.0 million ordinary dividend to NMIH, representing its full ordinary dividend capacity payable under Wisconsin insurance laws for the twelve-month period ending December 31, 2026.</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pStyle w:val="TextBody"/>
        <w:bidi w:val="0"/>
        <w:spacing w:lineRule="auto" w:line="276" w:before="0" w:after="180"/>
        <w:ind w:left="0" w:right="0" w:firstLine="720"/>
        <w:jc w:val="both"/>
        <w:rPr/>
      </w:pPr>
      <w:r>
        <w:rPr>
          <w:rFonts w:ascii="Times New Roman;serif" w:hAnsi="Times New Roman;serif"/>
          <w:b w:val="false"/>
          <w:color w:val="000000"/>
          <w:sz w:val="20"/>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serif" w:hAnsi="Times New Roman;serif"/>
          <w:b w:val="false"/>
          <w:i/>
          <w:color w:val="000000"/>
          <w:sz w:val="20"/>
        </w:rPr>
        <w:t>minimum required asset</w:t>
      </w:r>
      <w:r>
        <w:rPr>
          <w:color w:val="000000"/>
        </w:rPr>
        <w:t xml:space="preserve"> </w:t>
      </w:r>
      <w:r>
        <w:rPr>
          <w:rFonts w:ascii="Times New Roman;serif" w:hAnsi="Times New Roman;serif"/>
          <w:b w:val="false"/>
          <w:color w:val="000000"/>
          <w:sz w:val="20"/>
        </w:rPr>
        <w:t>thresholds under the PMIERs and minimum state capital requirements (respectively, as defined therein).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that are equal to or exceed a minimum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subject to a minimum floor of $400 million.</w:t>
      </w:r>
    </w:p>
    <w:p>
      <w:pPr>
        <w:pStyle w:val="TextBody"/>
        <w:bidi w:val="0"/>
        <w:spacing w:lineRule="auto" w:line="288" w:before="0" w:after="180"/>
        <w:ind w:left="0" w:right="0" w:firstLine="765"/>
        <w:jc w:val="both"/>
        <w:rPr/>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under PMIERs is determined at an individual policy-level based on the risk characteristics of each insured loan. Loans with higher risk factors, such as higher LTVs or lower borrower credit scores,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NMIC’s PMIERs minimum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is also adjusted for its reinsurance transactions (as approved by the GSEs). Under NMIC’s quota share reinsurance treaties, it receives credit for the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on ceded RIF. As its gross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on ceded RIF increases, the PMIERs credit for ceded RIF automatically increases as well (in an unlimited amount). Under NMIC’s ILN and XOL Transactions, it generally receives credit for the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on ceded RIF to the extent such requirement is within the subordinated coverage (excess of loss detachment threshold) afforded by the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NMIC had a RTC ratio of 12.9:1 with $43.8 billion of primary RIF, net of reinsurance, and $3.4 billion of total statutory capital, including contingency reserves. Re One has no RIF remaining and no longer reports a RTC ratio.</w:t>
      </w:r>
    </w:p>
    <w:p>
      <w:pPr>
        <w:pStyle w:val="TextBody"/>
        <w:bidi w:val="0"/>
        <w:spacing w:lineRule="auto" w:line="288" w:before="0" w:after="180"/>
        <w:ind w:left="0" w:right="0" w:firstLine="720"/>
        <w:jc w:val="both"/>
        <w:rPr/>
      </w:pPr>
      <w:r>
        <w:rPr>
          <w:rFonts w:ascii="Times New Roman;serif" w:hAnsi="Times New Roman;serif"/>
          <w:b w:val="false"/>
          <w:color w:val="000000"/>
          <w:sz w:val="20"/>
        </w:rPr>
        <w:t>NMIC’s principal sources of liquidity include (i) premium receipts on its insured portfolio and new business production, (ii) interest income on its investment portfolio and principal repayments on maturities therein, and (iii) existing cash and cash equivalent holdings. At June 30, 2026, NMIC had $3.2 billion of cash and investments, including $19.9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June 30, 2026, NMIC generated $441 million of cash flow from operations and received an additional $630 million of cash flow on the sale,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serif" w:hAnsi="Times New Roman;serif"/>
          <w:b w:val="false"/>
          <w:i/>
          <w:color w:val="000000"/>
          <w:sz w:val="20"/>
        </w:rPr>
        <w:t>i.e.</w:t>
      </w:r>
      <w:r>
        <w:rPr>
          <w:rFonts w:ascii="Times New Roman;serif" w:hAnsi="Times New Roman;serif"/>
          <w:b w:val="false"/>
          <w:color w:val="000000"/>
          <w:sz w:val="20"/>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available at both NMIH and NMIC to meet our operating cash and capital obligations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Debt and Financial Strength Ratings</w:t>
      </w:r>
    </w:p>
    <w:p>
      <w:pPr>
        <w:pStyle w:val="TextBody"/>
        <w:bidi w:val="0"/>
        <w:spacing w:lineRule="auto" w:line="26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NMIC’s financial strength is rated “A” by Fitch Ratings (Fitch), “A3” by Moody’s, and “A-” by S&amp;P. NMIH’s 2024 Notes are rated “BBB” by Fitch and “Baa3” by Moody’s. The outlook for all ratings provided by Moody’s is positive and the outlook for all ratings provided by Fitch and S&amp;P is stable.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Consolidated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portfolio is comprised entirely of fixed maturity instruments. As of June 30, 2026, the fair value of our investment portfolio was $3.3 billion and we held an additional $72.1 million of cash and cash equivalents. Pre-tax book yield on the investment portfolio for the six months ended June 30, 2026 was 3.5%. Book yield is calculated as period-to-date net investment income divided by the average amortized cost of the investment portfolio. The yield on our investment portfolio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likely to change over time based on movements in interest rates, credit spreads, the duration or mix of our holdings and other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breakdown of our investment portfolio and cash and cash equivalents by investment type and credit rating: </w:t>
      </w:r>
    </w:p>
    <w:tbl>
      <w:tblPr>
        <w:tblW w:w="8621" w:type="dxa"/>
        <w:jc w:val="left"/>
        <w:tblInd w:w="0" w:type="dxa"/>
        <w:tblLayout w:type="fixed"/>
        <w:tblCellMar>
          <w:top w:w="28" w:type="dxa"/>
          <w:left w:w="28" w:type="dxa"/>
          <w:bottom w:w="28" w:type="dxa"/>
          <w:right w:w="28" w:type="dxa"/>
        </w:tblCellMar>
      </w:tblPr>
      <w:tblGrid>
        <w:gridCol w:w="2036"/>
        <w:gridCol w:w="1789"/>
        <w:gridCol w:w="1800"/>
        <w:gridCol w:w="250"/>
        <w:gridCol w:w="250"/>
        <w:gridCol w:w="624"/>
        <w:gridCol w:w="109"/>
        <w:gridCol w:w="109"/>
        <w:gridCol w:w="109"/>
        <w:gridCol w:w="314"/>
        <w:gridCol w:w="314"/>
        <w:gridCol w:w="917"/>
      </w:tblGrid>
      <w:tr>
        <w:trPr/>
        <w:tc>
          <w:tcPr>
            <w:tcW w:w="203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Percentage of portfolio's fair value</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266" w:type="dxa"/>
        <w:jc w:val="left"/>
        <w:tblInd w:w="0" w:type="dxa"/>
        <w:tblLayout w:type="fixed"/>
        <w:tblCellMar>
          <w:top w:w="28" w:type="dxa"/>
          <w:left w:w="28" w:type="dxa"/>
          <w:bottom w:w="28" w:type="dxa"/>
          <w:right w:w="28" w:type="dxa"/>
        </w:tblCellMar>
      </w:tblPr>
      <w:tblGrid>
        <w:gridCol w:w="1185"/>
        <w:gridCol w:w="1039"/>
        <w:gridCol w:w="1046"/>
        <w:gridCol w:w="250"/>
        <w:gridCol w:w="250"/>
        <w:gridCol w:w="624"/>
        <w:gridCol w:w="109"/>
        <w:gridCol w:w="109"/>
        <w:gridCol w:w="109"/>
        <w:gridCol w:w="314"/>
        <w:gridCol w:w="314"/>
        <w:gridCol w:w="917"/>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portfolio ratings at fair value </w:t>
            </w:r>
            <w:r>
              <w:rPr>
                <w:rFonts w:ascii="Times New Roman;serif" w:hAnsi="Times New Roman;serif"/>
                <w:b/>
                <w:color w:val="000000"/>
                <w:sz w:val="10"/>
              </w:rPr>
              <w:t>(1)</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AAA </w:t>
            </w:r>
            <w:r>
              <w:rPr>
                <w:rFonts w:ascii="Times New Roman;serif" w:hAnsi="Times New Roman;serif"/>
                <w:b w:val="false"/>
                <w:color w:val="000000"/>
                <w:sz w:val="13"/>
              </w:rPr>
              <w:t>(2)</w:t>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 </w:t>
            </w:r>
            <w:r>
              <w:rPr>
                <w:rFonts w:ascii="Times New Roman;serif" w:hAnsi="Times New Roman;serif"/>
                <w:b w:val="false"/>
                <w:color w:val="000000"/>
                <w:sz w:val="13"/>
              </w:rPr>
              <w:t>(3)</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 </w:t>
            </w:r>
            <w:r>
              <w:rPr>
                <w:rFonts w:ascii="Times New Roman;serif" w:hAnsi="Times New Roman;serif"/>
                <w:b w:val="false"/>
                <w:color w:val="000000"/>
                <w:sz w:val="13"/>
              </w:rPr>
              <w:t>(3)</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BBB </w:t>
            </w:r>
            <w:r>
              <w:rPr>
                <w:rFonts w:ascii="Times New Roman;serif" w:hAnsi="Times New Roman;serif"/>
                <w:b w:val="false"/>
                <w:color w:val="000000"/>
                <w:sz w:val="13"/>
              </w:rPr>
              <w:t>(3)</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Excluding certain operating cash accounts.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short-term securities rated A-1+.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 ratings.</w:t>
      </w:r>
    </w:p>
    <w:p>
      <w:pPr>
        <w:pStyle w:val="TextBody"/>
        <w:bidi w:val="0"/>
        <w:spacing w:before="0" w:after="0"/>
        <w:ind w:left="0" w:right="0" w:hanging="360"/>
        <w:jc w:val="both"/>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investments are rated by one or more nationally recognized statistical rating organizations. If three or more ratings are available, we assign the middle rating for classification purposes, otherwise we assign the lowest rating.</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 - 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recognize an allowance for credit loss for any security in the investment portfolio as of June 30, 2026 or December 31, 2025, and we did not record any provision for credit loss for investment securities during the three and six months ended June 30, 2026 or 2025.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investment portfolio had gross unrealized losses of $99.1 million, of which $85.3 million were associated with securities that had been in an unrealized loss position for a period of twelve months or longer. As of December 31, 2025, the investment portfolio had gross unrealized losses of $86.3 million, of which $84.3 million were associated with securities that had been in an unrealized loss position for a period of twelve months or longer.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June 30, 2026, assessing their credit ratings as well as any adverse conditions specifically related to the security. Based upon our assessment of the amount and timing of cash flows to be collected over the remaining life of each instrument, we believe the unrealized losses as of June 30, 2026 are not indicative of the ultimate collectability of the current amortized cost of the securities. Rather, the unrealized losses on securities held as of June 30, 2026 were primarily driven by fluctuations in interest rates, and to a lesser extent, movements in credit spreads following the purchase of those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revenue recognition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own and manage a large investment portfolio of various holdings, types and maturities. NMIH</w:t>
      </w:r>
      <w:r>
        <w:rPr>
          <w:color w:val="000000"/>
        </w:rPr>
        <w:t>’</w:t>
      </w:r>
      <w:r>
        <w:rPr>
          <w:rFonts w:ascii="Times New Roman;serif" w:hAnsi="Times New Roman;serif"/>
          <w:b w:val="false"/>
          <w:color w:val="000000"/>
          <w:sz w:val="20"/>
        </w:rPr>
        <w:t>s principal source of operating cash is investment income. The assets within the investment portfolio are exposed to the same factors that affect overall financial market performance.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market risk via a defined investment policy implemented by our treasury function with oversight from our Board's Risk Committee. Important drivers of our market risk exposure monitored and managed by us include but are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Changes to the level of interest rates</w:t>
      </w:r>
      <w:r>
        <w:rPr>
          <w:rFonts w:ascii="Times New Roman;serif" w:hAnsi="Times New Roman;serif"/>
          <w:b w:val="false"/>
          <w:color w:val="000000"/>
          <w:sz w:val="20"/>
        </w:rPr>
        <w:t>. Increasing interest rates may reduce the value of certain fixed-rate bonds held in the investment 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Changes to the term structure of interest rates</w:t>
      </w:r>
      <w:r>
        <w:rPr>
          <w:rFonts w:ascii="Times New Roman;serif" w:hAnsi="Times New Roman;serif"/>
          <w:b w:val="false"/>
          <w:color w:val="000000"/>
          <w:sz w:val="20"/>
        </w:rPr>
        <w:t xml:space="preserve">. Rising or falling rates typically change by different amounts along the yield curve. These changes may have unforeseen impacts on the value of certain assets.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Market volatility/changes in the real or perceived credit quality of investments</w:t>
      </w:r>
      <w:r>
        <w:rPr>
          <w:rFonts w:ascii="Times New Roman;serif" w:hAnsi="Times New Roman;serif"/>
          <w:b w:val="false"/>
          <w:color w:val="000000"/>
          <w:sz w:val="20"/>
        </w:rPr>
        <w:t>. Deterioration in the quality of investments, identified through changes to our own or third-party (</w:t>
      </w:r>
      <w:r>
        <w:rPr>
          <w:rFonts w:ascii="Times New Roman;serif" w:hAnsi="Times New Roman;serif"/>
          <w:b w:val="false"/>
          <w:i/>
          <w:color w:val="000000"/>
          <w:sz w:val="20"/>
        </w:rPr>
        <w:t>e.g.</w:t>
      </w:r>
      <w:r>
        <w:rPr>
          <w:rFonts w:ascii="Times New Roman;serif" w:hAnsi="Times New Roman;serif"/>
          <w:b w:val="false"/>
          <w:color w:val="000000"/>
          <w:sz w:val="20"/>
        </w:rPr>
        <w:t>, rating agency or investment advisors) assessments, will reduce the value and potentially the liquidity of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Concentration risk</w:t>
      </w:r>
      <w:r>
        <w:rPr>
          <w:rFonts w:ascii="Times New Roman;serif" w:hAnsi="Times New Roman;serif"/>
          <w:b w:val="false"/>
          <w:color w:val="000000"/>
          <w:sz w:val="20"/>
        </w:rPr>
        <w:t>. 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Prepayment risk</w:t>
      </w:r>
      <w:r>
        <w:rPr>
          <w:rFonts w:ascii="Times New Roman;serif" w:hAnsi="Times New Roman;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 of our investment portfolio as of June 30, 2026 and December 31, 2025 was $3.3 billion and $3.1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duration of our fixed income portfolio, including cash and cash equivalents, was 3.56 years, which means that an instantaneous parallel shift (movement up or down) in the yield curve of 100 basis points would result in a change of 3.56% in fair value of our fixed income portfolio. Excluding cash, our fixed income portfolio duration was 3.57 years, which means that an instantaneous parallel shift (movement up or down) in the yield curve of 100 basis points would result in a change of 3.57% in fair value of our fixed income portfolio.</w:t>
      </w:r>
    </w:p>
    <w:p>
      <w:pPr>
        <w:pStyle w:val="TextBody"/>
        <w:bidi w:val="0"/>
        <w:spacing w:lineRule="auto" w:line="288" w:before="0" w:after="180"/>
        <w:ind w:left="0" w:right="0" w:firstLine="720"/>
        <w:jc w:val="both"/>
        <w:rPr/>
      </w:pPr>
      <w:r>
        <w:rPr>
          <w:rFonts w:ascii="Times New Roman;serif" w:hAnsi="Times New Roman;serif"/>
          <w:b w:val="false"/>
          <w:color w:val="000000"/>
          <w:sz w:val="20"/>
        </w:rPr>
        <w:t>We are also subject to market risk related to the 2024 Revolving Credit Facility and the ILN Transaction. As discussed in Item 1, “</w:t>
      </w:r>
      <w:r>
        <w:rPr>
          <w:rFonts w:ascii="Times New Roman;serif" w:hAnsi="Times New Roman;serif"/>
          <w:b w:val="false"/>
          <w:i/>
          <w:color w:val="000000"/>
          <w:sz w:val="20"/>
        </w:rPr>
        <w:t>Financial Statements - Notes to Condensed Consolidated Financial Statements - Note 4, Debt”</w:t>
      </w:r>
      <w:r>
        <w:rPr>
          <w:color w:val="000000"/>
        </w:rPr>
        <w:t xml:space="preserve"> </w:t>
      </w:r>
      <w:r>
        <w:rPr>
          <w:rFonts w:ascii="Times New Roman;serif" w:hAnsi="Times New Roman;serif"/>
          <w:b w:val="false"/>
          <w:color w:val="000000"/>
          <w:sz w:val="20"/>
        </w:rPr>
        <w:t>the 2024 Revolving Credit Facility bears interest at a variable rate and, as a result, increases in market interest rates would generally result in increased interest expense on any outstanding drawn balance.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 premium amount under the ILN Transaction is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conducted an evaluation of the effectiveness of our disclosure controls and procedures (as defined in Rule 13a-15(e) of the Exchange Act) as of June 30, 2026,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pStyle w:val="TextBody"/>
        <w:bidi w:val="0"/>
        <w:spacing w:lineRule="auto" w:line="288" w:before="0" w:after="180"/>
        <w:ind w:left="0" w:right="0" w:firstLine="720"/>
        <w:jc w:val="both"/>
        <w:rPr/>
      </w:pPr>
      <w:r>
        <w:rPr>
          <w:rFonts w:ascii="Times New Roman;serif" w:hAnsi="Times New Roman;serif"/>
          <w:b w:val="false"/>
          <w:color w:val="000000"/>
          <w:sz w:val="20"/>
        </w:rPr>
        <w:t>Based upon that evaluation, our Chief Executive Officer and Chief Financial Officer concluded that, as of June 30, 2026,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w:t>
      </w:r>
      <w:r>
        <w:rPr>
          <w:color w:val="000000"/>
        </w:rPr>
        <w:t>’</w:t>
      </w:r>
      <w:r>
        <w:rPr>
          <w:rFonts w:ascii="Times New Roman;serif" w:hAnsi="Times New Roman;serif"/>
          <w:b w:val="false"/>
          <w:color w:val="000000"/>
          <w:sz w:val="20"/>
        </w:rPr>
        <w:t>s rules and forms.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Internal Control Over Financial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period covered by this report that has materially affected, or is reasonably likely to materially affect, our internal control over financial reporting.</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factors that affect our business and financial results are discussed in Part I, Item 1A of our 2025 10-K. As of the date of this report, we are not aware of any material changes in our risk factors from the risk factors disclosed in our 2025 10-K. You should carefully consider the risks and uncertainties described herein and in our 2025 10-K, which have the potential to affect our business, financial condition, results of operations, cash flows or prospects in a material and adverse manner. The risks described herein and in our 2025 10-K are not the only risks we face, as there are additional risks and uncertainties not currently known to us or that we currently deem to be immaterial, which may in the future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purchases of NMI Holdings, Inc. common stock by us during the three months ended June 30, 2026.</w:t>
      </w:r>
    </w:p>
    <w:tbl>
      <w:tblPr>
        <w:tblW w:w="10205" w:type="dxa"/>
        <w:jc w:val="left"/>
        <w:tblInd w:w="0" w:type="dxa"/>
        <w:tblLayout w:type="fixed"/>
        <w:tblCellMar>
          <w:top w:w="28" w:type="dxa"/>
          <w:left w:w="28" w:type="dxa"/>
          <w:bottom w:w="28" w:type="dxa"/>
          <w:right w:w="28" w:type="dxa"/>
        </w:tblCellMar>
      </w:tblPr>
      <w:tblGrid>
        <w:gridCol w:w="267"/>
        <w:gridCol w:w="235"/>
        <w:gridCol w:w="235"/>
        <w:gridCol w:w="235"/>
        <w:gridCol w:w="235"/>
        <w:gridCol w:w="238"/>
        <w:gridCol w:w="622"/>
        <w:gridCol w:w="427"/>
        <w:gridCol w:w="429"/>
        <w:gridCol w:w="109"/>
        <w:gridCol w:w="109"/>
        <w:gridCol w:w="109"/>
        <w:gridCol w:w="282"/>
        <w:gridCol w:w="826"/>
        <w:gridCol w:w="146"/>
        <w:gridCol w:w="109"/>
        <w:gridCol w:w="109"/>
        <w:gridCol w:w="109"/>
        <w:gridCol w:w="912"/>
        <w:gridCol w:w="748"/>
        <w:gridCol w:w="751"/>
        <w:gridCol w:w="109"/>
        <w:gridCol w:w="109"/>
        <w:gridCol w:w="109"/>
        <w:gridCol w:w="465"/>
        <w:gridCol w:w="1822"/>
        <w:gridCol w:w="349"/>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4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Plans or Program </w:t>
            </w:r>
            <w:r>
              <w:rPr>
                <w:rFonts w:ascii="Times New Roman;serif" w:hAnsi="Times New Roman;serif"/>
                <w:b/>
                <w:color w:val="000000"/>
                <w:sz w:val="10"/>
              </w:rPr>
              <w:t>(1)</w:t>
            </w:r>
          </w:p>
        </w:tc>
      </w:tr>
      <w:tr>
        <w:trPr/>
        <w:tc>
          <w:tcPr>
            <w:tcW w:w="1445"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4/1/2026 to 4/30/2026</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248,463 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5/1/2026 to 5/31/2026</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263,694 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263,694 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178,512 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6/1/2026 to 6/30/2026</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314,366 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314,366 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826,523 </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826,523 </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(1)    On February 5, 2025, our Board of Directors authorized a $250 million share repurchase program (the 2025 Repurchase Program), effective through December 31, 2027. See Part I, Item 1, “</w:t>
      </w:r>
      <w:r>
        <w:rPr>
          <w:rFonts w:ascii="Times New Roman;serif" w:hAnsi="Times New Roman;serif"/>
          <w:b w:val="false"/>
          <w:i/>
          <w:color w:val="000000"/>
          <w:sz w:val="16"/>
        </w:rPr>
        <w:t>Financial Statements - Notes to Condensed Consolidated Financial Statements - Note 10, Stockholder's Equity</w:t>
      </w:r>
      <w:r>
        <w:rPr>
          <w:color w:val="000000"/>
        </w:rPr>
        <w:t xml:space="preserve">” </w:t>
      </w:r>
      <w:r>
        <w:rPr>
          <w:rFonts w:ascii="Times New Roman;serif" w:hAnsi="Times New Roman;serif"/>
          <w:b w:val="false"/>
          <w:color w:val="000000"/>
          <w:sz w:val="16"/>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10b5-1 Trading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Section 16 officers and directors (each as defined in Rule 16a-1 under the Exchange Act) may from time to time enter into plans for the purchase or sale of the Company's stock that are intended to satisfy the affirmative defense conditions of Rule 10b5-1(c) under the Exchange Act. During the quarter ended June 30, 2026, none of our Section 16 officers or directors adopted, modified or terminated “Rule 10b5-1 trading arrangements” or "non-Rule 10b5-1 trading arrangements" (each as defined in Item 408 under Regulation S-K).</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03"/>
        <w:gridCol w:w="2592"/>
        <w:gridCol w:w="3693"/>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Underwriting Agreement, dated May 7, 2024, among the Company, RBC Capital Markets, LLC, Goldman Sachs &amp; Co. LLC, BMO Capital Markets Corp., Citigroup Global Markets Inc. and Truist Securities, Inc. acting as representatives of several underwriters named therein</w:t>
              </w:r>
            </w:hyperlink>
            <w:r>
              <w:rPr>
                <w:color w:val="000000"/>
              </w:rPr>
              <w:t xml:space="preserve"> </w:t>
            </w:r>
            <w:r>
              <w:rPr>
                <w:rFonts w:ascii="Times New Roman;serif" w:hAnsi="Times New Roman;serif"/>
                <w:b w:val="false"/>
                <w:color w:val="000000"/>
                <w:sz w:val="20"/>
              </w:rPr>
              <w:t>(incorporated herein by reference to Exhibit 1.1 to our Form 8-K, filed on May 8,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Third Amended and Restated Certificate of Incorporation</w:t>
              </w:r>
            </w:hyperlink>
            <w:r>
              <w:rPr>
                <w:color w:val="000000"/>
              </w:rPr>
              <w:t xml:space="preserve"> </w:t>
            </w:r>
            <w:r>
              <w:rPr>
                <w:rFonts w:ascii="Times New Roman;serif" w:hAnsi="Times New Roman;serif"/>
                <w:b w:val="false"/>
                <w:color w:val="000000"/>
                <w:sz w:val="20"/>
              </w:rPr>
              <w:t xml:space="preserve">(incorporated herein by reference to Exhibit 3.1 to our Form 8-K, filed on May 10, 2024)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Fifth Amended and Restated Bylaws</w:t>
              </w:r>
            </w:hyperlink>
            <w:r>
              <w:rPr>
                <w:color w:val="000000"/>
              </w:rPr>
              <w:t xml:space="preserve"> </w:t>
            </w:r>
            <w:r>
              <w:rPr>
                <w:rFonts w:ascii="Times New Roman;serif" w:hAnsi="Times New Roman;serif"/>
                <w:b w:val="false"/>
                <w:color w:val="000000"/>
                <w:sz w:val="20"/>
              </w:rPr>
              <w:t>(incorporated herein by reference to Exhibit 3.2 to our Form 8-K, filed on May 10,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(incorporated herein by reference to Exhibit 4.1 to our Form 8-K, filed on May 21,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Supplemental 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(including the form of the Notes) (incorporated herein by reference to Exhibit 4.2 to our Form 8-K, filed on May 21,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Description of Securities</w:t>
              </w:r>
            </w:hyperlink>
            <w:r>
              <w:rPr>
                <w:color w:val="000000"/>
              </w:rPr>
              <w:t xml:space="preserve"> </w:t>
            </w:r>
            <w:r>
              <w:rPr>
                <w:rFonts w:ascii="Times New Roman;serif" w:hAnsi="Times New Roman;serif"/>
                <w:b w:val="false"/>
                <w:color w:val="000000"/>
                <w:sz w:val="20"/>
              </w:rPr>
              <w:t>(incorporated herein by reference to Exhibit 4.4 to our Form 10-Q, filed on July 31, 2024)</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NMI Holdings, Inc. 2012 Stock Incentive Plan</w:t>
              </w:r>
            </w:hyperlink>
            <w:r>
              <w:rPr>
                <w:color w:val="000000"/>
              </w:rPr>
              <w:t xml:space="preserve"> </w:t>
            </w:r>
            <w:r>
              <w:rPr>
                <w:rFonts w:ascii="Times New Roman;serif" w:hAnsi="Times New Roman;serif"/>
                <w:b w:val="false"/>
                <w:color w:val="000000"/>
                <w:sz w:val="20"/>
              </w:rPr>
              <w:t>(incorporated herein by reference to Exhibit 10.1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NMI Holdings, Inc. 2012 Stock Incentive Plan Nonqualified Stock Option Award Agreement (For CEO and CFO)</w:t>
              </w:r>
            </w:hyperlink>
            <w:r>
              <w:rPr>
                <w:color w:val="000000"/>
              </w:rPr>
              <w:t xml:space="preserve"> </w:t>
            </w:r>
            <w:r>
              <w:rPr>
                <w:rFonts w:ascii="Times New Roman;serif" w:hAnsi="Times New Roman;serif"/>
                <w:b w:val="false"/>
                <w:color w:val="000000"/>
                <w:sz w:val="20"/>
              </w:rPr>
              <w:t>(incorporated herein by reference to Exhibit 10.5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NMI Holdings, Inc. 2012 Stock Incentive Plan Nonqualified Stock Option Award Agreement (For Management)</w:t>
              </w:r>
            </w:hyperlink>
            <w:r>
              <w:rPr>
                <w:color w:val="000000"/>
              </w:rPr>
              <w:t xml:space="preserve"> </w:t>
            </w:r>
            <w:r>
              <w:rPr>
                <w:rFonts w:ascii="Times New Roman;serif" w:hAnsi="Times New Roman;serif"/>
                <w:b w:val="false"/>
                <w:color w:val="000000"/>
                <w:sz w:val="20"/>
              </w:rPr>
              <w:t>(incorporated herein by reference to Exhibit 10.6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NMI Holdings, Inc. 2012 Stock Incentive Plan Nonqualified Stock Option Award Agreement (For Non-Employee Directors)</w:t>
              </w:r>
            </w:hyperlink>
            <w:r>
              <w:rPr>
                <w:color w:val="000000"/>
              </w:rPr>
              <w:t xml:space="preserve"> </w:t>
            </w:r>
            <w:r>
              <w:rPr>
                <w:rFonts w:ascii="Times New Roman;serif" w:hAnsi="Times New Roman;serif"/>
                <w:b w:val="false"/>
                <w:color w:val="000000"/>
                <w:sz w:val="20"/>
              </w:rPr>
              <w:t>(incorporated herein by reference to Exhibit 10.7 to our Form S-1 Registration Statement (Registration No. 333-191635), filed on October 9, 2013)</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Form of NMI Holdings, Inc. 2012 Stock Incentive Plan Nonqualified Stock Option Award Agreement (For CEO/CFO)</w:t>
              </w:r>
            </w:hyperlink>
            <w:r>
              <w:rPr>
                <w:color w:val="000000"/>
              </w:rPr>
              <w:t xml:space="preserve"> </w:t>
            </w:r>
            <w:r>
              <w:rPr>
                <w:rFonts w:ascii="Times New Roman;serif" w:hAnsi="Times New Roman;serif"/>
                <w:b w:val="false"/>
                <w:color w:val="000000"/>
                <w:sz w:val="20"/>
              </w:rPr>
              <w:t>(incorporated herein by reference to Exhibit 10.8 to our Form 10-K, filed on February 17,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NMI Holdings, Inc. 2012 Stock Incentive Plan Nonqualified Stock Option Award Agreement (For Employees)</w:t>
              </w:r>
            </w:hyperlink>
            <w:r>
              <w:rPr>
                <w:color w:val="000000"/>
              </w:rPr>
              <w:t xml:space="preserve"> </w:t>
            </w:r>
            <w:r>
              <w:rPr>
                <w:rFonts w:ascii="Times New Roman;serif" w:hAnsi="Times New Roman;serif"/>
                <w:b w:val="false"/>
                <w:color w:val="000000"/>
                <w:sz w:val="20"/>
              </w:rPr>
              <w:t>(incorporated herein by reference to Exhibit 10.9 to our Form 10-K, filed on February 17,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 xml:space="preserve">Form of NMI Holdings, Inc. 2012 Stock Incentive Plan Nonqualified Stock Option Agreement (For Employees) </w:t>
              </w:r>
            </w:hyperlink>
            <w:r>
              <w:rPr>
                <w:rFonts w:ascii="Times New Roman;serif" w:hAnsi="Times New Roman;serif"/>
                <w:b w:val="false"/>
                <w:color w:val="000000"/>
                <w:sz w:val="20"/>
              </w:rPr>
              <w:t>(incorporated herein by reference to Exhibit 10.32 to our Form 10-Q, filed on May 2, 2019)</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20"/>
                  <w:u w:val="single"/>
                </w:rPr>
                <w:t>NMI Holdings, Inc. Amended and Restated 2014 Omnibus Incentive Plan</w:t>
              </w:r>
            </w:hyperlink>
            <w:r>
              <w:rPr>
                <w:color w:val="000000"/>
              </w:rPr>
              <w:t xml:space="preserve"> </w:t>
            </w:r>
            <w:r>
              <w:rPr>
                <w:rFonts w:ascii="Times New Roman;serif" w:hAnsi="Times New Roman;serif"/>
                <w:b w:val="false"/>
                <w:color w:val="000000"/>
                <w:sz w:val="20"/>
              </w:rPr>
              <w:t>(incorporated herein by reference to Appendix A to our 2022 Annual Proxy Statement, filed on March 29, 2022)</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20"/>
                  <w:u w:val="single"/>
                </w:rPr>
                <w:t>Form of NMI Holdings, Inc. Amended and Restated 2014 Omnibus Incentive Plan Nonqualified Stock Option Award Agreement (For CEO)</w:t>
              </w:r>
            </w:hyperlink>
            <w:r>
              <w:rPr>
                <w:color w:val="000000"/>
              </w:rPr>
              <w:t xml:space="preserve"> </w:t>
            </w:r>
            <w:r>
              <w:rPr>
                <w:rFonts w:ascii="Times New Roman;serif" w:hAnsi="Times New Roman;serif"/>
                <w:b w:val="false"/>
                <w:color w:val="000000"/>
                <w:sz w:val="20"/>
              </w:rPr>
              <w:t>(incorporated herein by reference to Exhibit 10.23 to our Form 10-Q filed on August 1,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Form of NMI Holdings, Inc. Amended and Restated 2014 Omnibus Incentive Plan Nonqualified Stock Option Award Agreement (For Executive Officers and Employees</w:t>
              </w:r>
            </w:hyperlink>
            <w:r>
              <w:rPr>
                <w:rFonts w:ascii="Times New Roman;serif" w:hAnsi="Times New Roman;serif"/>
                <w:b w:val="false"/>
                <w:color w:val="000000"/>
                <w:sz w:val="20"/>
              </w:rPr>
              <w:t>) (incorporated herein by reference to Exhibit 10.24 to our Form 10-Q filed on August 1, 2017)</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10.38 to our Form 10-Q, filed on May 7, 2020)</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20"/>
                  <w:u w:val="single"/>
                </w:rPr>
                <w:t>Form of NMI Holdings, Inc. Amended and Restated 2014 Omnibus Incentive Plan Restricted Stock Unit Award Agreement (For Independent Directors)</w:t>
              </w:r>
            </w:hyperlink>
            <w:r>
              <w:rPr>
                <w:color w:val="000000"/>
              </w:rPr>
              <w:t xml:space="preserve"> </w:t>
            </w:r>
            <w:r>
              <w:rPr>
                <w:rFonts w:ascii="Times New Roman;serif" w:hAnsi="Times New Roman;serif"/>
                <w:b w:val="false"/>
                <w:color w:val="000000"/>
                <w:sz w:val="20"/>
              </w:rPr>
              <w:t>(incorporated herein by reference to Exhibit 10.12 to our Form 10-K, filed on February 15, 2024)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rFonts w:ascii="Times New Roman;serif" w:hAnsi="Times New Roman;serif"/>
                <w:b w:val="false"/>
                <w:color w:val="000000"/>
                <w:sz w:val="20"/>
              </w:rPr>
              <w:t>) (incorporated herein by reference to Exhibit 10.34 to our Form 10-Q, filed on May 2, 2019)</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10.22 to our Form 10-K, filed on February 15,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9"/>
        <w:gridCol w:w="109"/>
        <w:gridCol w:w="109"/>
        <w:gridCol w:w="109"/>
        <w:gridCol w:w="2825"/>
        <w:gridCol w:w="2664"/>
        <w:gridCol w:w="3769"/>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10.23 to our Form 10-K, filed on February 15,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10.24 to our Form 10-K, filed on February 15,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20"/>
                  <w:u w:val="single"/>
                </w:rPr>
                <w:t>Form of NMI Holdings, Inc. Amended and Restated 2014 Omnibus Incentive Plan Nonqualified Stock Option Agreement (For Employees</w:t>
              </w:r>
            </w:hyperlink>
            <w:r>
              <w:rPr>
                <w:rFonts w:ascii="Times New Roman;serif" w:hAnsi="Times New Roman;serif"/>
                <w:b w:val="false"/>
                <w:color w:val="000000"/>
                <w:sz w:val="20"/>
              </w:rPr>
              <w:t>) (incorporated herein by reference to Exhibit 10.35 to our Form 10-Q, filed on May 2, 2019)</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10.18 to our Form 10-K, filed on February 14,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10.19 to our Form 10-K, filed on February 14,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10.20 to our Form 10-K, filed on February 14,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20"/>
                  <w:u w:val="single"/>
                </w:rPr>
                <w:t>Form of Indemnification Agreement between NMI Holdings, Inc. and its directors and certain executive officers</w:t>
              </w:r>
            </w:hyperlink>
            <w:r>
              <w:rPr>
                <w:color w:val="000000"/>
              </w:rPr>
              <w:t xml:space="preserve"> </w:t>
            </w:r>
            <w:r>
              <w:rPr>
                <w:rFonts w:ascii="Times New Roman;serif" w:hAnsi="Times New Roman;serif"/>
                <w:b w:val="false"/>
                <w:color w:val="000000"/>
                <w:sz w:val="20"/>
              </w:rPr>
              <w:t xml:space="preserve">(incorporated herein by reference to Exhibit 10.1 to our Form 8-K, filed on November 25, 2014) </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NMI Holdings, Inc. Amended and Restated Severance Benefit Plan</w:t>
              </w:r>
            </w:hyperlink>
            <w:r>
              <w:rPr>
                <w:color w:val="000000"/>
              </w:rPr>
              <w:t xml:space="preserve"> </w:t>
            </w:r>
            <w:r>
              <w:rPr>
                <w:rFonts w:ascii="Times New Roman;serif" w:hAnsi="Times New Roman;serif"/>
                <w:b w:val="false"/>
                <w:color w:val="000000"/>
                <w:sz w:val="20"/>
              </w:rPr>
              <w:t>(incorporated herein by reference to Exhibit 10.22 to our Form 10-Q, filed on November 5,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20"/>
                  <w:u w:val="single"/>
                </w:rPr>
                <w:t>NMI Holdings, Inc. Amended and Restated Change in Control Severance Benefit Plan</w:t>
              </w:r>
            </w:hyperlink>
            <w:r>
              <w:rPr>
                <w:color w:val="000000"/>
              </w:rPr>
              <w:t xml:space="preserve"> </w:t>
            </w:r>
            <w:r>
              <w:rPr>
                <w:rFonts w:ascii="Times New Roman;serif" w:hAnsi="Times New Roman;serif"/>
                <w:b w:val="false"/>
                <w:color w:val="000000"/>
                <w:sz w:val="20"/>
              </w:rPr>
              <w:t>(incorporated herein by reference to Exhibit 10.23 to our Form 10-Q, filed on November 5, 2025)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20"/>
                  <w:u w:val="single"/>
                </w:rPr>
                <w:t>Offer Letter by and between NMI Holdings, Inc. and William Leatherberry, dated July 11, 2014</w:t>
              </w:r>
            </w:hyperlink>
            <w:r>
              <w:rPr>
                <w:color w:val="000000"/>
              </w:rPr>
              <w:t xml:space="preserve"> </w:t>
            </w:r>
            <w:r>
              <w:rPr>
                <w:rFonts w:ascii="Times New Roman;serif" w:hAnsi="Times New Roman;serif"/>
                <w:b w:val="false"/>
                <w:color w:val="000000"/>
                <w:sz w:val="20"/>
              </w:rPr>
              <w:t>(incorporated herein by reference to Exhibit 10.10 to our Form 10-Q, filed on April 28, 2016)</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 ~</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Employment Letter by and between NMI Holdings, Inc. and Bradley M. Shuster, effective as of January 1, 2019</w:t>
              </w:r>
            </w:hyperlink>
            <w:r>
              <w:rPr>
                <w:color w:val="000000"/>
              </w:rPr>
              <w:t xml:space="preserve"> </w:t>
            </w:r>
            <w:r>
              <w:rPr>
                <w:rFonts w:ascii="Times New Roman;serif" w:hAnsi="Times New Roman;serif"/>
                <w:b w:val="false"/>
                <w:color w:val="000000"/>
                <w:sz w:val="20"/>
              </w:rPr>
              <w:t>(incorporated herein by reference to Exhibit 10.1 to our Form 8-K, filed on December 28, 2018)</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20"/>
                  <w:u w:val="single"/>
                </w:rPr>
                <w:t>Offer Letter by and between NMI Holdings, Inc. and Adam Pollitzer, dated September 9, 2021</w:t>
              </w:r>
            </w:hyperlink>
            <w:r>
              <w:rPr>
                <w:color w:val="000000"/>
              </w:rPr>
              <w:t xml:space="preserve"> </w:t>
            </w:r>
            <w:r>
              <w:rPr>
                <w:rFonts w:ascii="Times New Roman;serif" w:hAnsi="Times New Roman;serif"/>
                <w:b w:val="false"/>
                <w:color w:val="000000"/>
                <w:sz w:val="20"/>
              </w:rPr>
              <w:t>(incorporated herein by reference to Exhibit 10.1 to our Form 8-K, filed on September 9, 2021)</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20"/>
                  <w:u w:val="single"/>
                </w:rPr>
                <w:t>Offer Letter by and between NMI Holdings, Inc. and Aurora Swithenbank, dated March 1, 202</w:t>
              </w:r>
            </w:hyperlink>
            <w:r>
              <w:rPr>
                <w:rFonts w:ascii="Times New Roman;serif" w:hAnsi="Times New Roman;serif"/>
                <w:b w:val="false"/>
                <w:color w:val="000000"/>
                <w:sz w:val="20"/>
              </w:rPr>
              <w:t>4 (incorporated herein by reference to Exhibit 10.1 to our Form 8-K, filed on March 4,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Separation Agreement by and between NMI Holdings, Inc. and Ravi Mallela, dated March 1, 2024</w:t>
              </w:r>
            </w:hyperlink>
            <w:r>
              <w:rPr>
                <w:color w:val="000000"/>
              </w:rPr>
              <w:t xml:space="preserve"> </w:t>
            </w:r>
            <w:r>
              <w:rPr>
                <w:rFonts w:ascii="Times New Roman;serif" w:hAnsi="Times New Roman;serif"/>
                <w:b w:val="false"/>
                <w:color w:val="000000"/>
                <w:sz w:val="20"/>
              </w:rPr>
              <w:t>(incorporated herein by reference to Exhibit 10.2 to our Form 8-K, filed on March 4,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20"/>
                  <w:u w:val="single"/>
                </w:rPr>
                <w:t>Commitment Letter dated July 12, 2013 for Bulk Fannie Mae-Paid Loss-on-Sale Mortgage Insurance on the Portfolio of approximately $5.46 billion Purchased by Fannie Mae and Identified by Fannie Mae as Deal No. 2013 MIRT 01 and by the Company as Policy No. P-0001-01</w:t>
              </w:r>
            </w:hyperlink>
            <w:r>
              <w:rPr>
                <w:color w:val="000000"/>
              </w:rPr>
              <w:t xml:space="preserve"> </w:t>
            </w:r>
            <w:r>
              <w:rPr>
                <w:rFonts w:ascii="Times New Roman;serif" w:hAnsi="Times New Roman;serif"/>
                <w:b w:val="false"/>
                <w:color w:val="000000"/>
                <w:sz w:val="20"/>
              </w:rPr>
              <w:t>(incorporated herein by reference to Exhibit 10.14 to our Form S-1 Registration Statement (Registration No. 333-191635), filed on October 9, 2013)</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20"/>
                  <w:u w:val="single"/>
                </w:rPr>
                <w:t>Credit Agreement, dated as of April 29, 2024, by and among the Company, the lenders party hereto, and Royal Bank of Canada, as the Agent</w:t>
              </w:r>
            </w:hyperlink>
            <w:r>
              <w:rPr>
                <w:color w:val="000000"/>
              </w:rPr>
              <w:t xml:space="preserve"> </w:t>
            </w:r>
            <w:r>
              <w:rPr>
                <w:rFonts w:ascii="Times New Roman;serif" w:hAnsi="Times New Roman;serif"/>
                <w:b w:val="false"/>
                <w:color w:val="000000"/>
                <w:sz w:val="20"/>
              </w:rPr>
              <w:t>(incorporated herein by reference to Exhibit 10.31 to our Form 10-Q, filed on May 1, 2024)</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Insider Trading and Information Policy</w:t>
              </w:r>
            </w:hyperlink>
            <w:r>
              <w:rPr>
                <w:color w:val="000000"/>
              </w:rPr>
              <w:t xml:space="preserve"> </w:t>
            </w:r>
            <w:r>
              <w:rPr>
                <w:rFonts w:ascii="Times New Roman;serif" w:hAnsi="Times New Roman;serif"/>
                <w:b w:val="false"/>
                <w:color w:val="000000"/>
                <w:sz w:val="20"/>
              </w:rPr>
              <w:t>(incorporated herein by reference to Exhibit 19.1 to our Form 10-K, filed on February 12, 2026)</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20"/>
                  <w:u w:val="single"/>
                </w:rPr>
                <w:t>Subsidiaries of NMI Holdings, Inc.</w:t>
              </w:r>
            </w:hyperlink>
            <w:r>
              <w:rPr>
                <w:color w:val="000000"/>
              </w:rPr>
              <w:t xml:space="preserve"> </w:t>
            </w:r>
            <w:r>
              <w:rPr>
                <w:rFonts w:ascii="Times New Roman;serif" w:hAnsi="Times New Roman;serif"/>
                <w:b w:val="false"/>
                <w:color w:val="000000"/>
                <w:sz w:val="20"/>
              </w:rPr>
              <w:t>(incorporated herein by reference to Exhibit 21.1 to our Form 10-Q, filed on October 30, 2015)</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q22026.htm">
              <w:r>
                <w:rPr>
                  <w:rStyle w:val="InternetLink"/>
                  <w:rFonts w:ascii="Times New Roman;serif" w:hAnsi="Times New Roman;serif"/>
                  <w:b w:val="false"/>
                  <w:color w:val="0000FF"/>
                  <w:sz w:val="20"/>
                  <w:u w:val="single"/>
                </w:rPr>
                <w:t>Principal Executive Officer's Certification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q22026.htm">
              <w:r>
                <w:rPr>
                  <w:rStyle w:val="InternetLink"/>
                  <w:rFonts w:ascii="Times New Roman;serif" w:hAnsi="Times New Roman;serif"/>
                  <w:b w:val="false"/>
                  <w:color w:val="0000FF"/>
                  <w:sz w:val="20"/>
                  <w:u w:val="single"/>
                </w:rPr>
                <w:t>Principal Financial Officer's Certification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q22026.htm">
              <w:r>
                <w:rPr>
                  <w:rStyle w:val="InternetLink"/>
                  <w:rFonts w:ascii="Times New Roman;serif" w:hAnsi="Times New Roman;serif"/>
                  <w:b w:val="false"/>
                  <w:color w:val="0000FF"/>
                  <w:sz w:val="20"/>
                  <w:u w:val="single"/>
                </w:rPr>
                <w:t>Certifications of CEO and CFO Pursuant to 18 U.S.C. Section 1350, as Adopted Pursuant to Section 906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NMI Holdings, Inc. Compensation Recovery Policy, Effective September 13, 2023</w:t>
              </w:r>
            </w:hyperlink>
            <w:r>
              <w:rPr>
                <w:color w:val="000000"/>
              </w:rPr>
              <w:t xml:space="preserve"> </w:t>
            </w:r>
            <w:r>
              <w:rPr>
                <w:rFonts w:ascii="Times New Roman;serif" w:hAnsi="Times New Roman;serif"/>
                <w:b w:val="false"/>
                <w:color w:val="000000"/>
                <w:sz w:val="20"/>
              </w:rPr>
              <w:t xml:space="preserve">(incorporated herein by reference to Exhibit 97.1 to our Form 10-K, filed on February 15, 2024) </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NMI Holdings, Inc.'s Quarterly Report on Form 10-Q for the quarter ended June 30, 2026 (Unaudited) formatted in XBRL (eXtensible Business Reporting Language):</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Condensed Consolidated Balance Sheets as of June 30, 2026 (Unaudited) and December 31, 2025; </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 Condensed Consolidated Statements of Operations and Comprehensive Income for the three and six months ended June 30, 2026 and 2025 (Unaudited);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765"/>
        <w:gridCol w:w="2765"/>
        <w:gridCol w:w="3912"/>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 Condensed Consolidated Statements of Changes in Shareholders' Equity for the three months ended June 30, 2026 and 2025 (Unaudited);</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(iv) Condensed Consolidated Statements of Cash Flows for the six months ended June 30, 2026 and 2025 (Unaudited); and</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Notes to Condensed Consolidated Financial Statements (Unaudited). The instance document does not appear in the Interactive Data File because XBRL tags are embedded within the Inline XBRL document.</w:t>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NMI Holdings, Inc.'s Quarterly Report on Form 10-Q for the quarter ended June 30, 2026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Indicates a management contract or compensatory plan or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Confidential treatment granted as to certain portions, which portions have been filed separately with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bl>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ind w:left="0" w:right="0" w:firstLine="720"/>
        <w:jc w:val="both"/>
        <w:rPr/>
      </w:pPr>
      <w:r>
        <w:rPr/>
      </w:r>
    </w:p>
    <w:tbl>
      <w:tblPr>
        <w:tblW w:w="6809" w:type="dxa"/>
        <w:jc w:val="left"/>
        <w:tblInd w:w="0" w:type="dxa"/>
        <w:tblLayout w:type="fixed"/>
        <w:tblCellMar>
          <w:top w:w="28" w:type="dxa"/>
          <w:left w:w="28" w:type="dxa"/>
          <w:bottom w:w="28" w:type="dxa"/>
          <w:right w:w="28" w:type="dxa"/>
        </w:tblCellMar>
      </w:tblPr>
      <w:tblGrid>
        <w:gridCol w:w="618"/>
        <w:gridCol w:w="544"/>
        <w:gridCol w:w="547"/>
        <w:gridCol w:w="1491"/>
        <w:gridCol w:w="1491"/>
        <w:gridCol w:w="211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NMI HOLDINGS,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Aurora Swithenbank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Aurora Swithenbank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Duly Authorized Signatory</w:t>
            </w:r>
          </w:p>
        </w:tc>
      </w:tr>
    </w:tbl>
    <w:p>
      <w:pPr>
        <w:pStyle w:val="TextBody"/>
        <w:bidi w:val="0"/>
        <w:spacing w:before="60" w:after="283"/>
        <w:ind w:left="0" w:right="0" w:firstLine="720"/>
        <w:jc w:val="left"/>
        <w:rPr/>
      </w:pPr>
      <w:r>
        <w:rPr/>
      </w:r>
    </w:p>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PRINCIPAL EXECUTIVE OFFICER’S 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12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Adam S. Pollitzer,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703" w:type="dxa"/>
        <w:jc w:val="center"/>
        <w:tblInd w:w="0" w:type="dxa"/>
        <w:tblLayout w:type="fixed"/>
        <w:tblCellMar>
          <w:top w:w="28" w:type="dxa"/>
          <w:left w:w="28" w:type="dxa"/>
          <w:bottom w:w="28" w:type="dxa"/>
          <w:right w:w="28" w:type="dxa"/>
        </w:tblCellMar>
      </w:tblPr>
      <w:tblGrid>
        <w:gridCol w:w="443"/>
        <w:gridCol w:w="390"/>
        <w:gridCol w:w="396"/>
        <w:gridCol w:w="723"/>
        <w:gridCol w:w="723"/>
        <w:gridCol w:w="1028"/>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Adam S. Pollitzer </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PRINCIPAL FINANCIAL OFFICER’S CERTIFICATION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417" w:before="0" w:after="120"/>
        <w:jc w:val="left"/>
        <w:rPr>
          <w:rFonts w:ascii="Times New Roman;serif" w:hAnsi="Times New Roman;serif"/>
          <w:b w:val="false"/>
          <w:color w:val="000000"/>
          <w:sz w:val="20"/>
        </w:rPr>
      </w:pPr>
      <w:r>
        <w:rPr>
          <w:rFonts w:ascii="Times New Roman;serif" w:hAnsi="Times New Roman;serif"/>
          <w:b w:val="false"/>
          <w:color w:val="000000"/>
          <w:sz w:val="20"/>
        </w:rPr>
        <w:t>I, Aurora Swithenbank,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643" w:type="dxa"/>
        <w:jc w:val="left"/>
        <w:tblInd w:w="0" w:type="dxa"/>
        <w:tblLayout w:type="fixed"/>
        <w:tblCellMar>
          <w:top w:w="28" w:type="dxa"/>
          <w:left w:w="28" w:type="dxa"/>
          <w:bottom w:w="28" w:type="dxa"/>
          <w:right w:w="28" w:type="dxa"/>
        </w:tblCellMar>
      </w:tblPr>
      <w:tblGrid>
        <w:gridCol w:w="443"/>
        <w:gridCol w:w="390"/>
        <w:gridCol w:w="396"/>
        <w:gridCol w:w="707"/>
        <w:gridCol w:w="707"/>
        <w:gridCol w:w="1000"/>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Aurora Swithenbank </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2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NMI Holdings, Inc. (the "Company") on Form 10-Q for the quarter ended June 30, 2026,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3703" w:type="dxa"/>
        <w:jc w:val="left"/>
        <w:tblInd w:w="0" w:type="dxa"/>
        <w:tblLayout w:type="fixed"/>
        <w:tblCellMar>
          <w:top w:w="28" w:type="dxa"/>
          <w:left w:w="28" w:type="dxa"/>
          <w:bottom w:w="28" w:type="dxa"/>
          <w:right w:w="28" w:type="dxa"/>
        </w:tblCellMar>
      </w:tblPr>
      <w:tblGrid>
        <w:gridCol w:w="443"/>
        <w:gridCol w:w="390"/>
        <w:gridCol w:w="396"/>
        <w:gridCol w:w="723"/>
        <w:gridCol w:w="723"/>
        <w:gridCol w:w="1028"/>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Adam S. Pollitzer              </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3643" w:type="dxa"/>
        <w:jc w:val="center"/>
        <w:tblInd w:w="0" w:type="dxa"/>
        <w:tblLayout w:type="fixed"/>
        <w:tblCellMar>
          <w:top w:w="28" w:type="dxa"/>
          <w:left w:w="28" w:type="dxa"/>
          <w:bottom w:w="28" w:type="dxa"/>
          <w:right w:w="28" w:type="dxa"/>
        </w:tblCellMar>
      </w:tblPr>
      <w:tblGrid>
        <w:gridCol w:w="443"/>
        <w:gridCol w:w="390"/>
        <w:gridCol w:w="396"/>
        <w:gridCol w:w="707"/>
        <w:gridCol w:w="707"/>
        <w:gridCol w:w="1000"/>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Aurora Swithenbank </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pStyle w:val="TextBody"/>
        <w:bidi w:val="0"/>
        <w:spacing w:before="18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7903/000119312524134340/d816160dex11.htm" TargetMode="External"/><Relationship Id="rId3" Type="http://schemas.openxmlformats.org/officeDocument/2006/relationships/hyperlink" Target="https://www.sec.gov/Archives/edgar/data/1547903/000154790324000111/nmih-certificateofincorpor.htm" TargetMode="External"/><Relationship Id="rId4" Type="http://schemas.openxmlformats.org/officeDocument/2006/relationships/hyperlink" Target="https://www.sec.gov/Archives/edgar/data/1547903/000154790324000111/fifthamendedandrestatedbyl.htm" TargetMode="External"/><Relationship Id="rId5" Type="http://schemas.openxmlformats.org/officeDocument/2006/relationships/hyperlink" Target="https://www.sec.gov/Archives/edgar/data/1547903/000119312524144008/d768666dex41.htm" TargetMode="External"/><Relationship Id="rId6" Type="http://schemas.openxmlformats.org/officeDocument/2006/relationships/hyperlink" Target="https://www.sec.gov/Archives/edgar/data/1547903/000119312524144008/d768666dex42.htm" TargetMode="External"/><Relationship Id="rId7" Type="http://schemas.openxmlformats.org/officeDocument/2006/relationships/hyperlink" Target="https://www.sec.gov/Archives/edgar/data/1547903/000154790324000139/exhibit44nmihdescriptionof.htm" TargetMode="External"/><Relationship Id="rId8" Type="http://schemas.openxmlformats.org/officeDocument/2006/relationships/hyperlink" Target="https://www.sec.gov/Archives/edgar/data/1547903/000154790313000020/a101nmiholdingsinc2012stoc.htm" TargetMode="External"/><Relationship Id="rId9" Type="http://schemas.openxmlformats.org/officeDocument/2006/relationships/hyperlink" Target="https://www.sec.gov/Archives/edgar/data/1547903/000154790313000020/a105formofnonqualifiedstoc.htm" TargetMode="External"/><Relationship Id="rId10" Type="http://schemas.openxmlformats.org/officeDocument/2006/relationships/hyperlink" Target="https://www.sec.gov/Archives/edgar/data/1547903/000154790313000020/a106formofnonqualifiedstoc.htm" TargetMode="External"/><Relationship Id="rId11" Type="http://schemas.openxmlformats.org/officeDocument/2006/relationships/hyperlink" Target="https://www.sec.gov/Archives/edgar/data/1547903/000154790313000020/a107formofnonqualifiedstoc.htm" TargetMode="External"/><Relationship Id="rId12" Type="http://schemas.openxmlformats.org/officeDocument/2006/relationships/hyperlink" Target="https://www.sec.gov/Archives/edgar/data/1547903/000154790317000032/exhibit108-2012stockincent.htm" TargetMode="External"/><Relationship Id="rId13" Type="http://schemas.openxmlformats.org/officeDocument/2006/relationships/hyperlink" Target="https://www.sec.gov/Archives/edgar/data/1547903/000154790317000032/exhibit109-2012stockincent.htm" TargetMode="External"/><Relationship Id="rId14" Type="http://schemas.openxmlformats.org/officeDocument/2006/relationships/hyperlink" Target="https://www.sec.gov/Archives/edgar/data/1547903/000154790319000064/exhibit1032.htm" TargetMode="External"/><Relationship Id="rId15" Type="http://schemas.openxmlformats.org/officeDocument/2006/relationships/hyperlink" Target="https://www.sec.gov/ix?doc=/Archives/edgar/data/1547903/000154790324000103/nmih-20240331.htm" TargetMode="External"/><Relationship Id="rId16" Type="http://schemas.openxmlformats.org/officeDocument/2006/relationships/hyperlink" Target="https://www.sec.gov/Archives/edgar/data/1547903/000154790317000100/ex1023nqsceo.htm" TargetMode="External"/><Relationship Id="rId17" Type="http://schemas.openxmlformats.org/officeDocument/2006/relationships/hyperlink" Target="https://www.sec.gov/Archives/edgar/data/1547903/000154790317000100/ex1024nqseoee.htm" TargetMode="External"/><Relationship Id="rId18" Type="http://schemas.openxmlformats.org/officeDocument/2006/relationships/hyperlink" Target="https://www.sec.gov/Archives/edgar/data/1547903/000154790320000045/ex1038202010q.htm" TargetMode="External"/><Relationship Id="rId19" Type="http://schemas.openxmlformats.org/officeDocument/2006/relationships/hyperlink" Target="https://www.sec.gov/Archives/edgar/data/1547903/000154790325000026/ex1012rsuagreementforindep.htm" TargetMode="External"/><Relationship Id="rId20" Type="http://schemas.openxmlformats.org/officeDocument/2006/relationships/hyperlink" Target="https://www.sec.gov/Archives/edgar/data/1547903/000154790325000026/ex1012rsuagreementforindep.htm" TargetMode="External"/><Relationship Id="rId21" Type="http://schemas.openxmlformats.org/officeDocument/2006/relationships/hyperlink" Target="https://www.sec.gov/Archives/edgar/data/1547903/000154790324000035/ex1022ye2023rsuawardagreem.htm" TargetMode="External"/><Relationship Id="rId22" Type="http://schemas.openxmlformats.org/officeDocument/2006/relationships/hyperlink" Target="https://www.sec.gov/Archives/edgar/data/1547903/000154790324000035/ex1023ye2023rsuawardagreem.htm" TargetMode="External"/><Relationship Id="rId23" Type="http://schemas.openxmlformats.org/officeDocument/2006/relationships/hyperlink" Target="https://www.sec.gov/Archives/edgar/data/1547903/000154790324000035/ex1024ye2023rsuawardagreem.htm" TargetMode="External"/><Relationship Id="rId24" Type="http://schemas.openxmlformats.org/officeDocument/2006/relationships/hyperlink" Target="https://www.sec.gov/Archives/edgar/data/1547903/000154790319000064/exhibit1035.htm" TargetMode="External"/><Relationship Id="rId25" Type="http://schemas.openxmlformats.org/officeDocument/2006/relationships/hyperlink" Target="https://www.sec.gov/Archives/edgar/data/1547903/000154790325000026/ex1018rsuagreementforexecu.htm" TargetMode="External"/><Relationship Id="rId26" Type="http://schemas.openxmlformats.org/officeDocument/2006/relationships/hyperlink" Target="https://www.sec.gov/Archives/edgar/data/1547903/000154790325000026/ex1019rsuagreementforemplo.htm" TargetMode="External"/><Relationship Id="rId27" Type="http://schemas.openxmlformats.org/officeDocument/2006/relationships/hyperlink" Target="https://www.sec.gov/Archives/edgar/data/1547903/000154790325000026/ex1020rsuagreementperforma.htm" TargetMode="External"/><Relationship Id="rId28" Type="http://schemas.openxmlformats.org/officeDocument/2006/relationships/hyperlink" Target="https://www.sec.gov/Archives/edgar/data/1547903/000154790314000146/exhibit101november252014.htm" TargetMode="External"/><Relationship Id="rId29" Type="http://schemas.openxmlformats.org/officeDocument/2006/relationships/hyperlink" Target="https://www.sec.gov/Archives/edgar/data/1547903/000154790325000103/ex1022nmiharseverancebenef.htm" TargetMode="External"/><Relationship Id="rId30" Type="http://schemas.openxmlformats.org/officeDocument/2006/relationships/hyperlink" Target="https://www.sec.gov/Archives/edgar/data/1547903/000154790325000103/ex1023nmiharcicseverancebe.htm" TargetMode="External"/><Relationship Id="rId31" Type="http://schemas.openxmlformats.org/officeDocument/2006/relationships/hyperlink" Target="https://www.sec.gov/Archives/edgar/data/1547903/000154790316000230/exhibit1010leatherberrybil.htm" TargetMode="External"/><Relationship Id="rId32" Type="http://schemas.openxmlformats.org/officeDocument/2006/relationships/hyperlink" Target="https://www.sec.gov/Archives/edgar/data/1547903/000154790318000137/exhibit101shuster.htm" TargetMode="External"/><Relationship Id="rId33" Type="http://schemas.openxmlformats.org/officeDocument/2006/relationships/hyperlink" Target="https://www.sec.gov/Archives/edgar/data/0001547903/000154790321000153/exhibit101-nmihxapollitz.htm" TargetMode="External"/><Relationship Id="rId34" Type="http://schemas.openxmlformats.org/officeDocument/2006/relationships/hyperlink" Target="https://www.sec.gov/Archives/edgar/data/1547903/000154790324000041/nmih-aswithenbankofferlett.htm" TargetMode="External"/><Relationship Id="rId35" Type="http://schemas.openxmlformats.org/officeDocument/2006/relationships/hyperlink" Target="https://www.sec.gov/Archives/edgar/data/1547903/000154790324000041/nmih-rmallelaseparationagr.htm" TargetMode="External"/><Relationship Id="rId36" Type="http://schemas.openxmlformats.org/officeDocument/2006/relationships/hyperlink" Target="https://www.sec.gov/Archives/edgar/data/1547903/000154790313000020/a1014commitmentletterforbu.htm" TargetMode="External"/><Relationship Id="rId37" Type="http://schemas.openxmlformats.org/officeDocument/2006/relationships/hyperlink" Target="https://www.sec.gov/Archives/edgar/data/1547903/000154790324000103/ex1031q12024.htm" TargetMode="External"/><Relationship Id="rId38" Type="http://schemas.openxmlformats.org/officeDocument/2006/relationships/hyperlink" Target="https://www.sec.gov/Archives/edgar/data/1547903/000154790326000011/ex191insidertradingandinfo.htm" TargetMode="External"/><Relationship Id="rId39" Type="http://schemas.openxmlformats.org/officeDocument/2006/relationships/hyperlink" Target="https://www.sec.gov/Archives/edgar/data/1547903/000154790315000133/exhibit211subsidiariesofnm.htm" TargetMode="External"/><Relationship Id="rId40" Type="http://schemas.openxmlformats.org/officeDocument/2006/relationships/hyperlink" Target="https://www.sec.gov/Archives/edgar/data/1547903/000154790324000035/ex971ye2023compensationrec.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29448</Words>
  <Characters>159380</Characters>
  <CharactersWithSpaces>186715</CharactersWithSpaces>
  <Paragraphs>4095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