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(Mark One)</w:t>
      </w:r>
    </w:p>
    <w:p>
      <w:pPr>
        <w:spacing w:after="0" w:line="41" w:lineRule="exact"/>
        <w:rPr>
          <w:sz w:val="24"/>
          <w:szCs w:val="24"/>
          <w:color w:val="auto"/>
        </w:rPr>
      </w:pPr>
    </w:p>
    <w:p>
      <w:pPr>
        <w:ind w:left="660" w:hanging="40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7" w:lineRule="exact"/>
        <w:rPr>
          <w:sz w:val="24"/>
          <w:szCs w:val="24"/>
          <w:color w:val="auto"/>
        </w:rPr>
      </w:pPr>
    </w:p>
    <w:p>
      <w:pPr>
        <w:ind w:left="660"/>
        <w:spacing w:after="0"/>
        <w:tabs>
          <w:tab w:leader="none" w:pos="5940" w:val="left"/>
        </w:tabs>
        <w:rPr>
          <w:sz w:val="20"/>
          <w:szCs w:val="20"/>
          <w:color w:val="auto"/>
        </w:rPr>
      </w:pPr>
      <w:r>
        <w:rPr>
          <w:rFonts w:ascii="Times New Roman" w:cs="Times New Roman" w:eastAsia="Times New Roman" w:hAnsi="Times New Roman"/>
          <w:sz w:val="18"/>
          <w:szCs w:val="18"/>
          <w:color w:val="auto"/>
        </w:rPr>
        <w:t>For the quarterly period ended</w:t>
      </w:r>
      <w:r>
        <w:rPr>
          <w:sz w:val="20"/>
          <w:szCs w:val="20"/>
          <w:color w:val="auto"/>
        </w:rPr>
        <w:tab/>
      </w:r>
      <w:r>
        <w:rPr>
          <w:rFonts w:ascii="Times New Roman" w:cs="Times New Roman" w:eastAsia="Times New Roman" w:hAnsi="Times New Roman"/>
          <w:sz w:val="16"/>
          <w:szCs w:val="16"/>
          <w:b w:val="1"/>
          <w:bCs w:val="1"/>
          <w:color w:val="auto"/>
        </w:rPr>
        <w:t>March 31, 2024</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54" w:lineRule="exact"/>
        <w:rPr>
          <w:sz w:val="24"/>
          <w:szCs w:val="24"/>
          <w:color w:val="auto"/>
        </w:rPr>
      </w:pPr>
    </w:p>
    <w:p>
      <w:pPr>
        <w:ind w:left="640" w:right="2120" w:hanging="404"/>
        <w:spacing w:after="0" w:line="285" w:lineRule="auto"/>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 to ______</w:t>
      </w:r>
    </w:p>
    <w:p>
      <w:pPr>
        <w:spacing w:after="0" w:line="1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001-36174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-221615</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35"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320" w:type="dxa"/>
            <w:vAlign w:val="bottom"/>
            <w:gridSpan w:val="2"/>
          </w:tcPr>
          <w:p>
            <w:pPr>
              <w:jc w:val="center"/>
              <w:ind w:left="378"/>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2380" w:type="dxa"/>
            <w:vAlign w:val="bottom"/>
          </w:tcPr>
          <w:p>
            <w:pPr>
              <w:spacing w:after="0"/>
              <w:rPr>
                <w:sz w:val="19"/>
                <w:szCs w:val="19"/>
                <w:color w:val="auto"/>
              </w:rPr>
            </w:pPr>
          </w:p>
        </w:tc>
        <w:tc>
          <w:tcPr>
            <w:tcW w:w="4560" w:type="dxa"/>
            <w:vAlign w:val="bottom"/>
            <w:gridSpan w:val="2"/>
          </w:tcPr>
          <w:p>
            <w:pPr>
              <w:jc w:val="right"/>
              <w:ind w:right="2638"/>
              <w:spacing w:after="0"/>
              <w:rPr>
                <w:sz w:val="20"/>
                <w:szCs w:val="20"/>
                <w:color w:val="auto"/>
              </w:rPr>
            </w:pPr>
            <w:r>
              <w:rPr>
                <w:rFonts w:ascii="Times New Roman" w:cs="Times New Roman" w:eastAsia="Times New Roman" w:hAnsi="Times New Roman"/>
                <w:sz w:val="18"/>
                <w:szCs w:val="18"/>
                <w:b w:val="1"/>
                <w:bCs w:val="1"/>
                <w:color w:val="auto"/>
              </w:rPr>
              <w:t>45-4914248</w:t>
            </w:r>
          </w:p>
        </w:tc>
      </w:tr>
      <w:tr>
        <w:trPr>
          <w:trHeight w:val="185"/>
        </w:trPr>
        <w:tc>
          <w:tcPr>
            <w:tcW w:w="4320" w:type="dxa"/>
            <w:vAlign w:val="bottom"/>
            <w:gridSpan w:val="2"/>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380" w:type="dxa"/>
            <w:vAlign w:val="bottom"/>
          </w:tcPr>
          <w:p>
            <w:pPr>
              <w:spacing w:after="0"/>
              <w:rPr>
                <w:sz w:val="16"/>
                <w:szCs w:val="16"/>
                <w:color w:val="auto"/>
              </w:rPr>
            </w:pPr>
          </w:p>
        </w:tc>
        <w:tc>
          <w:tcPr>
            <w:tcW w:w="4560" w:type="dxa"/>
            <w:vAlign w:val="bottom"/>
            <w:gridSpan w:val="2"/>
          </w:tcPr>
          <w:p>
            <w:pPr>
              <w:jc w:val="center"/>
              <w:ind w:right="1658"/>
              <w:spacing w:after="0"/>
              <w:rPr>
                <w:sz w:val="20"/>
                <w:szCs w:val="20"/>
                <w:color w:val="auto"/>
              </w:rPr>
            </w:pPr>
            <w:r>
              <w:rPr>
                <w:rFonts w:ascii="Times New Roman" w:cs="Times New Roman" w:eastAsia="Times New Roman" w:hAnsi="Times New Roman"/>
                <w:sz w:val="14"/>
                <w:szCs w:val="14"/>
                <w:b w:val="1"/>
                <w:bCs w:val="1"/>
                <w:color w:val="auto"/>
                <w:w w:val="99"/>
              </w:rPr>
              <w:t>(I.R.S. Employer Identification No.)</w:t>
            </w:r>
          </w:p>
        </w:tc>
      </w:tr>
      <w:tr>
        <w:trPr>
          <w:trHeight w:val="342"/>
        </w:trPr>
        <w:tc>
          <w:tcPr>
            <w:tcW w:w="25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2100 Powell Street</w:t>
            </w:r>
          </w:p>
        </w:tc>
        <w:tc>
          <w:tcPr>
            <w:tcW w:w="1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Emeryville , CA</w:t>
            </w:r>
          </w:p>
        </w:tc>
        <w:tc>
          <w:tcPr>
            <w:tcW w:w="2380" w:type="dxa"/>
            <w:vAlign w:val="bottom"/>
          </w:tcPr>
          <w:p>
            <w:pPr>
              <w:spacing w:after="0"/>
              <w:rPr>
                <w:sz w:val="24"/>
                <w:szCs w:val="24"/>
                <w:color w:val="auto"/>
              </w:rPr>
            </w:pPr>
          </w:p>
        </w:tc>
        <w:tc>
          <w:tcPr>
            <w:tcW w:w="4560" w:type="dxa"/>
            <w:vAlign w:val="bottom"/>
            <w:gridSpan w:val="2"/>
          </w:tcPr>
          <w:p>
            <w:pPr>
              <w:jc w:val="right"/>
              <w:ind w:right="2838"/>
              <w:spacing w:after="0"/>
              <w:rPr>
                <w:sz w:val="20"/>
                <w:szCs w:val="20"/>
                <w:color w:val="auto"/>
              </w:rPr>
            </w:pPr>
            <w:r>
              <w:rPr>
                <w:rFonts w:ascii="Times New Roman" w:cs="Times New Roman" w:eastAsia="Times New Roman" w:hAnsi="Times New Roman"/>
                <w:sz w:val="18"/>
                <w:szCs w:val="18"/>
                <w:b w:val="1"/>
                <w:bCs w:val="1"/>
                <w:color w:val="auto"/>
              </w:rPr>
              <w:t>94608</w:t>
            </w:r>
          </w:p>
        </w:tc>
      </w:tr>
      <w:tr>
        <w:trPr>
          <w:trHeight w:val="185"/>
        </w:trPr>
        <w:tc>
          <w:tcPr>
            <w:tcW w:w="4320" w:type="dxa"/>
            <w:vAlign w:val="bottom"/>
            <w:gridSpan w:val="2"/>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120" w:type="dxa"/>
            <w:vAlign w:val="bottom"/>
          </w:tcPr>
          <w:p>
            <w:pPr>
              <w:jc w:val="center"/>
              <w:ind w:right="209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40"/>
        </w:trPr>
        <w:tc>
          <w:tcPr>
            <w:tcW w:w="2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8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7"/>
              </w:rPr>
              <w:t>(855) 530-6642</w:t>
            </w:r>
          </w:p>
        </w:tc>
        <w:tc>
          <w:tcPr>
            <w:tcW w:w="4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85"/>
        </w:trPr>
        <w:tc>
          <w:tcPr>
            <w:tcW w:w="2500" w:type="dxa"/>
            <w:vAlign w:val="bottom"/>
          </w:tcPr>
          <w:p>
            <w:pPr>
              <w:spacing w:after="0"/>
              <w:rPr>
                <w:sz w:val="16"/>
                <w:szCs w:val="16"/>
                <w:color w:val="auto"/>
              </w:rPr>
            </w:pPr>
          </w:p>
        </w:tc>
        <w:tc>
          <w:tcPr>
            <w:tcW w:w="8760" w:type="dxa"/>
            <w:vAlign w:val="bottom"/>
            <w:gridSpan w:val="4"/>
          </w:tcPr>
          <w:p>
            <w:pPr>
              <w:jc w:val="center"/>
              <w:ind w:right="2438"/>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313"/>
        </w:trPr>
        <w:tc>
          <w:tcPr>
            <w:tcW w:w="2500" w:type="dxa"/>
            <w:vAlign w:val="bottom"/>
          </w:tcPr>
          <w:p>
            <w:pPr>
              <w:spacing w:after="0"/>
              <w:rPr>
                <w:sz w:val="24"/>
                <w:szCs w:val="24"/>
                <w:color w:val="auto"/>
              </w:rPr>
            </w:pPr>
          </w:p>
        </w:tc>
        <w:tc>
          <w:tcPr>
            <w:tcW w:w="8760" w:type="dxa"/>
            <w:vAlign w:val="bottom"/>
            <w:gridSpan w:val="4"/>
          </w:tcPr>
          <w:p>
            <w:pPr>
              <w:jc w:val="center"/>
              <w:ind w:right="2438"/>
              <w:spacing w:after="0"/>
              <w:rPr>
                <w:sz w:val="20"/>
                <w:szCs w:val="20"/>
                <w:color w:val="auto"/>
              </w:rPr>
            </w:pPr>
            <w:r>
              <w:rPr>
                <w:rFonts w:ascii="Times New Roman" w:cs="Times New Roman" w:eastAsia="Times New Roman" w:hAnsi="Times New Roman"/>
                <w:sz w:val="18"/>
                <w:szCs w:val="18"/>
                <w:color w:val="auto"/>
                <w:w w:val="97"/>
              </w:rPr>
              <w:t>Securities registered pursuant to Section 12(b) of the Act:</w:t>
            </w:r>
          </w:p>
        </w:tc>
      </w:tr>
      <w:tr>
        <w:trPr>
          <w:trHeight w:val="27"/>
        </w:trPr>
        <w:tc>
          <w:tcPr>
            <w:tcW w:w="4320" w:type="dxa"/>
            <w:vAlign w:val="bottom"/>
            <w:tcBorders>
              <w:bottom w:val="single" w:sz="8" w:color="auto"/>
            </w:tcBorders>
            <w:gridSpan w:val="2"/>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17"/>
        </w:trPr>
        <w:tc>
          <w:tcPr>
            <w:tcW w:w="4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38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6"/>
              </w:rPr>
              <w:t>Trading Symbol(s)</w:t>
            </w:r>
          </w:p>
        </w:tc>
        <w:tc>
          <w:tcPr>
            <w:tcW w:w="440" w:type="dxa"/>
            <w:vAlign w:val="bottom"/>
            <w:tcBorders>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17"/>
        </w:trPr>
        <w:tc>
          <w:tcPr>
            <w:tcW w:w="4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Class A Common Stock, par value $0.01</w:t>
            </w:r>
          </w:p>
        </w:tc>
        <w:tc>
          <w:tcPr>
            <w:tcW w:w="238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9"/>
              </w:rPr>
              <w:t>NMIH</w:t>
            </w:r>
          </w:p>
        </w:tc>
        <w:tc>
          <w:tcPr>
            <w:tcW w:w="440" w:type="dxa"/>
            <w:vAlign w:val="bottom"/>
            <w:tcBorders>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Nasdaq</w:t>
            </w:r>
          </w:p>
        </w:tc>
      </w:tr>
    </w:tbl>
    <w:p>
      <w:pPr>
        <w:spacing w:after="0" w:line="179" w:lineRule="exact"/>
        <w:rPr>
          <w:sz w:val="24"/>
          <w:szCs w:val="24"/>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tabs>
          <w:tab w:leader="none" w:pos="62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tabs>
          <w:tab w:leader="none" w:pos="62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6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Large accelerated filer</w:t>
            </w:r>
          </w:p>
        </w:tc>
        <w:tc>
          <w:tcPr>
            <w:tcW w:w="16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4"/>
        </w:trPr>
        <w:tc>
          <w:tcPr>
            <w:tcW w:w="46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Non-accelerated filer</w:t>
            </w:r>
          </w:p>
        </w:tc>
        <w:tc>
          <w:tcPr>
            <w:tcW w:w="16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95"/>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Rule 12b-2 of the Exchange Act.</w:t>
            </w:r>
          </w:p>
        </w:tc>
        <w:tc>
          <w:tcPr>
            <w:tcW w:w="1640" w:type="dxa"/>
            <w:vAlign w:val="bottom"/>
          </w:tcPr>
          <w:p>
            <w:pPr>
              <w:spacing w:after="0"/>
              <w:rPr>
                <w:sz w:val="24"/>
                <w:szCs w:val="24"/>
                <w:color w:val="auto"/>
              </w:rPr>
            </w:pPr>
          </w:p>
        </w:tc>
        <w:tc>
          <w:tcPr>
            <w:tcW w:w="3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78"/>
        </w:trPr>
        <w:tc>
          <w:tcPr>
            <w:tcW w:w="4680" w:type="dxa"/>
            <w:vAlign w:val="bottom"/>
            <w:vMerge w:val="continue"/>
          </w:tcPr>
          <w:p>
            <w:pPr>
              <w:spacing w:after="0"/>
              <w:rPr>
                <w:sz w:val="6"/>
                <w:szCs w:val="6"/>
                <w:color w:val="auto"/>
              </w:rPr>
            </w:pPr>
          </w:p>
        </w:tc>
        <w:tc>
          <w:tcPr>
            <w:tcW w:w="1640" w:type="dxa"/>
            <w:vAlign w:val="bottom"/>
          </w:tcPr>
          <w:p>
            <w:pPr>
              <w:spacing w:after="0"/>
              <w:rPr>
                <w:sz w:val="6"/>
                <w:szCs w:val="6"/>
                <w:color w:val="auto"/>
              </w:rPr>
            </w:pPr>
          </w:p>
        </w:tc>
        <w:tc>
          <w:tcPr>
            <w:tcW w:w="3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right="20"/>
        <w:spacing w:after="0" w:line="22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tabs>
          <w:tab w:leader="none" w:pos="62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$0.01 par value per share, of the registrant outstanding on April 26, 2024 was 80,275,167 shares.</w:t>
      </w:r>
    </w:p>
    <w:p>
      <w:pPr>
        <w:spacing w:after="0" w:line="200" w:lineRule="exact"/>
        <w:rPr>
          <w:sz w:val="24"/>
          <w:szCs w:val="24"/>
          <w:color w:val="auto"/>
        </w:rPr>
      </w:pP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009"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9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20" w:type="dxa"/>
            <w:vAlign w:val="bottom"/>
            <w:shd w:val="clear" w:color="auto" w:fill="CCEEFF"/>
          </w:tcPr>
          <w:p>
            <w:pPr>
              <w:spacing w:after="0"/>
              <w:rPr>
                <w:sz w:val="16"/>
                <w:szCs w:val="16"/>
                <w:color w:val="auto"/>
              </w:rPr>
            </w:pPr>
          </w:p>
        </w:tc>
        <w:tc>
          <w:tcPr>
            <w:tcW w:w="4360" w:type="dxa"/>
            <w:vAlign w:val="bottom"/>
            <w:gridSpan w:val="9"/>
            <w:shd w:val="clear" w:color="auto" w:fill="CCEEFF"/>
          </w:tcPr>
          <w:p>
            <w:pPr>
              <w:spacing w:after="0" w:line="185" w:lineRule="exact"/>
              <w:rPr>
                <w:sz w:val="20"/>
                <w:szCs w:val="20"/>
                <w:color w:val="auto"/>
              </w:rPr>
            </w:pPr>
            <w:r>
              <w:rPr>
                <w:rFonts w:ascii="Times New Roman" w:cs="Times New Roman" w:eastAsia="Times New Roman" w:hAnsi="Times New Roman"/>
                <w:sz w:val="18"/>
                <w:szCs w:val="18"/>
                <w:b w:val="1"/>
                <w:bCs w:val="1"/>
                <w:color w:val="0000FF"/>
                <w:w w:val="97"/>
              </w:rPr>
              <w:t>Cautionary Note Regarding Forward-Looking Statements</w:t>
            </w:r>
          </w:p>
        </w:tc>
        <w:tc>
          <w:tcPr>
            <w:tcW w:w="2960" w:type="dxa"/>
            <w:vAlign w:val="bottom"/>
            <w:gridSpan w:val="2"/>
            <w:shd w:val="clear" w:color="auto" w:fill="CCEEFF"/>
          </w:tcPr>
          <w:p>
            <w:pPr>
              <w:spacing w:after="0"/>
              <w:rPr>
                <w:sz w:val="16"/>
                <w:szCs w:val="16"/>
                <w:color w:val="auto"/>
              </w:rPr>
            </w:pPr>
          </w:p>
        </w:tc>
        <w:tc>
          <w:tcPr>
            <w:tcW w:w="3900" w:type="dxa"/>
            <w:vAlign w:val="bottom"/>
            <w:gridSpan w:val="4"/>
            <w:shd w:val="clear" w:color="auto" w:fill="CCEEFF"/>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3</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line="185" w:lineRule="exact"/>
              <w:rPr>
                <w:sz w:val="20"/>
                <w:szCs w:val="20"/>
                <w:color w:val="auto"/>
              </w:rPr>
            </w:pPr>
            <w:r>
              <w:rPr>
                <w:rFonts w:ascii="Times New Roman" w:cs="Times New Roman" w:eastAsia="Times New Roman" w:hAnsi="Times New Roman"/>
                <w:sz w:val="18"/>
                <w:szCs w:val="18"/>
                <w:b w:val="1"/>
                <w:bCs w:val="1"/>
                <w:color w:val="0000FF"/>
                <w:w w:val="89"/>
              </w:rPr>
              <w:t>PART I</w:t>
            </w:r>
          </w:p>
        </w:tc>
        <w:tc>
          <w:tcPr>
            <w:tcW w:w="46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900" w:type="dxa"/>
            <w:vAlign w:val="bottom"/>
            <w:gridSpan w:val="4"/>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5</w:t>
            </w:r>
          </w:p>
        </w:tc>
      </w:tr>
      <w:tr>
        <w:trPr>
          <w:trHeight w:val="30"/>
        </w:trPr>
        <w:tc>
          <w:tcPr>
            <w:tcW w:w="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1.</w:t>
            </w:r>
          </w:p>
        </w:tc>
        <w:tc>
          <w:tcPr>
            <w:tcW w:w="6280" w:type="dxa"/>
            <w:vAlign w:val="bottom"/>
            <w:gridSpan w:val="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Financial Statements</w:t>
            </w:r>
          </w:p>
        </w:tc>
        <w:tc>
          <w:tcPr>
            <w:tcW w:w="390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5</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Times New Roman" w:cs="Times New Roman" w:eastAsia="Times New Roman" w:hAnsi="Times New Roman"/>
                <w:sz w:val="18"/>
                <w:szCs w:val="18"/>
                <w:color w:val="auto"/>
              </w:rPr>
              <w:t>Item 2.</w:t>
            </w:r>
          </w:p>
        </w:tc>
        <w:tc>
          <w:tcPr>
            <w:tcW w:w="6280" w:type="dxa"/>
            <w:vAlign w:val="bottom"/>
            <w:gridSpan w:val="8"/>
          </w:tcPr>
          <w:p>
            <w:pPr>
              <w:spacing w:after="0" w:line="185"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w w:val="88"/>
              </w:rPr>
              <w:t>26</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6280" w:type="dxa"/>
            <w:vAlign w:val="bottom"/>
            <w:gridSpan w:val="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w w:val="88"/>
              </w:rPr>
              <w:t>49</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Times New Roman" w:cs="Times New Roman" w:eastAsia="Times New Roman" w:hAnsi="Times New Roman"/>
                <w:sz w:val="18"/>
                <w:szCs w:val="18"/>
                <w:color w:val="auto"/>
              </w:rPr>
              <w:t>Item 4.</w:t>
            </w:r>
          </w:p>
        </w:tc>
        <w:tc>
          <w:tcPr>
            <w:tcW w:w="1720" w:type="dxa"/>
            <w:vAlign w:val="bottom"/>
            <w:gridSpan w:val="5"/>
          </w:tcPr>
          <w:p>
            <w:pPr>
              <w:spacing w:after="0" w:line="185" w:lineRule="exact"/>
              <w:rPr>
                <w:sz w:val="20"/>
                <w:szCs w:val="20"/>
                <w:color w:val="auto"/>
              </w:rPr>
            </w:pPr>
            <w:r>
              <w:rPr>
                <w:rFonts w:ascii="Times New Roman" w:cs="Times New Roman" w:eastAsia="Times New Roman" w:hAnsi="Times New Roman"/>
                <w:sz w:val="18"/>
                <w:szCs w:val="18"/>
                <w:color w:val="0000FF"/>
                <w:w w:val="96"/>
              </w:rPr>
              <w:t>Controls and Procedures</w:t>
            </w:r>
          </w:p>
        </w:tc>
        <w:tc>
          <w:tcPr>
            <w:tcW w:w="2520" w:type="dxa"/>
            <w:vAlign w:val="bottom"/>
            <w:gridSpan w:val="2"/>
          </w:tcPr>
          <w:p>
            <w:pPr>
              <w:spacing w:after="0"/>
              <w:rPr>
                <w:sz w:val="16"/>
                <w:szCs w:val="16"/>
                <w:color w:val="auto"/>
              </w:rPr>
            </w:pPr>
          </w:p>
        </w:tc>
        <w:tc>
          <w:tcPr>
            <w:tcW w:w="20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w w:val="88"/>
              </w:rPr>
              <w:t>50</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w w:val="88"/>
              </w:rPr>
              <w:t>51</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ind w:left="120"/>
              <w:spacing w:after="0" w:line="185" w:lineRule="exact"/>
              <w:rPr>
                <w:sz w:val="20"/>
                <w:szCs w:val="20"/>
                <w:color w:val="auto"/>
              </w:rPr>
            </w:pPr>
            <w:r>
              <w:rPr>
                <w:rFonts w:ascii="Times New Roman" w:cs="Times New Roman" w:eastAsia="Times New Roman" w:hAnsi="Times New Roman"/>
                <w:sz w:val="18"/>
                <w:szCs w:val="18"/>
                <w:color w:val="auto"/>
                <w:w w:val="82"/>
              </w:rPr>
              <w:t>Item 1.</w:t>
            </w:r>
          </w:p>
        </w:tc>
        <w:tc>
          <w:tcPr>
            <w:tcW w:w="460" w:type="dxa"/>
            <w:vAlign w:val="bottom"/>
            <w:gridSpan w:val="2"/>
          </w:tcPr>
          <w:p>
            <w:pPr>
              <w:spacing w:after="0"/>
              <w:rPr>
                <w:sz w:val="16"/>
                <w:szCs w:val="16"/>
                <w:color w:val="auto"/>
              </w:rPr>
            </w:pPr>
          </w:p>
        </w:tc>
        <w:tc>
          <w:tcPr>
            <w:tcW w:w="6280" w:type="dxa"/>
            <w:vAlign w:val="bottom"/>
            <w:gridSpan w:val="8"/>
          </w:tcPr>
          <w:p>
            <w:pPr>
              <w:spacing w:after="0" w:line="185" w:lineRule="exact"/>
              <w:rPr>
                <w:sz w:val="20"/>
                <w:szCs w:val="20"/>
                <w:color w:val="auto"/>
              </w:rPr>
            </w:pPr>
            <w:r>
              <w:rPr>
                <w:rFonts w:ascii="Times New Roman" w:cs="Times New Roman" w:eastAsia="Times New Roman" w:hAnsi="Times New Roman"/>
                <w:sz w:val="18"/>
                <w:szCs w:val="18"/>
                <w:color w:val="0000FF"/>
              </w:rPr>
              <w:t>Legal Proceedings</w:t>
            </w: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w w:val="88"/>
              </w:rPr>
              <w:t>51</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w w:val="94"/>
                <w:shd w:val="clear" w:color="auto" w:fill="CCEEFF"/>
              </w:rPr>
              <w:t>Risk Factors</w:t>
            </w:r>
          </w:p>
        </w:tc>
        <w:tc>
          <w:tcPr>
            <w:tcW w:w="420" w:type="dxa"/>
            <w:vAlign w:val="bottom"/>
            <w:tcBorders>
              <w:right w:val="single" w:sz="8" w:color="CCEEFF"/>
            </w:tcBorders>
            <w:shd w:val="clear" w:color="auto" w:fill="CCEEFF"/>
          </w:tcPr>
          <w:p>
            <w:pPr>
              <w:spacing w:after="0"/>
              <w:rPr>
                <w:sz w:val="16"/>
                <w:szCs w:val="16"/>
                <w:color w:val="auto"/>
              </w:rPr>
            </w:pPr>
          </w:p>
        </w:tc>
        <w:tc>
          <w:tcPr>
            <w:tcW w:w="2940" w:type="dxa"/>
            <w:vAlign w:val="bottom"/>
            <w:gridSpan w:val="4"/>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w w:val="88"/>
              </w:rPr>
              <w:t>51</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Times New Roman" w:cs="Times New Roman" w:eastAsia="Times New Roman" w:hAnsi="Times New Roman"/>
                <w:sz w:val="18"/>
                <w:szCs w:val="18"/>
                <w:color w:val="auto"/>
              </w:rPr>
              <w:t>Item 2.</w:t>
            </w:r>
          </w:p>
        </w:tc>
        <w:tc>
          <w:tcPr>
            <w:tcW w:w="4240" w:type="dxa"/>
            <w:vAlign w:val="bottom"/>
            <w:gridSpan w:val="7"/>
          </w:tcPr>
          <w:p>
            <w:pPr>
              <w:spacing w:after="0" w:line="185" w:lineRule="exact"/>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20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w w:val="88"/>
              </w:rPr>
              <w:t>52</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5.</w:t>
            </w:r>
          </w:p>
        </w:tc>
        <w:tc>
          <w:tcPr>
            <w:tcW w:w="1300" w:type="dxa"/>
            <w:vAlign w:val="bottom"/>
            <w:tcBorders>
              <w:right w:val="single" w:sz="8" w:color="CCEEFF"/>
            </w:tcBorders>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5"/>
              </w:rPr>
              <w:t>Other Information</w:t>
            </w:r>
          </w:p>
        </w:tc>
        <w:tc>
          <w:tcPr>
            <w:tcW w:w="2940" w:type="dxa"/>
            <w:vAlign w:val="bottom"/>
            <w:gridSpan w:val="4"/>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w w:val="88"/>
              </w:rPr>
              <w:t>52</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Times New Roman" w:cs="Times New Roman" w:eastAsia="Times New Roman" w:hAnsi="Times New Roman"/>
                <w:sz w:val="18"/>
                <w:szCs w:val="18"/>
                <w:color w:val="auto"/>
              </w:rPr>
              <w:t>Item 6.</w:t>
            </w:r>
          </w:p>
        </w:tc>
        <w:tc>
          <w:tcPr>
            <w:tcW w:w="5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0000FF"/>
                <w:w w:val="93"/>
              </w:rPr>
              <w:t>Exhibits</w:t>
            </w:r>
          </w:p>
        </w:tc>
        <w:tc>
          <w:tcPr>
            <w:tcW w:w="720" w:type="dxa"/>
            <w:vAlign w:val="bottom"/>
            <w:gridSpan w:val="2"/>
          </w:tcPr>
          <w:p>
            <w:pPr>
              <w:spacing w:after="0"/>
              <w:rPr>
                <w:sz w:val="16"/>
                <w:szCs w:val="16"/>
                <w:color w:val="auto"/>
              </w:rPr>
            </w:pPr>
          </w:p>
        </w:tc>
        <w:tc>
          <w:tcPr>
            <w:tcW w:w="4980" w:type="dxa"/>
            <w:vAlign w:val="bottom"/>
            <w:gridSpan w:val="5"/>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w w:val="88"/>
              </w:rPr>
              <w:t>53</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w w:val="88"/>
              </w:rPr>
              <w:t>56</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4" w:lineRule="exact"/>
        <w:rPr>
          <w:sz w:val="20"/>
          <w:szCs w:val="20"/>
          <w:color w:val="auto"/>
        </w:rPr>
      </w:pPr>
    </w:p>
    <w:p>
      <w:pPr>
        <w:jc w:val="both"/>
        <w:ind w:firstLine="185"/>
        <w:spacing w:after="0" w:line="24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spacing w:after="0" w:line="142" w:lineRule="exact"/>
        <w:rPr>
          <w:sz w:val="20"/>
          <w:szCs w:val="20"/>
          <w:color w:val="auto"/>
        </w:rPr>
      </w:pPr>
    </w:p>
    <w:p>
      <w:pPr>
        <w:jc w:val="both"/>
        <w:ind w:left="960" w:hanging="321"/>
        <w:spacing w:after="0" w:line="253"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market and political conditions and policies (including changes in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and their impacts on our business, operations and personnel;</w:t>
      </w:r>
    </w:p>
    <w:p>
      <w:pPr>
        <w:spacing w:after="0" w:line="129" w:lineRule="exact"/>
        <w:rPr>
          <w:rFonts w:ascii="Times New Roman" w:cs="Times New Roman" w:eastAsia="Times New Roman" w:hAnsi="Times New Roman"/>
          <w:sz w:val="18"/>
          <w:szCs w:val="18"/>
          <w:color w:val="auto"/>
        </w:rPr>
      </w:pPr>
    </w:p>
    <w:p>
      <w:pPr>
        <w:jc w:val="both"/>
        <w:ind w:left="960" w:hanging="321"/>
        <w:spacing w:after="0" w:line="250"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charters, business practices, policy, pricing or priorities of Fannie Mae and Freddie Mac (collectively, the GSEs), which may include decisions that have the impact of decreasing or discontinuing the use of mortgage insurance as credit enhancement generally, or with first time homebuyers or on very high loan-to-value (LTV) mortgages; or changes in the direction of housing policy objectives of the Federal Housing Finance Agency (FHFA), such as the FHFA's priority to increase the accessibility to and affordability of homeownership for low-and-moderate income borrowers and underrepresented communities;</w:t>
      </w:r>
    </w:p>
    <w:p>
      <w:pPr>
        <w:spacing w:after="0" w:line="135" w:lineRule="exact"/>
        <w:rPr>
          <w:rFonts w:ascii="Times New Roman" w:cs="Times New Roman" w:eastAsia="Times New Roman" w:hAnsi="Times New Roman"/>
          <w:sz w:val="18"/>
          <w:szCs w:val="18"/>
          <w:color w:val="auto"/>
        </w:rPr>
      </w:pPr>
    </w:p>
    <w:p>
      <w:pPr>
        <w:ind w:left="960" w:hanging="321"/>
        <w:spacing w:after="0" w:line="269"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116" w:lineRule="exact"/>
        <w:rPr>
          <w:rFonts w:ascii="Times New Roman" w:cs="Times New Roman" w:eastAsia="Times New Roman" w:hAnsi="Times New Roman"/>
          <w:sz w:val="18"/>
          <w:szCs w:val="18"/>
          <w:color w:val="auto"/>
        </w:rPr>
      </w:pPr>
    </w:p>
    <w:p>
      <w:pPr>
        <w:ind w:left="960" w:hanging="321"/>
        <w:spacing w:after="0" w:line="269"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our existing certificates of authority in each state and the District of Columbia (D.C.) and our ability to remain a mortgage insurer in good standing in each state and D.C.;</w:t>
      </w:r>
    </w:p>
    <w:p>
      <w:pPr>
        <w:spacing w:after="0" w:line="11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profitability, liquidity and capital resources;</w:t>
      </w:r>
    </w:p>
    <w:p>
      <w:pPr>
        <w:spacing w:after="0" w:line="162"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existing competitors, including other private mortgage insurers and government mortgage insurers such as the Federal Housing Administration, the U.S. Department of Agriculture's Rural Housing Service and the U.S. Department of Veterans Affairs (collectively, government MIs), and potential market entry by new competitors or consolidation of existing competitors;</w:t>
      </w:r>
    </w:p>
    <w:p>
      <w:pPr>
        <w:spacing w:after="0" w:line="126"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spacing w:after="0" w:line="12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tax reform and other potential changes in tax law and their impact on us and our operations;</w:t>
      </w:r>
    </w:p>
    <w:p>
      <w:pPr>
        <w:spacing w:after="0" w:line="162" w:lineRule="exact"/>
        <w:rPr>
          <w:rFonts w:ascii="Times New Roman" w:cs="Times New Roman" w:eastAsia="Times New Roman" w:hAnsi="Times New Roman"/>
          <w:sz w:val="18"/>
          <w:szCs w:val="18"/>
          <w:color w:val="auto"/>
        </w:rPr>
      </w:pPr>
    </w:p>
    <w:p>
      <w:pPr>
        <w:ind w:left="960" w:hanging="321"/>
        <w:spacing w:after="0" w:line="269"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to the GSEs' role in the secondary mortgage market or other changes that could affect the residential mortgage industry generally or mortgage insurance industry in particular;</w:t>
      </w:r>
    </w:p>
    <w:p>
      <w:pPr>
        <w:spacing w:after="0" w:line="116" w:lineRule="exact"/>
        <w:rPr>
          <w:rFonts w:ascii="Times New Roman" w:cs="Times New Roman" w:eastAsia="Times New Roman" w:hAnsi="Times New Roman"/>
          <w:sz w:val="18"/>
          <w:szCs w:val="18"/>
          <w:color w:val="auto"/>
        </w:rPr>
      </w:pPr>
    </w:p>
    <w:p>
      <w:pPr>
        <w:ind w:left="960" w:hanging="321"/>
        <w:spacing w:after="0" w:line="269"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legal and regulatory claims, investigations, actions, audits or inquiries that could result in adverse judgements, settlements, fines or other reliefs that could require significant expenditures or have other negative effects on our business;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3" w:name="page4"/>
    <w:bookmarkEnd w:id="3"/>
    <w:p>
      <w:pPr>
        <w:ind w:left="960" w:hanging="321"/>
        <w:spacing w:after="0" w:line="269"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relating to the coronavirus (COVID-19) virus and its variants, including their impact on the global economy, the U.S. housing, real estate, housing finance and mortgage insurance markets, and our business, operations and personnel;</w:t>
      </w:r>
    </w:p>
    <w:p>
      <w:pPr>
        <w:spacing w:after="0" w:line="116" w:lineRule="exact"/>
        <w:rPr>
          <w:rFonts w:ascii="Times New Roman" w:cs="Times New Roman" w:eastAsia="Times New Roman" w:hAnsi="Times New Roman"/>
          <w:sz w:val="18"/>
          <w:szCs w:val="18"/>
          <w:color w:val="auto"/>
        </w:rPr>
      </w:pPr>
    </w:p>
    <w:p>
      <w:pPr>
        <w:ind w:left="960" w:hanging="321"/>
        <w:spacing w:after="0" w:line="333" w:lineRule="auto"/>
        <w:tabs>
          <w:tab w:leader="none" w:pos="95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spacing w:after="0" w:line="69" w:lineRule="exact"/>
        <w:rPr>
          <w:rFonts w:ascii="Times New Roman" w:cs="Times New Roman" w:eastAsia="Times New Roman" w:hAnsi="Times New Roman"/>
          <w:sz w:val="16"/>
          <w:szCs w:val="16"/>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the GSEs, or other market participants seeking alternatives to private mortgage insurance;</w:t>
      </w:r>
    </w:p>
    <w:p>
      <w:pPr>
        <w:spacing w:after="0" w:line="162"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12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diverse customer base, including the largest mortgage originators;</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risk management or pricing or investment strategies;</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length of time our insurance policies are in force;</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unexpected claim and coverage issues, including claims exceeding our reserves or amounts we had expected to experience;</w:t>
      </w:r>
    </w:p>
    <w:p>
      <w:pPr>
        <w:spacing w:after="0" w:line="162" w:lineRule="exact"/>
        <w:rPr>
          <w:rFonts w:ascii="Times New Roman" w:cs="Times New Roman" w:eastAsia="Times New Roman" w:hAnsi="Times New Roman"/>
          <w:sz w:val="18"/>
          <w:szCs w:val="18"/>
          <w:color w:val="auto"/>
        </w:rPr>
      </w:pPr>
    </w:p>
    <w:p>
      <w:pPr>
        <w:ind w:left="960" w:hanging="321"/>
        <w:spacing w:after="0" w:line="269"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impacts arising from natural disasters including, with respect to affected areas, a decline in new business, adverse effects on home prices, and an increase in notices of default on insured mortgages;</w:t>
      </w:r>
    </w:p>
    <w:p>
      <w:pPr>
        <w:spacing w:after="0" w:line="11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risk and efforts to manage or regulate climate risk by government agencies could affect our business and operations;</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impacts arising from the occurrence of any man-made disasters or public health emergencies, including pandemics;</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counter-parties, including third-party reinsurers, to meet their obligations to us;</w:t>
      </w:r>
    </w:p>
    <w:p>
      <w:pPr>
        <w:spacing w:after="0" w:line="162" w:lineRule="exact"/>
        <w:rPr>
          <w:rFonts w:ascii="Times New Roman" w:cs="Times New Roman" w:eastAsia="Times New Roman" w:hAnsi="Times New Roman"/>
          <w:sz w:val="18"/>
          <w:szCs w:val="18"/>
          <w:color w:val="auto"/>
        </w:rPr>
      </w:pPr>
    </w:p>
    <w:p>
      <w:pPr>
        <w:ind w:left="960" w:hanging="321"/>
        <w:spacing w:after="0" w:line="269"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improve and continue to develop necessary information technology (IT) systems or the failure of technology providers to perform;</w:t>
      </w:r>
    </w:p>
    <w:p>
      <w:pPr>
        <w:spacing w:after="0" w:line="116"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information); and</w:t>
      </w:r>
    </w:p>
    <w:p>
      <w:pPr>
        <w:spacing w:after="0" w:line="12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recruit, train and retain key personnel.</w:t>
      </w:r>
    </w:p>
    <w:p>
      <w:pPr>
        <w:spacing w:after="0" w:line="162"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For more information regarding these risks and uncertainties as well as certain additional risks that we face, you should refer to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II, Item 1A of this Report and in Part I, Item 1A, of our Annual Report on Form 10-K for the year ended December 31, 2023 (2023 10-K), as subsequently updated in other reports we file from time to time with the U.S. Securities and Exchange Commission (SEC).</w:t>
      </w:r>
    </w:p>
    <w:p>
      <w:pPr>
        <w:spacing w:after="0" w:line="13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“we,” “our,” “us,” “Company” and “NMI” in this document refer to NMI Holdings, Inc., a Delaware corporation, and its wholly-owned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Condensed Consolidated Balance Sheets as of March 31, 2024 (Unaudited) and December 31, 2023</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40"/>
        </w:trPr>
        <w:tc>
          <w:tcPr>
            <w:tcW w:w="1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104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for the three months ended March 31, 2024 and 2023 (Unaudited)</w:t>
            </w:r>
          </w:p>
        </w:tc>
        <w:tc>
          <w:tcPr>
            <w:tcW w:w="20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7</w:t>
            </w:r>
          </w:p>
        </w:tc>
      </w:tr>
      <w:tr>
        <w:trPr>
          <w:trHeight w:val="30"/>
        </w:trPr>
        <w:tc>
          <w:tcPr>
            <w:tcW w:w="1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104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Condensed Consolidated Statements of Changes in Shareholders' Equity for the three months ended March 31, 2024 and 2023 (Unaudited)</w:t>
            </w: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8</w:t>
            </w:r>
          </w:p>
        </w:tc>
      </w:tr>
      <w:tr>
        <w:trPr>
          <w:trHeight w:val="40"/>
        </w:trPr>
        <w:tc>
          <w:tcPr>
            <w:tcW w:w="1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104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2024 and 2023 (Unaudited)</w:t>
            </w:r>
          </w:p>
        </w:tc>
        <w:tc>
          <w:tcPr>
            <w:tcW w:w="20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9</w:t>
            </w:r>
          </w:p>
        </w:tc>
      </w:tr>
      <w:tr>
        <w:trPr>
          <w:trHeight w:val="30"/>
        </w:trPr>
        <w:tc>
          <w:tcPr>
            <w:tcW w:w="1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104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w w:val="88"/>
              </w:rPr>
              <w:t>10</w:t>
            </w:r>
          </w:p>
        </w:tc>
      </w:tr>
      <w:tr>
        <w:trPr>
          <w:trHeight w:val="40"/>
        </w:trPr>
        <w:tc>
          <w:tcPr>
            <w:tcW w:w="110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28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Fixed maturities, available-for-sale, at fair value (amortized cost of $2,577,990 and $2,542,862 as of</w:t>
            </w: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 and December 31, 2023, respectively)</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2,393,525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2,371,021</w:t>
            </w:r>
          </w:p>
        </w:tc>
        <w:tc>
          <w:tcPr>
            <w:tcW w:w="0" w:type="dxa"/>
            <w:vAlign w:val="bottom"/>
          </w:tcPr>
          <w:p>
            <w:pPr>
              <w:spacing w:after="0"/>
              <w:rPr>
                <w:sz w:val="1"/>
                <w:szCs w:val="1"/>
                <w:color w:val="auto"/>
              </w:rPr>
            </w:pPr>
          </w:p>
        </w:tc>
      </w:tr>
      <w:tr>
        <w:trPr>
          <w:trHeight w:val="171"/>
        </w:trPr>
        <w:tc>
          <w:tcPr>
            <w:tcW w:w="76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Cash and cash equivalents (including restricted cash of $1,137 and $1,338 as of March 31, 2024 and</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96,689</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 receivable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76,456</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policy acquisition costs,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62,905</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30,252</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recoverable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27,514</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federal income taxes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235,286</w:t>
            </w:r>
          </w:p>
        </w:tc>
        <w:tc>
          <w:tcPr>
            <w:tcW w:w="0" w:type="dxa"/>
            <w:vAlign w:val="bottom"/>
          </w:tcPr>
          <w:p>
            <w:pPr>
              <w:spacing w:after="0"/>
              <w:rPr>
                <w:sz w:val="1"/>
                <w:szCs w:val="1"/>
                <w:color w:val="auto"/>
              </w:rPr>
            </w:pPr>
          </w:p>
        </w:tc>
      </w:tr>
      <w:tr>
        <w:trPr>
          <w:trHeight w:val="224"/>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16,965</w:t>
            </w:r>
          </w:p>
        </w:tc>
        <w:tc>
          <w:tcPr>
            <w:tcW w:w="0" w:type="dxa"/>
            <w:vAlign w:val="bottom"/>
          </w:tcPr>
          <w:p>
            <w:pPr>
              <w:spacing w:after="0"/>
              <w:rPr>
                <w:sz w:val="1"/>
                <w:szCs w:val="1"/>
                <w:color w:val="auto"/>
              </w:rPr>
            </w:pPr>
          </w:p>
        </w:tc>
      </w:tr>
      <w:tr>
        <w:trPr>
          <w:trHeight w:val="24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3,006,112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2,940,507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398,001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397,595</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premiums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92,295</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86,189</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Reserve for insurance claims and claim expenses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123,974</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301,573</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0" w:type="dxa"/>
            <w:vAlign w:val="bottom"/>
          </w:tcPr>
          <w:p>
            <w:pPr>
              <w:spacing w:after="0"/>
              <w:rPr>
                <w:sz w:val="1"/>
                <w:szCs w:val="1"/>
                <w:color w:val="auto"/>
              </w:rPr>
            </w:pPr>
          </w:p>
        </w:tc>
      </w:tr>
      <w:tr>
        <w:trPr>
          <w:trHeight w:val="217"/>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1,027,731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1,014,503</w:t>
            </w:r>
          </w:p>
        </w:tc>
        <w:tc>
          <w:tcPr>
            <w:tcW w:w="0" w:type="dxa"/>
            <w:vAlign w:val="bottom"/>
          </w:tcPr>
          <w:p>
            <w:pPr>
              <w:spacing w:after="0"/>
              <w:rPr>
                <w:sz w:val="1"/>
                <w:szCs w:val="1"/>
                <w:color w:val="auto"/>
              </w:rPr>
            </w:pPr>
          </w:p>
        </w:tc>
      </w:tr>
      <w:tr>
        <w:trPr>
          <w:trHeight w:val="204"/>
        </w:trPr>
        <w:tc>
          <w:tcPr>
            <w:tcW w:w="76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66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Common stock - class A shares, $0.01 par value; 87,838,602 shares issued and 80,545,535 shares</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660" w:type="dxa"/>
            <w:vAlign w:val="bottom"/>
          </w:tcPr>
          <w:p>
            <w:pPr>
              <w:ind w:left="220"/>
              <w:spacing w:after="0" w:line="180" w:lineRule="exact"/>
              <w:rPr>
                <w:sz w:val="20"/>
                <w:szCs w:val="20"/>
                <w:color w:val="auto"/>
              </w:rPr>
            </w:pPr>
            <w:r>
              <w:rPr>
                <w:rFonts w:ascii="Times New Roman" w:cs="Times New Roman" w:eastAsia="Times New Roman" w:hAnsi="Times New Roman"/>
                <w:sz w:val="18"/>
                <w:szCs w:val="18"/>
                <w:color w:val="auto"/>
                <w:w w:val="98"/>
              </w:rPr>
              <w:t>outstanding as of March 31, 2024 and 87,334,138 shares issued and 80,881,280 shares outstanding as of</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2023 (250,000,000 shares authorized)</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990,816</w:t>
            </w:r>
          </w:p>
        </w:tc>
        <w:tc>
          <w:tcPr>
            <w:tcW w:w="0" w:type="dxa"/>
            <w:vAlign w:val="bottom"/>
          </w:tcPr>
          <w:p>
            <w:pPr>
              <w:spacing w:after="0"/>
              <w:rPr>
                <w:sz w:val="1"/>
                <w:szCs w:val="1"/>
                <w:color w:val="auto"/>
              </w:rPr>
            </w:pPr>
          </w:p>
        </w:tc>
      </w:tr>
      <w:tr>
        <w:trPr>
          <w:trHeight w:val="171"/>
        </w:trPr>
        <w:tc>
          <w:tcPr>
            <w:tcW w:w="766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Treasury Stock, at cost: 7,293,067 and 6,452,858 common shares as of March 31, 2024 and</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(148,921)</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(139,917)</w:t>
            </w:r>
          </w:p>
        </w:tc>
        <w:tc>
          <w:tcPr>
            <w:tcW w:w="0" w:type="dxa"/>
            <w:vAlign w:val="bottom"/>
          </w:tcPr>
          <w:p>
            <w:pPr>
              <w:spacing w:after="0"/>
              <w:rPr>
                <w:sz w:val="1"/>
                <w:szCs w:val="1"/>
                <w:color w:val="auto"/>
              </w:rPr>
            </w:pPr>
          </w:p>
        </w:tc>
      </w:tr>
      <w:tr>
        <w:trPr>
          <w:trHeight w:val="224"/>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1,312,203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1,223,153</w:t>
            </w: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1,978,381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1,926,004</w:t>
            </w:r>
          </w:p>
        </w:tc>
        <w:tc>
          <w:tcPr>
            <w:tcW w:w="0" w:type="dxa"/>
            <w:vAlign w:val="bottom"/>
          </w:tcPr>
          <w:p>
            <w:pPr>
              <w:spacing w:after="0"/>
              <w:rPr>
                <w:sz w:val="1"/>
                <w:szCs w:val="1"/>
                <w:color w:val="auto"/>
              </w:rPr>
            </w:pPr>
          </w:p>
        </w:tc>
      </w:tr>
      <w:tr>
        <w:trPr>
          <w:trHeight w:val="21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3,006,112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2,940,507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“Reinsurance funds withheld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has been reclassified as “Other liabilities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in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ONDENSED CONSOLIDATED STATEMENTS OF OPERATIONS AND COMPREHENSIVE INCOME (UNAUDITED)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3540" w:type="dxa"/>
            <w:vAlign w:val="bottom"/>
            <w:gridSpan w:val="5"/>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5"/>
        </w:trPr>
        <w:tc>
          <w:tcPr>
            <w:tcW w:w="766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7660" w:type="dxa"/>
            <w:vAlign w:val="bottom"/>
          </w:tcPr>
          <w:p>
            <w:pPr>
              <w:spacing w:after="0"/>
              <w:rPr>
                <w:sz w:val="16"/>
                <w:szCs w:val="16"/>
                <w:color w:val="auto"/>
              </w:rPr>
            </w:pPr>
          </w:p>
        </w:tc>
        <w:tc>
          <w:tcPr>
            <w:tcW w:w="3540" w:type="dxa"/>
            <w:vAlign w:val="bottom"/>
            <w:gridSpan w:val="5"/>
          </w:tcPr>
          <w:p>
            <w:pPr>
              <w:jc w:val="right"/>
              <w:ind w:right="513"/>
              <w:spacing w:after="0"/>
              <w:rPr>
                <w:sz w:val="20"/>
                <w:szCs w:val="20"/>
                <w:color w:val="auto"/>
              </w:rPr>
            </w:pPr>
            <w:r>
              <w:rPr>
                <w:rFonts w:ascii="Times New Roman" w:cs="Times New Roman" w:eastAsia="Times New Roman" w:hAnsi="Times New Roman"/>
                <w:sz w:val="14"/>
                <w:szCs w:val="14"/>
                <w:i w:val="1"/>
                <w:iCs w:val="1"/>
                <w:color w:val="auto"/>
              </w:rPr>
              <w:t>(In Thousands, except for per share data)</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1040" w:type="dxa"/>
            <w:vAlign w:val="bottom"/>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136,657</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121,754</w:t>
            </w: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investment income</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w:t>
            </w: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realized investment losses</w:t>
            </w:r>
          </w:p>
        </w:tc>
        <w:tc>
          <w:tcPr>
            <w:tcW w:w="10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revenues</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7"/>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156,253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136,779</w:t>
            </w:r>
          </w:p>
        </w:tc>
      </w:tr>
      <w:tr>
        <w:trPr>
          <w:trHeight w:val="204"/>
        </w:trPr>
        <w:tc>
          <w:tcPr>
            <w:tcW w:w="76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Expenses</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 claims and claim expenses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w:t>
            </w: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Underwriting and operating expenses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25,786</w:t>
            </w: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expenses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w:t>
            </w:r>
          </w:p>
        </w:tc>
      </w:tr>
      <w:tr>
        <w:trPr>
          <w:trHeight w:val="217"/>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40,606</w:t>
            </w:r>
          </w:p>
        </w:tc>
      </w:tr>
      <w:tr>
        <w:trPr>
          <w:trHeight w:val="244"/>
        </w:trPr>
        <w:tc>
          <w:tcPr>
            <w:tcW w:w="76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96,173</w:t>
            </w: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21,715</w:t>
            </w:r>
          </w:p>
        </w:tc>
      </w:tr>
      <w:tr>
        <w:trPr>
          <w:trHeight w:val="21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89,050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74,458</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76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64"/>
        </w:trPr>
        <w:tc>
          <w:tcPr>
            <w:tcW w:w="76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2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83,600</w:t>
            </w: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84,840</w:t>
            </w:r>
          </w:p>
        </w:tc>
      </w:tr>
      <w:tr>
        <w:trPr>
          <w:trHeight w:val="264"/>
        </w:trPr>
        <w:tc>
          <w:tcPr>
            <w:tcW w:w="76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2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89,050</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74,458</w:t>
            </w:r>
          </w:p>
        </w:tc>
      </w:tr>
      <w:tr>
        <w:trPr>
          <w:trHeight w:val="224"/>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171"/>
        </w:trPr>
        <w:tc>
          <w:tcPr>
            <w:tcW w:w="76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Unrealized (losses) gains in accumulated other comprehensive income, net of tax (benefit) expense of</w:t>
            </w: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$(2,729) and $8,633 for the quarters ended March 31, 2024 and 2023, respectively</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32,476</w:t>
            </w:r>
          </w:p>
        </w:tc>
      </w:tr>
      <w:tr>
        <w:trPr>
          <w:trHeight w:val="172"/>
        </w:trPr>
        <w:tc>
          <w:tcPr>
            <w:tcW w:w="76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Reclassification adjustment for realized losses included in net income, net of tax benefit of $7 for the</w:t>
            </w:r>
          </w:p>
        </w:tc>
        <w:tc>
          <w:tcPr>
            <w:tcW w:w="10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 ended March 31, 2023</w:t>
            </w:r>
          </w:p>
        </w:tc>
        <w:tc>
          <w:tcPr>
            <w:tcW w:w="10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7"/>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0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32,502</w:t>
            </w:r>
          </w:p>
        </w:tc>
      </w:tr>
      <w:tr>
        <w:trPr>
          <w:trHeight w:val="24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40" w:type="dxa"/>
            <w:vAlign w:val="bottom"/>
            <w:tcBorders>
              <w:bottom w:val="single" w:sz="8" w:color="auto"/>
            </w:tcBorders>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68580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820" w:type="dxa"/>
            <w:vAlign w:val="bottom"/>
            <w:gridSpan w:val="3"/>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Common Stock - Class A</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90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restart"/>
          </w:tcPr>
          <w:p>
            <w:pPr>
              <w:jc w:val="right"/>
              <w:ind w:right="94"/>
              <w:spacing w:after="0" w:line="123"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2"/>
            <w:vMerge w:val="restart"/>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9"/>
                <w:szCs w:val="9"/>
                <w:color w:val="auto"/>
              </w:rPr>
            </w:pPr>
          </w:p>
        </w:tc>
        <w:tc>
          <w:tcPr>
            <w:tcW w:w="1100" w:type="dxa"/>
            <w:vAlign w:val="bottom"/>
            <w:vMerge w:val="restart"/>
          </w:tcPr>
          <w:p>
            <w:pPr>
              <w:jc w:val="right"/>
              <w:ind w:right="56"/>
              <w:spacing w:after="0" w:line="12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9"/>
                <w:szCs w:val="9"/>
                <w:color w:val="auto"/>
              </w:rPr>
            </w:pPr>
          </w:p>
        </w:tc>
        <w:tc>
          <w:tcPr>
            <w:tcW w:w="840" w:type="dxa"/>
            <w:vAlign w:val="bottom"/>
            <w:vMerge w:val="restart"/>
          </w:tcPr>
          <w:p>
            <w:pPr>
              <w:jc w:val="right"/>
              <w:ind w:right="156"/>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9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3"/>
          </w:tcPr>
          <w:p>
            <w:pPr>
              <w:jc w:val="right"/>
              <w:ind w:right="97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990,816</w:t>
            </w: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(148,921)</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1,223,153</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1,926,004</w:t>
            </w:r>
          </w:p>
        </w:tc>
        <w:tc>
          <w:tcPr>
            <w:tcW w:w="0" w:type="dxa"/>
            <w:vAlign w:val="bottom"/>
          </w:tcPr>
          <w:p>
            <w:pPr>
              <w:spacing w:after="0"/>
              <w:rPr>
                <w:sz w:val="1"/>
                <w:szCs w:val="1"/>
                <w:color w:val="auto"/>
              </w:rPr>
            </w:pPr>
          </w:p>
        </w:tc>
      </w:tr>
      <w:tr>
        <w:trPr>
          <w:trHeight w:val="171"/>
        </w:trPr>
        <w:tc>
          <w:tcPr>
            <w:tcW w:w="390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Common stock: class A shares issued under stock</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plans, net of shares withheld for employee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(25,306)</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(25,306)</w:t>
            </w:r>
          </w:p>
        </w:tc>
        <w:tc>
          <w:tcPr>
            <w:tcW w:w="0" w:type="dxa"/>
            <w:vAlign w:val="bottom"/>
          </w:tcPr>
          <w:p>
            <w:pPr>
              <w:spacing w:after="0"/>
              <w:rPr>
                <w:sz w:val="1"/>
                <w:szCs w:val="1"/>
                <w:color w:val="auto"/>
              </w:rPr>
            </w:pPr>
          </w:p>
        </w:tc>
      </w:tr>
      <w:tr>
        <w:trPr>
          <w:trHeight w:val="22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Change in unrealized investment gains/losses, net of</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of $2,729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0" w:type="dxa"/>
            <w:vAlign w:val="bottom"/>
          </w:tcPr>
          <w:p>
            <w:pPr>
              <w:spacing w:after="0"/>
              <w:rPr>
                <w:sz w:val="1"/>
                <w:szCs w:val="1"/>
                <w:color w:val="auto"/>
              </w:rPr>
            </w:pPr>
          </w:p>
        </w:tc>
      </w:tr>
      <w:tr>
        <w:trPr>
          <w:trHeight w:val="224"/>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89,050</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89,050</w:t>
            </w:r>
          </w:p>
        </w:tc>
        <w:tc>
          <w:tcPr>
            <w:tcW w:w="0" w:type="dxa"/>
            <w:vAlign w:val="bottom"/>
          </w:tcPr>
          <w:p>
            <w:pPr>
              <w:spacing w:after="0"/>
              <w:rPr>
                <w:sz w:val="1"/>
                <w:szCs w:val="1"/>
                <w:color w:val="auto"/>
              </w:rPr>
            </w:pPr>
          </w:p>
        </w:tc>
      </w:tr>
      <w:tr>
        <w:trPr>
          <w:trHeight w:val="242"/>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989,349</w:t>
            </w: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(174,227)</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1,312,203</w:t>
            </w: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1,978,381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860" w:type="dxa"/>
            <w:vAlign w:val="bottom"/>
            <w:gridSpan w:val="3"/>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Common Stock - Class A</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restart"/>
          </w:tcPr>
          <w:p>
            <w:pPr>
              <w:jc w:val="right"/>
              <w:ind w:right="94"/>
              <w:spacing w:after="0" w:line="12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2"/>
            <w:vMerge w:val="restart"/>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9"/>
                <w:szCs w:val="9"/>
                <w:color w:val="auto"/>
              </w:rPr>
            </w:pPr>
          </w:p>
        </w:tc>
        <w:tc>
          <w:tcPr>
            <w:tcW w:w="1100" w:type="dxa"/>
            <w:vAlign w:val="bottom"/>
            <w:vMerge w:val="restart"/>
          </w:tcPr>
          <w:p>
            <w:pPr>
              <w:jc w:val="right"/>
              <w:ind w:right="56"/>
              <w:spacing w:after="0" w:line="12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860" w:type="dxa"/>
            <w:vAlign w:val="bottom"/>
            <w:vMerge w:val="restart"/>
          </w:tcPr>
          <w:p>
            <w:pPr>
              <w:jc w:val="right"/>
              <w:ind w:right="156"/>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9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3"/>
          </w:tcPr>
          <w:p>
            <w:pPr>
              <w:jc w:val="right"/>
              <w:ind w:right="95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972,717</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(56,575)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901,043</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1,613,727</w:t>
            </w:r>
          </w:p>
        </w:tc>
        <w:tc>
          <w:tcPr>
            <w:tcW w:w="0" w:type="dxa"/>
            <w:vAlign w:val="bottom"/>
          </w:tcPr>
          <w:p>
            <w:pPr>
              <w:spacing w:after="0"/>
              <w:rPr>
                <w:sz w:val="1"/>
                <w:szCs w:val="1"/>
                <w:color w:val="auto"/>
              </w:rPr>
            </w:pPr>
          </w:p>
        </w:tc>
      </w:tr>
      <w:tr>
        <w:trPr>
          <w:trHeight w:val="171"/>
        </w:trPr>
        <w:tc>
          <w:tcPr>
            <w:tcW w:w="390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Common stock: class A shares issued under stock</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plans, net of shares withheld for employee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0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(14,862)</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0" w:type="dxa"/>
            <w:vAlign w:val="bottom"/>
          </w:tcPr>
          <w:p>
            <w:pPr>
              <w:spacing w:after="0"/>
              <w:rPr>
                <w:sz w:val="1"/>
                <w:szCs w:val="1"/>
                <w:color w:val="auto"/>
              </w:rPr>
            </w:pPr>
          </w:p>
        </w:tc>
      </w:tr>
      <w:tr>
        <w:trPr>
          <w:trHeight w:val="22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20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Change in unrealized investment gains/losses, net of</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of $8,640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32,502</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32,502</w:t>
            </w:r>
          </w:p>
        </w:tc>
        <w:tc>
          <w:tcPr>
            <w:tcW w:w="0" w:type="dxa"/>
            <w:vAlign w:val="bottom"/>
          </w:tcPr>
          <w:p>
            <w:pPr>
              <w:spacing w:after="0"/>
              <w:rPr>
                <w:sz w:val="1"/>
                <w:szCs w:val="1"/>
                <w:color w:val="auto"/>
              </w:rPr>
            </w:pPr>
          </w:p>
        </w:tc>
      </w:tr>
      <w:tr>
        <w:trPr>
          <w:trHeight w:val="224"/>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74,458</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74,458</w:t>
            </w:r>
          </w:p>
        </w:tc>
        <w:tc>
          <w:tcPr>
            <w:tcW w:w="0" w:type="dxa"/>
            <w:vAlign w:val="bottom"/>
          </w:tcPr>
          <w:p>
            <w:pPr>
              <w:spacing w:after="0"/>
              <w:rPr>
                <w:sz w:val="1"/>
                <w:szCs w:val="1"/>
                <w:color w:val="auto"/>
              </w:rPr>
            </w:pPr>
          </w:p>
        </w:tc>
      </w:tr>
      <w:tr>
        <w:trPr>
          <w:trHeight w:val="242"/>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973,599</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(71,437)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975,501</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1,706,711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ectPr>
          <w:pgSz w:w="11900" w:h="16838" w:orient="portrait"/>
          <w:cols w:equalWidth="0" w:num="1">
            <w:col w:w="11200"/>
          </w:cols>
          <w:pgMar w:left="36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83185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60" w:top="121" w:right="339" w:bottom="1440" w:gutter="0" w:footer="0" w:header="0"/>
          <w:type w:val="continuous"/>
        </w:sectPr>
      </w:pPr>
    </w:p>
    <w:bookmarkStart w:id="8" w:name="page9"/>
    <w:bookmarkEnd w:id="8"/>
    <w:p>
      <w:pPr>
        <w:jc w:val="center"/>
        <w:ind w:right="80"/>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3520" w:type="dxa"/>
            <w:vAlign w:val="bottom"/>
            <w:gridSpan w:val="5"/>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764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60" w:type="dxa"/>
            <w:vAlign w:val="bottom"/>
          </w:tcPr>
          <w:p>
            <w:pPr>
              <w:spacing w:after="0"/>
              <w:rPr>
                <w:sz w:val="18"/>
                <w:szCs w:val="18"/>
                <w:color w:val="auto"/>
              </w:rPr>
            </w:pPr>
          </w:p>
        </w:tc>
        <w:tc>
          <w:tcPr>
            <w:tcW w:w="1300" w:type="dxa"/>
            <w:vAlign w:val="bottom"/>
            <w:gridSpan w:val="3"/>
          </w:tcPr>
          <w:p>
            <w:pPr>
              <w:jc w:val="right"/>
              <w:ind w:right="97"/>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18"/>
                <w:szCs w:val="18"/>
                <w:color w:val="auto"/>
              </w:rPr>
            </w:pPr>
          </w:p>
        </w:tc>
      </w:tr>
      <w:tr>
        <w:trPr>
          <w:trHeight w:val="225"/>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89,050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74,458</w:t>
            </w:r>
          </w:p>
        </w:tc>
      </w:tr>
      <w:tr>
        <w:trPr>
          <w:trHeight w:val="220"/>
        </w:trPr>
        <w:tc>
          <w:tcPr>
            <w:tcW w:w="7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8"/>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realized investment loss</w:t>
            </w:r>
          </w:p>
        </w:tc>
        <w:tc>
          <w:tcPr>
            <w:tcW w:w="10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2,798</w:t>
            </w:r>
          </w:p>
        </w:tc>
      </w:tr>
      <w:tr>
        <w:trPr>
          <w:trHeight w:val="228"/>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amortization of premium on investment securities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w:t>
            </w: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Amortization of debt discount and debt issuance costs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r>
      <w:tr>
        <w:trPr>
          <w:trHeight w:val="228"/>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20,869</w:t>
            </w: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3,492</w:t>
            </w:r>
          </w:p>
        </w:tc>
      </w:tr>
      <w:tr>
        <w:trPr>
          <w:trHeight w:val="228"/>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0"/>
        </w:trPr>
        <w:tc>
          <w:tcPr>
            <w:tcW w:w="7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Premiums receivable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r>
      <w:tr>
        <w:trPr>
          <w:trHeight w:val="228"/>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w:t>
            </w:r>
          </w:p>
        </w:tc>
      </w:tr>
      <w:tr>
        <w:trPr>
          <w:trHeight w:val="220"/>
        </w:trPr>
        <w:tc>
          <w:tcPr>
            <w:tcW w:w="7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(1,357)</w:t>
            </w:r>
          </w:p>
        </w:tc>
      </w:tr>
      <w:tr>
        <w:trPr>
          <w:trHeight w:val="228"/>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Reinsurance recoverable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(1,892)</w:t>
            </w:r>
          </w:p>
        </w:tc>
      </w:tr>
      <w:tr>
        <w:trPr>
          <w:trHeight w:val="220"/>
        </w:trPr>
        <w:tc>
          <w:tcPr>
            <w:tcW w:w="7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assets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w:t>
            </w:r>
          </w:p>
        </w:tc>
      </w:tr>
      <w:tr>
        <w:trPr>
          <w:trHeight w:val="228"/>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Unearned premiums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(8,971)</w:t>
            </w:r>
          </w:p>
        </w:tc>
      </w:tr>
      <w:tr>
        <w:trPr>
          <w:trHeight w:val="220"/>
        </w:trPr>
        <w:tc>
          <w:tcPr>
            <w:tcW w:w="7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8,321</w:t>
            </w:r>
          </w:p>
        </w:tc>
      </w:tr>
      <w:tr>
        <w:trPr>
          <w:trHeight w:val="228"/>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Reinsurance balances, net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r>
      <w:tr>
        <w:trPr>
          <w:trHeight w:val="220"/>
        </w:trPr>
        <w:tc>
          <w:tcPr>
            <w:tcW w:w="7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(5,323)</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(5,478)</w:t>
            </w:r>
          </w:p>
        </w:tc>
      </w:tr>
      <w:tr>
        <w:trPr>
          <w:trHeight w:val="22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111,574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89,835</w:t>
            </w:r>
          </w:p>
        </w:tc>
      </w:tr>
      <w:tr>
        <w:trPr>
          <w:trHeight w:val="200"/>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8"/>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(106,614)</w:t>
            </w:r>
          </w:p>
        </w:tc>
      </w:tr>
      <w:tr>
        <w:trPr>
          <w:trHeight w:val="220"/>
        </w:trPr>
        <w:tc>
          <w:tcPr>
            <w:tcW w:w="7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 of fixed-maturity investments, available-for-sale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(81,162)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(133,971)</w:t>
            </w:r>
          </w:p>
        </w:tc>
      </w:tr>
      <w:tr>
        <w:trPr>
          <w:trHeight w:val="228"/>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maturities of short-term investments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179,297</w:t>
            </w:r>
          </w:p>
        </w:tc>
      </w:tr>
      <w:tr>
        <w:trPr>
          <w:trHeight w:val="220"/>
        </w:trPr>
        <w:tc>
          <w:tcPr>
            <w:tcW w:w="7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maturities and redemptions of fixed-maturity investments, available-for-sale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45,107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29,054</w:t>
            </w:r>
          </w:p>
        </w:tc>
      </w:tr>
      <w:tr>
        <w:trPr>
          <w:trHeight w:val="228"/>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Additions to software and equipment</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(2,186)</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w:t>
            </w:r>
          </w:p>
        </w:tc>
      </w:tr>
      <w:tr>
        <w:trPr>
          <w:trHeight w:val="214"/>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(37,752)</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(33,751)</w:t>
            </w:r>
          </w:p>
        </w:tc>
      </w:tr>
      <w:tr>
        <w:trPr>
          <w:trHeight w:val="20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0"/>
        </w:trPr>
        <w:tc>
          <w:tcPr>
            <w:tcW w:w="7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issuance of common stock related to employee equity plans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2,657</w:t>
            </w:r>
          </w:p>
        </w:tc>
      </w:tr>
      <w:tr>
        <w:trPr>
          <w:trHeight w:val="228"/>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(5,263)</w:t>
            </w:r>
          </w:p>
        </w:tc>
      </w:tr>
      <w:tr>
        <w:trPr>
          <w:trHeight w:val="220"/>
        </w:trPr>
        <w:tc>
          <w:tcPr>
            <w:tcW w:w="7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(25,206)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(14,800)</w:t>
            </w:r>
          </w:p>
        </w:tc>
      </w:tr>
      <w:tr>
        <w:trPr>
          <w:trHeight w:val="217"/>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(30,785)</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(17,406)</w:t>
            </w:r>
          </w:p>
        </w:tc>
      </w:tr>
      <w:tr>
        <w:trPr>
          <w:trHeight w:val="234"/>
        </w:trPr>
        <w:tc>
          <w:tcPr>
            <w:tcW w:w="7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4"/>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43,037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38,678</w:t>
            </w:r>
          </w:p>
        </w:tc>
      </w:tr>
      <w:tr>
        <w:trPr>
          <w:trHeight w:val="220"/>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96,689</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44,426</w:t>
            </w:r>
          </w:p>
        </w:tc>
      </w:tr>
      <w:tr>
        <w:trPr>
          <w:trHeight w:val="246"/>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139,726</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83,104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68580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400" w:top="12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Basis of Presentation and Summary of Accounting Principles</w:t>
      </w:r>
    </w:p>
    <w:p>
      <w:pPr>
        <w:spacing w:after="0" w:line="16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2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 We operate as a single segment for the purposes of assessing performance and making operating decisions.</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6"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2023, included in our 2023 10-K. All intercompany transactions have been eliminated. Certain reclassifications to previously reported financial information have been made to conform to our current period presentation.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2024.</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Principles</w:t>
      </w:r>
    </w:p>
    <w:p>
      <w:pPr>
        <w:spacing w:after="0" w:line="164"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There have been no changes to our significant accounting principles as described in Item 8, “</w:t>
      </w:r>
      <w:r>
        <w:rPr>
          <w:rFonts w:ascii="Times New Roman" w:cs="Times New Roman" w:eastAsia="Times New Roman" w:hAnsi="Times New Roman"/>
          <w:sz w:val="18"/>
          <w:szCs w:val="18"/>
          <w:i w:val="1"/>
          <w:iCs w:val="1"/>
          <w:color w:val="auto"/>
        </w:rPr>
        <w:t>Financial Statements and Supplementary Data -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Consolidated Financial Statements - Note 2 - Summary of Accounting Principles” </w:t>
      </w:r>
      <w:r>
        <w:rPr>
          <w:rFonts w:ascii="Times New Roman" w:cs="Times New Roman" w:eastAsia="Times New Roman" w:hAnsi="Times New Roman"/>
          <w:sz w:val="18"/>
          <w:szCs w:val="18"/>
          <w:color w:val="auto"/>
        </w:rPr>
        <w:t>of our 2023 10-K.</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Recent Accounting Pronouncements – Not Yet Adopted</w:t>
      </w:r>
    </w:p>
    <w:p>
      <w:pPr>
        <w:spacing w:after="0" w:line="164"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In November 2023, the FASB issued ASU 2023-07, Segment Reporting (Topic 280). The update expands annual and interim disclosure requirements for reportable segments, primarily through enhanced disclosures about significant segment expenses. The standard will take effect for all public business entities, including those that have only a single reportable segment for fiscal years beginning after December 15, 2023, and interim periods beginning after December 31, 2024. We are currently evaluating the impact the adoption of this ASU will have, if any, on our consolidated financial statements.</w:t>
      </w:r>
    </w:p>
    <w:p>
      <w:pPr>
        <w:spacing w:after="0" w:line="11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The update enhances the disclosure requirements related to tax rate reconciliations and income taxes paid. The standard will take effect for public business entities for fiscal years beginning after December 15, 2025. Early adoption is permitted. We are currently evaluating the impact the adoption of this ASU will have, if any,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164" w:lineRule="exact"/>
        <w:rPr>
          <w:sz w:val="20"/>
          <w:szCs w:val="20"/>
          <w:color w:val="auto"/>
        </w:rPr>
      </w:pPr>
    </w:p>
    <w:p>
      <w:pPr>
        <w:jc w:val="both"/>
        <w:ind w:left="120" w:firstLine="475"/>
        <w:spacing w:after="0" w:line="283" w:lineRule="auto"/>
        <w:rPr>
          <w:sz w:val="20"/>
          <w:szCs w:val="20"/>
          <w:color w:val="auto"/>
        </w:rPr>
      </w:pPr>
      <w:r>
        <w:rPr>
          <w:rFonts w:ascii="Times New Roman" w:cs="Times New Roman" w:eastAsia="Times New Roman" w:hAnsi="Times New Roman"/>
          <w:sz w:val="16"/>
          <w:szCs w:val="16"/>
          <w:color w:val="auto"/>
        </w:rPr>
        <w:t>We hold all investments on an available-for-sale basis at fair value on our condensed consolidated balance sheets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recognize an impairment loss equivalent to the difference of the amortized cost basis of the security and its fair value through the condensed consolidated statements of operations and comprehensive income as a “</w:t>
      </w:r>
      <w:r>
        <w:rPr>
          <w:rFonts w:ascii="Times New Roman" w:cs="Times New Roman" w:eastAsia="Times New Roman" w:hAnsi="Times New Roman"/>
          <w:sz w:val="16"/>
          <w:szCs w:val="16"/>
          <w:i w:val="1"/>
          <w:iCs w:val="1"/>
          <w:color w:val="auto"/>
        </w:rPr>
        <w:t>Net Realized Investment Loss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In the event of an impairment of a security that we intend to and have the ability to hold to maturity, we evaluate the drivers of the impairment to determine the portion that is credit related and the portion that is non-credit related. The portion of impairment loss that is attributed to credit related factors is recognized through the statement of operations as a provision for credit loss and the portion that is attributed to non-credit related factors is recognized in other comprehensive income, net of taxes.</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Fair Values and Gross Unrealized Gains and Losses on Investments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Pr>
          <w:p>
            <w:pPr>
              <w:spacing w:after="0"/>
              <w:rPr>
                <w:sz w:val="16"/>
                <w:szCs w:val="16"/>
                <w:color w:val="auto"/>
              </w:rPr>
            </w:pPr>
          </w:p>
        </w:tc>
        <w:tc>
          <w:tcPr>
            <w:tcW w:w="20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restart"/>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164,294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164,923</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626,226</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1,532,797</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45,924</w:t>
            </w:r>
          </w:p>
        </w:tc>
        <w:tc>
          <w:tcPr>
            <w:tcW w:w="0" w:type="dxa"/>
            <w:vAlign w:val="bottom"/>
          </w:tcPr>
          <w:p>
            <w:pPr>
              <w:spacing w:after="0"/>
              <w:rPr>
                <w:sz w:val="1"/>
                <w:szCs w:val="1"/>
                <w:color w:val="auto"/>
              </w:rPr>
            </w:pPr>
          </w:p>
        </w:tc>
      </w:tr>
      <w:tr>
        <w:trPr>
          <w:trHeight w:val="217"/>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bonds</w:t>
            </w: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2,554,334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(190,243)</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2,369,870</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23,655</w:t>
            </w:r>
          </w:p>
        </w:tc>
        <w:tc>
          <w:tcPr>
            <w:tcW w:w="0" w:type="dxa"/>
            <w:vAlign w:val="bottom"/>
          </w:tcPr>
          <w:p>
            <w:pPr>
              <w:spacing w:after="0"/>
              <w:rPr>
                <w:sz w:val="1"/>
                <w:szCs w:val="1"/>
                <w:color w:val="auto"/>
              </w:rPr>
            </w:pPr>
          </w:p>
        </w:tc>
      </w:tr>
      <w:tr>
        <w:trPr>
          <w:trHeight w:val="242"/>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2,577,990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2,393,525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Pr>
          <w:p>
            <w:pPr>
              <w:spacing w:after="0"/>
              <w:rPr>
                <w:sz w:val="24"/>
                <w:szCs w:val="24"/>
                <w:color w:val="auto"/>
              </w:rPr>
            </w:pPr>
          </w:p>
        </w:tc>
        <w:tc>
          <w:tcPr>
            <w:tcW w:w="20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164,278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166,388</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621,130</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1,511,479</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bonds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2,519,046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(184,334)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2,347,208</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23,813</w:t>
            </w:r>
          </w:p>
        </w:tc>
        <w:tc>
          <w:tcPr>
            <w:tcW w:w="0" w:type="dxa"/>
            <w:vAlign w:val="bottom"/>
          </w:tcPr>
          <w:p>
            <w:pPr>
              <w:spacing w:after="0"/>
              <w:rPr>
                <w:sz w:val="1"/>
                <w:szCs w:val="1"/>
                <w:color w:val="auto"/>
              </w:rPr>
            </w:pPr>
          </w:p>
        </w:tc>
      </w:tr>
      <w:tr>
        <w:trPr>
          <w:trHeight w:val="242"/>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2,542,862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(184,339)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2,371,021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did not own any mortgage-backed securities in our asset-backed securities portfolio at March 31, 2024 or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a breakdown of the fair value of our corporate debt securities by issuer industry group as of March 31, 2024 and</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18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5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7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26</w:t>
            </w:r>
          </w:p>
        </w:tc>
      </w:tr>
      <w:tr>
        <w:trPr>
          <w:trHeight w:val="22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1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7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w:t>
            </w:r>
          </w:p>
        </w:tc>
      </w:tr>
      <w:tr>
        <w:trPr>
          <w:trHeight w:val="22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w:t>
            </w:r>
          </w:p>
        </w:tc>
      </w:tr>
      <w:tr>
        <w:trPr>
          <w:trHeight w:val="22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17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9</w:t>
            </w:r>
          </w:p>
        </w:tc>
      </w:tr>
      <w:tr>
        <w:trPr>
          <w:trHeight w:val="242"/>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120" w:firstLine="475"/>
        <w:spacing w:after="0" w:line="269" w:lineRule="auto"/>
        <w:rPr>
          <w:sz w:val="20"/>
          <w:szCs w:val="20"/>
          <w:color w:val="auto"/>
        </w:rPr>
      </w:pPr>
      <w:r>
        <w:rPr>
          <w:rFonts w:ascii="Times New Roman" w:cs="Times New Roman" w:eastAsia="Times New Roman" w:hAnsi="Times New Roman"/>
          <w:sz w:val="18"/>
          <w:szCs w:val="18"/>
          <w:color w:val="auto"/>
        </w:rPr>
        <w:t>As of March 31, 2024 and December 31, 2023, approximately $5.2 million and $5.3 million, respectively, of our cash and investments were held in the form of U.S. Treasury securities on deposit with various state insurance departments to satisfy regulatory requirements.</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Scheduled Maturities</w:t>
      </w:r>
    </w:p>
    <w:p>
      <w:pPr>
        <w:spacing w:after="0" w:line="164"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The amortized cost and fair value of available-for-sale securities as of March 31, 2024 and December 31, 2023,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320" w:type="dxa"/>
            <w:vAlign w:val="bottom"/>
          </w:tcPr>
          <w:p>
            <w:pPr>
              <w:spacing w:after="0"/>
              <w:rPr>
                <w:sz w:val="13"/>
                <w:szCs w:val="13"/>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20" w:type="dxa"/>
            <w:vAlign w:val="bottom"/>
          </w:tcPr>
          <w:p>
            <w:pPr>
              <w:spacing w:after="0"/>
              <w:rPr>
                <w:sz w:val="13"/>
                <w:szCs w:val="13"/>
                <w:color w:val="auto"/>
              </w:rPr>
            </w:pPr>
          </w:p>
        </w:tc>
        <w:tc>
          <w:tcPr>
            <w:tcW w:w="1200" w:type="dxa"/>
            <w:vAlign w:val="bottom"/>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2"/>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1"/>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184,107</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182,728</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1,275,951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1,194,092</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1,024,068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926,490</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44,291</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45,924</w:t>
            </w:r>
          </w:p>
        </w:tc>
        <w:tc>
          <w:tcPr>
            <w:tcW w:w="0" w:type="dxa"/>
            <w:vAlign w:val="bottom"/>
          </w:tcPr>
          <w:p>
            <w:pPr>
              <w:spacing w:after="0"/>
              <w:rPr>
                <w:sz w:val="1"/>
                <w:szCs w:val="1"/>
                <w:color w:val="auto"/>
              </w:rPr>
            </w:pPr>
          </w:p>
        </w:tc>
      </w:tr>
      <w:tr>
        <w:trPr>
          <w:trHeight w:val="21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2,577,990</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2,393,525</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20" w:type="dxa"/>
            <w:vAlign w:val="bottom"/>
          </w:tcPr>
          <w:p>
            <w:pPr>
              <w:spacing w:after="0"/>
              <w:rPr>
                <w:sz w:val="24"/>
                <w:szCs w:val="24"/>
                <w:color w:val="auto"/>
              </w:rPr>
            </w:pPr>
          </w:p>
        </w:tc>
        <w:tc>
          <w:tcPr>
            <w:tcW w:w="1200" w:type="dxa"/>
            <w:vAlign w:val="bottom"/>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1"/>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191,375</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189,729</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1,237,192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1,162,259</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1,050,989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959,633</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0" w:type="dxa"/>
            <w:vAlign w:val="bottom"/>
          </w:tcPr>
          <w:p>
            <w:pPr>
              <w:spacing w:after="0"/>
              <w:rPr>
                <w:sz w:val="1"/>
                <w:szCs w:val="1"/>
                <w:color w:val="auto"/>
              </w:rPr>
            </w:pPr>
          </w:p>
        </w:tc>
      </w:tr>
      <w:tr>
        <w:trPr>
          <w:trHeight w:val="21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2,542,862</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2,371,021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Aging of Unrealized Losses</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of March 31, 2024, the investment portfolio had gross unrealized losses of $190.2 million, of which $187.5 million were associated with securities that had been in an unrealized loss position for a period of twelve months or longer. As of December 31, 2023, the investment portfolio had gross unrealized losses of $184.3 million, of which $183.1 million were associated with securities that had been in an unrealized loss position for a period of twelve months or longer. For those securities in an unrealized loss position, the length of time the securities were in such a position is as follows: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0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02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2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25"/>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top w:val="single" w:sz="8" w:color="auto"/>
            </w:tcBorders>
          </w:tcPr>
          <w:p>
            <w:pPr>
              <w:jc w:val="right"/>
              <w:ind w:right="198"/>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6"/>
              <w:spacing w:after="0" w:line="12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96"/>
              <w:spacing w:after="0" w:line="127"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2"/>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U.S. Treasury securities and</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w w:val="98"/>
              </w:rPr>
              <w:t>obligations of U.S. government</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95,082</w:t>
            </w: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474,250</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569,332</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170,627</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1,130,096</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1,300,723</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45,247</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45,924</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22,289</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22,289</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293,726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1,721,444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2,015,170</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gridSpan w:val="5"/>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Borders>
              <w:bottom w:val="single" w:sz="8" w:color="auto"/>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0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02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4"/>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top w:val="single" w:sz="8" w:color="auto"/>
            </w:tcBorders>
          </w:tcPr>
          <w:p>
            <w:pPr>
              <w:jc w:val="right"/>
              <w:ind w:right="205"/>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76"/>
              <w:spacing w:after="0" w:line="12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gridSpan w:val="2"/>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38"/>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140"/>
              <w:spacing w:after="0" w:line="12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0" w:type="dxa"/>
            <w:vAlign w:val="bottom"/>
          </w:tcPr>
          <w:p>
            <w:pPr>
              <w:spacing w:after="0"/>
              <w:rPr>
                <w:sz w:val="1"/>
                <w:szCs w:val="1"/>
                <w:color w:val="auto"/>
              </w:rPr>
            </w:pPr>
          </w:p>
        </w:tc>
      </w:tr>
      <w:tr>
        <w:trPr>
          <w:trHeight w:val="191"/>
        </w:trPr>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2"/>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5"/>
          </w:tcPr>
          <w:p>
            <w:pPr>
              <w:ind w:left="5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U.S. Treasury securities and</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w w:val="98"/>
              </w:rPr>
              <w:t>obligations of U.S. government</w:t>
            </w: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467,098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523,378</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(58,462)</w:t>
            </w:r>
          </w:p>
        </w:tc>
        <w:tc>
          <w:tcPr>
            <w:tcW w:w="0" w:type="dxa"/>
            <w:vAlign w:val="bottom"/>
          </w:tcPr>
          <w:p>
            <w:pPr>
              <w:spacing w:after="0"/>
              <w:rPr>
                <w:sz w:val="1"/>
                <w:szCs w:val="1"/>
                <w:color w:val="auto"/>
              </w:rPr>
            </w:pPr>
          </w:p>
        </w:tc>
      </w:tr>
      <w:tr>
        <w:trPr>
          <w:trHeight w:val="22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56,039</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1,150,662</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1,206,701</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(120,576)</w:t>
            </w:r>
          </w:p>
        </w:tc>
        <w:tc>
          <w:tcPr>
            <w:tcW w:w="0" w:type="dxa"/>
            <w:vAlign w:val="bottom"/>
          </w:tcPr>
          <w:p>
            <w:pPr>
              <w:spacing w:after="0"/>
              <w:rPr>
                <w:sz w:val="1"/>
                <w:szCs w:val="1"/>
                <w:color w:val="auto"/>
              </w:rPr>
            </w:pP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47,426</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2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7"/>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127,266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1,737,189</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(183,065)</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1,864,455</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(184,339)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6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As of March 31, 2024 and December 31, 2023, we did not recognize an allowance for credit loss for any security in the investment portfolio and we did not record any provision for credit loss for investment securities during the three months ended March 31, 2024 or 2023.</w:t>
      </w:r>
    </w:p>
    <w:p>
      <w:pPr>
        <w:spacing w:after="0" w:line="11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evaluated the securities in an unrealized loss position as of March 31, 2024, assessing their credit ratings as well as any adverse conditions specifically related to the security. Based upon our assessment of the amount and timing of cash flows to be collected over the remaining life of each instrument, we believe the unrealized losses as of March 31, 2024 are not indicative of the ultimate collectability of the current amortized cost of the securities. Rather, the unrealized losses on securities held as of March 31, 2024 were primarily driven by fluctuations in interest rates, and to a lesser extent, movements in credit spreads following the purchase of those securities.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components of net investment income: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3500" w:type="dxa"/>
            <w:vAlign w:val="bottom"/>
            <w:gridSpan w:val="4"/>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720" w:type="dxa"/>
            <w:vAlign w:val="bottom"/>
          </w:tcPr>
          <w:p>
            <w:pPr>
              <w:spacing w:after="0"/>
              <w:rPr>
                <w:sz w:val="16"/>
                <w:szCs w:val="16"/>
                <w:color w:val="auto"/>
              </w:rPr>
            </w:pPr>
          </w:p>
        </w:tc>
      </w:tr>
      <w:tr>
        <w:trPr>
          <w:trHeight w:val="24"/>
        </w:trPr>
        <w:tc>
          <w:tcPr>
            <w:tcW w:w="70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5"/>
        </w:trPr>
        <w:tc>
          <w:tcPr>
            <w:tcW w:w="7020" w:type="dxa"/>
            <w:vAlign w:val="bottom"/>
          </w:tcPr>
          <w:p>
            <w:pPr>
              <w:spacing w:after="0"/>
              <w:rPr>
                <w:sz w:val="16"/>
                <w:szCs w:val="16"/>
                <w:color w:val="auto"/>
              </w:rPr>
            </w:pPr>
          </w:p>
        </w:tc>
        <w:tc>
          <w:tcPr>
            <w:tcW w:w="13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r>
      <w:tr>
        <w:trPr>
          <w:trHeight w:val="191"/>
        </w:trPr>
        <w:tc>
          <w:tcPr>
            <w:tcW w:w="7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160" w:type="dxa"/>
            <w:vAlign w:val="bottom"/>
            <w:gridSpan w:val="3"/>
          </w:tcPr>
          <w:p>
            <w:pPr>
              <w:jc w:val="right"/>
              <w:ind w:right="87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6"/>
                <w:szCs w:val="16"/>
                <w:color w:val="auto"/>
              </w:rPr>
            </w:pP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2"/>
                <w:szCs w:val="22"/>
                <w:color w:val="auto"/>
                <w:vertAlign w:val="superscript"/>
              </w:rPr>
              <w:t>(1)</w:t>
            </w:r>
          </w:p>
        </w:tc>
        <w:tc>
          <w:tcPr>
            <w:tcW w:w="1340" w:type="dxa"/>
            <w:vAlign w:val="bottom"/>
            <w:shd w:val="clear" w:color="auto" w:fill="CCEEFF"/>
          </w:tcPr>
          <w:p>
            <w:pPr>
              <w:jc w:val="right"/>
              <w:ind w:right="116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19,697</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3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w:t>
            </w:r>
          </w:p>
        </w:tc>
      </w:tr>
      <w:tr>
        <w:trPr>
          <w:trHeight w:val="224"/>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42"/>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340" w:type="dxa"/>
            <w:vAlign w:val="bottom"/>
            <w:tcBorders>
              <w:bottom w:val="single" w:sz="8" w:color="auto"/>
            </w:tcBorders>
            <w:shd w:val="clear" w:color="auto" w:fill="CCEEFF"/>
          </w:tcPr>
          <w:p>
            <w:pPr>
              <w:jc w:val="right"/>
              <w:ind w:right="116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3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320" w:hanging="314"/>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income recognized on cash and cash equivalents of $1.1 million and $0.2 million during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components of net realized investment losses: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3620" w:type="dxa"/>
            <w:vAlign w:val="bottom"/>
            <w:gridSpan w:val="4"/>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 March 31,</w:t>
            </w:r>
          </w:p>
        </w:tc>
        <w:tc>
          <w:tcPr>
            <w:tcW w:w="600" w:type="dxa"/>
            <w:vAlign w:val="bottom"/>
          </w:tcPr>
          <w:p>
            <w:pPr>
              <w:spacing w:after="0"/>
              <w:rPr>
                <w:sz w:val="16"/>
                <w:szCs w:val="16"/>
                <w:color w:val="auto"/>
              </w:rPr>
            </w:pPr>
          </w:p>
        </w:tc>
      </w:tr>
      <w:tr>
        <w:trPr>
          <w:trHeight w:val="24"/>
        </w:trPr>
        <w:tc>
          <w:tcPr>
            <w:tcW w:w="70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5"/>
        </w:trPr>
        <w:tc>
          <w:tcPr>
            <w:tcW w:w="7020" w:type="dxa"/>
            <w:vAlign w:val="bottom"/>
          </w:tcPr>
          <w:p>
            <w:pPr>
              <w:spacing w:after="0"/>
              <w:rPr>
                <w:sz w:val="16"/>
                <w:szCs w:val="16"/>
                <w:color w:val="auto"/>
              </w:rPr>
            </w:pPr>
          </w:p>
        </w:tc>
        <w:tc>
          <w:tcPr>
            <w:tcW w:w="14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r>
      <w:tr>
        <w:trPr>
          <w:trHeight w:val="191"/>
        </w:trPr>
        <w:tc>
          <w:tcPr>
            <w:tcW w:w="7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0" w:type="dxa"/>
            <w:vAlign w:val="bottom"/>
            <w:gridSpan w:val="3"/>
          </w:tcPr>
          <w:p>
            <w:pPr>
              <w:jc w:val="center"/>
              <w:ind w:right="73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Pr>
          <w:p>
            <w:pPr>
              <w:spacing w:after="0"/>
              <w:rPr>
                <w:sz w:val="16"/>
                <w:szCs w:val="16"/>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investment gains</w:t>
            </w:r>
          </w:p>
        </w:tc>
        <w:tc>
          <w:tcPr>
            <w:tcW w:w="1420" w:type="dxa"/>
            <w:vAlign w:val="bottom"/>
            <w:shd w:val="clear" w:color="auto" w:fill="CCEEFF"/>
          </w:tcPr>
          <w:p>
            <w:pPr>
              <w:jc w:val="right"/>
              <w:ind w:right="124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25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9"/>
              </w:rPr>
              <w:t>—</w:t>
            </w:r>
          </w:p>
        </w:tc>
      </w:tr>
      <w:tr>
        <w:trPr>
          <w:trHeight w:val="22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investment losses</w:t>
            </w:r>
          </w:p>
        </w:tc>
        <w:tc>
          <w:tcPr>
            <w:tcW w:w="142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9"/>
                <w:szCs w:val="19"/>
                <w:color w:val="auto"/>
              </w:rPr>
            </w:pPr>
          </w:p>
        </w:tc>
        <w:tc>
          <w:tcPr>
            <w:tcW w:w="6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(33)</w:t>
            </w:r>
          </w:p>
        </w:tc>
      </w:tr>
      <w:tr>
        <w:trPr>
          <w:trHeight w:val="242"/>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investment losses</w:t>
            </w:r>
          </w:p>
        </w:tc>
        <w:tc>
          <w:tcPr>
            <w:tcW w:w="1420" w:type="dxa"/>
            <w:vAlign w:val="bottom"/>
            <w:tcBorders>
              <w:top w:val="single" w:sz="8" w:color="auto"/>
              <w:bottom w:val="single" w:sz="8" w:color="auto"/>
            </w:tcBorders>
            <w:shd w:val="clear" w:color="auto" w:fill="CCEEFF"/>
          </w:tcPr>
          <w:p>
            <w:pPr>
              <w:jc w:val="right"/>
              <w:ind w:right="124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ind w:right="125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describes the valuation techniques used by us to determine the fair value of our financial instruments:</w:t>
      </w:r>
    </w:p>
    <w:p>
      <w:pPr>
        <w:spacing w:after="0" w:line="162"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6"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8"/>
          <w:szCs w:val="18"/>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11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30"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3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Assets Classified as Level 1 and Level 2</w:t>
      </w:r>
    </w:p>
    <w:p>
      <w:pPr>
        <w:spacing w:after="0" w:line="164"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present the level within the fair value hierarchy at which our financial instruments were measured: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0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19"/>
              <w:spacing w:after="0" w:line="12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39"/>
              <w:spacing w:after="0" w:line="127"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9"/>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9"/>
              <w:spacing w:after="0" w:line="14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2"/>
                <w:szCs w:val="12"/>
                <w:color w:val="auto"/>
              </w:rPr>
            </w:pPr>
          </w:p>
        </w:tc>
        <w:tc>
          <w:tcPr>
            <w:tcW w:w="140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agencies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164,923</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164,923</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626,226</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1,532,797</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45,924</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163,381</w:t>
            </w:r>
          </w:p>
        </w:tc>
        <w:tc>
          <w:tcPr>
            <w:tcW w:w="0" w:type="dxa"/>
            <w:vAlign w:val="bottom"/>
          </w:tcPr>
          <w:p>
            <w:pPr>
              <w:spacing w:after="0"/>
              <w:rPr>
                <w:sz w:val="1"/>
                <w:szCs w:val="1"/>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328,304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2,204,947</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2,533,251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19"/>
              <w:spacing w:after="0" w:line="12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339"/>
              <w:spacing w:after="0" w:line="125"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9"/>
              <w:spacing w:after="0" w:line="14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39"/>
              <w:spacing w:after="0" w:line="13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3"/>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400" w:type="dxa"/>
            <w:vAlign w:val="bottom"/>
          </w:tcPr>
          <w:p>
            <w:pPr>
              <w:spacing w:after="0"/>
              <w:rPr>
                <w:sz w:val="11"/>
                <w:szCs w:val="11"/>
                <w:color w:val="auto"/>
              </w:rPr>
            </w:pPr>
          </w:p>
        </w:tc>
        <w:tc>
          <w:tcPr>
            <w:tcW w:w="1420" w:type="dxa"/>
            <w:vAlign w:val="bottom"/>
            <w:gridSpan w:val="2"/>
          </w:tcPr>
          <w:p>
            <w:pPr>
              <w:jc w:val="center"/>
              <w:ind w:right="520"/>
              <w:spacing w:after="0" w:line="134"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1"/>
                <w:szCs w:val="11"/>
                <w:color w:val="auto"/>
              </w:rPr>
            </w:pPr>
          </w:p>
        </w:tc>
        <w:tc>
          <w:tcPr>
            <w:tcW w:w="140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400" w:type="dxa"/>
            <w:vAlign w:val="bottom"/>
          </w:tcPr>
          <w:p>
            <w:pPr>
              <w:spacing w:after="0"/>
              <w:rPr>
                <w:sz w:val="16"/>
                <w:szCs w:val="16"/>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agencies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166,388</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166,388</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621,130</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1,511,479</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120,502</w:t>
            </w:r>
          </w:p>
        </w:tc>
        <w:tc>
          <w:tcPr>
            <w:tcW w:w="0" w:type="dxa"/>
            <w:vAlign w:val="bottom"/>
          </w:tcPr>
          <w:p>
            <w:pPr>
              <w:spacing w:after="0"/>
              <w:rPr>
                <w:sz w:val="1"/>
                <w:szCs w:val="1"/>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286,890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2,180,820</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2,467,710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There were no transfers between Level 2 and Level 3 of the fair value hierarchy during the three months ended March 31, 2024, or the year ended December 31, 2023.</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Financial Instruments Not Measured at Fair Value</w:t>
      </w:r>
    </w:p>
    <w:p>
      <w:pPr>
        <w:spacing w:after="0" w:line="164"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On June 19, 2020, we issued $400 million aggregate principal amount of senior secured notes that mature on June 1, 2025 (the Notes) and used a portion of the proceeds from the Notes offering to repay amounts due under our then outstanding $150 million term loan. At March 31, 2024, the Notes were carried at a cost of $398.0 million, net of unamortized debt issuance costs of $2.0 million, and had a fair value of $404.3 million as assessed under our Level 2 hierarchy. At December 31, 2023, the Notes were carried at a cost of $397.6 million, net of unamortized debt issuance costs of $2.4 million, and had a fair value of $401.9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16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At March 31, 2024, we had $400 million aggregate principal amount of senior secured notes outstanding. The Notes were issued pursuant to an indenture dated June 19, 2020 and bear interest at a rate of 7.375%, payable semi-annually on June 1 and December 1.</w:t>
      </w:r>
    </w:p>
    <w:p>
      <w:pPr>
        <w:spacing w:after="0" w:line="11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Notes mature on June 1, 2025. We may elect to redeem the Notes in whole or in part at any time prior to March 1, 2025 at a price based on 100% of the aggregate principal amount of any Notes redeemed plus the “Applicable Premium,” plus accrued and unpaid interest thereon. Applicable Premium is defined as the greater of (1) 1.0% of the principal amount of the Notes, or (2) the excess of the present value of the principal value of the Notes plus all future interest payments over the principal</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 We may elect to redeem the Notes in whole or in part at any time on or after March 1, 2025 at a price equal to 100% of the aggregate principal amount of the Notes to be redeemed plus accrued and unpaid interest thereon</w:t>
      </w:r>
      <w:r>
        <w:rPr>
          <w:rFonts w:ascii="Times New Roman" w:cs="Times New Roman" w:eastAsia="Times New Roman" w:hAnsi="Times New Roman"/>
          <w:sz w:val="21"/>
          <w:szCs w:val="21"/>
          <w:color w:val="auto"/>
        </w:rPr>
        <w:t>.</w:t>
      </w:r>
    </w:p>
    <w:p>
      <w:pPr>
        <w:spacing w:after="0" w:line="9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Interest expense for the Notes includes interest and the amortization of capitalized debt issuance costs. In connection with the Notes offering, we recorded capitalized debt issuance costs of $7.4 million. Such amounts will be amortized over the contractual life of the Notes using the effective interest method. The effective interest rate on the Notes is 7.825%. At March 31, 2024 and December 31, 2023, approximately $2.0 million and $2.4 million, respectively, of unamortized debt issuance costs remained.</w:t>
      </w:r>
    </w:p>
    <w:p>
      <w:pPr>
        <w:spacing w:after="0" w:line="13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 xml:space="preserve">At March 31, 2024 and December 31, 2023, $9.8 million and $2.5 million, respectively, of accrued and unpaid interest on the Notes was included in </w:t>
      </w:r>
      <w:r>
        <w:rPr>
          <w:rFonts w:ascii="Times New Roman" w:cs="Times New Roman" w:eastAsia="Times New Roman" w:hAnsi="Times New Roman"/>
          <w:sz w:val="18"/>
          <w:szCs w:val="18"/>
          <w:i w:val="1"/>
          <w:iCs w:val="1"/>
          <w:color w:val="auto"/>
        </w:rPr>
        <w:t xml:space="preserve">“Accounts Payable and Accrued Expenses” </w:t>
      </w:r>
      <w:r>
        <w:rPr>
          <w:rFonts w:ascii="Times New Roman" w:cs="Times New Roman" w:eastAsia="Times New Roman" w:hAnsi="Times New Roman"/>
          <w:sz w:val="18"/>
          <w:szCs w:val="18"/>
          <w:color w:val="auto"/>
        </w:rPr>
        <w:t>on the condensed consolidated balance sheets.</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2021 Revolving Credit Facility</w:t>
      </w:r>
    </w:p>
    <w:p>
      <w:pPr>
        <w:spacing w:after="0" w:line="164" w:lineRule="exact"/>
        <w:rPr>
          <w:sz w:val="20"/>
          <w:szCs w:val="20"/>
          <w:color w:val="auto"/>
        </w:rPr>
      </w:pPr>
    </w:p>
    <w:p>
      <w:pPr>
        <w:jc w:val="both"/>
        <w:ind w:firstLine="633"/>
        <w:spacing w:after="0" w:line="283" w:lineRule="auto"/>
        <w:rPr>
          <w:sz w:val="20"/>
          <w:szCs w:val="20"/>
          <w:color w:val="auto"/>
        </w:rPr>
      </w:pPr>
      <w:r>
        <w:rPr>
          <w:rFonts w:ascii="Times New Roman" w:cs="Times New Roman" w:eastAsia="Times New Roman" w:hAnsi="Times New Roman"/>
          <w:sz w:val="16"/>
          <w:szCs w:val="16"/>
          <w:color w:val="auto"/>
        </w:rPr>
        <w:t>On November 29, 2021, we amended our $110 million senior secured revolving credit facility (the 2020 Revolving Credit Facility and as amended, the 2021 Revolving Credit Facility), expanding the lender group, increasing the revolving capacity to $250 million, and extending the maturity from February 22, 2023 to the earlier of (x) November 29, 2025, or (y) if any existing senior secured notes remain outstanding on such date, February 28, 2025. Borrowings under the 2021 Revolving Credit Facility may be used for general corporate purposes, including to support the growth of our new business production and operations, and accrue interest at a variable rate equal to, at our discretion, (i) a Base Rate (as defined in the 2021 Revolving Credit Facility) subject to a floor of 1.00% per annum plus a margin of 0.375% to 1.875% per annum, or (ii) the Adjusted Term Secured Overnight Financing Rate (SOFR) (as defined in the 2021 Revolving Credit Facility) plus a margin of 1.375% to 2.875% per annum, with the margin in each of (i) or (ii) based on our applicable corporate credit rating at the time. As of March 31, 2024 and December 31, 2023, no amounts were drawn under the 2021 Revolving Credit Facility.</w:t>
      </w:r>
    </w:p>
    <w:p>
      <w:pPr>
        <w:spacing w:after="0" w:line="11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2021 Revolving Credit Facility, we are required to pay a quarterly commitment fee on the average daily undrawn amount of 0.175% to 0.525%, based on the applicable corporate credit rating at the time. As of March 31, 2024, the applicable commitment fee was 0.225%. For the three months ended March 31, 2024, we recorded $0.2 million of commitment fees in interest expense.</w:t>
      </w:r>
    </w:p>
    <w:p>
      <w:pPr>
        <w:spacing w:after="0" w:line="12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We incurred debt issuance costs of $1.1 million in connection with the 2021 Revolving Credit Facility and had $0.6 million of unamortized debt issuance costs associated with the 2020 Revolving Credit Facility remaining at the time of its amendment and replacement. Combined unamortized debt issuance costs are amortized through interest expense on a straight-line basis over the contractual life of the 2021 Revolving Credit Facility. At March 31, 2024 and December 31, 2023, remaining unamortized deferred debt issuance costs were $0.7 million and $0.8 million, respectively,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on our condensed consolidated balance sheets.</w:t>
      </w:r>
    </w:p>
    <w:p>
      <w:pPr>
        <w:spacing w:after="0" w:line="13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are subject to certain covenants under the 2021 Revolving Credit Facility, including, but not limited to, the following: a maximum debt-to-total capitalization ratio of 35%, compliance with the private mortgage insurer eligibility requirements (PMIERs) financial requirements (subject to any GSE approved waivers), and minimum consolidated net worth and statutory capital requirements (respectively, as defined therein). We were in compliance with all covenants at March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Reinsurance</w:t>
      </w:r>
    </w:p>
    <w:p>
      <w:pPr>
        <w:spacing w:after="0" w:line="164"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effect of our reinsurance agreements on premiums written and earned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80" w:type="dxa"/>
            <w:vAlign w:val="bottom"/>
          </w:tcPr>
          <w:p>
            <w:pPr>
              <w:spacing w:after="0"/>
              <w:rPr>
                <w:sz w:val="16"/>
                <w:szCs w:val="16"/>
                <w:color w:val="auto"/>
              </w:rPr>
            </w:pPr>
          </w:p>
        </w:tc>
        <w:tc>
          <w:tcPr>
            <w:tcW w:w="3060" w:type="dxa"/>
            <w:vAlign w:val="bottom"/>
            <w:gridSpan w:val="4"/>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 March 31,</w:t>
            </w:r>
          </w:p>
        </w:tc>
        <w:tc>
          <w:tcPr>
            <w:tcW w:w="680" w:type="dxa"/>
            <w:vAlign w:val="bottom"/>
          </w:tcPr>
          <w:p>
            <w:pPr>
              <w:spacing w:after="0"/>
              <w:rPr>
                <w:sz w:val="16"/>
                <w:szCs w:val="16"/>
                <w:color w:val="auto"/>
              </w:rPr>
            </w:pPr>
          </w:p>
        </w:tc>
      </w:tr>
      <w:tr>
        <w:trPr>
          <w:trHeight w:val="24"/>
        </w:trPr>
        <w:tc>
          <w:tcPr>
            <w:tcW w:w="74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5"/>
        </w:trPr>
        <w:tc>
          <w:tcPr>
            <w:tcW w:w="748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r>
      <w:tr>
        <w:trPr>
          <w:trHeight w:val="191"/>
        </w:trPr>
        <w:tc>
          <w:tcPr>
            <w:tcW w:w="7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40" w:type="dxa"/>
            <w:vAlign w:val="bottom"/>
            <w:gridSpan w:val="3"/>
          </w:tcPr>
          <w:p>
            <w:pPr>
              <w:jc w:val="center"/>
              <w:ind w:right="35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Pr>
          <w:p>
            <w:pPr>
              <w:spacing w:after="0"/>
              <w:rPr>
                <w:sz w:val="16"/>
                <w:szCs w:val="16"/>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1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4"/>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1120" w:type="dxa"/>
            <w:vAlign w:val="bottom"/>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163,207</w:t>
            </w:r>
          </w:p>
        </w:tc>
        <w:tc>
          <w:tcPr>
            <w:tcW w:w="100" w:type="dxa"/>
            <w:vAlign w:val="bottom"/>
          </w:tcPr>
          <w:p>
            <w:pPr>
              <w:spacing w:after="0"/>
              <w:rPr>
                <w:sz w:val="19"/>
                <w:szCs w:val="19"/>
                <w:color w:val="auto"/>
              </w:rPr>
            </w:pP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148,932</w:t>
            </w:r>
          </w:p>
        </w:tc>
      </w:tr>
      <w:tr>
        <w:trPr>
          <w:trHeight w:val="224"/>
        </w:trPr>
        <w:tc>
          <w:tcPr>
            <w:tcW w:w="748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Ceded </w:t>
            </w:r>
            <w:r>
              <w:rPr>
                <w:rFonts w:ascii="Times New Roman" w:cs="Times New Roman" w:eastAsia="Times New Roman" w:hAnsi="Times New Roman"/>
                <w:sz w:val="22"/>
                <w:szCs w:val="22"/>
                <w:color w:val="auto"/>
                <w:vertAlign w:val="superscript"/>
              </w:rPr>
              <w:t>(1)</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(32,962)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(35,956)</w:t>
            </w:r>
          </w:p>
        </w:tc>
      </w:tr>
      <w:tr>
        <w:trPr>
          <w:trHeight w:val="217"/>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written</w:t>
            </w:r>
          </w:p>
        </w:tc>
        <w:tc>
          <w:tcPr>
            <w:tcW w:w="112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130,245</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112,976</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0"/>
        </w:trPr>
        <w:tc>
          <w:tcPr>
            <w:tcW w:w="74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4"/>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169,718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157,904</w:t>
            </w:r>
          </w:p>
        </w:tc>
      </w:tr>
      <w:tr>
        <w:trPr>
          <w:trHeight w:val="224"/>
        </w:trPr>
        <w:tc>
          <w:tcPr>
            <w:tcW w:w="7480" w:type="dxa"/>
            <w:vAlign w:val="bottom"/>
            <w:tcBorders>
              <w:bottom w:val="single" w:sz="8" w:color="CCEEFF"/>
            </w:tcBorders>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Ceded </w:t>
            </w:r>
            <w:r>
              <w:rPr>
                <w:rFonts w:ascii="Times New Roman" w:cs="Times New Roman" w:eastAsia="Times New Roman" w:hAnsi="Times New Roman"/>
                <w:sz w:val="22"/>
                <w:szCs w:val="22"/>
                <w:color w:val="auto"/>
                <w:vertAlign w:val="superscript"/>
              </w:rPr>
              <w:t>(1)</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7"/>
              </w:rPr>
              <w:t>(33,061)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(36,150)</w:t>
            </w:r>
          </w:p>
        </w:tc>
      </w:tr>
      <w:tr>
        <w:trPr>
          <w:trHeight w:val="242"/>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1120" w:type="dxa"/>
            <w:vAlign w:val="bottom"/>
            <w:tcBorders>
              <w:bottom w:val="single" w:sz="8" w:color="auto"/>
            </w:tcBorders>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136,657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121,754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profit commission.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Excess-of-loss Reinsurance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Insurance-Linked Notes</w:t>
      </w:r>
    </w:p>
    <w:p>
      <w:pPr>
        <w:spacing w:after="0" w:line="164"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NMIC is a party to reinsurance agreements with Oaktown Re III Ltd., Oaktown Re V Ltd., Oaktown Re VI Ltd., and Oaktown Re VII Ltd. (special purpose reinsurance entities collectively referred to as the Oaktown Re Vehicles) effective July 30, 2019, October 29, 2020,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0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NMIC makes risk premium payments to the Oaktown Re Vehicles for the applicable outstanding reinsurance coverage amount and pays an additional amount for anticipated operating expenses (capped at $250 thousand per year). NMIC ceded aggregate premiums to the Oaktown Re Vehicles of $6.0 million and $9.1 million during the three months ended March 31, 2024 and 2023, respectively.</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NMIC applies claims paid on covered policies against its first layer aggregate retained loss exposure under each excess-of-loss agreement. NMIC did not cede any incurred losses on covered policies to the Oaktown Re Vehicles during the three months ended March 31, 2024 and 2023, as the aggregate first layer risk retention for each applicable agreement was not exhausted during such periods.</w:t>
      </w:r>
    </w:p>
    <w:p>
      <w:pPr>
        <w:spacing w:after="0" w:line="126"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(in the case of the notes issued by Oaktown Re III Ltd. and Oaktown Re V Ltd.) and 12.5 years (in the case of the notes issued by Oaktown Re VI Ltd. and Oaktown Re VII Ltd.) from the inception date of their associated reinsurance agreement. We refer to NMIC’s reinsurance agreements with and the insurance-linked note issuances by Oaktown Re Vehicles individually as the 2019 ILN Transaction, 2020-2 ILN Transaction, 2021-1 ILN Transaction, and 2021-2 ILN Transaction, and collectively as the ILN Transactions.</w:t>
      </w:r>
    </w:p>
    <w:p>
      <w:pPr>
        <w:spacing w:after="0" w:line="111"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respective reinsurance coverage amounts provided by the Oaktown Re Vehicles decrease (over a ten-year period in the case of Oaktown Re III Ltd. and Oaktown Re V Ltd. and 12.5-year period in the case of Oaktown Re VI Ltd. and Oaktown Re VII Ltd.)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insurance-linked note principal is suspended if certain credit enhancement or delinquency thresholds, as defined in each</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agreement, are triggered (each, a Lock-Out Event). Effective March 31, 2024, a previously triggered Lock-Out Event for the 2019 ILN Transaction was deemed to have cleared and amortization of the associated reinsurance coverage, and distribution of collateral assets and amortization of the associated insurance-linked notes resumed.</w:t>
      </w:r>
    </w:p>
    <w:p>
      <w:pPr>
        <w:spacing w:after="0" w:line="12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3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March 31, 2024.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Initial First</w:t>
            </w:r>
          </w:p>
        </w:tc>
        <w:tc>
          <w:tcPr>
            <w:tcW w:w="120" w:type="dxa"/>
            <w:vAlign w:val="bottom"/>
          </w:tcPr>
          <w:p>
            <w:pPr>
              <w:spacing w:after="0"/>
              <w:rPr>
                <w:sz w:val="13"/>
                <w:szCs w:val="13"/>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Current First</w:t>
            </w:r>
          </w:p>
        </w:tc>
        <w:tc>
          <w:tcPr>
            <w:tcW w:w="0" w:type="dxa"/>
            <w:vAlign w:val="bottom"/>
          </w:tcPr>
          <w:p>
            <w:pPr>
              <w:spacing w:after="0"/>
              <w:rPr>
                <w:sz w:val="1"/>
                <w:szCs w:val="1"/>
                <w:color w:val="auto"/>
              </w:rPr>
            </w:pPr>
          </w:p>
        </w:tc>
      </w:tr>
      <w:tr>
        <w:trPr>
          <w:trHeight w:val="143"/>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4"/>
                <w:szCs w:val="14"/>
                <w:i w:val="1"/>
                <w:iCs w:val="1"/>
                <w:color w:val="auto"/>
              </w:rPr>
              <w:t>$ values in thousands)</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23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80" w:type="dxa"/>
            <w:vAlign w:val="bottom"/>
            <w:gridSpan w:val="3"/>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Layer Retained</w:t>
            </w:r>
          </w:p>
        </w:tc>
        <w:tc>
          <w:tcPr>
            <w:tcW w:w="120" w:type="dxa"/>
            <w:vAlign w:val="bottom"/>
          </w:tcPr>
          <w:p>
            <w:pPr>
              <w:spacing w:after="0"/>
              <w:rPr>
                <w:sz w:val="12"/>
                <w:szCs w:val="12"/>
                <w:color w:val="auto"/>
              </w:rPr>
            </w:pPr>
          </w:p>
        </w:tc>
        <w:tc>
          <w:tcPr>
            <w:tcW w:w="1100" w:type="dxa"/>
            <w:vAlign w:val="bottom"/>
          </w:tcPr>
          <w:p>
            <w:pPr>
              <w:jc w:val="center"/>
              <w:ind w:right="40"/>
              <w:spacing w:after="0" w:line="143" w:lineRule="exact"/>
              <w:rPr>
                <w:sz w:val="20"/>
                <w:szCs w:val="20"/>
                <w:color w:val="auto"/>
              </w:rPr>
            </w:pPr>
            <w:r>
              <w:rPr>
                <w:rFonts w:ascii="Times New Roman" w:cs="Times New Roman" w:eastAsia="Times New Roman" w:hAnsi="Times New Roman"/>
                <w:sz w:val="14"/>
                <w:szCs w:val="14"/>
                <w:b w:val="1"/>
                <w:bCs w:val="1"/>
                <w:color w:val="auto"/>
              </w:rPr>
              <w:t>Layer Retained</w:t>
            </w:r>
          </w:p>
        </w:tc>
        <w:tc>
          <w:tcPr>
            <w:tcW w:w="0" w:type="dxa"/>
            <w:vAlign w:val="bottom"/>
          </w:tcPr>
          <w:p>
            <w:pPr>
              <w:spacing w:after="0"/>
              <w:rPr>
                <w:sz w:val="1"/>
                <w:szCs w:val="1"/>
                <w:color w:val="auto"/>
              </w:rPr>
            </w:pPr>
          </w:p>
        </w:tc>
      </w:tr>
      <w:tr>
        <w:trPr>
          <w:trHeight w:val="192"/>
        </w:trPr>
        <w:tc>
          <w:tcPr>
            <w:tcW w:w="23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20" w:type="dxa"/>
            <w:vAlign w:val="bottom"/>
          </w:tcPr>
          <w:p>
            <w:pPr>
              <w:spacing w:after="0"/>
              <w:rPr>
                <w:sz w:val="16"/>
                <w:szCs w:val="16"/>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xml:space="preserve">Loss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4"/>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ILN Transaction</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July 30, 2019</w:t>
            </w: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6/1/2018 – 6/30/2019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155,552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121,702</w:t>
            </w:r>
          </w:p>
        </w:tc>
        <w:tc>
          <w:tcPr>
            <w:tcW w:w="0" w:type="dxa"/>
            <w:vAlign w:val="bottom"/>
          </w:tcPr>
          <w:p>
            <w:pPr>
              <w:spacing w:after="0"/>
              <w:rPr>
                <w:sz w:val="1"/>
                <w:szCs w:val="1"/>
                <w:color w:val="auto"/>
              </w:rPr>
            </w:pPr>
          </w:p>
        </w:tc>
      </w:tr>
      <w:tr>
        <w:trPr>
          <w:trHeight w:val="224"/>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2020-2 ILN Transaction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October 29, 2020</w:t>
            </w:r>
          </w:p>
        </w:tc>
        <w:tc>
          <w:tcPr>
            <w:tcW w:w="2320" w:type="dxa"/>
            <w:vAlign w:val="bottom"/>
            <w:gridSpan w:val="2"/>
          </w:tcPr>
          <w:p>
            <w:pPr>
              <w:jc w:val="center"/>
              <w:ind w:right="160"/>
              <w:spacing w:after="0" w:line="224" w:lineRule="exact"/>
              <w:rPr>
                <w:sz w:val="20"/>
                <w:szCs w:val="20"/>
                <w:color w:val="auto"/>
              </w:rPr>
            </w:pPr>
            <w:r>
              <w:rPr>
                <w:rFonts w:ascii="Times New Roman" w:cs="Times New Roman" w:eastAsia="Times New Roman" w:hAnsi="Times New Roman"/>
                <w:sz w:val="18"/>
                <w:szCs w:val="18"/>
                <w:color w:val="auto"/>
                <w:w w:val="95"/>
              </w:rPr>
              <w:t xml:space="preserve">4/1/2020 – 9/30/2020 </w:t>
            </w:r>
            <w:r>
              <w:rPr>
                <w:rFonts w:ascii="Times New Roman" w:cs="Times New Roman" w:eastAsia="Times New Roman" w:hAnsi="Times New Roman"/>
                <w:sz w:val="22"/>
                <w:szCs w:val="22"/>
                <w:color w:val="auto"/>
                <w:w w:val="95"/>
                <w:vertAlign w:val="superscript"/>
              </w:rPr>
              <w:t>(2)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121,177</w:t>
            </w:r>
          </w:p>
        </w:tc>
        <w:tc>
          <w:tcPr>
            <w:tcW w:w="0" w:type="dxa"/>
            <w:vAlign w:val="bottom"/>
          </w:tcPr>
          <w:p>
            <w:pPr>
              <w:spacing w:after="0"/>
              <w:rPr>
                <w:sz w:val="1"/>
                <w:szCs w:val="1"/>
                <w:color w:val="auto"/>
              </w:rPr>
            </w:pPr>
          </w:p>
        </w:tc>
      </w:tr>
      <w:tr>
        <w:trPr>
          <w:trHeight w:val="224"/>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2021-1 ILN Transaction</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April 27, 2021</w:t>
            </w:r>
          </w:p>
        </w:tc>
        <w:tc>
          <w:tcPr>
            <w:tcW w:w="2320" w:type="dxa"/>
            <w:vAlign w:val="bottom"/>
            <w:gridSpan w:val="2"/>
            <w:shd w:val="clear" w:color="auto" w:fill="CCEEFF"/>
          </w:tcPr>
          <w:p>
            <w:pPr>
              <w:jc w:val="center"/>
              <w:ind w:right="140"/>
              <w:spacing w:after="0" w:line="224" w:lineRule="exact"/>
              <w:rPr>
                <w:sz w:val="20"/>
                <w:szCs w:val="20"/>
                <w:color w:val="auto"/>
              </w:rPr>
            </w:pPr>
            <w:r>
              <w:rPr>
                <w:rFonts w:ascii="Times New Roman" w:cs="Times New Roman" w:eastAsia="Times New Roman" w:hAnsi="Times New Roman"/>
                <w:sz w:val="18"/>
                <w:szCs w:val="18"/>
                <w:color w:val="auto"/>
                <w:w w:val="95"/>
              </w:rPr>
              <w:t xml:space="preserve">10/1/2020 – 3/31/2021 </w:t>
            </w:r>
            <w:r>
              <w:rPr>
                <w:rFonts w:ascii="Times New Roman" w:cs="Times New Roman" w:eastAsia="Times New Roman" w:hAnsi="Times New Roman"/>
                <w:sz w:val="22"/>
                <w:szCs w:val="22"/>
                <w:color w:val="auto"/>
                <w:w w:val="95"/>
                <w:vertAlign w:val="superscript"/>
              </w:rPr>
              <w:t>(3)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163,394</w:t>
            </w:r>
          </w:p>
        </w:tc>
        <w:tc>
          <w:tcPr>
            <w:tcW w:w="0" w:type="dxa"/>
            <w:vAlign w:val="bottom"/>
          </w:tcPr>
          <w:p>
            <w:pPr>
              <w:spacing w:after="0"/>
              <w:rPr>
                <w:sz w:val="1"/>
                <w:szCs w:val="1"/>
                <w:color w:val="auto"/>
              </w:rPr>
            </w:pPr>
          </w:p>
        </w:tc>
      </w:tr>
      <w:tr>
        <w:trPr>
          <w:trHeight w:val="30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2021-2 ILN Transaction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October 26, 2021</w:t>
            </w: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 xml:space="preserve">4/1/2021 – 9/30/2021 </w:t>
            </w:r>
            <w:r>
              <w:rPr>
                <w:rFonts w:ascii="Times New Roman" w:cs="Times New Roman" w:eastAsia="Times New Roman" w:hAnsi="Times New Roman"/>
                <w:sz w:val="22"/>
                <w:szCs w:val="22"/>
                <w:color w:val="auto"/>
                <w:w w:val="95"/>
                <w:vertAlign w:val="superscript"/>
              </w:rPr>
              <w:t>(4)</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145,715</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20" w:hanging="314"/>
        <w:spacing w:after="0" w:line="254" w:lineRule="auto"/>
        <w:tabs>
          <w:tab w:leader="none" w:pos="39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300" w:hanging="294"/>
        <w:spacing w:after="0"/>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2020-2 ILN Transaction has coverage reporting dates between July 1, 2019 and March 31, 2020.</w:t>
      </w:r>
    </w:p>
    <w:p>
      <w:pPr>
        <w:spacing w:after="0" w:line="10"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2021-1 ILN Transaction has coverage reporting dates between July 1, 2019 and September 30, 2020.</w:t>
      </w:r>
    </w:p>
    <w:p>
      <w:pPr>
        <w:spacing w:after="0" w:line="10"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24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 xml:space="preserve">Under the terms of our ILN Transactions, we are required to maintain a certain level of restricted funds in premium deposit accounts with Bank of New York Mellon until the respective notes have been redeemed in full.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on our condensed consolidated balance sheets includes restricted amounts of $1.1 million and $1.3 million as of March 31, 2024 and December 31, 2023, respectively. The restricted balances required under these transactions will decline over time as the outstanding principal balance of the respective insurance-linked notes are amortized.</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Traditional Reinsurance</w:t>
      </w:r>
    </w:p>
    <w:p>
      <w:pPr>
        <w:spacing w:after="0" w:line="16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NMIC is party to six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 2023, and the 2024 XOL Transaction, effective January 1, 2024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spacing w:after="0" w:line="13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Under the terms of the XOL Transactions, NMIC makes risk premium payments to its third-party reinsurance providers for the outstanding reinsurance coverage amount and ceded aggregate premiums of $9.2 million and $7.2 million during the three months ended March 31, 2024 and 2023, respectively. NMIC applies claims paid on covered policies against its first layer aggregate retained loss exposure under each agreement. NMIC did not cede any incurred losses on covered policies under the XOL Transactions during the three months ended March 31, 2024 and 2023, as the aggregate first layer risk retention for each agreement was not exhausted during such periods.</w:t>
      </w:r>
    </w:p>
    <w:p>
      <w:pPr>
        <w:spacing w:after="0" w:line="13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NMIC holds optional termination rights which provide it the discretion to terminate each XOL Transaction on or after a specified date. NMIC may also elect to terminate the XOL Transactions at any point if the outstanding reinsurance coverage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3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Each of the third-party reinsurance providers that is party to the XOL Transactions has an insurer financial strength rating of A- or better by S&amp;P Global Ratings (S&amp;P), A.M. Best Company Inc. (A.M. Best) or both.</w:t>
      </w:r>
    </w:p>
    <w:p>
      <w:pPr>
        <w:spacing w:after="0" w:line="11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March 31, 2024.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Initial First</w:t>
            </w:r>
          </w:p>
        </w:tc>
        <w:tc>
          <w:tcPr>
            <w:tcW w:w="120" w:type="dxa"/>
            <w:vAlign w:val="bottom"/>
          </w:tcPr>
          <w:p>
            <w:pPr>
              <w:spacing w:after="0"/>
              <w:rPr>
                <w:sz w:val="13"/>
                <w:szCs w:val="13"/>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Current First</w:t>
            </w:r>
          </w:p>
        </w:tc>
        <w:tc>
          <w:tcPr>
            <w:tcW w:w="0" w:type="dxa"/>
            <w:vAlign w:val="bottom"/>
          </w:tcPr>
          <w:p>
            <w:pPr>
              <w:spacing w:after="0"/>
              <w:rPr>
                <w:sz w:val="1"/>
                <w:szCs w:val="1"/>
                <w:color w:val="auto"/>
              </w:rPr>
            </w:pPr>
          </w:p>
        </w:tc>
      </w:tr>
      <w:tr>
        <w:trPr>
          <w:trHeight w:val="143"/>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25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6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Layer Retained</w:t>
            </w:r>
          </w:p>
        </w:tc>
        <w:tc>
          <w:tcPr>
            <w:tcW w:w="106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Layer Retained</w:t>
            </w:r>
          </w:p>
        </w:tc>
        <w:tc>
          <w:tcPr>
            <w:tcW w:w="0" w:type="dxa"/>
            <w:vAlign w:val="bottom"/>
          </w:tcPr>
          <w:p>
            <w:pPr>
              <w:spacing w:after="0"/>
              <w:rPr>
                <w:sz w:val="1"/>
                <w:szCs w:val="1"/>
                <w:color w:val="auto"/>
              </w:rPr>
            </w:pPr>
          </w:p>
        </w:tc>
      </w:tr>
      <w:tr>
        <w:trPr>
          <w:trHeight w:val="192"/>
        </w:trPr>
        <w:tc>
          <w:tcPr>
            <w:tcW w:w="252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2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 xml:space="preserve">Loss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4"/>
        </w:trPr>
        <w:tc>
          <w:tcPr>
            <w:tcW w:w="2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2022-1 XOL Transaction</w:t>
            </w: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April 1, 2022</w:t>
            </w:r>
          </w:p>
        </w:tc>
        <w:tc>
          <w:tcPr>
            <w:tcW w:w="2400" w:type="dxa"/>
            <w:vAlign w:val="bottom"/>
            <w:tcBorders>
              <w:top w:val="single" w:sz="8" w:color="auto"/>
            </w:tcBorders>
            <w:shd w:val="clear" w:color="auto" w:fill="CCEEFF"/>
          </w:tcPr>
          <w:p>
            <w:pPr>
              <w:jc w:val="center"/>
              <w:spacing w:after="0" w:line="224" w:lineRule="exact"/>
              <w:rPr>
                <w:sz w:val="20"/>
                <w:szCs w:val="20"/>
                <w:color w:val="auto"/>
              </w:rPr>
            </w:pPr>
            <w:r>
              <w:rPr>
                <w:rFonts w:ascii="Times New Roman" w:cs="Times New Roman" w:eastAsia="Times New Roman" w:hAnsi="Times New Roman"/>
                <w:sz w:val="18"/>
                <w:szCs w:val="18"/>
                <w:color w:val="auto"/>
                <w:w w:val="95"/>
              </w:rPr>
              <w:t xml:space="preserve">10/1/2021 – 3/31/2022 </w:t>
            </w:r>
            <w:r>
              <w:rPr>
                <w:rFonts w:ascii="Times New Roman" w:cs="Times New Roman" w:eastAsia="Times New Roman" w:hAnsi="Times New Roman"/>
                <w:sz w:val="22"/>
                <w:szCs w:val="22"/>
                <w:color w:val="auto"/>
                <w:w w:val="95"/>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133,007</w:t>
            </w:r>
          </w:p>
        </w:tc>
        <w:tc>
          <w:tcPr>
            <w:tcW w:w="0" w:type="dxa"/>
            <w:vAlign w:val="bottom"/>
          </w:tcPr>
          <w:p>
            <w:pPr>
              <w:spacing w:after="0"/>
              <w:rPr>
                <w:sz w:val="1"/>
                <w:szCs w:val="1"/>
                <w:color w:val="auto"/>
              </w:rPr>
            </w:pPr>
          </w:p>
        </w:tc>
      </w:tr>
      <w:tr>
        <w:trPr>
          <w:trHeight w:val="224"/>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2022-2</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XOL Transaction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July 1, 2022</w:t>
            </w:r>
          </w:p>
        </w:tc>
        <w:tc>
          <w:tcPr>
            <w:tcW w:w="2500" w:type="dxa"/>
            <w:vAlign w:val="bottom"/>
            <w:gridSpan w:val="2"/>
          </w:tcPr>
          <w:p>
            <w:pPr>
              <w:jc w:val="center"/>
              <w:ind w:right="120"/>
              <w:spacing w:after="0" w:line="224" w:lineRule="exact"/>
              <w:rPr>
                <w:sz w:val="20"/>
                <w:szCs w:val="20"/>
                <w:color w:val="auto"/>
              </w:rPr>
            </w:pPr>
            <w:r>
              <w:rPr>
                <w:rFonts w:ascii="Times New Roman" w:cs="Times New Roman" w:eastAsia="Times New Roman" w:hAnsi="Times New Roman"/>
                <w:sz w:val="18"/>
                <w:szCs w:val="18"/>
                <w:color w:val="auto"/>
                <w:w w:val="96"/>
              </w:rPr>
              <w:t xml:space="preserve">4/1/2022 – 6/30/2022 </w:t>
            </w:r>
            <w:r>
              <w:rPr>
                <w:rFonts w:ascii="Times New Roman" w:cs="Times New Roman" w:eastAsia="Times New Roman" w:hAnsi="Times New Roman"/>
                <w:sz w:val="22"/>
                <w:szCs w:val="22"/>
                <w:color w:val="auto"/>
                <w:w w:val="96"/>
                <w:vertAlign w:val="superscript"/>
              </w:rPr>
              <w:t>(3)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78,735</w:t>
            </w:r>
          </w:p>
        </w:tc>
        <w:tc>
          <w:tcPr>
            <w:tcW w:w="0" w:type="dxa"/>
            <w:vAlign w:val="bottom"/>
          </w:tcPr>
          <w:p>
            <w:pPr>
              <w:spacing w:after="0"/>
              <w:rPr>
                <w:sz w:val="1"/>
                <w:szCs w:val="1"/>
                <w:color w:val="auto"/>
              </w:rPr>
            </w:pPr>
          </w:p>
        </w:tc>
      </w:tr>
      <w:tr>
        <w:trPr>
          <w:trHeight w:val="224"/>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2022-3</w:t>
            </w: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XOL Transaction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October 1, 2022</w:t>
            </w:r>
          </w:p>
        </w:tc>
        <w:tc>
          <w:tcPr>
            <w:tcW w:w="2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7/1/2022 – 9/30/2022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106,023</w:t>
            </w:r>
          </w:p>
        </w:tc>
        <w:tc>
          <w:tcPr>
            <w:tcW w:w="0" w:type="dxa"/>
            <w:vAlign w:val="bottom"/>
          </w:tcPr>
          <w:p>
            <w:pPr>
              <w:spacing w:after="0"/>
              <w:rPr>
                <w:sz w:val="1"/>
                <w:szCs w:val="1"/>
                <w:color w:val="auto"/>
              </w:rPr>
            </w:pPr>
          </w:p>
        </w:tc>
      </w:tr>
      <w:tr>
        <w:trPr>
          <w:trHeight w:val="224"/>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2023-1</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XOL Transaction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January 1, 2023</w:t>
            </w: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10/1/2022 – 6/30/2023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146,348</w:t>
            </w:r>
          </w:p>
        </w:tc>
        <w:tc>
          <w:tcPr>
            <w:tcW w:w="0" w:type="dxa"/>
            <w:vAlign w:val="bottom"/>
          </w:tcPr>
          <w:p>
            <w:pPr>
              <w:spacing w:after="0"/>
              <w:rPr>
                <w:sz w:val="1"/>
                <w:szCs w:val="1"/>
                <w:color w:val="auto"/>
              </w:rPr>
            </w:pPr>
          </w:p>
        </w:tc>
      </w:tr>
      <w:tr>
        <w:trPr>
          <w:trHeight w:val="224"/>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2023-2</w:t>
            </w:r>
          </w:p>
        </w:tc>
        <w:tc>
          <w:tcPr>
            <w:tcW w:w="19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XOL Transaction </w:t>
            </w:r>
            <w:r>
              <w:rPr>
                <w:rFonts w:ascii="Times New Roman" w:cs="Times New Roman" w:eastAsia="Times New Roman" w:hAnsi="Times New Roman"/>
                <w:sz w:val="22"/>
                <w:szCs w:val="22"/>
                <w:color w:val="auto"/>
                <w:vertAlign w:val="superscript"/>
              </w:rPr>
              <w:t>(4)</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July 1, 2023</w:t>
            </w:r>
          </w:p>
        </w:tc>
        <w:tc>
          <w:tcPr>
            <w:tcW w:w="2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7/1/2023 – 12/31/2023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136,875</w:t>
            </w:r>
          </w:p>
        </w:tc>
        <w:tc>
          <w:tcPr>
            <w:tcW w:w="0" w:type="dxa"/>
            <w:vAlign w:val="bottom"/>
          </w:tcPr>
          <w:p>
            <w:pPr>
              <w:spacing w:after="0"/>
              <w:rPr>
                <w:sz w:val="1"/>
                <w:szCs w:val="1"/>
                <w:color w:val="auto"/>
              </w:rPr>
            </w:pPr>
          </w:p>
        </w:tc>
      </w:tr>
      <w:tr>
        <w:trPr>
          <w:trHeight w:val="300"/>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2024 XOL Transaction </w:t>
            </w:r>
            <w:r>
              <w:rPr>
                <w:rFonts w:ascii="Times New Roman" w:cs="Times New Roman" w:eastAsia="Times New Roman" w:hAnsi="Times New Roman"/>
                <w:sz w:val="22"/>
                <w:szCs w:val="22"/>
                <w:color w:val="auto"/>
                <w:vertAlign w:val="superscript"/>
              </w:rPr>
              <w:t>(5)</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January 1, 2024</w:t>
            </w: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1/1/2024 – 12/31/2024</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65,217</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20" w:hanging="314"/>
        <w:spacing w:after="0" w:line="254" w:lineRule="auto"/>
        <w:tabs>
          <w:tab w:leader="none" w:pos="38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00" w:hanging="294"/>
        <w:spacing w:after="0"/>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2022-1 XOL Transaction has coverage reporting dates between October 21, 2019 and September 30, 2021.</w:t>
      </w:r>
    </w:p>
    <w:p>
      <w:pPr>
        <w:spacing w:after="0" w:line="10"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2022-2 XOL Transaction has coverage reporting dates between January 4, 2021 and March 31, 2022.</w:t>
      </w:r>
    </w:p>
    <w:p>
      <w:pPr>
        <w:spacing w:after="0" w:line="10"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2024, the initial reinsurance coverage and initial first layer retained loss amounts increased due to revised contractual terms.</w:t>
      </w:r>
    </w:p>
    <w:p>
      <w:pPr>
        <w:spacing w:after="0" w:line="1" w:lineRule="exact"/>
        <w:rPr>
          <w:rFonts w:ascii="Times New Roman" w:cs="Times New Roman" w:eastAsia="Times New Roman" w:hAnsi="Times New Roman"/>
          <w:sz w:val="14"/>
          <w:szCs w:val="14"/>
          <w:color w:val="auto"/>
        </w:rPr>
      </w:pPr>
    </w:p>
    <w:p>
      <w:pPr>
        <w:ind w:left="320" w:hanging="314"/>
        <w:spacing w:after="0" w:line="264" w:lineRule="auto"/>
        <w:tabs>
          <w:tab w:leader="none" w:pos="3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reinsurance coverage, current reinsurance coverage, initial first layer retained loss and current first layer retained loss for the 2024 XOL Transaction will increase as incremental covered production is ceded under the transaction through December 31, 2024.</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Quota Share Reinsurance</w:t>
      </w:r>
    </w:p>
    <w:p>
      <w:pPr>
        <w:spacing w:after="0" w:line="166"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NMIC is party to eight quota share reinsurance treaties – the 2016 QSR Transaction, effective September 1, 2016 and as modified April 1, 2019, the 2018 QSR Transaction, effective January 1, 2018, the 2020 QSR Transaction, effective April 1, 2020 and as amended January 1, 2024, the 2021 QSR Transaction, effective January 1, 2021, the 2022 QSR Transaction, effective October 1, 2021, the 2022 Seasoned QSR Transaction, effective July 1, 2022, the 2023 QSR Transaction, effective January 1, 2023 and the 2024 QSR Transaction, effective January 1, 2024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138"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Under the terms of the 2016 QSR Transaction, NMIC cedes premiums written related to 20.5% of the risk on eligible primary policies written for all periods through December 31, 2017 and 100% of the risk under our pool agreement with Fannie Mae. </w:t>
      </w:r>
      <w:r>
        <w:rPr>
          <w:rFonts w:ascii="Times New Roman" w:cs="Times New Roman" w:eastAsia="Times New Roman" w:hAnsi="Times New Roman"/>
          <w:sz w:val="18"/>
          <w:szCs w:val="18"/>
          <w:color w:val="212529"/>
        </w:rPr>
        <w:t>The 2016 QSR Transaction is scheduled to terminate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December 31, 2027, except with respect to the ceded pool risk, which expired on August 31, 2023. NMIC has the option, based on certain conditions and subject to a termination fee, to terminate the agreement as of December 31, 2020, or at the end of any calendar quarter thereafter, which could result in NMIC recapturing the related risk.</w:t>
      </w:r>
    </w:p>
    <w:p>
      <w:pPr>
        <w:spacing w:after="0" w:line="13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could result in NMIC recapturing the related risk.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2020 QSR Transaction, NMIC cedes premiums earned related to 21% of the risk on eligible policies written between April 1, 2020 and December 31, 2020. The 2020 QSR Transaction is scheduled to terminate on December 31, 2030. NMIC had the option, based on certain conditions and subject to a termination fee, to terminate the agreement as of December 31, 2025, or at the end of any calendar quarter thereafter, which could result in NMIC recapturing the related risk.</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2021 QSR Transaction, NMIC cedes premiums earned related to 22.5% of the risk on eligible policies written from January 1, 2021 to October 30, 2021. The 2021 QSR Transaction is scheduled to terminate on December 31, 2031. NMIC has the option, based on certain conditions and subject to a termination fee, to terminate the agreement as of December 31, 2024, or at the end of any calendar quarter thereafter, which could result in NMIC recapturing the related risk.</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2022 QSR Transaction, NMIC cedes premiums earned related to 20% of the risk on eligible policies written primarily between October 30, 2021 and December 31, 2022. The 2022 QSR Transaction is scheduled to terminate on December 31, 2032. NMIC has the option, based on certain conditions and subject to a termination fee, to terminate the agreement as of December 31, 2024 or semi-annually thereafter, which could result in NMIC recapturing the related risk.</w:t>
      </w:r>
    </w:p>
    <w:p>
      <w:pPr>
        <w:spacing w:after="0" w:line="130"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The 2022 Seasoned QSR Transaction is scheduled to terminate on June 30, 2032. NMIC has the option, based on certain conditions, to terminate the agreement as of June 30, 2025 or quarterly thereafter through December 31, 2027 with the payment of a termination fee, and as of March 31, 2028 or quarterly thereafter without the payment of a termination fee. Such termination could result in NMIC recapturing the related risk.</w:t>
      </w:r>
    </w:p>
    <w:p>
      <w:pPr>
        <w:spacing w:after="0" w:line="13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2023 QSR Transaction, NMIC cedes premiums earned related to 20% of the risk on eligible policies written in 2023. The 2023 QSR Transaction is scheduled to terminate on December 31, 2033. NMIC has the option, based on certain conditions and subject to a termination fee, to terminate the agreement as of December 31, 2025 or semi-annually thereafter, which could result in NMIC recapturing the related risk.</w:t>
      </w:r>
    </w:p>
    <w:p>
      <w:pPr>
        <w:spacing w:after="0" w:line="113" w:lineRule="exact"/>
        <w:rPr>
          <w:sz w:val="20"/>
          <w:szCs w:val="20"/>
          <w:color w:val="auto"/>
        </w:rPr>
      </w:pPr>
    </w:p>
    <w:p>
      <w:pPr>
        <w:jc w:val="both"/>
        <w:ind w:firstLine="633"/>
        <w:spacing w:after="0" w:line="287" w:lineRule="auto"/>
        <w:rPr>
          <w:sz w:val="20"/>
          <w:szCs w:val="20"/>
          <w:color w:val="auto"/>
        </w:rPr>
      </w:pPr>
      <w:r>
        <w:rPr>
          <w:rFonts w:ascii="Times New Roman" w:cs="Times New Roman" w:eastAsia="Times New Roman" w:hAnsi="Times New Roman"/>
          <w:sz w:val="16"/>
          <w:szCs w:val="16"/>
          <w:color w:val="auto"/>
        </w:rPr>
        <w:t>Under the terms of the 2024 QSR Transaction, NMIC cedes premiums earned related to 20% of the risk on eligible policies written in 2024. The 2024 QSR Transaction is scheduled to terminate on December 31, 2034. NMIC has the option, based on certain conditions and subject to a termination fee, to terminate the agreement as of December 31, 2027, or at the end of any calendar quarter thereafter, which could result in NMIC recapturing the related risk.</w:t>
      </w:r>
    </w:p>
    <w:p>
      <w:pPr>
        <w:spacing w:after="0" w:line="10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reinsurers continue providing coverage on all risk ceded prior to the termination date, with no new cessions going forward) or cut-off basis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shows amounts related to the QSR Transactions: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gridSpan w:val="3"/>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As of and for the three months ended</w:t>
            </w:r>
          </w:p>
        </w:tc>
      </w:tr>
      <w:tr>
        <w:trPr>
          <w:trHeight w:val="24"/>
        </w:trPr>
        <w:tc>
          <w:tcPr>
            <w:tcW w:w="7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5"/>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1"/>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gridSpan w:val="2"/>
          </w:tcPr>
          <w:p>
            <w:pPr>
              <w:jc w:val="center"/>
              <w:ind w:left="105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tcPr>
          <w:p>
            <w:pPr>
              <w:spacing w:after="0"/>
              <w:rPr>
                <w:sz w:val="16"/>
                <w:szCs w:val="16"/>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risk-in-force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12,669,207</w:t>
            </w:r>
          </w:p>
        </w:tc>
        <w:tc>
          <w:tcPr>
            <w:tcW w:w="4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12,635,442</w:t>
            </w:r>
          </w:p>
        </w:tc>
      </w:tr>
      <w:tr>
        <w:trPr>
          <w:trHeight w:val="22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premiums earned</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(41,269)</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(42,096)</w:t>
            </w:r>
          </w:p>
        </w:tc>
      </w:tr>
      <w:tr>
        <w:trPr>
          <w:trHeight w:val="22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claims and claim expenses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659</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2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Ceding commission earned</w:t>
            </w:r>
          </w:p>
        </w:tc>
        <w:tc>
          <w:tcPr>
            <w:tcW w:w="28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10,292</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r>
      <w:tr>
        <w:trPr>
          <w:trHeight w:val="22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commission</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23,407</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1"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 xml:space="preserve">Ceded premiums written under the 2016 QSR Transaction are recorded as prepaid reinsurance premiums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on our consolidated balance sheets and amortized to ceded premiums earned in a manner consistent with the recognition of revenue on direct premiums. Under all other QSR Transactions, premiums are ceded on an earned basis as defined in the agreement. NMIC receives a 20% ceding commission for premiums ceded under the QSR Transactions, except with respect to the 2022 Seasoned QSR Transaction under which it receives a 35% ceding commission and the 2020 QSR Transaction under which it receives a 36% ceding commission. NMIC also receives a profit commission under each of the QSR Transactions, provided that the loss ratios on loans covered under the 2016, 2018, 2020, 2021, 2022, 2022 Seasoned, 2023 and 2024 QSR Transactions, generally remain below 60%, 61%, 50%, 57.5%, 62%, 55%, 62% and 56%, respectively, as measured annually. Ceded claims and claim expenses under each of the QSR Transactions reduce the respective profit commission received by NMIC on a dollar-for-dollar basis.</w:t>
      </w:r>
    </w:p>
    <w:p>
      <w:pPr>
        <w:spacing w:after="0" w:line="137"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are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$1.6 million and $1.7 million as of March 31, 2024 and December 31, 2023, respectively.</w:t>
      </w:r>
    </w:p>
    <w:p>
      <w:pPr>
        <w:spacing w:after="0" w:line="13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In accordance with the terms of the 2018, 2020, 2021, 2022, 2022 Seasoned, 2023 and 2024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2021, 2022, 2022 Seasoned, 2023, and 2024 QSR Transactions was $26.3 million and $25.8 million as of March 31, 2024 and December 31, 2023, respectively.</w:t>
      </w:r>
    </w:p>
    <w:p>
      <w:pPr>
        <w:spacing w:after="0" w:line="13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We remain directly liable for all claim payments if we are unable to collect the recoverables due from our reinsurers and, as such, we actively monitor and manage our counterparty credit exposure to our reinsurance providers. We establish an allowance for expected credit loss against our reinsurance recoverable if we do not expect to recover amounts due from one or more of our reinsurance counterparties, and report our reinsurance recoverable net of such allowance, if any. We actively monitor the counterparty credit profiles of our reinsurers and each is required to partially collateralize its obligations under the terms of the QSR Transactions. The allowance for credit loss established against our reinsurance recoverable was deemed immaterial as of March 31, 2024 and December 31,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Reserves for Insurance Claims and Claim Expenses</w:t>
      </w:r>
    </w:p>
    <w:p>
      <w:pPr>
        <w:spacing w:after="0" w:line="16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As of March 31, 2024, we held gross reserves for insurance claims and claim expenses of $127.2 million. During the three months ended March 31, 2024, we paid 42 claims totaling $1.1 million, including 41 claims covered under the QSR Transactions representing $0.3 million of ceded claims and claim expenses.</w:t>
      </w:r>
    </w:p>
    <w:p>
      <w:pPr>
        <w:spacing w:after="0" w:line="13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We had 5,109 loans in default in our primary insured portfolio as of March 31, 2024, which represented a 0.80% default rate against 635,662 total policies in-force and 5,099 loans in default in our primary portfolio as of December 31, 2023, which represented a 0.81% default rate against 629,690 total policies in-force. 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gross reserve balances for primary insurance claims and claim expenses: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540" w:type="dxa"/>
            <w:vAlign w:val="bottom"/>
            <w:gridSpan w:val="5"/>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5"/>
        </w:trPr>
        <w:tc>
          <w:tcPr>
            <w:tcW w:w="77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7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2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6"/>
                <w:szCs w:val="16"/>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99,836</w:t>
            </w:r>
          </w:p>
        </w:tc>
      </w:tr>
      <w:tr>
        <w:trPr>
          <w:trHeight w:val="224"/>
        </w:trPr>
        <w:tc>
          <w:tcPr>
            <w:tcW w:w="770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(21,587)</w:t>
            </w:r>
          </w:p>
        </w:tc>
      </w:tr>
      <w:tr>
        <w:trPr>
          <w:trHeight w:val="21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net of reinsurance recoverables</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78,249</w:t>
            </w:r>
          </w:p>
        </w:tc>
      </w:tr>
      <w:tr>
        <w:trPr>
          <w:trHeight w:val="244"/>
        </w:trPr>
        <w:tc>
          <w:tcPr>
            <w:tcW w:w="7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claims incurred: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Claims and claim expenses incurred: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7700" w:type="dxa"/>
            <w:vAlign w:val="bottom"/>
            <w:shd w:val="clear" w:color="auto" w:fill="CCEEFF"/>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27,608</w:t>
            </w:r>
          </w:p>
        </w:tc>
      </w:tr>
      <w:tr>
        <w:trPr>
          <w:trHeight w:val="224"/>
        </w:trPr>
        <w:tc>
          <w:tcPr>
            <w:tcW w:w="7700" w:type="dxa"/>
            <w:vAlign w:val="bottom"/>
            <w:tcBorders>
              <w:bottom w:val="single" w:sz="8" w:color="CCEEFF"/>
            </w:tcBorders>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(20,907)</w:t>
            </w:r>
          </w:p>
        </w:tc>
      </w:tr>
      <w:tr>
        <w:trPr>
          <w:trHeight w:val="21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claims and claim expenses incurred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w:t>
            </w:r>
          </w:p>
        </w:tc>
      </w:tr>
      <w:tr>
        <w:trPr>
          <w:trHeight w:val="125"/>
        </w:trPr>
        <w:tc>
          <w:tcPr>
            <w:tcW w:w="7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Claims and claim expenses paid: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770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700" w:type="dxa"/>
            <w:vAlign w:val="bottom"/>
            <w:tcBorders>
              <w:bottom w:val="single" w:sz="8" w:color="CCEEFF"/>
            </w:tcBorders>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claims and claim expenses paid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44"/>
        </w:trPr>
        <w:tc>
          <w:tcPr>
            <w:tcW w:w="7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at end of period, net of reinsurance recoverables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84,678</w:t>
            </w:r>
          </w:p>
        </w:tc>
      </w:tr>
      <w:tr>
        <w:trPr>
          <w:trHeight w:val="224"/>
        </w:trPr>
        <w:tc>
          <w:tcPr>
            <w:tcW w:w="770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23,479</w:t>
            </w:r>
          </w:p>
        </w:tc>
      </w:tr>
      <w:tr>
        <w:trPr>
          <w:trHeight w:val="242"/>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108,157</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ceded losses recoverable under the QSR Transactions. See Note 5, “</w:t>
      </w:r>
      <w:r>
        <w:rPr>
          <w:rFonts w:ascii="Times New Roman" w:cs="Times New Roman" w:eastAsia="Times New Roman" w:hAnsi="Times New Roman"/>
          <w:sz w:val="14"/>
          <w:szCs w:val="14"/>
          <w:i w:val="1"/>
          <w:iCs w:val="1"/>
          <w:color w:val="auto"/>
        </w:rPr>
        <w:t>Reinsurance”</w:t>
      </w:r>
      <w:r>
        <w:rPr>
          <w:rFonts w:ascii="Times New Roman" w:cs="Times New Roman" w:eastAsia="Times New Roman" w:hAnsi="Times New Roman"/>
          <w:sz w:val="14"/>
          <w:szCs w:val="14"/>
          <w:color w:val="auto"/>
        </w:rPr>
        <w:t xml:space="preserve"> for additional information.</w:t>
      </w:r>
    </w:p>
    <w:p>
      <w:pPr>
        <w:spacing w:after="0" w:line="15" w:lineRule="exact"/>
        <w:rPr>
          <w:rFonts w:ascii="Times New Roman" w:cs="Times New Roman" w:eastAsia="Times New Roman" w:hAnsi="Times New Roman"/>
          <w:sz w:val="14"/>
          <w:szCs w:val="14"/>
          <w:color w:val="auto"/>
        </w:rPr>
      </w:pPr>
    </w:p>
    <w:p>
      <w:pPr>
        <w:jc w:val="both"/>
        <w:ind w:left="320" w:hanging="314"/>
        <w:spacing w:after="0" w:line="261" w:lineRule="auto"/>
        <w:tabs>
          <w:tab w:leader="none" w:pos="32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$25.9 million attributed to net case reserves and $6.6 million attributed to net IBNR reserves for the three months ended March 31, 2024 and $22.3 million attributed to net case reserves and $4.9 million attributed to net IBNR reserves for the three months ended March 31, 2023.</w:t>
      </w:r>
    </w:p>
    <w:p>
      <w:pPr>
        <w:spacing w:after="0" w:line="156" w:lineRule="exact"/>
        <w:rPr>
          <w:rFonts w:ascii="Times New Roman" w:cs="Times New Roman" w:eastAsia="Times New Roman" w:hAnsi="Times New Roman"/>
          <w:sz w:val="14"/>
          <w:szCs w:val="14"/>
          <w:color w:val="auto"/>
        </w:rPr>
      </w:pPr>
    </w:p>
    <w:p>
      <w:pPr>
        <w:jc w:val="both"/>
        <w:ind w:left="320" w:hanging="314"/>
        <w:spacing w:after="0" w:line="253" w:lineRule="auto"/>
        <w:tabs>
          <w:tab w:leader="none" w:pos="30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defaults occurring in prior years, which have been continuously in default before the start of the current year. Amounts are presented net of reinsurance and included $22.4 million attributed to net case reserves and $6.3 million attributed to net IBNR reserves for the three months ended March 31, 2024 and $16.2 million attributed to net case reserves and $4.5 million attributed to net IBNR reserves for the three months ended March 31, 2023.</w:t>
      </w:r>
    </w:p>
    <w:p>
      <w:pPr>
        <w:spacing w:after="0" w:line="222"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The “claims incurred” section of the table above shows claims and claim expenses incurred on defaults occurring in current and prior years, including IBNR reserves, and is presented net of reinsurance. The amount of claims incurred relating to current year defaults increased during the three months ended March 31, 2024, compared to the same period in the prior year, primarily due to an increase in the total number of new delinquencies emerging during the period tied to the growth and natural seasoning of our portfolio, partially offset by a decrease in the average case reserve established against newly defaulted loans. Our provision for claims and claim expenses during both the three months ended March 31, 2024 and 2023 benefited from favorable development on prior year defaults. We recognized $29.3 million and $20.9 million of favorable prior year development during the three months ended March 31, 2024 and 2023, respectively, primarily due to cure activity and ongoing analysis of recent loss development trends. We may increase or decrease our claim estimates and reserves as we learn additional information about individual defaulted loans, and continue to observe and analyze loss development trends in our portfolio. Gross reserves of $85.1 million related to prior year defaults remained as of March 31,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 (EPS)</w:t>
      </w:r>
    </w:p>
    <w:p>
      <w:pPr>
        <w:spacing w:after="0" w:line="16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service-based and performance and service-based restricted stock units (RSUs), and the exercise of vested and unvested stock options.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reconciles the net income and the weighted average shares of common stock outstanding used in the computations of basic and diluted EPS of common stock:</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60" w:type="dxa"/>
            <w:vAlign w:val="bottom"/>
          </w:tcPr>
          <w:p>
            <w:pPr>
              <w:spacing w:after="0"/>
              <w:rPr>
                <w:sz w:val="16"/>
                <w:szCs w:val="16"/>
                <w:color w:val="auto"/>
              </w:rPr>
            </w:pPr>
          </w:p>
        </w:tc>
        <w:tc>
          <w:tcPr>
            <w:tcW w:w="330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80" w:type="dxa"/>
            <w:vAlign w:val="bottom"/>
          </w:tcPr>
          <w:p>
            <w:pPr>
              <w:spacing w:after="0"/>
              <w:rPr>
                <w:sz w:val="16"/>
                <w:szCs w:val="16"/>
                <w:color w:val="auto"/>
              </w:rPr>
            </w:pPr>
          </w:p>
        </w:tc>
      </w:tr>
      <w:tr>
        <w:trPr>
          <w:trHeight w:val="24"/>
        </w:trPr>
        <w:tc>
          <w:tcPr>
            <w:tcW w:w="72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5"/>
        </w:trPr>
        <w:tc>
          <w:tcPr>
            <w:tcW w:w="7260" w:type="dxa"/>
            <w:vAlign w:val="bottom"/>
          </w:tcPr>
          <w:p>
            <w:pPr>
              <w:spacing w:after="0"/>
              <w:rPr>
                <w:sz w:val="16"/>
                <w:szCs w:val="16"/>
                <w:color w:val="auto"/>
              </w:rPr>
            </w:pPr>
          </w:p>
        </w:tc>
        <w:tc>
          <w:tcPr>
            <w:tcW w:w="1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r>
      <w:tr>
        <w:trPr>
          <w:trHeight w:val="191"/>
        </w:trPr>
        <w:tc>
          <w:tcPr>
            <w:tcW w:w="7260" w:type="dxa"/>
            <w:vAlign w:val="bottom"/>
          </w:tcPr>
          <w:p>
            <w:pPr>
              <w:spacing w:after="0"/>
              <w:rPr>
                <w:sz w:val="16"/>
                <w:szCs w:val="16"/>
                <w:color w:val="auto"/>
              </w:rPr>
            </w:pPr>
          </w:p>
        </w:tc>
        <w:tc>
          <w:tcPr>
            <w:tcW w:w="330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i w:val="1"/>
                <w:iCs w:val="1"/>
                <w:color w:val="auto"/>
              </w:rPr>
              <w:t>(In Thousands, except for per share data)</w:t>
            </w:r>
          </w:p>
        </w:tc>
        <w:tc>
          <w:tcPr>
            <w:tcW w:w="680" w:type="dxa"/>
            <w:vAlign w:val="bottom"/>
          </w:tcPr>
          <w:p>
            <w:pPr>
              <w:spacing w:after="0"/>
              <w:rPr>
                <w:sz w:val="16"/>
                <w:szCs w:val="16"/>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124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89,050</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74,458</w:t>
            </w:r>
          </w:p>
        </w:tc>
      </w:tr>
      <w:tr>
        <w:trPr>
          <w:trHeight w:val="211"/>
        </w:trPr>
        <w:tc>
          <w:tcPr>
            <w:tcW w:w="7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83,600</w:t>
            </w:r>
          </w:p>
        </w:tc>
      </w:tr>
      <w:tr>
        <w:trPr>
          <w:trHeight w:val="224"/>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issuable shares</w:t>
            </w: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42"/>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82,099</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7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2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4"/>
        </w:trPr>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tcPr>
          <w:p>
            <w:pPr>
              <w:jc w:val="right"/>
              <w:ind w:right="106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24"/>
        </w:trPr>
        <w:tc>
          <w:tcPr>
            <w:tcW w:w="7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6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We are a U.S. taxpayer and are subject to a statutory U.S. federal corporate income tax rate of 21%. Taxable income is reported on our consolidated U.S. federal and various state income tax returns, filed by NMIH on behalf of itself and its subsidiaries. Our effective tax rate on our pre-tax income was 22.3% and 22.6% for the three months ended March 31, 2024 and 2023, respectively.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Such items are treated on a discrete basis in the reporting period in which they occur.</w:t>
      </w:r>
    </w:p>
    <w:p>
      <w:pPr>
        <w:spacing w:after="0" w:line="13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months ended March 31, 2024 primarily represents a change in our net deferred tax liability. As of March 31, 2024 and December 31, 2023, we held $235.3 million of tax and loss bonds in </w:t>
      </w:r>
      <w:r>
        <w:rPr>
          <w:rFonts w:ascii="Times New Roman" w:cs="Times New Roman" w:eastAsia="Times New Roman" w:hAnsi="Times New Roman"/>
          <w:sz w:val="18"/>
          <w:szCs w:val="18"/>
          <w:i w:val="1"/>
          <w:iCs w:val="1"/>
          <w:color w:val="auto"/>
        </w:rPr>
        <w:t>“Prepaid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on our condensed consolidated balance sheets.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6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On February 10, 2022, our Board of Directors authorized a $125 million share repurchase program (excluding associated costs and applicable taxes) effective through December 31, 2023. On July 31, 2023, our Board of Directors authorized a new $200 million share repurchase program (excluding associated costs and applicable taxes) effective through December 31, 2025. Concurrent with the new authorization, our Board of Directors also approved an extension of our existing $125 million share repurchase program through December 31, 2025 to align its remaining tenor with that of the $200 million program. The authorization provides us the flexibility, based on market and business conditions, stock price and other factors, to repurchase stock from time to time through open market purchases, privately negotiated transactions, or other means, including pursuant to Rule 10b5-1 trading plans.</w:t>
      </w:r>
    </w:p>
    <w:p>
      <w:pPr>
        <w:spacing w:after="0" w:line="215"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During the three months ended March 31, 2024, we repurchased 0.8 million shares at an average price of $29.98 per share (excluding associated costs and applicable taxes). During the year ended December 31, 2023, we repurchased 3.5 million shares at an average price of $25.93 per share (excluding associated costs and applicable taxes). As of March 31, 2024, we had $151.8 million of repurchase authority remaining under our current program.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164"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record a litigation liability when we determine that it is probable a litigation loss will be incurred and the amount of such anticipated loss can be reasonably estimated. In the event we determine that a litigation loss is reasonably possible (though not probable), we disclose an estimate of the possible loss if such estimate can be reasonably established or disclose the matter with no estimate if such estimate cannot be reasonably made. We evaluate litigation and other legal developments that could affect our accrual for probable losses or our estimated disclosure of possible losses and make ongoing adjustments to our accruals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and disclosures as appropriate. Significant judgment is required to determine both the likelihood and the estimated amount of potential losses related to such matters.</w:t>
      </w:r>
    </w:p>
    <w:p>
      <w:pPr>
        <w:spacing w:after="0" w:line="11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are currently named as a defendant in a litigation proceeding pertaining to the refund of certain mortgage insurance premiums under the Homeowners Protection Act. The case was dismissed in September 2023 and is currently pending appeal. We do not currently expect that we will incur a material loss in connection with the case and have not recorded a litigation liability for this matter.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Premiums Receivable</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Premiums receivable consists of premiums due on our mortgage insurance policies. If a mortgage insurance premium is unpaid for more than 120 days, the associated receivable is written off against earned premium and the related insurance policy is canceled. Premiums receivable may be written off prior to 120 days in the ordinary course of business for non-credit events including, but not limited to, the modification or refinancing of an underlying insured loan. We established a $2.3 million and $2.7 million reserve for premium write-offs at March 31, 2024 and December 31, 2023, respectively.</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separately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 was deemed immaterial at March 31, 2024 and December 31,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Regulatory Information</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Statutory Requirements</w:t>
      </w:r>
    </w:p>
    <w:p>
      <w:pPr>
        <w:spacing w:after="0" w:line="164"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NMIC and Re One generated combined statutory net income of $34.7 million and $21.8 million for the three months ended March 31, 2024 and 2023, respectively.</w:t>
      </w:r>
    </w:p>
    <w:p>
      <w:pPr>
        <w:spacing w:after="0" w:line="11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13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NMIC's statutory surplus, contingency reserve, statutory capital and risk-to-capital (RTC) ratio as of March 31, 2024 and December 31,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2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60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85"/>
        </w:trPr>
        <w:tc>
          <w:tcPr>
            <w:tcW w:w="60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4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20" w:type="dxa"/>
            <w:vAlign w:val="bottom"/>
          </w:tcPr>
          <w:p>
            <w:pPr>
              <w:spacing w:after="0"/>
              <w:rPr>
                <w:sz w:val="16"/>
                <w:szCs w:val="16"/>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surplus</w:t>
            </w:r>
          </w:p>
        </w:tc>
        <w:tc>
          <w:tcPr>
            <w:tcW w:w="1780" w:type="dxa"/>
            <w:vAlign w:val="bottom"/>
            <w:shd w:val="clear" w:color="auto" w:fill="CCEEFF"/>
          </w:tcPr>
          <w:p>
            <w:pPr>
              <w:jc w:val="right"/>
              <w:ind w:right="159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992,923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963,085</w:t>
            </w:r>
          </w:p>
        </w:tc>
      </w:tr>
      <w:tr>
        <w:trPr>
          <w:trHeight w:val="224"/>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Contingency reserve</w:t>
            </w:r>
          </w:p>
        </w:tc>
        <w:tc>
          <w:tcPr>
            <w:tcW w:w="1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1,654,279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1,573,360</w:t>
            </w:r>
          </w:p>
        </w:tc>
      </w:tr>
      <w:tr>
        <w:trPr>
          <w:trHeight w:val="242"/>
        </w:trPr>
        <w:tc>
          <w:tcPr>
            <w:tcW w:w="6000" w:type="dxa"/>
            <w:vAlign w:val="bottom"/>
            <w:tcBorders>
              <w:bottom w:val="single" w:sz="8" w:color="CCEEFF"/>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Statutory capital </w:t>
            </w:r>
            <w:r>
              <w:rPr>
                <w:rFonts w:ascii="Times New Roman" w:cs="Times New Roman" w:eastAsia="Times New Roman" w:hAnsi="Times New Roman"/>
                <w:sz w:val="22"/>
                <w:szCs w:val="22"/>
                <w:color w:val="auto"/>
                <w:vertAlign w:val="superscript"/>
              </w:rPr>
              <w:t>(1)</w:t>
            </w:r>
          </w:p>
        </w:tc>
        <w:tc>
          <w:tcPr>
            <w:tcW w:w="1780" w:type="dxa"/>
            <w:vAlign w:val="bottom"/>
            <w:tcBorders>
              <w:bottom w:val="single" w:sz="8" w:color="auto"/>
            </w:tcBorders>
            <w:shd w:val="clear" w:color="auto" w:fill="CCEEFF"/>
          </w:tcPr>
          <w:p>
            <w:pPr>
              <w:jc w:val="right"/>
              <w:ind w:right="159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2,647,202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2,536,445</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Risk-to-capital</w:t>
            </w:r>
          </w:p>
        </w:tc>
        <w:tc>
          <w:tcPr>
            <w:tcW w:w="17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r>
    </w:tbl>
    <w:p>
      <w:pPr>
        <w:spacing w:after="0" w:line="228"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of the statutory surplus and contingency reserve.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 One had $2.1 million and $2.0 million of statutory capital at March 31, 2024 and December 31, 2023, respectively.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NMIH is not subject to any limitations on its ability to pay dividends except those generally applicable to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that are incorporated in Delaware. Delaware law provides that dividends are only payable out of a corporation's capital surplus or, subject to certain limitations, recent net profits.</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NMIC and Re One are subject to certain rules and regulations prescribed by jurisdictions in which they are authorized to operate and the GSEs that</w:t>
      </w:r>
    </w:p>
    <w:p>
      <w:pPr>
        <w:spacing w:after="0" w:line="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may restrict their ability to pay dividends to NMIH. NMIC has the capacity to pay $96.3 million of aggregate ordinary dividends to NMIH during the twelve-month period ending December 31, 2024.</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6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On April 29, 2024, we entered into a new $250 million five-year unsecured revolving credit facility (the 2024 Revolving Credit Facility) to replace, upon close, our existing 2021 (secured) Revolving Credit Facility. Borrowings under the 2024 Revolving Credit Facility may be used for general corporate purposes, including to support growth, new business production and operations, and will accrue interest and carry undrawn commitment fees identical to those incurred under the 2021 Revolving Credit Facility. Under the 2024 Revolving Credit Facility we will be subject to certain covenants, including a maximum debt-to-total capitalization ratio of 35%, compliance with the PMIERs financial requirements (subject to any GSE approved waivers), and a minimum consolidated net worth requirement (as defined therein). We will no longer be subject to a minimum statutory capital covenant. Closing of the 2024 Revolving Credit Facility is subject to the satisfaction of certain terms and conditions contained therein.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189"/>
        <w:spacing w:after="0" w:line="249" w:lineRule="auto"/>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2023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2023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4"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0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 loan-to-value (LTV)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March 31, 2024, we had issued master policies with 1,984 customers, including national and regional mortgage banks, money center banks, credit unions, community banks, builder-owned mortgage lenders, internet-sourced lenders and other non-bank lenders. As of March 31, 2024, we had $199.4 billion of primary insurance-in-force (IIF) and $52.6 billion of primary risk-in-force (RIF).</w:t>
      </w:r>
    </w:p>
    <w:p>
      <w:pPr>
        <w:spacing w:after="0" w:line="135" w:lineRule="exact"/>
        <w:rPr>
          <w:sz w:val="20"/>
          <w:szCs w:val="20"/>
          <w:color w:val="auto"/>
        </w:rPr>
      </w:pPr>
    </w:p>
    <w:p>
      <w:pPr>
        <w:jc w:val="both"/>
        <w:ind w:firstLine="633"/>
        <w:spacing w:after="0" w:line="238" w:lineRule="auto"/>
        <w:rPr>
          <w:sz w:val="20"/>
          <w:szCs w:val="20"/>
          <w:color w:val="auto"/>
        </w:rPr>
      </w:pPr>
      <w:r>
        <w:rPr>
          <w:rFonts w:ascii="Times New Roman" w:cs="Times New Roman" w:eastAsia="Times New Roman" w:hAnsi="Times New Roman"/>
          <w:sz w:val="18"/>
          <w:szCs w:val="18"/>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pricing platform to dynamically evaluate risk and price our policies, and foster a culture of collaboration and excellence that helps us attract and retain experienced industry leaders.</w:t>
      </w:r>
    </w:p>
    <w:p>
      <w:pPr>
        <w:spacing w:after="0" w:line="14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 xml:space="preserve">Our common stock trades on the Nasdaq under the symbol “NMIH.” Our headquarters is located in Emeryville, California. As of March 31, 2024, we had 234 employees. Our corporate website is located at </w:t>
      </w:r>
      <w:r>
        <w:rPr>
          <w:rFonts w:ascii="Times New Roman" w:cs="Times New Roman" w:eastAsia="Times New Roman" w:hAnsi="Times New Roman"/>
          <w:sz w:val="18"/>
          <w:szCs w:val="18"/>
          <w:i w:val="1"/>
          <w:iCs w:val="1"/>
          <w:color w:val="auto"/>
        </w:rPr>
        <w:t>www.nationalmi.com</w:t>
      </w:r>
      <w:r>
        <w:rPr>
          <w:rFonts w:ascii="Times New Roman" w:cs="Times New Roman" w:eastAsia="Times New Roman" w:hAnsi="Times New Roman"/>
          <w:sz w:val="18"/>
          <w:szCs w:val="18"/>
          <w:color w:val="auto"/>
        </w:rPr>
        <w:t>. Our website and the information contained on or accessible through our website are not incorporated by reference into this report.</w:t>
      </w:r>
    </w:p>
    <w:p>
      <w:pPr>
        <w:spacing w:after="0" w:line="12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6" w:name="page27"/>
    <w:bookmarkEnd w:id="26"/>
    <w:p>
      <w:pPr>
        <w:jc w:val="center"/>
        <w:ind w:right="7740"/>
        <w:spacing w:after="0"/>
        <w:rPr>
          <w:sz w:val="20"/>
          <w:szCs w:val="20"/>
          <w:color w:val="auto"/>
        </w:rPr>
      </w:pPr>
      <w:r>
        <w:rPr>
          <w:rFonts w:ascii="Times New Roman" w:cs="Times New Roman" w:eastAsia="Times New Roman" w:hAnsi="Times New Roman"/>
          <w:sz w:val="16"/>
          <w:szCs w:val="16"/>
          <w:b w:val="1"/>
          <w:bCs w:val="1"/>
          <w:color w:val="auto"/>
        </w:rPr>
        <w:t>Conditions and Trends Affecting Our Business</w:t>
      </w:r>
    </w:p>
    <w:p>
      <w:pPr>
        <w:spacing w:after="0" w:line="183" w:lineRule="exact"/>
        <w:rPr>
          <w:sz w:val="20"/>
          <w:szCs w:val="20"/>
          <w:color w:val="auto"/>
        </w:rPr>
      </w:pPr>
    </w:p>
    <w:p>
      <w:pPr>
        <w:jc w:val="center"/>
        <w:ind w:right="7740"/>
        <w:spacing w:after="0"/>
        <w:rPr>
          <w:sz w:val="20"/>
          <w:szCs w:val="20"/>
          <w:color w:val="auto"/>
        </w:rPr>
      </w:pPr>
      <w:r>
        <w:rPr>
          <w:rFonts w:ascii="Times New Roman" w:cs="Times New Roman" w:eastAsia="Times New Roman" w:hAnsi="Times New Roman"/>
          <w:sz w:val="18"/>
          <w:szCs w:val="18"/>
          <w:b w:val="1"/>
          <w:bCs w:val="1"/>
          <w:i w:val="1"/>
          <w:iCs w:val="1"/>
          <w:color w:val="auto"/>
        </w:rPr>
        <w:t>Macroeconomic Developments</w:t>
      </w:r>
    </w:p>
    <w:p>
      <w:pPr>
        <w:spacing w:after="0" w:line="16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new insurance written (NIW) volume, or contribute to an increase in our future default and claim experience.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New Insurance Written, Insurance-In-Force and Risk-In-Force</w:t>
      </w:r>
    </w:p>
    <w:p>
      <w:pPr>
        <w:spacing w:after="0" w:line="166"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Net Premiums Earned</w:t>
      </w:r>
    </w:p>
    <w:p>
      <w:pPr>
        <w:spacing w:after="0" w:line="166" w:lineRule="exact"/>
        <w:rPr>
          <w:sz w:val="20"/>
          <w:szCs w:val="20"/>
          <w:color w:val="auto"/>
        </w:rPr>
      </w:pPr>
    </w:p>
    <w:p>
      <w:pPr>
        <w:jc w:val="both"/>
        <w:ind w:firstLine="633"/>
        <w:spacing w:after="0" w:line="222" w:lineRule="auto"/>
        <w:rPr>
          <w:sz w:val="20"/>
          <w:szCs w:val="20"/>
          <w:color w:val="auto"/>
        </w:rPr>
      </w:pPr>
      <w:r>
        <w:rPr>
          <w:rFonts w:ascii="Times New Roman" w:cs="Times New Roman" w:eastAsia="Times New Roman" w:hAnsi="Times New Roman"/>
          <w:sz w:val="18"/>
          <w:szCs w:val="18"/>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 June 2018 to replace our previous rate card pricing system. While most of our new business is priced through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we also continue to offer a rate card pricing option to a limited number of lender customers who require a rate card for operational reasons. We believe the introduction and utilization of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4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26" w:lineRule="exact"/>
        <w:rPr>
          <w:sz w:val="20"/>
          <w:szCs w:val="20"/>
          <w:color w:val="auto"/>
        </w:rPr>
      </w:pPr>
    </w:p>
    <w:p>
      <w:pPr>
        <w:ind w:left="960" w:hanging="321"/>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NIW;</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and the mix of premium payment type, which are either single, monthly or annual premiums, as described below;</w:t>
      </w:r>
    </w:p>
    <w:p>
      <w:pPr>
        <w:spacing w:after="0" w:line="162"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12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cession of premiums under third-party reinsurance arrangements.</w:t>
      </w:r>
    </w:p>
    <w:p>
      <w:pPr>
        <w:spacing w:after="0" w:line="162"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Premiums are paid either by the borrower (borrower-paid mortgage insurance or BPMI) or the lender (lender-paid mortgage insurance or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March 31, 2024 were non-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7" w:name="page28"/>
    <w:bookmarkEnd w:id="27"/>
    <w:p>
      <w:pPr>
        <w:jc w:val="both"/>
        <w:spacing w:after="0" w:line="257" w:lineRule="auto"/>
        <w:rPr>
          <w:sz w:val="20"/>
          <w:szCs w:val="20"/>
          <w:color w:val="auto"/>
        </w:rPr>
      </w:pPr>
      <w:r>
        <w:rPr>
          <w:rFonts w:ascii="Times New Roman" w:cs="Times New Roman" w:eastAsia="Times New Roman" w:hAnsi="Times New Roman"/>
          <w:sz w:val="18"/>
          <w:szCs w:val="18"/>
          <w:color w:val="auto"/>
        </w:rPr>
        <w:t>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26"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Effect of Reinsurance on Our Results</w:t>
      </w:r>
    </w:p>
    <w:p>
      <w:pPr>
        <w:spacing w:after="0" w:line="166" w:lineRule="exact"/>
        <w:rPr>
          <w:sz w:val="20"/>
          <w:szCs w:val="20"/>
          <w:color w:val="auto"/>
        </w:rPr>
      </w:pPr>
    </w:p>
    <w:p>
      <w:pPr>
        <w:jc w:val="both"/>
        <w:ind w:firstLine="633"/>
        <w:spacing w:after="0" w:line="282" w:lineRule="auto"/>
        <w:rPr>
          <w:sz w:val="20"/>
          <w:szCs w:val="20"/>
          <w:color w:val="auto"/>
        </w:rPr>
      </w:pPr>
      <w:r>
        <w:rPr>
          <w:rFonts w:ascii="Times New Roman" w:cs="Times New Roman" w:eastAsia="Times New Roman" w:hAnsi="Times New Roman"/>
          <w:sz w:val="16"/>
          <w:szCs w:val="16"/>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Excess-of-Loss Reinsurance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Insurance-Linked Notes</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30"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respective reinsurance coverage amounts provided by the Oaktown Re Vehicles decrease (over a ten-year period in the case of Oaktown Re III Ltd. and Oaktown Re V Ltd. and 12.5-year period in the case of Oaktown Re VI Ltd. and Oaktown Re VII Ltd.)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insurance-linked note principal is suspended if certain credit enhancement or delinquency thresholds, as defined in each agreement, are triggered (each, a Lock-Out Event). Effective March 31, 2024, a previously triggered Lock-Out Event for the 2019 ILN Transaction was deemed to have cleared and amortization of the associated reinsurance coverage, and distribution of collateral assets and amortization of the associated insurance-linked notes resumed.</w:t>
      </w:r>
    </w:p>
    <w:p>
      <w:pPr>
        <w:spacing w:after="0" w:line="13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8" w:name="page29"/>
    <w:bookmarkEnd w:id="28"/>
    <w:p>
      <w:pPr>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March 31, 2024.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Initial First</w:t>
            </w:r>
          </w:p>
        </w:tc>
        <w:tc>
          <w:tcPr>
            <w:tcW w:w="120" w:type="dxa"/>
            <w:vAlign w:val="bottom"/>
          </w:tcPr>
          <w:p>
            <w:pPr>
              <w:spacing w:after="0"/>
              <w:rPr>
                <w:sz w:val="13"/>
                <w:szCs w:val="13"/>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Current First</w:t>
            </w:r>
          </w:p>
        </w:tc>
        <w:tc>
          <w:tcPr>
            <w:tcW w:w="0" w:type="dxa"/>
            <w:vAlign w:val="bottom"/>
          </w:tcPr>
          <w:p>
            <w:pPr>
              <w:spacing w:after="0"/>
              <w:rPr>
                <w:sz w:val="1"/>
                <w:szCs w:val="1"/>
                <w:color w:val="auto"/>
              </w:rPr>
            </w:pPr>
          </w:p>
        </w:tc>
      </w:tr>
      <w:tr>
        <w:trPr>
          <w:trHeight w:val="143"/>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4"/>
                <w:szCs w:val="14"/>
                <w:i w:val="1"/>
                <w:iCs w:val="1"/>
                <w:color w:val="auto"/>
              </w:rPr>
              <w:t>$ values in thousands)</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23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80" w:type="dxa"/>
            <w:vAlign w:val="bottom"/>
            <w:gridSpan w:val="3"/>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Layer Retained</w:t>
            </w:r>
          </w:p>
        </w:tc>
        <w:tc>
          <w:tcPr>
            <w:tcW w:w="120" w:type="dxa"/>
            <w:vAlign w:val="bottom"/>
          </w:tcPr>
          <w:p>
            <w:pPr>
              <w:spacing w:after="0"/>
              <w:rPr>
                <w:sz w:val="12"/>
                <w:szCs w:val="12"/>
                <w:color w:val="auto"/>
              </w:rPr>
            </w:pPr>
          </w:p>
        </w:tc>
        <w:tc>
          <w:tcPr>
            <w:tcW w:w="1100" w:type="dxa"/>
            <w:vAlign w:val="bottom"/>
          </w:tcPr>
          <w:p>
            <w:pPr>
              <w:jc w:val="center"/>
              <w:ind w:right="40"/>
              <w:spacing w:after="0" w:line="143" w:lineRule="exact"/>
              <w:rPr>
                <w:sz w:val="20"/>
                <w:szCs w:val="20"/>
                <w:color w:val="auto"/>
              </w:rPr>
            </w:pPr>
            <w:r>
              <w:rPr>
                <w:rFonts w:ascii="Times New Roman" w:cs="Times New Roman" w:eastAsia="Times New Roman" w:hAnsi="Times New Roman"/>
                <w:sz w:val="14"/>
                <w:szCs w:val="14"/>
                <w:b w:val="1"/>
                <w:bCs w:val="1"/>
                <w:color w:val="auto"/>
              </w:rPr>
              <w:t>Layer Retained</w:t>
            </w:r>
          </w:p>
        </w:tc>
        <w:tc>
          <w:tcPr>
            <w:tcW w:w="0" w:type="dxa"/>
            <w:vAlign w:val="bottom"/>
          </w:tcPr>
          <w:p>
            <w:pPr>
              <w:spacing w:after="0"/>
              <w:rPr>
                <w:sz w:val="1"/>
                <w:szCs w:val="1"/>
                <w:color w:val="auto"/>
              </w:rPr>
            </w:pPr>
          </w:p>
        </w:tc>
      </w:tr>
      <w:tr>
        <w:trPr>
          <w:trHeight w:val="192"/>
        </w:trPr>
        <w:tc>
          <w:tcPr>
            <w:tcW w:w="23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20" w:type="dxa"/>
            <w:vAlign w:val="bottom"/>
          </w:tcPr>
          <w:p>
            <w:pPr>
              <w:spacing w:after="0"/>
              <w:rPr>
                <w:sz w:val="16"/>
                <w:szCs w:val="16"/>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xml:space="preserve">Loss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4"/>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ILN Transaction</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July 30, 2019</w:t>
            </w: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6/1/2018 – 6/30/2019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155,552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121,702</w:t>
            </w:r>
          </w:p>
        </w:tc>
        <w:tc>
          <w:tcPr>
            <w:tcW w:w="0" w:type="dxa"/>
            <w:vAlign w:val="bottom"/>
          </w:tcPr>
          <w:p>
            <w:pPr>
              <w:spacing w:after="0"/>
              <w:rPr>
                <w:sz w:val="1"/>
                <w:szCs w:val="1"/>
                <w:color w:val="auto"/>
              </w:rPr>
            </w:pPr>
          </w:p>
        </w:tc>
      </w:tr>
      <w:tr>
        <w:trPr>
          <w:trHeight w:val="224"/>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2020-2 ILN Transaction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October 29, 2020</w:t>
            </w:r>
          </w:p>
        </w:tc>
        <w:tc>
          <w:tcPr>
            <w:tcW w:w="2320" w:type="dxa"/>
            <w:vAlign w:val="bottom"/>
            <w:gridSpan w:val="2"/>
          </w:tcPr>
          <w:p>
            <w:pPr>
              <w:jc w:val="center"/>
              <w:ind w:right="160"/>
              <w:spacing w:after="0" w:line="224" w:lineRule="exact"/>
              <w:rPr>
                <w:sz w:val="20"/>
                <w:szCs w:val="20"/>
                <w:color w:val="auto"/>
              </w:rPr>
            </w:pPr>
            <w:r>
              <w:rPr>
                <w:rFonts w:ascii="Times New Roman" w:cs="Times New Roman" w:eastAsia="Times New Roman" w:hAnsi="Times New Roman"/>
                <w:sz w:val="18"/>
                <w:szCs w:val="18"/>
                <w:color w:val="auto"/>
                <w:w w:val="95"/>
              </w:rPr>
              <w:t xml:space="preserve">4/1/2020 – 9/30/2020 </w:t>
            </w:r>
            <w:r>
              <w:rPr>
                <w:rFonts w:ascii="Times New Roman" w:cs="Times New Roman" w:eastAsia="Times New Roman" w:hAnsi="Times New Roman"/>
                <w:sz w:val="22"/>
                <w:szCs w:val="22"/>
                <w:color w:val="auto"/>
                <w:w w:val="95"/>
                <w:vertAlign w:val="superscript"/>
              </w:rPr>
              <w:t>(2)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121,177</w:t>
            </w:r>
          </w:p>
        </w:tc>
        <w:tc>
          <w:tcPr>
            <w:tcW w:w="0" w:type="dxa"/>
            <w:vAlign w:val="bottom"/>
          </w:tcPr>
          <w:p>
            <w:pPr>
              <w:spacing w:after="0"/>
              <w:rPr>
                <w:sz w:val="1"/>
                <w:szCs w:val="1"/>
                <w:color w:val="auto"/>
              </w:rPr>
            </w:pPr>
          </w:p>
        </w:tc>
      </w:tr>
      <w:tr>
        <w:trPr>
          <w:trHeight w:val="224"/>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2021-1 ILN Transaction</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April 27, 2021</w:t>
            </w:r>
          </w:p>
        </w:tc>
        <w:tc>
          <w:tcPr>
            <w:tcW w:w="2320" w:type="dxa"/>
            <w:vAlign w:val="bottom"/>
            <w:gridSpan w:val="2"/>
            <w:shd w:val="clear" w:color="auto" w:fill="CCEEFF"/>
          </w:tcPr>
          <w:p>
            <w:pPr>
              <w:jc w:val="center"/>
              <w:ind w:right="140"/>
              <w:spacing w:after="0" w:line="224" w:lineRule="exact"/>
              <w:rPr>
                <w:sz w:val="20"/>
                <w:szCs w:val="20"/>
                <w:color w:val="auto"/>
              </w:rPr>
            </w:pPr>
            <w:r>
              <w:rPr>
                <w:rFonts w:ascii="Times New Roman" w:cs="Times New Roman" w:eastAsia="Times New Roman" w:hAnsi="Times New Roman"/>
                <w:sz w:val="18"/>
                <w:szCs w:val="18"/>
                <w:color w:val="auto"/>
                <w:w w:val="95"/>
              </w:rPr>
              <w:t xml:space="preserve">10/1/2020 – 3/31/2021 </w:t>
            </w:r>
            <w:r>
              <w:rPr>
                <w:rFonts w:ascii="Times New Roman" w:cs="Times New Roman" w:eastAsia="Times New Roman" w:hAnsi="Times New Roman"/>
                <w:sz w:val="22"/>
                <w:szCs w:val="22"/>
                <w:color w:val="auto"/>
                <w:w w:val="95"/>
                <w:vertAlign w:val="superscript"/>
              </w:rPr>
              <w:t>(3)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163,394</w:t>
            </w:r>
          </w:p>
        </w:tc>
        <w:tc>
          <w:tcPr>
            <w:tcW w:w="0" w:type="dxa"/>
            <w:vAlign w:val="bottom"/>
          </w:tcPr>
          <w:p>
            <w:pPr>
              <w:spacing w:after="0"/>
              <w:rPr>
                <w:sz w:val="1"/>
                <w:szCs w:val="1"/>
                <w:color w:val="auto"/>
              </w:rPr>
            </w:pPr>
          </w:p>
        </w:tc>
      </w:tr>
      <w:tr>
        <w:trPr>
          <w:trHeight w:val="30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2021-2 ILN Transaction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October 26, 2021</w:t>
            </w: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 xml:space="preserve">4/1/2021 – 9/30/2021 </w:t>
            </w:r>
            <w:r>
              <w:rPr>
                <w:rFonts w:ascii="Times New Roman" w:cs="Times New Roman" w:eastAsia="Times New Roman" w:hAnsi="Times New Roman"/>
                <w:sz w:val="22"/>
                <w:szCs w:val="22"/>
                <w:color w:val="auto"/>
                <w:w w:val="95"/>
                <w:vertAlign w:val="superscript"/>
              </w:rPr>
              <w:t>(4)</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145,715</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20" w:hanging="314"/>
        <w:spacing w:after="0" w:line="254" w:lineRule="auto"/>
        <w:tabs>
          <w:tab w:leader="none" w:pos="39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300" w:hanging="294"/>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2020-2 ILN Transaction has coverage reporting dates between July 1, 2019 and March 31, 2020.</w:t>
      </w:r>
    </w:p>
    <w:p>
      <w:pPr>
        <w:spacing w:after="0" w:line="10"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2021-1 ILN Transaction has coverage reporting dates between July 1, 2019 and September 30, 2020.</w:t>
      </w:r>
    </w:p>
    <w:p>
      <w:pPr>
        <w:spacing w:after="0" w:line="10"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Traditional Reinsurance</w:t>
      </w:r>
    </w:p>
    <w:p>
      <w:pPr>
        <w:spacing w:after="0" w:line="16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NMIC is party to six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 2023, and the 2024 XOL Transaction, effective January 1, 2024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spacing w:after="0" w:line="13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3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Each of the third-party reinsurance providers that is party to the XOL Transactions has an insurer financial strength rating of A- or better by S&amp;P, A.M. Best or both.</w:t>
      </w:r>
    </w:p>
    <w:p>
      <w:pPr>
        <w:spacing w:after="0" w:line="11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March 31,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Initial First</w:t>
            </w:r>
          </w:p>
        </w:tc>
        <w:tc>
          <w:tcPr>
            <w:tcW w:w="120" w:type="dxa"/>
            <w:vAlign w:val="bottom"/>
          </w:tcPr>
          <w:p>
            <w:pPr>
              <w:spacing w:after="0"/>
              <w:rPr>
                <w:sz w:val="13"/>
                <w:szCs w:val="13"/>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Current First</w:t>
            </w:r>
          </w:p>
        </w:tc>
        <w:tc>
          <w:tcPr>
            <w:tcW w:w="0" w:type="dxa"/>
            <w:vAlign w:val="bottom"/>
          </w:tcPr>
          <w:p>
            <w:pPr>
              <w:spacing w:after="0"/>
              <w:rPr>
                <w:sz w:val="1"/>
                <w:szCs w:val="1"/>
                <w:color w:val="auto"/>
              </w:rPr>
            </w:pPr>
          </w:p>
        </w:tc>
      </w:tr>
      <w:tr>
        <w:trPr>
          <w:trHeight w:val="132"/>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4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60" w:type="dxa"/>
            <w:vAlign w:val="bottom"/>
            <w:gridSpan w:val="3"/>
          </w:tcPr>
          <w:p>
            <w:pPr>
              <w:jc w:val="center"/>
              <w:ind w:right="100"/>
              <w:spacing w:after="0" w:line="132" w:lineRule="exact"/>
              <w:rPr>
                <w:sz w:val="20"/>
                <w:szCs w:val="20"/>
                <w:color w:val="auto"/>
              </w:rPr>
            </w:pPr>
            <w:r>
              <w:rPr>
                <w:rFonts w:ascii="Times New Roman" w:cs="Times New Roman" w:eastAsia="Times New Roman" w:hAnsi="Times New Roman"/>
                <w:sz w:val="14"/>
                <w:szCs w:val="14"/>
                <w:b w:val="1"/>
                <w:bCs w:val="1"/>
                <w:color w:val="auto"/>
              </w:rPr>
              <w:t>Layer Retained</w:t>
            </w:r>
          </w:p>
        </w:tc>
        <w:tc>
          <w:tcPr>
            <w:tcW w:w="106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Layer Retained</w:t>
            </w:r>
          </w:p>
        </w:tc>
        <w:tc>
          <w:tcPr>
            <w:tcW w:w="0" w:type="dxa"/>
            <w:vAlign w:val="bottom"/>
          </w:tcPr>
          <w:p>
            <w:pPr>
              <w:spacing w:after="0"/>
              <w:rPr>
                <w:sz w:val="1"/>
                <w:szCs w:val="1"/>
                <w:color w:val="auto"/>
              </w:rPr>
            </w:pPr>
          </w:p>
        </w:tc>
      </w:tr>
      <w:tr>
        <w:trPr>
          <w:trHeight w:val="211"/>
        </w:trPr>
        <w:tc>
          <w:tcPr>
            <w:tcW w:w="2600" w:type="dxa"/>
            <w:vAlign w:val="bottom"/>
            <w:gridSpan w:val="2"/>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2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8"/>
                <w:szCs w:val="18"/>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3"/>
              </w:rPr>
              <w:t xml:space="preserve">Loss </w:t>
            </w:r>
            <w:r>
              <w:rPr>
                <w:rFonts w:ascii="Times New Roman" w:cs="Times New Roman" w:eastAsia="Times New Roman" w:hAnsi="Times New Roman"/>
                <w:sz w:val="18"/>
                <w:szCs w:val="18"/>
                <w:b w:val="1"/>
                <w:bCs w:val="1"/>
                <w:color w:val="auto"/>
                <w:w w:val="93"/>
                <w:vertAlign w:val="superscript"/>
              </w:rPr>
              <w:t>(1)</w:t>
            </w:r>
          </w:p>
        </w:tc>
        <w:tc>
          <w:tcPr>
            <w:tcW w:w="0" w:type="dxa"/>
            <w:vAlign w:val="bottom"/>
          </w:tcPr>
          <w:p>
            <w:pPr>
              <w:spacing w:after="0"/>
              <w:rPr>
                <w:sz w:val="1"/>
                <w:szCs w:val="1"/>
                <w:color w:val="auto"/>
              </w:rPr>
            </w:pPr>
          </w:p>
        </w:tc>
      </w:tr>
      <w:tr>
        <w:trPr>
          <w:trHeight w:val="217"/>
        </w:trPr>
        <w:tc>
          <w:tcPr>
            <w:tcW w:w="2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2022-1 XOL Transaction</w:t>
            </w: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April 1, 2022</w:t>
            </w:r>
          </w:p>
        </w:tc>
        <w:tc>
          <w:tcPr>
            <w:tcW w:w="2320" w:type="dxa"/>
            <w:vAlign w:val="bottom"/>
            <w:tcBorders>
              <w:top w:val="single" w:sz="8" w:color="auto"/>
            </w:tcBorders>
            <w:shd w:val="clear" w:color="auto" w:fill="CCEEFF"/>
          </w:tcPr>
          <w:p>
            <w:pPr>
              <w:jc w:val="center"/>
              <w:spacing w:after="0" w:line="218" w:lineRule="exact"/>
              <w:rPr>
                <w:sz w:val="20"/>
                <w:szCs w:val="20"/>
                <w:color w:val="auto"/>
              </w:rPr>
            </w:pPr>
            <w:r>
              <w:rPr>
                <w:rFonts w:ascii="Times New Roman" w:cs="Times New Roman" w:eastAsia="Times New Roman" w:hAnsi="Times New Roman"/>
                <w:sz w:val="18"/>
                <w:szCs w:val="18"/>
                <w:color w:val="auto"/>
                <w:w w:val="95"/>
              </w:rPr>
              <w:t xml:space="preserve">10/1/2021 – 3/31/2022 </w:t>
            </w:r>
            <w:r>
              <w:rPr>
                <w:rFonts w:ascii="Times New Roman" w:cs="Times New Roman" w:eastAsia="Times New Roman" w:hAnsi="Times New Roman"/>
                <w:sz w:val="22"/>
                <w:szCs w:val="22"/>
                <w:color w:val="auto"/>
                <w:w w:val="95"/>
                <w:vertAlign w:val="superscript"/>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289,741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133,007</w:t>
            </w:r>
          </w:p>
        </w:tc>
        <w:tc>
          <w:tcPr>
            <w:tcW w:w="0" w:type="dxa"/>
            <w:vAlign w:val="bottom"/>
          </w:tcPr>
          <w:p>
            <w:pPr>
              <w:spacing w:after="0"/>
              <w:rPr>
                <w:sz w:val="1"/>
                <w:szCs w:val="1"/>
                <w:color w:val="auto"/>
              </w:rPr>
            </w:pPr>
          </w:p>
        </w:tc>
      </w:tr>
      <w:tr>
        <w:trPr>
          <w:trHeight w:val="224"/>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2022-2</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XOL Transaction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2022</w:t>
            </w:r>
          </w:p>
        </w:tc>
        <w:tc>
          <w:tcPr>
            <w:tcW w:w="2420" w:type="dxa"/>
            <w:vAlign w:val="bottom"/>
            <w:gridSpan w:val="2"/>
          </w:tcPr>
          <w:p>
            <w:pPr>
              <w:jc w:val="center"/>
              <w:ind w:right="40"/>
              <w:spacing w:after="0" w:line="224" w:lineRule="exact"/>
              <w:rPr>
                <w:sz w:val="20"/>
                <w:szCs w:val="20"/>
                <w:color w:val="auto"/>
              </w:rPr>
            </w:pPr>
            <w:r>
              <w:rPr>
                <w:rFonts w:ascii="Times New Roman" w:cs="Times New Roman" w:eastAsia="Times New Roman" w:hAnsi="Times New Roman"/>
                <w:sz w:val="18"/>
                <w:szCs w:val="18"/>
                <w:color w:val="auto"/>
                <w:w w:val="96"/>
              </w:rPr>
              <w:t xml:space="preserve">4/1/2022 – 6/30/2022 </w:t>
            </w:r>
            <w:r>
              <w:rPr>
                <w:rFonts w:ascii="Times New Roman" w:cs="Times New Roman" w:eastAsia="Times New Roman" w:hAnsi="Times New Roman"/>
                <w:sz w:val="22"/>
                <w:szCs w:val="22"/>
                <w:color w:val="auto"/>
                <w:w w:val="96"/>
                <w:vertAlign w:val="superscript"/>
              </w:rPr>
              <w:t>(3)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78,735</w:t>
            </w:r>
          </w:p>
        </w:tc>
        <w:tc>
          <w:tcPr>
            <w:tcW w:w="0" w:type="dxa"/>
            <w:vAlign w:val="bottom"/>
          </w:tcPr>
          <w:p>
            <w:pPr>
              <w:spacing w:after="0"/>
              <w:rPr>
                <w:sz w:val="1"/>
                <w:szCs w:val="1"/>
                <w:color w:val="auto"/>
              </w:rPr>
            </w:pPr>
          </w:p>
        </w:tc>
      </w:tr>
      <w:tr>
        <w:trPr>
          <w:trHeight w:val="224"/>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2022-3</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XOL Transaction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October 1, 2022</w:t>
            </w:r>
          </w:p>
        </w:tc>
        <w:tc>
          <w:tcPr>
            <w:tcW w:w="24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6"/>
              </w:rPr>
              <w:t>7/1/2022 – 9/30/2022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106,023</w:t>
            </w:r>
          </w:p>
        </w:tc>
        <w:tc>
          <w:tcPr>
            <w:tcW w:w="0" w:type="dxa"/>
            <w:vAlign w:val="bottom"/>
          </w:tcPr>
          <w:p>
            <w:pPr>
              <w:spacing w:after="0"/>
              <w:rPr>
                <w:sz w:val="1"/>
                <w:szCs w:val="1"/>
                <w:color w:val="auto"/>
              </w:rPr>
            </w:pPr>
          </w:p>
        </w:tc>
      </w:tr>
      <w:tr>
        <w:trPr>
          <w:trHeight w:val="224"/>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2023-1</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XOL Transaction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January 1, 2023</w:t>
            </w:r>
          </w:p>
        </w:tc>
        <w:tc>
          <w:tcPr>
            <w:tcW w:w="2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10/1/2022 – 6/30/2023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146,348</w:t>
            </w:r>
          </w:p>
        </w:tc>
        <w:tc>
          <w:tcPr>
            <w:tcW w:w="0" w:type="dxa"/>
            <w:vAlign w:val="bottom"/>
          </w:tcPr>
          <w:p>
            <w:pPr>
              <w:spacing w:after="0"/>
              <w:rPr>
                <w:sz w:val="1"/>
                <w:szCs w:val="1"/>
                <w:color w:val="auto"/>
              </w:rPr>
            </w:pPr>
          </w:p>
        </w:tc>
      </w:tr>
      <w:tr>
        <w:trPr>
          <w:trHeight w:val="224"/>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2023-2</w:t>
            </w:r>
          </w:p>
        </w:tc>
        <w:tc>
          <w:tcPr>
            <w:tcW w:w="20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XOL Transaction </w:t>
            </w:r>
            <w:r>
              <w:rPr>
                <w:rFonts w:ascii="Times New Roman" w:cs="Times New Roman" w:eastAsia="Times New Roman" w:hAnsi="Times New Roman"/>
                <w:sz w:val="22"/>
                <w:szCs w:val="22"/>
                <w:color w:val="auto"/>
                <w:vertAlign w:val="superscript"/>
              </w:rPr>
              <w:t>(4)</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1, 2023</w:t>
            </w:r>
          </w:p>
        </w:tc>
        <w:tc>
          <w:tcPr>
            <w:tcW w:w="24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7/1/2023 – 12/31/2023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136,875</w:t>
            </w:r>
          </w:p>
        </w:tc>
        <w:tc>
          <w:tcPr>
            <w:tcW w:w="0" w:type="dxa"/>
            <w:vAlign w:val="bottom"/>
          </w:tcPr>
          <w:p>
            <w:pPr>
              <w:spacing w:after="0"/>
              <w:rPr>
                <w:sz w:val="1"/>
                <w:szCs w:val="1"/>
                <w:color w:val="auto"/>
              </w:rPr>
            </w:pPr>
          </w:p>
        </w:tc>
      </w:tr>
      <w:tr>
        <w:trPr>
          <w:trHeight w:val="300"/>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2024 XOL Transaction </w:t>
            </w:r>
            <w:r>
              <w:rPr>
                <w:rFonts w:ascii="Times New Roman" w:cs="Times New Roman" w:eastAsia="Times New Roman" w:hAnsi="Times New Roman"/>
                <w:sz w:val="22"/>
                <w:szCs w:val="22"/>
                <w:color w:val="auto"/>
                <w:vertAlign w:val="superscript"/>
              </w:rPr>
              <w:t>(5)</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January 1, 2024</w:t>
            </w:r>
          </w:p>
        </w:tc>
        <w:tc>
          <w:tcPr>
            <w:tcW w:w="2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1/1/2024 – 12/31/2024</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29" w:name="page30"/>
    <w:bookmarkEnd w:id="29"/>
    <w:p>
      <w:pPr>
        <w:ind w:left="320" w:hanging="314"/>
        <w:spacing w:after="0" w:line="264" w:lineRule="auto"/>
        <w:tabs>
          <w:tab w:leader="none" w:pos="38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00" w:hanging="294"/>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2022-1 XOL Transaction has coverage reporting dates between October 21, 2019 and September 30, 2021.</w:t>
      </w:r>
    </w:p>
    <w:p>
      <w:pPr>
        <w:spacing w:after="0" w:line="1"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2022-2 XOL Transaction has coverage reporting dates between January 4, 2021 and March 31, 2022.</w:t>
      </w:r>
    </w:p>
    <w:p>
      <w:pPr>
        <w:spacing w:after="0" w:line="6"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2024, the initial reinsurance coverage and initial first layer retained loss amounts increased due to revised contractual terms.</w:t>
      </w:r>
    </w:p>
    <w:p>
      <w:pPr>
        <w:spacing w:after="0" w:line="1" w:lineRule="exact"/>
        <w:rPr>
          <w:rFonts w:ascii="Times New Roman" w:cs="Times New Roman" w:eastAsia="Times New Roman" w:hAnsi="Times New Roman"/>
          <w:sz w:val="14"/>
          <w:szCs w:val="14"/>
          <w:color w:val="auto"/>
        </w:rPr>
      </w:pPr>
    </w:p>
    <w:p>
      <w:pPr>
        <w:ind w:left="320" w:hanging="314"/>
        <w:spacing w:after="0" w:line="264" w:lineRule="auto"/>
        <w:tabs>
          <w:tab w:leader="none" w:pos="3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reinsurance coverage, current reinsurance coverage, initial first layer retained loss and current first layer retained loss for the 2024 XOL Transaction will increase as incremental covered production is ceded under the transaction through December 31, 2024.</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Quota Share Reinsurance</w:t>
      </w:r>
    </w:p>
    <w:p>
      <w:pPr>
        <w:spacing w:after="0" w:line="166"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NMIC is party to eight quota share reinsurance treaties – the 2016 QSR Transaction, effective September 1, 2016 and as modified April 1, 2019, the 2018 QSR Transaction, effective January 1, 2018, the 2020 QSR Transaction, effective April 1, 2020 and as amended January 1, 2024, the 2021 QSR Transaction, effective January 1, 2021, the 2022 QSR Transaction, effective October 1, 2021, the 2022 Seasoned QSR Transaction, effective July 1, 2022, the 2023 QSR Transaction, effective January 1, 2023 and the 2024 QSR Transaction, effective January 1, 2024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138"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2016 QSR Transaction, NMIC cedes premiums written related to 20.5% of the risk on eligible primary policies written for all periods through December 31, 2017 in exchange for reimbursement of ceded claims and claim expenses on covered policies, a 20% ceding commission, and a profit commission of up to 60% that varies directly and inversely with ceded claims. NMIC previously ceded 100% of the risk under its pool agreement with Fannie Mae; however, such agreement expired on August 31, 2023 and NMIC no longer cedes pool risk under the 2016 QSR Transaction.</w:t>
      </w:r>
    </w:p>
    <w:p>
      <w:pPr>
        <w:spacing w:after="0" w:line="13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2020 QSR Transaction, NMIC cedes premiums earned related to 21% of the risk on eligible policies written between April 1, 2020 and December 31, 2020, in exchange for reimbursement of ceded claims and claim expenses on covered policies, a 36% ceding commission, and a profit commission of up to 50% that varies directly and inversely with ceded claims.</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2021 QSR Transaction, NMIC cedes premiums earned related to 22.5% of the risk on eligible policies written in 2021 (subject to an aggregate risk written limit which was exhausted on October 30, 2021), in exchange for reimbursement of ceded claims and claim expenses on covered policies, a 20% ceding commission, and a profit commission of up to 57.5% that varies directly and inversely with ceded claims.</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2022 QSR Transaction, NMIC cedes premiums earned related to 20% of the risk on eligible policies written between October 30, 2021 and December 31, 2022, in exchange for reimbursement of ceded claims and claim expenses on covered policies, a 20% ceding commission, and a profit commission of up to 62% that varies directly and inversely with ceded claims.</w:t>
      </w:r>
    </w:p>
    <w:p>
      <w:pPr>
        <w:spacing w:after="0" w:line="12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in exchange for reimbursement of ceded claims and claim expenses on covered policies, a 35% ceding commission, and a profit commission of up to 55% that varies directly and inversely with ceded claims.</w:t>
      </w:r>
    </w:p>
    <w:p>
      <w:pPr>
        <w:spacing w:after="0" w:line="13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2023 QSR Transaction, NMIC cedes premiums earned related to 20% of the risk on eligible policies written in 2023, in exchange for reimbursement of ceded claims and claim expenses on covered policies, a 20% ceding commission, and a profit commission of up to 62% that varies directly and inversely with ceded claims.</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2024 QSR Transaction, NMIC cedes premiums earned related to 20% of the risk on eligible policies written in 2024, in exchange or reimbursement of ceded claims and claim expenses on covered policies, a 20% ceding commission, and a profit commission of up to 56% that varies directly and inversely with ceded claims.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0" w:name="page31"/>
    <w:bookmarkEnd w:id="30"/>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reinsurers continue providing coverage on all risk ceded prior to the termination date, with no new cessions going forward) or cut-off basis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07" w:lineRule="exact"/>
        <w:rPr>
          <w:sz w:val="20"/>
          <w:szCs w:val="20"/>
          <w:color w:val="auto"/>
        </w:rPr>
      </w:pPr>
    </w:p>
    <w:p>
      <w:pPr>
        <w:ind w:firstLine="633"/>
        <w:spacing w:after="0" w:line="272" w:lineRule="auto"/>
        <w:rPr>
          <w:sz w:val="20"/>
          <w:szCs w:val="20"/>
          <w:color w:val="auto"/>
        </w:rPr>
      </w:pPr>
      <w:r>
        <w:rPr>
          <w:rFonts w:ascii="Times New Roman" w:cs="Times New Roman" w:eastAsia="Times New Roman" w:hAnsi="Times New Roman"/>
          <w:sz w:val="18"/>
          <w:szCs w:val="18"/>
          <w:color w:val="auto"/>
        </w:rPr>
        <w:t>See Item 1, “</w:t>
      </w:r>
      <w:r>
        <w:rPr>
          <w:rFonts w:ascii="Times New Roman" w:cs="Times New Roman" w:eastAsia="Times New Roman" w:hAnsi="Times New Roman"/>
          <w:sz w:val="18"/>
          <w:szCs w:val="18"/>
          <w:i w:val="1"/>
          <w:iCs w:val="1"/>
          <w:color w:val="auto"/>
        </w:rPr>
        <w:t>Financial Statements - Notes to Condensed Consolidated Financial Statements - Note 5, Reinsurance”</w:t>
      </w:r>
      <w:r>
        <w:rPr>
          <w:rFonts w:ascii="Times New Roman" w:cs="Times New Roman" w:eastAsia="Times New Roman" w:hAnsi="Times New Roman"/>
          <w:sz w:val="18"/>
          <w:szCs w:val="18"/>
          <w:color w:val="auto"/>
        </w:rPr>
        <w:t xml:space="preserve"> for further discussion of these third-party reinsurance arrangements.</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Portfolio Data</w:t>
      </w:r>
    </w:p>
    <w:p>
      <w:pPr>
        <w:spacing w:after="0" w:line="16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NIW and primary and pool IIF as of the dates and for the periods indicated. Unless otherwise noted, the tables below do not include the effects of our third-party reinsurance arrangements described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NIW and primary and pool IIF</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4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4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960" w:type="dxa"/>
            <w:vAlign w:val="bottom"/>
            <w:tcBorders>
              <w:bottom w:val="single" w:sz="8" w:color="auto"/>
            </w:tcBorders>
          </w:tcPr>
          <w:p>
            <w:pPr>
              <w:spacing w:after="0"/>
              <w:rPr>
                <w:sz w:val="16"/>
                <w:szCs w:val="16"/>
                <w:color w:val="auto"/>
              </w:rPr>
            </w:pPr>
          </w:p>
        </w:tc>
      </w:tr>
      <w:tr>
        <w:trPr>
          <w:trHeight w:val="191"/>
        </w:trPr>
        <w:tc>
          <w:tcPr>
            <w:tcW w:w="4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NIW</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IIF</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NIW</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IIF</w:t>
            </w:r>
          </w:p>
        </w:tc>
      </w:tr>
      <w:tr>
        <w:trPr>
          <w:trHeight w:val="191"/>
        </w:trPr>
        <w:tc>
          <w:tcPr>
            <w:tcW w:w="4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Monthly</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166,924</w:t>
            </w:r>
          </w:p>
        </w:tc>
      </w:tr>
      <w:tr>
        <w:trPr>
          <w:trHeight w:val="224"/>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Single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19,800</w:t>
            </w:r>
          </w:p>
        </w:tc>
      </w:tr>
      <w:tr>
        <w:trPr>
          <w:trHeight w:val="21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199,373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186,724</w:t>
            </w:r>
          </w:p>
        </w:tc>
      </w:tr>
      <w:tr>
        <w:trPr>
          <w:trHeight w:val="106"/>
        </w:trPr>
        <w:tc>
          <w:tcPr>
            <w:tcW w:w="4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199,373</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187,749</w:t>
            </w:r>
          </w:p>
        </w:tc>
      </w:tr>
      <w:tr>
        <w:trPr>
          <w:trHeight w:val="20"/>
        </w:trPr>
        <w:tc>
          <w:tcPr>
            <w:tcW w:w="4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633"/>
        <w:spacing w:after="0" w:line="241" w:lineRule="auto"/>
        <w:rPr>
          <w:sz w:val="20"/>
          <w:szCs w:val="20"/>
          <w:color w:val="auto"/>
        </w:rPr>
      </w:pPr>
      <w:r>
        <w:rPr>
          <w:rFonts w:ascii="Times New Roman" w:cs="Times New Roman" w:eastAsia="Times New Roman" w:hAnsi="Times New Roman"/>
          <w:sz w:val="18"/>
          <w:szCs w:val="18"/>
          <w:color w:val="auto"/>
        </w:rPr>
        <w:t>NIW increased 8% to $9.4 billion for the three months ended March 31, 2024 compared to $8.7 billion for the three months ended March 31, 2023, primarily due to the growth in our customer franchise and market presence tied to the increased penetration of existing customer accounts and new customer activations.</w:t>
      </w:r>
    </w:p>
    <w:p>
      <w:pPr>
        <w:spacing w:after="0" w:line="194" w:lineRule="exact"/>
        <w:rPr>
          <w:sz w:val="20"/>
          <w:szCs w:val="20"/>
          <w:color w:val="auto"/>
        </w:rPr>
      </w:pPr>
    </w:p>
    <w:p>
      <w:pPr>
        <w:jc w:val="both"/>
        <w:ind w:firstLine="633"/>
        <w:spacing w:after="0" w:line="241" w:lineRule="auto"/>
        <w:rPr>
          <w:sz w:val="20"/>
          <w:szCs w:val="20"/>
          <w:color w:val="auto"/>
        </w:rPr>
      </w:pPr>
      <w:r>
        <w:rPr>
          <w:rFonts w:ascii="Times New Roman" w:cs="Times New Roman" w:eastAsia="Times New Roman" w:hAnsi="Times New Roman"/>
          <w:sz w:val="18"/>
          <w:szCs w:val="18"/>
          <w:color w:val="auto"/>
        </w:rPr>
        <w:t>Primary IIF increased 7% at March 31, 2024 compared to March 31, 2023, primarily due to the NIW generated between such measurement dates, partially offset by the run-off of in-force policies. Our persistency rate improved to 85.8% at March 31, 2024 from 85.1% at March 31, 2023, and remains historically high due to a continued slowdown in the pace of mortgage refinancing activity tied to the prevailing interest and mortgage rate environment.</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net premiums written and earned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premiums written and earned</w:t>
            </w:r>
          </w:p>
        </w:tc>
        <w:tc>
          <w:tcPr>
            <w:tcW w:w="420" w:type="dxa"/>
            <w:vAlign w:val="bottom"/>
          </w:tcPr>
          <w:p>
            <w:pPr>
              <w:spacing w:after="0"/>
              <w:rPr>
                <w:sz w:val="16"/>
                <w:szCs w:val="16"/>
                <w:color w:val="auto"/>
              </w:rPr>
            </w:pPr>
          </w:p>
        </w:tc>
        <w:tc>
          <w:tcPr>
            <w:tcW w:w="3340" w:type="dxa"/>
            <w:vAlign w:val="bottom"/>
            <w:gridSpan w:val="3"/>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5"/>
        </w:trPr>
        <w:tc>
          <w:tcPr>
            <w:tcW w:w="7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7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gridSpan w:val="2"/>
          </w:tcPr>
          <w:p>
            <w:pPr>
              <w:jc w:val="center"/>
              <w:ind w:left="763"/>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260" w:type="dxa"/>
            <w:vAlign w:val="bottom"/>
          </w:tcPr>
          <w:p>
            <w:pPr>
              <w:spacing w:after="0"/>
              <w:rPr>
                <w:sz w:val="16"/>
                <w:szCs w:val="16"/>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130,245</w:t>
            </w:r>
          </w:p>
        </w:tc>
        <w:tc>
          <w:tcPr>
            <w:tcW w:w="6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112,976</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420" w:type="dxa"/>
            <w:vAlign w:val="bottom"/>
          </w:tcPr>
          <w:p>
            <w:pPr>
              <w:spacing w:after="0"/>
              <w:rPr>
                <w:sz w:val="19"/>
                <w:szCs w:val="19"/>
                <w:color w:val="auto"/>
              </w:rPr>
            </w:pPr>
          </w:p>
        </w:tc>
        <w:tc>
          <w:tcPr>
            <w:tcW w:w="144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136,657</w:t>
            </w: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121,754</w:t>
            </w:r>
          </w:p>
        </w:tc>
      </w:tr>
    </w:tbl>
    <w:p>
      <w:pPr>
        <w:spacing w:after="0" w:line="228"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Net premiums written and earned increased 15% and 12%, respectively, during the three months ended March 31, 2024 compared to the three months ended March 31, 2023, primarily driven by growth in our monthly IIF and monthly pay premium receipts, as well as a decline in the total premiums ceded under our reinsurance treaties. The growth in net premiums earned was partially offset by a decline in the contribution from single premium policy cancellations.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Statistics</w:t>
      </w:r>
    </w:p>
    <w:p>
      <w:pPr>
        <w:spacing w:after="0" w:line="166"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portfolio trends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40" w:type="dxa"/>
            <w:vAlign w:val="bottom"/>
            <w:gridSpan w:val="5"/>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As of and for the three months ended</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4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5"/>
        </w:trPr>
        <w:tc>
          <w:tcPr>
            <w:tcW w:w="4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6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1"/>
        </w:trPr>
        <w:tc>
          <w:tcPr>
            <w:tcW w:w="4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40" w:type="dxa"/>
            <w:vAlign w:val="bottom"/>
            <w:gridSpan w:val="5"/>
          </w:tcPr>
          <w:p>
            <w:pPr>
              <w:jc w:val="center"/>
              <w:ind w:right="233"/>
              <w:spacing w:after="0"/>
              <w:rPr>
                <w:sz w:val="20"/>
                <w:szCs w:val="20"/>
                <w:color w:val="auto"/>
              </w:rPr>
            </w:pPr>
            <w:r>
              <w:rPr>
                <w:rFonts w:ascii="Times New Roman" w:cs="Times New Roman" w:eastAsia="Times New Roman" w:hAnsi="Times New Roman"/>
                <w:sz w:val="14"/>
                <w:szCs w:val="14"/>
                <w:i w:val="1"/>
                <w:iCs w:val="1"/>
                <w:color w:val="auto"/>
              </w:rPr>
              <w:t>($ Values In Millions, except as noted below)</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insurance written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9,398</w:t>
            </w:r>
          </w:p>
        </w:tc>
        <w:tc>
          <w:tcPr>
            <w:tcW w:w="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8,927</w:t>
            </w:r>
          </w:p>
        </w:tc>
        <w:tc>
          <w:tcPr>
            <w:tcW w:w="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11,334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11,478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8,734</w:t>
            </w:r>
          </w:p>
        </w:tc>
      </w:tr>
      <w:tr>
        <w:trPr>
          <w:trHeight w:val="224"/>
        </w:trPr>
        <w:tc>
          <w:tcPr>
            <w:tcW w:w="4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Percentage of monthly premium</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4"/>
        </w:trPr>
        <w:tc>
          <w:tcPr>
            <w:tcW w:w="4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Percentage of single premium</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4"/>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risk written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2,486</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2,354</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3,027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2,258</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Insurance-in-force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199,373</w:t>
            </w:r>
          </w:p>
        </w:tc>
        <w:tc>
          <w:tcPr>
            <w:tcW w:w="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197,029</w:t>
            </w:r>
          </w:p>
        </w:tc>
        <w:tc>
          <w:tcPr>
            <w:tcW w:w="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194,781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191,306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186,724</w:t>
            </w:r>
          </w:p>
        </w:tc>
      </w:tr>
      <w:tr>
        <w:trPr>
          <w:trHeight w:val="224"/>
        </w:trPr>
        <w:tc>
          <w:tcPr>
            <w:tcW w:w="4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Percentage of monthly premium</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24"/>
        </w:trPr>
        <w:tc>
          <w:tcPr>
            <w:tcW w:w="4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Percentage of single premium</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4"/>
        </w:trPr>
        <w:tc>
          <w:tcPr>
            <w:tcW w:w="452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Risk-in-force </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52,610</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51,796</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51,011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49,875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48,494</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Policies in force (count)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635,662</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629,690</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622,993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611,441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600,294</w:t>
            </w:r>
          </w:p>
        </w:tc>
      </w:tr>
      <w:tr>
        <w:trPr>
          <w:trHeight w:val="237"/>
        </w:trPr>
        <w:tc>
          <w:tcPr>
            <w:tcW w:w="4520" w:type="dxa"/>
            <w:vAlign w:val="bottom"/>
          </w:tcPr>
          <w:p>
            <w:pPr>
              <w:ind w:left="220"/>
              <w:spacing w:after="0" w:line="238" w:lineRule="exact"/>
              <w:rPr>
                <w:sz w:val="20"/>
                <w:szCs w:val="20"/>
                <w:color w:val="auto"/>
              </w:rPr>
            </w:pPr>
            <w:r>
              <w:rPr>
                <w:rFonts w:ascii="Times New Roman" w:cs="Times New Roman" w:eastAsia="Times New Roman" w:hAnsi="Times New Roman"/>
                <w:sz w:val="18"/>
                <w:szCs w:val="18"/>
                <w:color w:val="auto"/>
              </w:rPr>
              <w:t xml:space="preserve">Average loan size </w:t>
            </w:r>
            <w:r>
              <w:rPr>
                <w:rFonts w:ascii="Times New Roman" w:cs="Times New Roman" w:eastAsia="Times New Roman" w:hAnsi="Times New Roman"/>
                <w:sz w:val="14"/>
                <w:szCs w:val="14"/>
                <w:i w:val="1"/>
                <w:iCs w:val="1"/>
                <w:color w:val="auto"/>
              </w:rPr>
              <w:t>($ value in thousands)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313</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311</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Coverage percentage </w:t>
            </w:r>
            <w:r>
              <w:rPr>
                <w:rFonts w:ascii="Times New Roman" w:cs="Times New Roman" w:eastAsia="Times New Roman" w:hAnsi="Times New Roman"/>
                <w:sz w:val="22"/>
                <w:szCs w:val="22"/>
                <w:color w:val="auto"/>
                <w:vertAlign w:val="superscript"/>
              </w:rPr>
              <w:t>(2)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24"/>
        </w:trPr>
        <w:tc>
          <w:tcPr>
            <w:tcW w:w="452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Loans in default (count) </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5,109</w:t>
            </w:r>
          </w:p>
        </w:tc>
        <w:tc>
          <w:tcPr>
            <w:tcW w:w="340" w:type="dxa"/>
            <w:vAlign w:val="bottom"/>
          </w:tcPr>
          <w:p>
            <w:pPr>
              <w:spacing w:after="0"/>
              <w:rPr>
                <w:sz w:val="19"/>
                <w:szCs w:val="19"/>
                <w:color w:val="auto"/>
              </w:rPr>
            </w:pP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5,099</w:t>
            </w:r>
          </w:p>
        </w:tc>
        <w:tc>
          <w:tcPr>
            <w:tcW w:w="340" w:type="dxa"/>
            <w:vAlign w:val="bottom"/>
          </w:tcPr>
          <w:p>
            <w:pPr>
              <w:spacing w:after="0"/>
              <w:rPr>
                <w:sz w:val="19"/>
                <w:szCs w:val="19"/>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4,594</w:t>
            </w:r>
          </w:p>
        </w:tc>
        <w:tc>
          <w:tcPr>
            <w:tcW w:w="220" w:type="dxa"/>
            <w:vAlign w:val="bottom"/>
          </w:tcPr>
          <w:p>
            <w:pPr>
              <w:spacing w:after="0"/>
              <w:rPr>
                <w:sz w:val="19"/>
                <w:szCs w:val="19"/>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4,349</w:t>
            </w:r>
          </w:p>
        </w:tc>
        <w:tc>
          <w:tcPr>
            <w:tcW w:w="18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4,475</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Default rate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0.71 %</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w:t>
            </w:r>
          </w:p>
        </w:tc>
      </w:tr>
      <w:tr>
        <w:trPr>
          <w:trHeight w:val="224"/>
        </w:trPr>
        <w:tc>
          <w:tcPr>
            <w:tcW w:w="452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Risk-in-force on defaulted loans </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414</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408</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337</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Average net premium yield </w:t>
            </w:r>
            <w:r>
              <w:rPr>
                <w:rFonts w:ascii="Times New Roman" w:cs="Times New Roman" w:eastAsia="Times New Roman" w:hAnsi="Times New Roman"/>
                <w:sz w:val="22"/>
                <w:szCs w:val="22"/>
                <w:color w:val="auto"/>
                <w:vertAlign w:val="superscript"/>
              </w:rPr>
              <w:t>(3)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0.27 %</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0.26 %</w:t>
            </w:r>
          </w:p>
        </w:tc>
      </w:tr>
      <w:tr>
        <w:trPr>
          <w:trHeight w:val="224"/>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from cancellations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Annual persistency </w:t>
            </w:r>
            <w:r>
              <w:rPr>
                <w:rFonts w:ascii="Times New Roman" w:cs="Times New Roman" w:eastAsia="Times New Roman" w:hAnsi="Times New Roman"/>
                <w:sz w:val="22"/>
                <w:szCs w:val="22"/>
                <w:color w:val="auto"/>
                <w:vertAlign w:val="superscript"/>
              </w:rPr>
              <w:t>(4)</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86.0 %</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85.1 %</w:t>
            </w:r>
          </w:p>
        </w:tc>
      </w:tr>
      <w:tr>
        <w:trPr>
          <w:trHeight w:val="300"/>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Quarterly run-off </w:t>
            </w:r>
            <w:r>
              <w:rPr>
                <w:rFonts w:ascii="Times New Roman" w:cs="Times New Roman" w:eastAsia="Times New Roman" w:hAnsi="Times New Roman"/>
                <w:sz w:val="22"/>
                <w:szCs w:val="22"/>
                <w:color w:val="auto"/>
                <w:vertAlign w:val="superscript"/>
              </w:rPr>
              <w:t>(5)</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bl>
    <w:p>
      <w:pPr>
        <w:spacing w:after="0" w:line="152"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as of the end of the period.</w:t>
      </w:r>
    </w:p>
    <w:p>
      <w:pPr>
        <w:spacing w:after="0" w:line="13"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end of period RIF divided by end of period IIF.</w:t>
      </w:r>
    </w:p>
    <w:p>
      <w:pPr>
        <w:spacing w:after="0" w:line="6"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net premiums earned divided by average primary IIF for the period, annualized.</w:t>
      </w:r>
    </w:p>
    <w:p>
      <w:pPr>
        <w:spacing w:after="0" w:line="10"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percentage of IIF that remains on our books after a given twelve-month period.</w:t>
      </w:r>
    </w:p>
    <w:p>
      <w:pPr>
        <w:spacing w:after="0" w:line="10"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percentage of IIF that is no longer on our books after a given three-month period.</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presents a summary of the change in total primary IIF for the dates and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w:t>
            </w:r>
          </w:p>
        </w:tc>
        <w:tc>
          <w:tcPr>
            <w:tcW w:w="260" w:type="dxa"/>
            <w:vAlign w:val="bottom"/>
          </w:tcPr>
          <w:p>
            <w:pPr>
              <w:spacing w:after="0"/>
              <w:rPr>
                <w:sz w:val="16"/>
                <w:szCs w:val="16"/>
                <w:color w:val="auto"/>
              </w:rPr>
            </w:pPr>
          </w:p>
        </w:tc>
        <w:tc>
          <w:tcPr>
            <w:tcW w:w="3500" w:type="dxa"/>
            <w:vAlign w:val="bottom"/>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 March 31,</w:t>
            </w:r>
          </w:p>
        </w:tc>
      </w:tr>
      <w:tr>
        <w:trPr>
          <w:trHeight w:val="24"/>
        </w:trPr>
        <w:tc>
          <w:tcPr>
            <w:tcW w:w="7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5"/>
        </w:trPr>
        <w:tc>
          <w:tcPr>
            <w:tcW w:w="7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7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00" w:type="dxa"/>
            <w:vAlign w:val="bottom"/>
          </w:tcPr>
          <w:p>
            <w:pPr>
              <w:spacing w:after="0"/>
              <w:rPr>
                <w:sz w:val="16"/>
                <w:szCs w:val="16"/>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beginning of period</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197,029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183,968</w:t>
            </w:r>
          </w:p>
        </w:tc>
      </w:tr>
      <w:tr>
        <w:trPr>
          <w:trHeight w:val="224"/>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NIW</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w:t>
            </w:r>
          </w:p>
        </w:tc>
      </w:tr>
      <w:tr>
        <w:trPr>
          <w:trHeight w:val="224"/>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Cancellations, principal repayments and other reductions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r>
      <w:tr>
        <w:trPr>
          <w:trHeight w:val="21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IIF, end of period</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199,373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186,724</w:t>
            </w: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8"/>
          <w:szCs w:val="18"/>
          <w:color w:val="auto"/>
        </w:rPr>
        <w:t>The table below presents a summary of our primary IIF and RIF by book year as of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and RIF</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
        </w:trPr>
        <w:tc>
          <w:tcPr>
            <w:tcW w:w="4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5"/>
        </w:trPr>
        <w:tc>
          <w:tcPr>
            <w:tcW w:w="4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Borders>
              <w:bottom w:val="single" w:sz="8" w:color="auto"/>
            </w:tcBorders>
          </w:tcPr>
          <w:p>
            <w:pPr>
              <w:spacing w:after="0"/>
              <w:rPr>
                <w:sz w:val="16"/>
                <w:szCs w:val="16"/>
                <w:color w:val="auto"/>
              </w:rPr>
            </w:pPr>
          </w:p>
        </w:tc>
      </w:tr>
      <w:tr>
        <w:trPr>
          <w:trHeight w:val="190"/>
        </w:trPr>
        <w:tc>
          <w:tcPr>
            <w:tcW w:w="4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IIF</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IIF</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RIF</w:t>
            </w:r>
          </w:p>
        </w:tc>
      </w:tr>
      <w:tr>
        <w:trPr>
          <w:trHeight w:val="195"/>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Book year</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r>
      <w:tr>
        <w:trPr>
          <w:trHeight w:val="224"/>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w:t>
            </w:r>
          </w:p>
        </w:tc>
      </w:tr>
      <w:tr>
        <w:trPr>
          <w:trHeight w:val="22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18,195</w:t>
            </w:r>
          </w:p>
        </w:tc>
      </w:tr>
      <w:tr>
        <w:trPr>
          <w:trHeight w:val="224"/>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w:t>
            </w:r>
          </w:p>
        </w:tc>
      </w:tr>
      <w:tr>
        <w:trPr>
          <w:trHeight w:val="224"/>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2019 and before</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w:t>
            </w:r>
          </w:p>
        </w:tc>
      </w:tr>
      <w:tr>
        <w:trPr>
          <w:trHeight w:val="24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199,373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186,724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48,494</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debt-to-income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3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FICO</w:t>
            </w:r>
          </w:p>
        </w:tc>
        <w:tc>
          <w:tcPr>
            <w:tcW w:w="360" w:type="dxa"/>
            <w:vAlign w:val="bottom"/>
          </w:tcPr>
          <w:p>
            <w:pPr>
              <w:spacing w:after="0"/>
              <w:rPr>
                <w:sz w:val="16"/>
                <w:szCs w:val="16"/>
                <w:color w:val="auto"/>
              </w:rPr>
            </w:pPr>
          </w:p>
        </w:tc>
        <w:tc>
          <w:tcPr>
            <w:tcW w:w="320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5"/>
        </w:trPr>
        <w:tc>
          <w:tcPr>
            <w:tcW w:w="7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7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20" w:type="dxa"/>
            <w:vAlign w:val="bottom"/>
          </w:tcPr>
          <w:p>
            <w:pPr>
              <w:spacing w:after="0"/>
              <w:rPr>
                <w:sz w:val="16"/>
                <w:szCs w:val="16"/>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&gt;= 760</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r>
      <w:tr>
        <w:trPr>
          <w:trHeight w:val="224"/>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740-759</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24"/>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720-739</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24"/>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700-719</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4"/>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680-699</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4"/>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&lt;=679</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r>
      <w:tr>
        <w:trPr>
          <w:trHeight w:val="21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FICO</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0"/>
        </w:trPr>
        <w:tc>
          <w:tcPr>
            <w:tcW w:w="7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LTV</w:t>
            </w:r>
          </w:p>
        </w:tc>
        <w:tc>
          <w:tcPr>
            <w:tcW w:w="420" w:type="dxa"/>
            <w:vAlign w:val="bottom"/>
          </w:tcPr>
          <w:p>
            <w:pPr>
              <w:spacing w:after="0"/>
              <w:rPr>
                <w:sz w:val="16"/>
                <w:szCs w:val="16"/>
                <w:color w:val="auto"/>
              </w:rPr>
            </w:pPr>
          </w:p>
        </w:tc>
        <w:tc>
          <w:tcPr>
            <w:tcW w:w="336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5"/>
        </w:trPr>
        <w:tc>
          <w:tcPr>
            <w:tcW w:w="7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7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00" w:type="dxa"/>
            <w:vAlign w:val="bottom"/>
          </w:tcPr>
          <w:p>
            <w:pPr>
              <w:spacing w:after="0"/>
              <w:rPr>
                <w:sz w:val="16"/>
                <w:szCs w:val="16"/>
                <w:color w:val="auto"/>
              </w:rPr>
            </w:pPr>
          </w:p>
        </w:tc>
      </w:tr>
      <w:tr>
        <w:trPr>
          <w:trHeight w:val="23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95.01% and above</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358</w:t>
            </w:r>
          </w:p>
        </w:tc>
      </w:tr>
      <w:tr>
        <w:trPr>
          <w:trHeight w:val="224"/>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90.01% to 95.00%</w:t>
            </w:r>
          </w:p>
        </w:tc>
        <w:tc>
          <w:tcPr>
            <w:tcW w:w="420" w:type="dxa"/>
            <w:vAlign w:val="bottom"/>
          </w:tcPr>
          <w:p>
            <w:pPr>
              <w:spacing w:after="0"/>
              <w:rPr>
                <w:sz w:val="19"/>
                <w:szCs w:val="19"/>
                <w:color w:val="auto"/>
              </w:rPr>
            </w:pPr>
          </w:p>
        </w:tc>
        <w:tc>
          <w:tcPr>
            <w:tcW w:w="14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4,414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4,085</w:t>
            </w:r>
          </w:p>
        </w:tc>
      </w:tr>
      <w:tr>
        <w:trPr>
          <w:trHeight w:val="224"/>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85.01% to 90.00%</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3,234</w:t>
            </w:r>
          </w:p>
        </w:tc>
      </w:tr>
      <w:tr>
        <w:trPr>
          <w:trHeight w:val="224"/>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85.00% and below</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1,057</w:t>
            </w:r>
          </w:p>
        </w:tc>
      </w:tr>
      <w:tr>
        <w:trPr>
          <w:trHeight w:val="21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9,398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8,734</w:t>
            </w:r>
          </w:p>
        </w:tc>
      </w:tr>
      <w:tr>
        <w:trPr>
          <w:trHeight w:val="21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LTV</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92.3 %</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91.6 %</w:t>
            </w:r>
          </w:p>
        </w:tc>
      </w:tr>
      <w:tr>
        <w:trPr>
          <w:trHeight w:val="20"/>
        </w:trPr>
        <w:tc>
          <w:tcPr>
            <w:tcW w:w="7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5"/>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purchase/refinance mix</w:t>
            </w:r>
          </w:p>
        </w:tc>
        <w:tc>
          <w:tcPr>
            <w:tcW w:w="360" w:type="dxa"/>
            <w:vAlign w:val="bottom"/>
          </w:tcPr>
          <w:p>
            <w:pPr>
              <w:spacing w:after="0"/>
              <w:rPr>
                <w:sz w:val="16"/>
                <w:szCs w:val="16"/>
                <w:color w:val="auto"/>
              </w:rPr>
            </w:pPr>
          </w:p>
        </w:tc>
        <w:tc>
          <w:tcPr>
            <w:tcW w:w="320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5"/>
        </w:trPr>
        <w:tc>
          <w:tcPr>
            <w:tcW w:w="7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7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20" w:type="dxa"/>
            <w:vAlign w:val="bottom"/>
          </w:tcPr>
          <w:p>
            <w:pPr>
              <w:spacing w:after="0"/>
              <w:rPr>
                <w:sz w:val="16"/>
                <w:szCs w:val="16"/>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9,157</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r>
      <w:tr>
        <w:trPr>
          <w:trHeight w:val="224"/>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Refinance</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42"/>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9,398</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tables below present our total primary IIF and RIF by FICO and LTV, and total primary RIF by loan type as of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by FICO</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0" w:type="dxa"/>
            <w:vAlign w:val="bottom"/>
            <w:gridSpan w:val="5"/>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4"/>
        </w:trPr>
        <w:tc>
          <w:tcPr>
            <w:tcW w:w="4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r>
      <w:tr>
        <w:trPr>
          <w:trHeight w:val="185"/>
        </w:trPr>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3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0" w:type="dxa"/>
            <w:vAlign w:val="bottom"/>
            <w:gridSpan w:val="5"/>
          </w:tcPr>
          <w:p>
            <w:pPr>
              <w:jc w:val="center"/>
              <w:ind w:left="216"/>
              <w:spacing w:after="0"/>
              <w:rPr>
                <w:sz w:val="20"/>
                <w:szCs w:val="20"/>
                <w:color w:val="auto"/>
              </w:rPr>
            </w:pPr>
            <w:r>
              <w:rPr>
                <w:rFonts w:ascii="Times New Roman" w:cs="Times New Roman" w:eastAsia="Times New Roman" w:hAnsi="Times New Roman"/>
                <w:sz w:val="14"/>
                <w:szCs w:val="14"/>
                <w:i w:val="1"/>
                <w:iCs w:val="1"/>
                <w:color w:val="auto"/>
                <w:w w:val="98"/>
              </w:rPr>
              <w:t>($ Values In Millions)</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&gt;= 760</w:t>
            </w:r>
          </w:p>
        </w:tc>
        <w:tc>
          <w:tcPr>
            <w:tcW w:w="4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91,623</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740-759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33,156</w:t>
            </w:r>
          </w:p>
        </w:tc>
        <w:tc>
          <w:tcPr>
            <w:tcW w:w="176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720-739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26,233</w:t>
            </w:r>
          </w:p>
        </w:tc>
        <w:tc>
          <w:tcPr>
            <w:tcW w:w="176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700-719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18,203</w:t>
            </w:r>
          </w:p>
        </w:tc>
        <w:tc>
          <w:tcPr>
            <w:tcW w:w="176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680-699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w:t>
            </w:r>
          </w:p>
        </w:tc>
        <w:tc>
          <w:tcPr>
            <w:tcW w:w="176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&lt;=679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76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4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199,373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gridSpan w:val="2"/>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186,724</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384"/>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FICO</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gridSpan w:val="5"/>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r>
      <w:tr>
        <w:trPr>
          <w:trHeight w:val="185"/>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3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0" w:type="dxa"/>
            <w:vAlign w:val="bottom"/>
            <w:gridSpan w:val="5"/>
          </w:tcPr>
          <w:p>
            <w:pPr>
              <w:jc w:val="center"/>
              <w:ind w:left="216"/>
              <w:spacing w:after="0"/>
              <w:rPr>
                <w:sz w:val="20"/>
                <w:szCs w:val="20"/>
                <w:color w:val="auto"/>
              </w:rPr>
            </w:pPr>
            <w:r>
              <w:rPr>
                <w:rFonts w:ascii="Times New Roman" w:cs="Times New Roman" w:eastAsia="Times New Roman" w:hAnsi="Times New Roman"/>
                <w:sz w:val="14"/>
                <w:szCs w:val="14"/>
                <w:i w:val="1"/>
                <w:iCs w:val="1"/>
                <w:color w:val="auto"/>
                <w:w w:val="98"/>
              </w:rPr>
              <w:t>($ Values In Millions)</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&gt;= 760</w:t>
            </w:r>
          </w:p>
        </w:tc>
        <w:tc>
          <w:tcPr>
            <w:tcW w:w="4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23,472</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740-759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176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720-739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76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700-719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76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680-699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76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&lt;=679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76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4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48,494</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397"/>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by LTV</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gridSpan w:val="5"/>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r>
      <w:tr>
        <w:trPr>
          <w:trHeight w:val="185"/>
        </w:trPr>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3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0" w:type="dxa"/>
            <w:vAlign w:val="bottom"/>
            <w:gridSpan w:val="5"/>
          </w:tcPr>
          <w:p>
            <w:pPr>
              <w:jc w:val="center"/>
              <w:ind w:left="216"/>
              <w:spacing w:after="0"/>
              <w:rPr>
                <w:sz w:val="20"/>
                <w:szCs w:val="20"/>
                <w:color w:val="auto"/>
              </w:rPr>
            </w:pPr>
            <w:r>
              <w:rPr>
                <w:rFonts w:ascii="Times New Roman" w:cs="Times New Roman" w:eastAsia="Times New Roman" w:hAnsi="Times New Roman"/>
                <w:sz w:val="14"/>
                <w:szCs w:val="14"/>
                <w:i w:val="1"/>
                <w:iCs w:val="1"/>
                <w:color w:val="auto"/>
                <w:w w:val="98"/>
              </w:rPr>
              <w:t>($ Values In Millions)</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95.01% and above</w:t>
            </w:r>
          </w:p>
        </w:tc>
        <w:tc>
          <w:tcPr>
            <w:tcW w:w="4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17,583</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90.01% to 95.00%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89,125</w:t>
            </w:r>
          </w:p>
        </w:tc>
        <w:tc>
          <w:tcPr>
            <w:tcW w:w="176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85.01% to 90.00%</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56,425</w:t>
            </w:r>
          </w:p>
        </w:tc>
        <w:tc>
          <w:tcPr>
            <w:tcW w:w="176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85.00% and below</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23,591</w:t>
            </w:r>
          </w:p>
        </w:tc>
        <w:tc>
          <w:tcPr>
            <w:tcW w:w="176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r>
        <w:trPr>
          <w:trHeight w:val="24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199,373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gridSpan w:val="2"/>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186,724</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397"/>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LTV</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gridSpan w:val="5"/>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r>
      <w:tr>
        <w:trPr>
          <w:trHeight w:val="185"/>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3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0" w:type="dxa"/>
            <w:vAlign w:val="bottom"/>
            <w:gridSpan w:val="5"/>
          </w:tcPr>
          <w:p>
            <w:pPr>
              <w:jc w:val="center"/>
              <w:ind w:left="216"/>
              <w:spacing w:after="0"/>
              <w:rPr>
                <w:sz w:val="20"/>
                <w:szCs w:val="20"/>
                <w:color w:val="auto"/>
              </w:rPr>
            </w:pPr>
            <w:r>
              <w:rPr>
                <w:rFonts w:ascii="Times New Roman" w:cs="Times New Roman" w:eastAsia="Times New Roman" w:hAnsi="Times New Roman"/>
                <w:sz w:val="14"/>
                <w:szCs w:val="14"/>
                <w:i w:val="1"/>
                <w:iCs w:val="1"/>
                <w:color w:val="auto"/>
                <w:w w:val="98"/>
              </w:rPr>
              <w:t>($ Values In Millions)</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95.01% and above</w:t>
            </w:r>
          </w:p>
        </w:tc>
        <w:tc>
          <w:tcPr>
            <w:tcW w:w="4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90.01% to 95.00%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26,326</w:t>
            </w:r>
          </w:p>
        </w:tc>
        <w:tc>
          <w:tcPr>
            <w:tcW w:w="176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85.01% to 90.00%</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176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85.00% and below</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76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r>
      <w:tr>
        <w:trPr>
          <w:trHeight w:val="24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48,494</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025" w:right="4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5"/>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Loan Type</w:t>
            </w:r>
          </w:p>
        </w:tc>
        <w:tc>
          <w:tcPr>
            <w:tcW w:w="13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tcPr>
          <w:p>
            <w:pPr>
              <w:spacing w:after="0"/>
              <w:rPr>
                <w:sz w:val="16"/>
                <w:szCs w:val="16"/>
                <w:color w:val="auto"/>
              </w:rPr>
            </w:pPr>
          </w:p>
        </w:tc>
      </w:tr>
      <w:tr>
        <w:trPr>
          <w:trHeight w:val="24"/>
        </w:trPr>
        <w:tc>
          <w:tcPr>
            <w:tcW w:w="86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5"/>
        </w:trPr>
        <w:tc>
          <w:tcPr>
            <w:tcW w:w="740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w:t>
            </w: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4"/>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Adjustable rate mortgages: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8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than five years</w:t>
            </w:r>
          </w:p>
        </w:tc>
        <w:tc>
          <w:tcPr>
            <w:tcW w:w="132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Five years and longer</w:t>
            </w: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presents selected primary portfolio statistics, by book year, as of March 31, 2024.</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20" w:type="dxa"/>
            <w:vAlign w:val="bottom"/>
          </w:tcPr>
          <w:p>
            <w:pPr>
              <w:spacing w:after="0"/>
              <w:rPr>
                <w:sz w:val="10"/>
                <w:szCs w:val="10"/>
                <w:color w:val="auto"/>
              </w:rPr>
            </w:pPr>
          </w:p>
        </w:tc>
        <w:tc>
          <w:tcPr>
            <w:tcW w:w="800" w:type="dxa"/>
            <w:vAlign w:val="bottom"/>
          </w:tcPr>
          <w:p>
            <w:pPr>
              <w:jc w:val="center"/>
              <w:ind w:right="35"/>
              <w:spacing w:after="0" w:line="125"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Remaining of</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Policies Ever</w:t>
            </w:r>
          </w:p>
        </w:tc>
        <w:tc>
          <w:tcPr>
            <w:tcW w:w="106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8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3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Incurred Loss</w:t>
            </w:r>
          </w:p>
        </w:tc>
        <w:tc>
          <w:tcPr>
            <w:tcW w:w="12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Current Default</w:t>
            </w:r>
          </w:p>
        </w:tc>
        <w:tc>
          <w:tcPr>
            <w:tcW w:w="0" w:type="dxa"/>
            <w:vAlign w:val="bottom"/>
          </w:tcPr>
          <w:p>
            <w:pPr>
              <w:spacing w:after="0"/>
              <w:rPr>
                <w:sz w:val="1"/>
                <w:szCs w:val="1"/>
                <w:color w:val="auto"/>
              </w:rPr>
            </w:pPr>
          </w:p>
        </w:tc>
      </w:tr>
      <w:tr>
        <w:trPr>
          <w:trHeight w:val="145"/>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Book Year</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9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Insurance in</w:t>
            </w:r>
          </w:p>
        </w:tc>
        <w:tc>
          <w:tcPr>
            <w:tcW w:w="12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020" w:type="dxa"/>
            <w:vAlign w:val="bottom"/>
            <w:gridSpan w:val="2"/>
            <w:vMerge w:val="continue"/>
          </w:tcPr>
          <w:p>
            <w:pPr>
              <w:spacing w:after="0"/>
              <w:rPr>
                <w:sz w:val="12"/>
                <w:szCs w:val="12"/>
                <w:color w:val="auto"/>
              </w:rPr>
            </w:pPr>
          </w:p>
        </w:tc>
        <w:tc>
          <w:tcPr>
            <w:tcW w:w="10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Policies in</w:t>
            </w:r>
          </w:p>
        </w:tc>
        <w:tc>
          <w:tcPr>
            <w:tcW w:w="8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Loans in</w:t>
            </w: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Claims</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Ratio (Inception</w:t>
            </w:r>
          </w:p>
        </w:tc>
        <w:tc>
          <w:tcPr>
            <w:tcW w:w="12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Written</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Force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Force</w:t>
            </w: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8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Paid</w:t>
            </w:r>
          </w:p>
        </w:tc>
        <w:tc>
          <w:tcPr>
            <w:tcW w:w="130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4"/>
              </w:rPr>
              <w:t xml:space="preserve">to Date) </w:t>
            </w:r>
            <w:r>
              <w:rPr>
                <w:rFonts w:ascii="Times New Roman" w:cs="Times New Roman" w:eastAsia="Times New Roman" w:hAnsi="Times New Roman"/>
                <w:sz w:val="18"/>
                <w:szCs w:val="18"/>
                <w:b w:val="1"/>
                <w:bCs w:val="1"/>
                <w:color w:val="auto"/>
                <w:w w:val="94"/>
                <w:vertAlign w:val="superscript"/>
              </w:rPr>
              <w:t>(1)</w:t>
            </w:r>
          </w:p>
        </w:tc>
        <w:tc>
          <w:tcPr>
            <w:tcW w:w="1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 xml:space="preserve">Default Rate </w:t>
            </w:r>
            <w:r>
              <w:rPr>
                <w:rFonts w:ascii="Times New Roman" w:cs="Times New Roman" w:eastAsia="Times New Roman" w:hAnsi="Times New Roman"/>
                <w:sz w:val="9"/>
                <w:szCs w:val="9"/>
                <w:b w:val="1"/>
                <w:bCs w:val="1"/>
                <w:color w:val="auto"/>
              </w:rPr>
              <w:t>(2)</w:t>
            </w:r>
          </w:p>
        </w:tc>
        <w:tc>
          <w:tcPr>
            <w:tcW w:w="11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18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ind w:left="340"/>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2015 and</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25,939</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186,174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88,166</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59,306</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69 %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257,972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191,719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51,809</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88 %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163,281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19.2 %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37,676</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93 %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10.8 %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99 %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25,241</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2"/>
        </w:trPr>
        <w:tc>
          <w:tcPr>
            <w:tcW w:w="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199,373</w:t>
            </w: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total claims incurred (paid and reserved) divided by cumulative premiums earned, net of reinsurance.</w:t>
      </w:r>
    </w:p>
    <w:p>
      <w:pPr>
        <w:spacing w:after="0" w:line="22"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sum of the number of claims paid ever to date and number of loans in default divided by policies ever in force.</w:t>
      </w:r>
    </w:p>
    <w:p>
      <w:pPr>
        <w:spacing w:after="0" w:line="10"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number of loans in default divided by number of policies in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18"/>
          <w:szCs w:val="18"/>
          <w:i w:val="1"/>
          <w:iCs w:val="1"/>
          <w:color w:val="auto"/>
        </w:rPr>
        <w:t>Geographic Dispersion</w:t>
      </w:r>
    </w:p>
    <w:p>
      <w:pPr>
        <w:spacing w:after="0" w:line="16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shows the distribution by state of our primary RIF as of the dates indicated. The distribution of our primary RIF as of March 31, 2024 is not necessarily representative of the geographic distribution we expect in the future.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Top 10 primary RIF by state</w:t>
            </w:r>
          </w:p>
        </w:tc>
        <w:tc>
          <w:tcPr>
            <w:tcW w:w="13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20" w:type="dxa"/>
            <w:vAlign w:val="bottom"/>
          </w:tcPr>
          <w:p>
            <w:pPr>
              <w:spacing w:after="0"/>
              <w:rPr>
                <w:sz w:val="16"/>
                <w:szCs w:val="16"/>
                <w:color w:val="auto"/>
              </w:rPr>
            </w:pPr>
          </w:p>
        </w:tc>
      </w:tr>
      <w:tr>
        <w:trPr>
          <w:trHeight w:val="24"/>
        </w:trPr>
        <w:tc>
          <w:tcPr>
            <w:tcW w:w="86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5"/>
        </w:trPr>
        <w:tc>
          <w:tcPr>
            <w:tcW w:w="748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24"/>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8.8</w:t>
            </w:r>
          </w:p>
        </w:tc>
      </w:tr>
      <w:tr>
        <w:trPr>
          <w:trHeight w:val="224"/>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8.0</w:t>
            </w:r>
          </w:p>
        </w:tc>
      </w:tr>
      <w:tr>
        <w:trPr>
          <w:trHeight w:val="224"/>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4.1</w:t>
            </w:r>
          </w:p>
        </w:tc>
      </w:tr>
      <w:tr>
        <w:trPr>
          <w:trHeight w:val="224"/>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4.0</w:t>
            </w:r>
          </w:p>
        </w:tc>
      </w:tr>
      <w:tr>
        <w:trPr>
          <w:trHeight w:val="224"/>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3.9</w:t>
            </w:r>
          </w:p>
        </w:tc>
      </w:tr>
      <w:tr>
        <w:trPr>
          <w:trHeight w:val="224"/>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4.1</w:t>
            </w:r>
          </w:p>
        </w:tc>
      </w:tr>
      <w:tr>
        <w:trPr>
          <w:trHeight w:val="224"/>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3.4</w:t>
            </w:r>
          </w:p>
        </w:tc>
      </w:tr>
      <w:tr>
        <w:trPr>
          <w:trHeight w:val="224"/>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w:t>
            </w:r>
          </w:p>
        </w:tc>
      </w:tr>
      <w:tr>
        <w:trPr>
          <w:trHeight w:val="224"/>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3.3</w:t>
            </w:r>
          </w:p>
        </w:tc>
      </w:tr>
      <w:tr>
        <w:trPr>
          <w:trHeight w:val="237"/>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53.6 %</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Insurance Claims and Claim Expenses</w:t>
      </w:r>
    </w:p>
    <w:p>
      <w:pPr>
        <w:spacing w:after="0" w:line="16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spacing w:after="0" w:line="130"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136"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ILN Transactions and XOL Transactions as applicable under each treaty. We have not yet ceded reserves under any of the ILN Transactions or XOL Transactions as incurred claims and claim expenses on each respective reference pool remain within our retained coverage layer for each transaction.</w:t>
      </w:r>
    </w:p>
    <w:p>
      <w:pPr>
        <w:spacing w:after="0" w:line="111"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Our reserve setting process considers the beneficial impact of forbearance, foreclosure moratorium and other assistance programs that may be made available to certain defaulted borrowers. The effectiveness of forbearance and other such assistance programs can be further enhanced by the availability of various repayment and loan modification options which typically allow borrowers to amortize or, in certain instances, outright defer payments otherwise missed during a period of dislocation over an extended length of time. We generally observe that forbearance, repayment and modification, and other assistance programs are an effective tool to bridge dislocated borrowers from a time of acute stress to a future date when they can resume timely payment of their mortgage obligations, and note higher cure rates on defaults benefitting from broad-based assistance programs than would otherwise be expected on similarly situated loans that did not benefit from such programs.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6" w:name="page37"/>
    <w:bookmarkEnd w:id="36"/>
    <w:p>
      <w:pPr>
        <w:jc w:val="both"/>
        <w:ind w:firstLine="633"/>
        <w:spacing w:after="0" w:line="238" w:lineRule="auto"/>
        <w:rPr>
          <w:sz w:val="20"/>
          <w:szCs w:val="20"/>
          <w:color w:val="auto"/>
        </w:rPr>
      </w:pPr>
      <w:r>
        <w:rPr>
          <w:rFonts w:ascii="Times New Roman" w:cs="Times New Roman" w:eastAsia="Times New Roman" w:hAnsi="Times New Roman"/>
          <w:sz w:val="18"/>
          <w:szCs w:val="18"/>
          <w:color w:val="auto"/>
        </w:rPr>
        <w:t>In response to the COVID-19 pandemic, politicians, regulators, lenders, loan servicers and others offered extraordinary assistance to dislocated borrowers through, among other programs, the forbearance, foreclosure moratorium and other assistance programs codified under the Coronavirus Aid, Relief, and Economic Security Act (CARES Act). The FHFA and GSEs offered further assistance by introducing new repayment and loan modification options to assist borrowers with their transition out of forbearance programs and default status.</w:t>
      </w:r>
    </w:p>
    <w:p>
      <w:pPr>
        <w:spacing w:after="0" w:line="142"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actual claims we incur as our portfolio matures are difficult to predict and depend on the specific characteristics of our current in-force book (including the credit score and DTI ratio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claims experience.</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gross reserve balances for primary insurance claims and claim expenses: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3560" w:type="dxa"/>
            <w:vAlign w:val="bottom"/>
            <w:gridSpan w:val="5"/>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6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5"/>
        </w:trPr>
        <w:tc>
          <w:tcPr>
            <w:tcW w:w="762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7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6"/>
                <w:szCs w:val="16"/>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99,836</w:t>
            </w:r>
          </w:p>
        </w:tc>
      </w:tr>
      <w:tr>
        <w:trPr>
          <w:trHeight w:val="224"/>
        </w:trPr>
        <w:tc>
          <w:tcPr>
            <w:tcW w:w="762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(21,587)</w:t>
            </w: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net of reinsurance recoverables</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78,249</w:t>
            </w:r>
          </w:p>
        </w:tc>
      </w:tr>
      <w:tr>
        <w:trPr>
          <w:trHeight w:val="244"/>
        </w:trPr>
        <w:tc>
          <w:tcPr>
            <w:tcW w:w="7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claims incurred: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Claims and claim expenses incurred: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7620" w:type="dxa"/>
            <w:vAlign w:val="bottom"/>
            <w:shd w:val="clear" w:color="auto" w:fill="CCEEFF"/>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27,608</w:t>
            </w:r>
          </w:p>
        </w:tc>
      </w:tr>
      <w:tr>
        <w:trPr>
          <w:trHeight w:val="224"/>
        </w:trPr>
        <w:tc>
          <w:tcPr>
            <w:tcW w:w="7620" w:type="dxa"/>
            <w:vAlign w:val="bottom"/>
            <w:tcBorders>
              <w:bottom w:val="single" w:sz="8" w:color="CCEEFF"/>
            </w:tcBorders>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(20,907)</w:t>
            </w:r>
          </w:p>
        </w:tc>
      </w:tr>
      <w:tr>
        <w:trPr>
          <w:trHeight w:val="217"/>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claims and claim expenses incurred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w:t>
            </w:r>
          </w:p>
        </w:tc>
      </w:tr>
      <w:tr>
        <w:trPr>
          <w:trHeight w:val="244"/>
        </w:trPr>
        <w:tc>
          <w:tcPr>
            <w:tcW w:w="7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Claims and claim expenses paid: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7620" w:type="dxa"/>
            <w:vAlign w:val="bottom"/>
            <w:shd w:val="clear" w:color="auto" w:fill="CCEEFF"/>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620" w:type="dxa"/>
            <w:vAlign w:val="bottom"/>
            <w:tcBorders>
              <w:bottom w:val="single" w:sz="8" w:color="CCEEFF"/>
            </w:tcBorders>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7"/>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claims and claim expenses paid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44"/>
        </w:trPr>
        <w:tc>
          <w:tcPr>
            <w:tcW w:w="7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at end of period, net of reinsurance recoverables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84,678</w:t>
            </w:r>
          </w:p>
        </w:tc>
      </w:tr>
      <w:tr>
        <w:trPr>
          <w:trHeight w:val="224"/>
        </w:trPr>
        <w:tc>
          <w:tcPr>
            <w:tcW w:w="762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23,479</w:t>
            </w:r>
          </w:p>
        </w:tc>
      </w:tr>
      <w:tr>
        <w:trPr>
          <w:trHeight w:val="242"/>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108,157</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320" w:hanging="314"/>
        <w:spacing w:after="0" w:line="265"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ceded losses recoverable under the QSR Transactions. See Item 1, “</w:t>
      </w:r>
      <w:r>
        <w:rPr>
          <w:rFonts w:ascii="Times New Roman" w:cs="Times New Roman" w:eastAsia="Times New Roman" w:hAnsi="Times New Roman"/>
          <w:sz w:val="14"/>
          <w:szCs w:val="14"/>
          <w:i w:val="1"/>
          <w:iCs w:val="1"/>
          <w:color w:val="auto"/>
        </w:rPr>
        <w:t>Financial Statements - Notes to Condensed Consolidated Financial Statements - Note 5, Reinsurance”</w:t>
      </w:r>
      <w:r>
        <w:rPr>
          <w:rFonts w:ascii="Times New Roman" w:cs="Times New Roman" w:eastAsia="Times New Roman" w:hAnsi="Times New Roman"/>
          <w:sz w:val="14"/>
          <w:szCs w:val="14"/>
          <w:color w:val="auto"/>
        </w:rPr>
        <w:t xml:space="preserve"> for additional information.</w:t>
      </w:r>
    </w:p>
    <w:p>
      <w:pPr>
        <w:spacing w:after="0" w:line="1" w:lineRule="exact"/>
        <w:rPr>
          <w:rFonts w:ascii="Times New Roman" w:cs="Times New Roman" w:eastAsia="Times New Roman" w:hAnsi="Times New Roman"/>
          <w:sz w:val="14"/>
          <w:szCs w:val="14"/>
          <w:color w:val="auto"/>
        </w:rPr>
      </w:pPr>
    </w:p>
    <w:p>
      <w:pPr>
        <w:jc w:val="both"/>
        <w:ind w:left="320" w:hanging="314"/>
        <w:spacing w:after="0" w:line="256" w:lineRule="auto"/>
        <w:tabs>
          <w:tab w:leader="none" w:pos="32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$25.9 million attributed to net case reserves and $6.6 million attributed to net IBNR reserves for the three months ended March 31, 2024 and $22.3 million attributed to net case reserves and $4.9 million attributed to net IBNR reserves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37" w:name="page38"/>
    <w:bookmarkEnd w:id="37"/>
    <w:p>
      <w:pPr>
        <w:jc w:val="both"/>
        <w:ind w:left="320" w:hanging="314"/>
        <w:spacing w:after="0" w:line="272" w:lineRule="auto"/>
        <w:tabs>
          <w:tab w:leader="none" w:pos="30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defaults occurring in prior years, which have been continuously in default before the start of the current year. Amounts are presented net of reinsurance and included $22.4 million attributed to net case reserves and $6.3 million attributed to net IBNR reserves for the three months ended March 31, 2024 and $16.2 million attributed to net case reserves and $4.5 million attributed to net IBNR reserves for the three months ended March 31, 2023.</w:t>
      </w:r>
    </w:p>
    <w:p>
      <w:pPr>
        <w:spacing w:after="0" w:line="35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claims incurred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color w:val="auto"/>
        </w:rPr>
        <w:t xml:space="preserve">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$85.1 million related to prior year defaults remained as of March 31, 2024.</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count of loans in default:</w:t>
      </w:r>
    </w:p>
    <w:p>
      <w:pPr>
        <w:spacing w:after="0" w:line="19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0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r>
      <w:tr>
        <w:trPr>
          <w:trHeight w:val="224"/>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new defaults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24"/>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24"/>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rescission and claims denied</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r>
      <w:tr>
        <w:trPr>
          <w:trHeight w:val="20"/>
        </w:trPr>
        <w:tc>
          <w:tcPr>
            <w:tcW w:w="7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620" w:firstLine="633"/>
        <w:spacing w:after="0" w:line="269" w:lineRule="auto"/>
        <w:rPr>
          <w:sz w:val="20"/>
          <w:szCs w:val="20"/>
          <w:color w:val="auto"/>
        </w:rPr>
      </w:pPr>
      <w:r>
        <w:rPr>
          <w:rFonts w:ascii="Times New Roman" w:cs="Times New Roman" w:eastAsia="Times New Roman" w:hAnsi="Times New Roman"/>
          <w:sz w:val="18"/>
          <w:szCs w:val="18"/>
          <w:color w:val="auto"/>
        </w:rPr>
        <w:t>Ending default inventory increased from March 31, 2023 to March 31, 2024, primarily due to the growth and natural seasoning of our insured portfolio, largely offset by cure activity within our default population during the intervening period.</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details of our claims paid, before giving effect to claims ceded under the QSR Transactions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3140" w:type="dxa"/>
            <w:vAlign w:val="bottom"/>
            <w:gridSpan w:val="3"/>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20" w:type="dxa"/>
            <w:vAlign w:val="bottom"/>
          </w:tcPr>
          <w:p>
            <w:pPr>
              <w:spacing w:after="0"/>
              <w:rPr>
                <w:sz w:val="16"/>
                <w:szCs w:val="16"/>
                <w:color w:val="auto"/>
              </w:rPr>
            </w:pPr>
          </w:p>
        </w:tc>
      </w:tr>
      <w:tr>
        <w:trPr>
          <w:trHeight w:val="24"/>
        </w:trPr>
        <w:tc>
          <w:tcPr>
            <w:tcW w:w="7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5"/>
        </w:trPr>
        <w:tc>
          <w:tcPr>
            <w:tcW w:w="7400" w:type="dxa"/>
            <w:vAlign w:val="bottom"/>
          </w:tcPr>
          <w:p>
            <w:pPr>
              <w:spacing w:after="0"/>
              <w:rPr>
                <w:sz w:val="16"/>
                <w:szCs w:val="16"/>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r>
      <w:tr>
        <w:trPr>
          <w:trHeight w:val="191"/>
        </w:trPr>
        <w:tc>
          <w:tcPr>
            <w:tcW w:w="7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20" w:type="dxa"/>
            <w:vAlign w:val="bottom"/>
            <w:gridSpan w:val="2"/>
          </w:tcPr>
          <w:p>
            <w:pPr>
              <w:jc w:val="right"/>
              <w:ind w:right="498"/>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620" w:type="dxa"/>
            <w:vAlign w:val="bottom"/>
          </w:tcPr>
          <w:p>
            <w:pPr>
              <w:spacing w:after="0"/>
              <w:rPr>
                <w:sz w:val="16"/>
                <w:szCs w:val="16"/>
                <w:color w:val="auto"/>
              </w:rPr>
            </w:pPr>
          </w:p>
        </w:tc>
      </w:tr>
      <w:tr>
        <w:trPr>
          <w:trHeight w:val="230"/>
        </w:trPr>
        <w:tc>
          <w:tcPr>
            <w:tcW w:w="7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Number of claims paid </w:t>
            </w:r>
            <w:r>
              <w:rPr>
                <w:rFonts w:ascii="Times New Roman" w:cs="Times New Roman" w:eastAsia="Times New Roman" w:hAnsi="Times New Roman"/>
                <w:sz w:val="22"/>
                <w:szCs w:val="22"/>
                <w:color w:val="auto"/>
                <w:vertAlign w:val="superscript"/>
              </w:rPr>
              <w:t>(1)</w:t>
            </w:r>
          </w:p>
        </w:tc>
        <w:tc>
          <w:tcPr>
            <w:tcW w:w="1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r>
      <w:tr>
        <w:trPr>
          <w:trHeight w:val="22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amount paid for claims</w:t>
            </w:r>
          </w:p>
        </w:tc>
        <w:tc>
          <w:tcPr>
            <w:tcW w:w="1120" w:type="dxa"/>
            <w:vAlign w:val="bottom"/>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1,145</w:t>
            </w:r>
          </w:p>
        </w:tc>
        <w:tc>
          <w:tcPr>
            <w:tcW w:w="1260" w:type="dxa"/>
            <w:vAlign w:val="bottom"/>
          </w:tcPr>
          <w:p>
            <w:pPr>
              <w:jc w:val="right"/>
              <w:ind w:right="10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344</w:t>
            </w:r>
          </w:p>
        </w:tc>
      </w:tr>
      <w:tr>
        <w:trPr>
          <w:trHeight w:val="224"/>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amount paid per claim</w:t>
            </w:r>
          </w:p>
        </w:tc>
        <w:tc>
          <w:tcPr>
            <w:tcW w:w="1120" w:type="dxa"/>
            <w:vAlign w:val="bottom"/>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27</w:t>
            </w:r>
          </w:p>
        </w:tc>
        <w:tc>
          <w:tcPr>
            <w:tcW w:w="1260" w:type="dxa"/>
            <w:vAlign w:val="bottom"/>
            <w:shd w:val="clear" w:color="auto" w:fill="CCEEFF"/>
          </w:tcPr>
          <w:p>
            <w:pPr>
              <w:jc w:val="right"/>
              <w:ind w:right="10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30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Severity </w:t>
            </w:r>
            <w:r>
              <w:rPr>
                <w:rFonts w:ascii="Times New Roman" w:cs="Times New Roman" w:eastAsia="Times New Roman" w:hAnsi="Times New Roman"/>
                <w:sz w:val="22"/>
                <w:szCs w:val="22"/>
                <w:color w:val="auto"/>
                <w:vertAlign w:val="superscript"/>
              </w:rPr>
              <w:t>(2)</w:t>
            </w:r>
          </w:p>
        </w:tc>
        <w:tc>
          <w:tcPr>
            <w:tcW w:w="1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bl>
    <w:p>
      <w:pPr>
        <w:spacing w:after="0" w:line="152" w:lineRule="exact"/>
        <w:rPr>
          <w:sz w:val="20"/>
          <w:szCs w:val="20"/>
          <w:color w:val="auto"/>
        </w:rPr>
      </w:pPr>
    </w:p>
    <w:p>
      <w:pPr>
        <w:ind w:left="320" w:hanging="314"/>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 includes 16 and seven claims settled without payment during the three months ended March 31, 2024 and 2023, respectively.</w:t>
      </w:r>
    </w:p>
    <w:p>
      <w:pPr>
        <w:spacing w:after="0" w:line="22" w:lineRule="exact"/>
        <w:rPr>
          <w:rFonts w:ascii="Times New Roman" w:cs="Times New Roman" w:eastAsia="Times New Roman" w:hAnsi="Times New Roman"/>
          <w:sz w:val="14"/>
          <w:szCs w:val="14"/>
          <w:color w:val="auto"/>
        </w:rPr>
      </w:pPr>
    </w:p>
    <w:p>
      <w:pPr>
        <w:ind w:left="320" w:hanging="314"/>
        <w:spacing w:after="0" w:line="251" w:lineRule="auto"/>
        <w:tabs>
          <w:tab w:leader="none" w:pos="33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22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paid 42 and 21 claims during the three months ended March 31, 2024 and 2023, respectively. The number of claims paid in each period was modest relative to the size of our insured portfolio and we generally observe that the borrowers of the loans we insure are well-situated with strong credit profiles, stable 30-year fixed rate mortgages, manageable debt service obligations and significant appreciated equity in their homes. An increase in the value of the homes collateralizing the mortgages we insure provides defaulted borrowers with alternative paths and incentives to cure their loan prior to the development of a claim.</w:t>
      </w:r>
    </w:p>
    <w:p>
      <w:pPr>
        <w:spacing w:after="0" w:line="13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Our claims severity for the three months ended March 31, 2024 and 2023 was 54% and 39%, respectively. Our claims severity for each period was below long-term industry norms and benefited from the same broad national house price appreciation that supported our claims paid experience.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13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number of claims paid and our severity experience in future periods may be impacted by developing economic cycles and each could increase if house price declines serve to limit the alternative paths and incentives to cure delinquencies that are available to defaulted borrowers or erode the equity value of the homes collateralizing the mortgages we insure.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8" w:name="page39"/>
    <w:bookmarkEnd w:id="38"/>
    <w:p>
      <w:pPr>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provides detail on our average reserve per default, before giving effect to reserves ceded under the QSR Transactions, as of the dates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reserve per default:</w:t>
            </w:r>
          </w:p>
        </w:tc>
        <w:tc>
          <w:tcPr>
            <w:tcW w:w="1460" w:type="dxa"/>
            <w:vAlign w:val="bottom"/>
          </w:tcPr>
          <w:p>
            <w:pPr>
              <w:spacing w:after="0"/>
              <w:rPr>
                <w:sz w:val="16"/>
                <w:szCs w:val="16"/>
                <w:color w:val="auto"/>
              </w:rPr>
            </w:pPr>
          </w:p>
        </w:tc>
        <w:tc>
          <w:tcPr>
            <w:tcW w:w="146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480" w:type="dxa"/>
            <w:vAlign w:val="bottom"/>
          </w:tcPr>
          <w:p>
            <w:pPr>
              <w:spacing w:after="0"/>
              <w:rPr>
                <w:sz w:val="16"/>
                <w:szCs w:val="16"/>
                <w:color w:val="auto"/>
              </w:rPr>
            </w:pPr>
          </w:p>
        </w:tc>
      </w:tr>
      <w:tr>
        <w:trPr>
          <w:trHeight w:val="24"/>
        </w:trPr>
        <w:tc>
          <w:tcPr>
            <w:tcW w:w="68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5"/>
        </w:trPr>
        <w:tc>
          <w:tcPr>
            <w:tcW w:w="6820" w:type="dxa"/>
            <w:vAlign w:val="bottom"/>
          </w:tcPr>
          <w:p>
            <w:pPr>
              <w:spacing w:after="0"/>
              <w:rPr>
                <w:sz w:val="16"/>
                <w:szCs w:val="16"/>
                <w:color w:val="auto"/>
              </w:rPr>
            </w:pPr>
          </w:p>
        </w:tc>
        <w:tc>
          <w:tcPr>
            <w:tcW w:w="14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6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60" w:type="dxa"/>
            <w:vAlign w:val="bottom"/>
            <w:gridSpan w:val="3"/>
          </w:tcPr>
          <w:p>
            <w:pPr>
              <w:jc w:val="right"/>
              <w:ind w:right="21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Pr>
          <w:p>
            <w:pPr>
              <w:spacing w:after="0"/>
              <w:rPr>
                <w:sz w:val="16"/>
                <w:szCs w:val="16"/>
                <w:color w:val="auto"/>
              </w:rPr>
            </w:pPr>
          </w:p>
        </w:tc>
      </w:tr>
      <w:tr>
        <w:trPr>
          <w:trHeight w:val="230"/>
        </w:trPr>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Case </w:t>
            </w:r>
            <w:r>
              <w:rPr>
                <w:rFonts w:ascii="Times New Roman" w:cs="Times New Roman" w:eastAsia="Times New Roman" w:hAnsi="Times New Roman"/>
                <w:sz w:val="22"/>
                <w:szCs w:val="22"/>
                <w:color w:val="auto"/>
                <w:vertAlign w:val="superscript"/>
              </w:rPr>
              <w:t>(1)</w:t>
            </w:r>
          </w:p>
        </w:tc>
        <w:tc>
          <w:tcPr>
            <w:tcW w:w="1460" w:type="dxa"/>
            <w:vAlign w:val="bottom"/>
            <w:shd w:val="clear" w:color="auto" w:fill="CCEEFF"/>
          </w:tcPr>
          <w:p>
            <w:pPr>
              <w:jc w:val="right"/>
              <w:ind w:right="127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4"/>
        </w:trPr>
        <w:tc>
          <w:tcPr>
            <w:tcW w:w="682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25"/>
                <w:szCs w:val="25"/>
                <w:color w:val="auto"/>
                <w:vertAlign w:val="subscript"/>
              </w:rPr>
              <w:t>IBNR</w:t>
            </w:r>
            <w:r>
              <w:rPr>
                <w:rFonts w:ascii="Times New Roman" w:cs="Times New Roman" w:eastAsia="Times New Roman" w:hAnsi="Times New Roman"/>
                <w:sz w:val="10"/>
                <w:szCs w:val="10"/>
                <w:color w:val="auto"/>
              </w:rPr>
              <w:t xml:space="preserve"> (1)(2)</w:t>
            </w:r>
          </w:p>
        </w:tc>
        <w:tc>
          <w:tcPr>
            <w:tcW w:w="1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CEEFF"/>
          </w:tcPr>
          <w:p>
            <w:pPr>
              <w:jc w:val="right"/>
              <w:ind w:right="127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bl>
    <w:p>
      <w:pPr>
        <w:spacing w:after="0" w:line="228" w:lineRule="exact"/>
        <w:rPr>
          <w:sz w:val="20"/>
          <w:szCs w:val="20"/>
          <w:color w:val="auto"/>
        </w:rPr>
      </w:pPr>
    </w:p>
    <w:p>
      <w:pPr>
        <w:ind w:left="320" w:hanging="314"/>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gross reserve per insured loan in default.</w:t>
      </w:r>
    </w:p>
    <w:p>
      <w:pPr>
        <w:spacing w:after="0" w:line="13"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claims adjustment expenses.</w:t>
      </w:r>
    </w:p>
    <w:p>
      <w:pPr>
        <w:spacing w:after="0" w:line="157"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Average reserve per default increased from March 31, 2023 to March 31, 2024, primarily due to changes in the composition of our default inventory as measured by the size, vintage and current estimated LTV of defaulted loans, as well as the proportion of such loans benefiting from a forbearance program granted in response to a financial hardship related to COVID-19. Average reserves per default were further impacted by changes in observed and forecasted housing market conditions and macroeconomic factors between the measurement dates.</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GSE Oversight</w:t>
      </w:r>
    </w:p>
    <w:p>
      <w:pPr>
        <w:spacing w:after="0" w:line="164" w:lineRule="exact"/>
        <w:rPr>
          <w:sz w:val="20"/>
          <w:szCs w:val="20"/>
          <w:color w:val="auto"/>
        </w:rPr>
      </w:pPr>
    </w:p>
    <w:p>
      <w:pPr>
        <w:jc w:val="both"/>
        <w:ind w:firstLine="673"/>
        <w:spacing w:after="0" w:line="251" w:lineRule="auto"/>
        <w:rPr>
          <w:sz w:val="20"/>
          <w:szCs w:val="20"/>
          <w:color w:val="auto"/>
        </w:rPr>
      </w:pPr>
      <w:r>
        <w:rPr>
          <w:rFonts w:ascii="Times New Roman" w:cs="Times New Roman" w:eastAsia="Times New Roman" w:hAnsi="Times New Roman"/>
          <w:sz w:val="18"/>
          <w:szCs w:val="18"/>
          <w:color w:val="auto"/>
        </w:rPr>
        <w:t xml:space="preserve">As an </w:t>
      </w:r>
      <w:r>
        <w:rPr>
          <w:rFonts w:ascii="Times New Roman" w:cs="Times New Roman" w:eastAsia="Times New Roman" w:hAnsi="Times New Roman"/>
          <w:sz w:val="18"/>
          <w:szCs w:val="18"/>
          <w:i w:val="1"/>
          <w:iCs w:val="1"/>
          <w:color w:val="auto"/>
        </w:rPr>
        <w:t>approved insurer</w:t>
      </w:r>
      <w:r>
        <w:rPr>
          <w:rFonts w:ascii="Times New Roman" w:cs="Times New Roman" w:eastAsia="Times New Roman" w:hAnsi="Times New Roman"/>
          <w:sz w:val="18"/>
          <w:szCs w:val="18"/>
          <w:color w:val="auto"/>
        </w:rPr>
        <w:t>, NMIC is subject to ongoing compliance with the PMIERs established by each of the GSEs (</w:t>
      </w:r>
      <w:r>
        <w:rPr>
          <w:rFonts w:ascii="Times New Roman" w:cs="Times New Roman" w:eastAsia="Times New Roman" w:hAnsi="Times New Roman"/>
          <w:sz w:val="18"/>
          <w:szCs w:val="18"/>
          <w:i w:val="1"/>
          <w:iCs w:val="1"/>
          <w:color w:val="auto"/>
        </w:rPr>
        <w:t>italicized</w:t>
      </w:r>
      <w:r>
        <w:rPr>
          <w:rFonts w:ascii="Times New Roman" w:cs="Times New Roman" w:eastAsia="Times New Roman" w:hAnsi="Times New Roman"/>
          <w:sz w:val="18"/>
          <w:szCs w:val="18"/>
          <w:color w:val="auto"/>
        </w:rPr>
        <w:t xml:space="preserve"> terms have the same meaning that such terms have in the PMIERs, as described below). The PMIERs establish operational, business, remedial and financial requirements applicable to </w:t>
      </w:r>
      <w:r>
        <w:rPr>
          <w:rFonts w:ascii="Times New Roman" w:cs="Times New Roman" w:eastAsia="Times New Roman" w:hAnsi="Times New Roman"/>
          <w:sz w:val="18"/>
          <w:szCs w:val="18"/>
          <w:i w:val="1"/>
          <w:iCs w:val="1"/>
          <w:color w:val="auto"/>
        </w:rPr>
        <w:t>approved insurers</w:t>
      </w:r>
      <w:r>
        <w:rPr>
          <w:rFonts w:ascii="Times New Roman" w:cs="Times New Roman" w:eastAsia="Times New Roman" w:hAnsi="Times New Roman"/>
          <w:sz w:val="18"/>
          <w:szCs w:val="18"/>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current vs. delinquent), LTV ratio and other risk features. In general, higher quality loans carry lower asset charges.</w:t>
      </w:r>
    </w:p>
    <w:p>
      <w:pPr>
        <w:spacing w:after="0" w:line="131" w:lineRule="exact"/>
        <w:rPr>
          <w:sz w:val="20"/>
          <w:szCs w:val="20"/>
          <w:color w:val="auto"/>
        </w:rPr>
      </w:pPr>
    </w:p>
    <w:p>
      <w:pPr>
        <w:jc w:val="both"/>
        <w:ind w:firstLine="673"/>
        <w:spacing w:after="0" w:line="250" w:lineRule="auto"/>
        <w:rPr>
          <w:sz w:val="20"/>
          <w:szCs w:val="20"/>
          <w:color w:val="auto"/>
        </w:rPr>
      </w:pPr>
      <w:r>
        <w:rPr>
          <w:rFonts w:ascii="Times New Roman" w:cs="Times New Roman" w:eastAsia="Times New Roman" w:hAnsi="Times New Roman"/>
          <w:sz w:val="18"/>
          <w:szCs w:val="18"/>
          <w:color w:val="auto"/>
        </w:rPr>
        <w:t xml:space="preserve">Under the PMIERs, </w:t>
      </w:r>
      <w:r>
        <w:rPr>
          <w:rFonts w:ascii="Times New Roman" w:cs="Times New Roman" w:eastAsia="Times New Roman" w:hAnsi="Times New Roman"/>
          <w:sz w:val="18"/>
          <w:szCs w:val="18"/>
          <w:i w:val="1"/>
          <w:iCs w:val="1"/>
          <w:color w:val="auto"/>
        </w:rPr>
        <w:t>approved insurers</w:t>
      </w:r>
      <w:r>
        <w:rPr>
          <w:rFonts w:ascii="Times New Roman" w:cs="Times New Roman" w:eastAsia="Times New Roman" w:hAnsi="Times New Roman"/>
          <w:sz w:val="18"/>
          <w:szCs w:val="18"/>
          <w:color w:val="auto"/>
        </w:rPr>
        <w:t xml:space="preserve"> must maintain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that equal or exceed </w:t>
      </w:r>
      <w:r>
        <w:rPr>
          <w:rFonts w:ascii="Times New Roman" w:cs="Times New Roman" w:eastAsia="Times New Roman" w:hAnsi="Times New Roman"/>
          <w:sz w:val="18"/>
          <w:szCs w:val="18"/>
          <w:i w:val="1"/>
          <w:iCs w:val="1"/>
          <w:color w:val="auto"/>
        </w:rPr>
        <w:t>minimum required assets</w:t>
      </w:r>
      <w:r>
        <w:rPr>
          <w:rFonts w:ascii="Times New Roman" w:cs="Times New Roman" w:eastAsia="Times New Roman" w:hAnsi="Times New Roman"/>
          <w:sz w:val="18"/>
          <w:szCs w:val="18"/>
          <w:color w:val="auto"/>
        </w:rPr>
        <w:t xml:space="preserve">, which is an amount equal to the greater of (i) $400 million or (ii) a total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amount. The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amount is a function of the risk profile of an </w:t>
      </w:r>
      <w:r>
        <w:rPr>
          <w:rFonts w:ascii="Times New Roman" w:cs="Times New Roman" w:eastAsia="Times New Roman" w:hAnsi="Times New Roman"/>
          <w:sz w:val="18"/>
          <w:szCs w:val="18"/>
          <w:i w:val="1"/>
          <w:iCs w:val="1"/>
          <w:color w:val="auto"/>
        </w:rPr>
        <w:t>approved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insurer's </w:t>
      </w:r>
      <w:r>
        <w:rPr>
          <w:rFonts w:ascii="Times New Roman" w:cs="Times New Roman" w:eastAsia="Times New Roman" w:hAnsi="Times New Roman"/>
          <w:sz w:val="18"/>
          <w:szCs w:val="18"/>
          <w:color w:val="auto"/>
        </w:rPr>
        <w:t>RIF, assessed on a loan-by-loan basis and considered against certain risk-based factors derived from tables set out in the PMIERs, which is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adjusted on an aggregate basis for reinsurance transactions approved by the GSEs, such as with respect to our ILN Transactions, XOL Transactions and QSR Transactions. The </w:t>
      </w:r>
      <w:r>
        <w:rPr>
          <w:rFonts w:ascii="Times New Roman" w:cs="Times New Roman" w:eastAsia="Times New Roman" w:hAnsi="Times New Roman"/>
          <w:sz w:val="18"/>
          <w:szCs w:val="18"/>
          <w:i w:val="1"/>
          <w:iCs w:val="1"/>
          <w:color w:val="auto"/>
        </w:rPr>
        <w:t>aggregate gross risk-based required asset</w:t>
      </w:r>
      <w:r>
        <w:rPr>
          <w:rFonts w:ascii="Times New Roman" w:cs="Times New Roman" w:eastAsia="Times New Roman" w:hAnsi="Times New Roman"/>
          <w:sz w:val="18"/>
          <w:szCs w:val="18"/>
          <w:color w:val="auto"/>
        </w:rPr>
        <w:t xml:space="preserve"> amount for performing, primary insurance is subject to a floor of 5.6% of </w:t>
      </w:r>
      <w:r>
        <w:rPr>
          <w:rFonts w:ascii="Times New Roman" w:cs="Times New Roman" w:eastAsia="Times New Roman" w:hAnsi="Times New Roman"/>
          <w:sz w:val="18"/>
          <w:szCs w:val="18"/>
          <w:i w:val="1"/>
          <w:iCs w:val="1"/>
          <w:color w:val="auto"/>
        </w:rPr>
        <w:t>performing 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adjusted RIF</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By April 15th of each year, NMIC must certify it met all PMIERs requirements as of December 31st of the prior year. We certified to the GSEs by April 15, 2024 that NMIC was in full compliance with the PMIERs as of December 31, 2023. NMIC also has an ongoing obligation to immediately notify the GSEs in writing upon discovery of a failure to meet one or more of the PMIERs requirements. We continuously monitor NMIC's compliance with the PMIERs.</w:t>
      </w:r>
    </w:p>
    <w:p>
      <w:pPr>
        <w:spacing w:after="0" w:line="90"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 xml:space="preserve">The following table provides a comparison of the PMIERs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and net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amount as reported by NMIC as of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60" w:type="dxa"/>
            <w:vAlign w:val="bottom"/>
            <w:gridSpan w:val="2"/>
          </w:tcPr>
          <w:p>
            <w:pPr>
              <w:jc w:val="center"/>
              <w:ind w:left="643"/>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140" w:type="dxa"/>
            <w:vAlign w:val="bottom"/>
          </w:tcPr>
          <w:p>
            <w:pPr>
              <w:spacing w:after="0"/>
              <w:rPr>
                <w:sz w:val="16"/>
                <w:szCs w:val="16"/>
                <w:color w:val="auto"/>
              </w:rPr>
            </w:pPr>
          </w:p>
        </w:tc>
      </w:tr>
      <w:tr>
        <w:trPr>
          <w:trHeight w:val="24"/>
        </w:trPr>
        <w:tc>
          <w:tcPr>
            <w:tcW w:w="76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5"/>
        </w:trPr>
        <w:tc>
          <w:tcPr>
            <w:tcW w:w="7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60" w:type="dxa"/>
            <w:vAlign w:val="bottom"/>
            <w:gridSpan w:val="2"/>
          </w:tcPr>
          <w:p>
            <w:pPr>
              <w:jc w:val="center"/>
              <w:ind w:left="62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6"/>
                <w:szCs w:val="16"/>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assets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2,821,803</w:t>
            </w:r>
          </w:p>
        </w:tc>
        <w:tc>
          <w:tcPr>
            <w:tcW w:w="6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2,480,882</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risk-based required assets</w:t>
            </w:r>
          </w:p>
        </w:tc>
        <w:tc>
          <w:tcPr>
            <w:tcW w:w="420" w:type="dxa"/>
            <w:vAlign w:val="bottom"/>
          </w:tcPr>
          <w:p>
            <w:pPr>
              <w:spacing w:after="0"/>
              <w:rPr>
                <w:sz w:val="19"/>
                <w:szCs w:val="19"/>
                <w:color w:val="auto"/>
              </w:rPr>
            </w:pP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1,561,655</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1,231,780</w:t>
            </w:r>
          </w:p>
        </w:tc>
      </w:tr>
    </w:tbl>
    <w:p>
      <w:pPr>
        <w:spacing w:after="0" w:line="200" w:lineRule="exact"/>
        <w:rPr>
          <w:sz w:val="20"/>
          <w:szCs w:val="20"/>
          <w:color w:val="auto"/>
        </w:rPr>
      </w:pPr>
    </w:p>
    <w:p>
      <w:pPr>
        <w:spacing w:after="0" w:line="263"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Available assets </w:t>
      </w:r>
      <w:r>
        <w:rPr>
          <w:rFonts w:ascii="Times New Roman" w:cs="Times New Roman" w:eastAsia="Times New Roman" w:hAnsi="Times New Roman"/>
          <w:sz w:val="18"/>
          <w:szCs w:val="18"/>
          <w:color w:val="auto"/>
        </w:rPr>
        <w:t>were $2.8 billion at March 31, 2024, compared to $2.5 billion at March 31, 2023. The $341 million increase in</w:t>
      </w:r>
      <w:r>
        <w:rPr>
          <w:rFonts w:ascii="Times New Roman" w:cs="Times New Roman" w:eastAsia="Times New Roman" w:hAnsi="Times New Roman"/>
          <w:sz w:val="18"/>
          <w:szCs w:val="18"/>
          <w:i w:val="1"/>
          <w:iCs w:val="1"/>
          <w:color w:val="auto"/>
        </w:rPr>
        <w:t xml:space="preserve"> available assets </w:t>
      </w:r>
      <w:r>
        <w:rPr>
          <w:rFonts w:ascii="Times New Roman" w:cs="Times New Roman" w:eastAsia="Times New Roman" w:hAnsi="Times New Roman"/>
          <w:sz w:val="18"/>
          <w:szCs w:val="18"/>
          <w:color w:val="auto"/>
        </w:rPr>
        <w:t>between the dates presented was primarily driven by NMIC's positive cash flow from operations during the intervening period, partially offset by the payment of an ordinary course dividend from NMIC to NMIH in May 2023.</w:t>
      </w:r>
    </w:p>
    <w:p>
      <w:pPr>
        <w:spacing w:after="0" w:line="124"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 xml:space="preserve">Net </w:t>
      </w:r>
      <w:r>
        <w:rPr>
          <w:rFonts w:ascii="Times New Roman" w:cs="Times New Roman" w:eastAsia="Times New Roman" w:hAnsi="Times New Roman"/>
          <w:sz w:val="18"/>
          <w:szCs w:val="18"/>
          <w:i w:val="1"/>
          <w:iCs w:val="1"/>
          <w:color w:val="auto"/>
        </w:rPr>
        <w:t>risk-based required assets</w:t>
      </w:r>
      <w:r>
        <w:rPr>
          <w:rFonts w:ascii="Times New Roman" w:cs="Times New Roman" w:eastAsia="Times New Roman" w:hAnsi="Times New Roman"/>
          <w:sz w:val="18"/>
          <w:szCs w:val="18"/>
          <w:color w:val="auto"/>
        </w:rPr>
        <w:t xml:space="preserve"> were $1.6 billion at March 31, 2024, compared to $1.2 billion at March 31, 2023. The $330 million increase in the </w:t>
      </w:r>
      <w:r>
        <w:rPr>
          <w:rFonts w:ascii="Times New Roman" w:cs="Times New Roman" w:eastAsia="Times New Roman" w:hAnsi="Times New Roman"/>
          <w:sz w:val="18"/>
          <w:szCs w:val="18"/>
          <w:i w:val="1"/>
          <w:iCs w:val="1"/>
          <w:color w:val="auto"/>
        </w:rPr>
        <w:t xml:space="preserve">risk-based required asset </w:t>
      </w:r>
      <w:r>
        <w:rPr>
          <w:rFonts w:ascii="Times New Roman" w:cs="Times New Roman" w:eastAsia="Times New Roman" w:hAnsi="Times New Roman"/>
          <w:sz w:val="18"/>
          <w:szCs w:val="18"/>
          <w:color w:val="auto"/>
        </w:rPr>
        <w:t>amount between the dates presented was primarily due to the growth in our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9" w:name="page40"/>
    <w:bookmarkEnd w:id="39"/>
    <w:p>
      <w:pPr>
        <w:jc w:val="both"/>
        <w:spacing w:after="0" w:line="272" w:lineRule="auto"/>
        <w:rPr>
          <w:sz w:val="20"/>
          <w:szCs w:val="20"/>
          <w:color w:val="auto"/>
        </w:rPr>
      </w:pPr>
      <w:r>
        <w:rPr>
          <w:rFonts w:ascii="Times New Roman" w:cs="Times New Roman" w:eastAsia="Times New Roman" w:hAnsi="Times New Roman"/>
          <w:sz w:val="18"/>
          <w:szCs w:val="18"/>
          <w:color w:val="auto"/>
        </w:rPr>
        <w:t xml:space="preserve">gross RIF and aggregate gross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amount. Net </w:t>
      </w:r>
      <w:r>
        <w:rPr>
          <w:rFonts w:ascii="Times New Roman" w:cs="Times New Roman" w:eastAsia="Times New Roman" w:hAnsi="Times New Roman"/>
          <w:sz w:val="18"/>
          <w:szCs w:val="18"/>
          <w:i w:val="1"/>
          <w:iCs w:val="1"/>
          <w:color w:val="auto"/>
        </w:rPr>
        <w:t>risk-based required assets</w:t>
      </w:r>
      <w:r>
        <w:rPr>
          <w:rFonts w:ascii="Times New Roman" w:cs="Times New Roman" w:eastAsia="Times New Roman" w:hAnsi="Times New Roman"/>
          <w:sz w:val="18"/>
          <w:szCs w:val="18"/>
          <w:color w:val="auto"/>
        </w:rPr>
        <w:t xml:space="preserve"> reflect $1.8 billion and $1.9 billion, respectively, of aggregate PMIERs risk-based required asset credit for reinsurance as of March 31, 2024 and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300" w:type="dxa"/>
            <w:vAlign w:val="bottom"/>
          </w:tcPr>
          <w:p>
            <w:pPr>
              <w:spacing w:after="0"/>
              <w:rPr>
                <w:sz w:val="16"/>
                <w:szCs w:val="16"/>
                <w:color w:val="auto"/>
              </w:rPr>
            </w:pPr>
          </w:p>
        </w:tc>
        <w:tc>
          <w:tcPr>
            <w:tcW w:w="348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7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18"/>
                <w:szCs w:val="18"/>
                <w:color w:val="auto"/>
              </w:rPr>
            </w:pPr>
          </w:p>
        </w:tc>
        <w:tc>
          <w:tcPr>
            <w:tcW w:w="34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136,657</w:t>
            </w:r>
          </w:p>
        </w:tc>
        <w:tc>
          <w:tcPr>
            <w:tcW w:w="520" w:type="dxa"/>
            <w:vAlign w:val="bottom"/>
            <w:gridSpan w:val="3"/>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121,754</w:t>
            </w:r>
          </w:p>
        </w:tc>
        <w:tc>
          <w:tcPr>
            <w:tcW w:w="0" w:type="dxa"/>
            <w:vAlign w:val="bottom"/>
          </w:tcPr>
          <w:p>
            <w:pPr>
              <w:spacing w:after="0"/>
              <w:rPr>
                <w:sz w:val="1"/>
                <w:szCs w:val="1"/>
                <w:color w:val="auto"/>
              </w:rPr>
            </w:pPr>
          </w:p>
        </w:tc>
      </w:tr>
      <w:tr>
        <w:trPr>
          <w:trHeight w:val="224"/>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Pr>
          <w:p>
            <w:pPr>
              <w:spacing w:after="0"/>
              <w:rPr>
                <w:sz w:val="19"/>
                <w:szCs w:val="19"/>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19,436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14,894</w:t>
            </w:r>
          </w:p>
        </w:tc>
        <w:tc>
          <w:tcPr>
            <w:tcW w:w="0" w:type="dxa"/>
            <w:vAlign w:val="bottom"/>
          </w:tcPr>
          <w:p>
            <w:pPr>
              <w:spacing w:after="0"/>
              <w:rPr>
                <w:sz w:val="1"/>
                <w:szCs w:val="1"/>
                <w:color w:val="auto"/>
              </w:rPr>
            </w:pPr>
          </w:p>
        </w:tc>
      </w:tr>
      <w:tr>
        <w:trPr>
          <w:trHeight w:val="224"/>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realized investment losses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4"/>
        </w:trPr>
        <w:tc>
          <w:tcPr>
            <w:tcW w:w="7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revenues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156,253</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136,779</w:t>
            </w:r>
          </w:p>
        </w:tc>
        <w:tc>
          <w:tcPr>
            <w:tcW w:w="0" w:type="dxa"/>
            <w:vAlign w:val="bottom"/>
          </w:tcPr>
          <w:p>
            <w:pPr>
              <w:spacing w:after="0"/>
              <w:rPr>
                <w:sz w:val="1"/>
                <w:szCs w:val="1"/>
                <w:color w:val="auto"/>
              </w:rPr>
            </w:pPr>
          </w:p>
        </w:tc>
      </w:tr>
      <w:tr>
        <w:trPr>
          <w:trHeight w:val="204"/>
        </w:trPr>
        <w:tc>
          <w:tcPr>
            <w:tcW w:w="73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claims and claim expenses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6,701</w:t>
            </w:r>
          </w:p>
        </w:tc>
        <w:tc>
          <w:tcPr>
            <w:tcW w:w="0" w:type="dxa"/>
            <w:vAlign w:val="bottom"/>
          </w:tcPr>
          <w:p>
            <w:pPr>
              <w:spacing w:after="0"/>
              <w:rPr>
                <w:sz w:val="1"/>
                <w:szCs w:val="1"/>
                <w:color w:val="auto"/>
              </w:rPr>
            </w:pPr>
          </w:p>
        </w:tc>
      </w:tr>
      <w:tr>
        <w:trPr>
          <w:trHeight w:val="224"/>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Underwriting and operating expenses</w:t>
            </w:r>
          </w:p>
        </w:tc>
        <w:tc>
          <w:tcPr>
            <w:tcW w:w="300" w:type="dxa"/>
            <w:vAlign w:val="bottom"/>
          </w:tcPr>
          <w:p>
            <w:pPr>
              <w:spacing w:after="0"/>
              <w:rPr>
                <w:sz w:val="19"/>
                <w:szCs w:val="19"/>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29,815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25,786</w:t>
            </w:r>
          </w:p>
        </w:tc>
        <w:tc>
          <w:tcPr>
            <w:tcW w:w="0" w:type="dxa"/>
            <w:vAlign w:val="bottom"/>
          </w:tcPr>
          <w:p>
            <w:pPr>
              <w:spacing w:after="0"/>
              <w:rPr>
                <w:sz w:val="1"/>
                <w:szCs w:val="1"/>
                <w:color w:val="auto"/>
              </w:rPr>
            </w:pPr>
          </w:p>
        </w:tc>
      </w:tr>
      <w:tr>
        <w:trPr>
          <w:trHeight w:val="224"/>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expenses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4"/>
        </w:trPr>
        <w:tc>
          <w:tcPr>
            <w:tcW w:w="7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8,040</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8,039</w:t>
            </w: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41,686</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40,606</w:t>
            </w:r>
          </w:p>
        </w:tc>
        <w:tc>
          <w:tcPr>
            <w:tcW w:w="0" w:type="dxa"/>
            <w:vAlign w:val="bottom"/>
          </w:tcPr>
          <w:p>
            <w:pPr>
              <w:spacing w:after="0"/>
              <w:rPr>
                <w:sz w:val="1"/>
                <w:szCs w:val="1"/>
                <w:color w:val="auto"/>
              </w:rPr>
            </w:pPr>
          </w:p>
        </w:tc>
      </w:tr>
      <w:tr>
        <w:trPr>
          <w:trHeight w:val="244"/>
        </w:trPr>
        <w:tc>
          <w:tcPr>
            <w:tcW w:w="7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114,567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96,173</w:t>
            </w:r>
          </w:p>
        </w:tc>
        <w:tc>
          <w:tcPr>
            <w:tcW w:w="0" w:type="dxa"/>
            <w:vAlign w:val="bottom"/>
          </w:tcPr>
          <w:p>
            <w:pPr>
              <w:spacing w:after="0"/>
              <w:rPr>
                <w:sz w:val="1"/>
                <w:szCs w:val="1"/>
                <w:color w:val="auto"/>
              </w:rPr>
            </w:pPr>
          </w:p>
        </w:tc>
      </w:tr>
      <w:tr>
        <w:trPr>
          <w:trHeight w:val="224"/>
        </w:trPr>
        <w:tc>
          <w:tcPr>
            <w:tcW w:w="7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25,517</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21,715</w:t>
            </w:r>
          </w:p>
        </w:tc>
        <w:tc>
          <w:tcPr>
            <w:tcW w:w="0" w:type="dxa"/>
            <w:vAlign w:val="bottom"/>
          </w:tcPr>
          <w:p>
            <w:pPr>
              <w:spacing w:after="0"/>
              <w:rPr>
                <w:sz w:val="1"/>
                <w:szCs w:val="1"/>
                <w:color w:val="auto"/>
              </w:rPr>
            </w:pPr>
          </w:p>
        </w:tc>
      </w:tr>
      <w:tr>
        <w:trPr>
          <w:trHeight w:val="242"/>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89,050</w:t>
            </w:r>
          </w:p>
        </w:tc>
        <w:tc>
          <w:tcPr>
            <w:tcW w:w="1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74,458</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7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1.10</w:t>
            </w:r>
          </w:p>
        </w:tc>
        <w:tc>
          <w:tcPr>
            <w:tcW w:w="520" w:type="dxa"/>
            <w:vAlign w:val="bottom"/>
            <w:gridSpan w:val="3"/>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2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1.08</w:t>
            </w:r>
          </w:p>
        </w:tc>
        <w:tc>
          <w:tcPr>
            <w:tcW w:w="52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158"/>
        </w:trPr>
        <w:tc>
          <w:tcPr>
            <w:tcW w:w="7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3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Loss ratio </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4"/>
        </w:trPr>
        <w:tc>
          <w:tcPr>
            <w:tcW w:w="73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Expense ratio </w:t>
            </w:r>
            <w:r>
              <w:rPr>
                <w:rFonts w:ascii="Times New Roman" w:cs="Times New Roman" w:eastAsia="Times New Roman" w:hAnsi="Times New Roman"/>
                <w:sz w:val="22"/>
                <w:szCs w:val="22"/>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17"/>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444"/>
        </w:trPr>
        <w:tc>
          <w:tcPr>
            <w:tcW w:w="7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Non-GAAP financial measures </w:t>
            </w:r>
            <w:r>
              <w:rPr>
                <w:rFonts w:ascii="Times New Roman" w:cs="Times New Roman" w:eastAsia="Times New Roman" w:hAnsi="Times New Roman"/>
                <w:sz w:val="18"/>
                <w:szCs w:val="18"/>
                <w:b w:val="1"/>
                <w:bCs w:val="1"/>
                <w:color w:val="auto"/>
                <w:vertAlign w:val="superscript"/>
              </w:rPr>
              <w:t>(3)</w:t>
            </w: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38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60" w:type="dxa"/>
            <w:vAlign w:val="bottom"/>
            <w:gridSpan w:val="5"/>
          </w:tcPr>
          <w:p>
            <w:pPr>
              <w:jc w:val="right"/>
              <w:ind w:right="414"/>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income before tax</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114,567</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Pr>
          <w:p>
            <w:pPr>
              <w:spacing w:after="0"/>
              <w:rPr>
                <w:sz w:val="19"/>
                <w:szCs w:val="19"/>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89,050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EPS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Loss ratio is calculated by dividing insurance claims and claim expenses by net premiums earned.</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(2)</w:t>
        <w:tab/>
        <w:t>Expense ratio is calculated by dividing underwriting and operating expenses by net premiums earned.</w:t>
      </w:r>
    </w:p>
    <w:p>
      <w:pPr>
        <w:spacing w:after="0" w:line="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(3)</w:t>
        <w:tab/>
        <w:t>See “</w:t>
      </w:r>
      <w:r>
        <w:rPr>
          <w:rFonts w:ascii="Times New Roman" w:cs="Times New Roman" w:eastAsia="Times New Roman" w:hAnsi="Times New Roman"/>
          <w:sz w:val="14"/>
          <w:szCs w:val="14"/>
          <w:i w:val="1"/>
          <w:iCs w:val="1"/>
          <w:color w:val="auto"/>
        </w:rPr>
        <w:t>Explanation and Reconciliation of Our Use of Non-GAAP Financial Measures,”</w:t>
      </w:r>
      <w:r>
        <w:rPr>
          <w:rFonts w:ascii="Times New Roman" w:cs="Times New Roman" w:eastAsia="Times New Roman" w:hAnsi="Times New Roman"/>
          <w:sz w:val="14"/>
          <w:szCs w:val="14"/>
          <w:color w:val="auto"/>
        </w:rPr>
        <w:t xml:space="preserve"> below.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6"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Net premiums earned were $136.7 million for the three months ended March 31, 2024, compared to $121.8 million for the three months ended March 31, 2023. The increase in net premiums earned was primarily driven by growth in our monthly IIF and monthly pay premium receipts, as well as a decline in the total premiums ceded under our reinsurance treaties, partially offset by a decline in the contribution from single premium policy cancellations.</w:t>
      </w:r>
    </w:p>
    <w:p>
      <w:pPr>
        <w:spacing w:after="0" w:line="92"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Net investment income was $19.4 million for the three months ended March 31, 2024, compared to $14.9 million for the three months ended March 31, 2023. The increase in net investment income was primarily driven by an increase in the book yield of our investment portfolio tied to the deployment of new cash flows and reinvestment of rolling maturities at incrementally higher rates, as well as growth in the size of our total invested asset base.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0" w:name="page41"/>
    <w:bookmarkEnd w:id="40"/>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Other revenues were $0.2 million for the three months ended March 31, 2024 and 2023. Other revenues represent underwriting fee revenue generated by our subsidiary, NMIS, which provides outsourced loan review services to mortgage loan originators. Changes in other revenues primarily reflect changes in NMIS' outsourced loan review volume. Amounts recognized in other revenues generally correspond with amounts incurred as service expenses for outsourced loan review activities in the same periods.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66"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92"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Insurance claims and claim expenses were $3.7 million for the three months ended March 31, 2024, compared to $6.7 million for the three months ended March 31, 2023. The decrease in insurance claims and claim expenses for the three months ended March 31, 2024 was primarily driven by the release of a portion of the reserves we established for anticipated claims payments in prior periods (in connection with cure activity and ongoing analysis of loss development trends), partially offset by the establishment of initial reserves on newly defaulted loans during the period, as well as an increase in the average case reserve held against previously defaulted loans that aged in their delinquent status.</w:t>
      </w:r>
    </w:p>
    <w:p>
      <w:pPr>
        <w:spacing w:after="0" w:line="13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Underwriting and operating expenses were $29.8 million for the three months ended March 31, 2024, compared to $25.8 million for the three months ended March 31, 2023. The increase in underwriting and operating expenses primarily reflects an increase in employee compensation costs and the adjustments to the amortization of certain deferred policy acquisition costs.</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Service expenses were $0.1 million for the three months ended March 31, 2024 and 2023. Service expenses represent third-party costs incurred by NMIS in connection with the services it provides. Changes in service expenses primarily reflect changes in NMIS' outsourced loan review volume. Amounts incurred as service expenses generally correspond with amounts recognized in other revenues in the same periods.</w:t>
      </w:r>
    </w:p>
    <w:p>
      <w:pPr>
        <w:spacing w:after="0" w:line="12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Interest expense was $8.0 million for the three months ended March 31, 2024 and 2023. Interest expense primarily reflects the carrying costs of the Notes. See Item 1, “</w:t>
      </w:r>
      <w:r>
        <w:rPr>
          <w:rFonts w:ascii="Times New Roman" w:cs="Times New Roman" w:eastAsia="Times New Roman" w:hAnsi="Times New Roman"/>
          <w:sz w:val="18"/>
          <w:szCs w:val="18"/>
          <w:i w:val="1"/>
          <w:iCs w:val="1"/>
          <w:color w:val="auto"/>
        </w:rPr>
        <w:t>Financial Statements - Notes to Condensed Consolidated Financial Statements - Note 4, Debt.”</w:t>
      </w:r>
    </w:p>
    <w:p>
      <w:pPr>
        <w:spacing w:after="0" w:line="116"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Income tax expense was $25.5 million for the three months ended March 31, 2024, compared to $21.7 million for the three months ended March 31, 2023. The increase in income tax expense was primarily driven by growth in our pre-tax income. Our effective tax rate on pre-tax income was 22.3% for the three months ended March 31, 2024, compared to 22.6% for the three months ended March 31, 2023. As a U.S. taxpayer, we are subject to a statutory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rates for the three months ended March 31, 2024 and 2023 reflect the discrete tax effects of the vesting of RSUs and exercise of options. See Item 1, “</w:t>
      </w:r>
      <w:r>
        <w:rPr>
          <w:rFonts w:ascii="Times New Roman" w:cs="Times New Roman" w:eastAsia="Times New Roman" w:hAnsi="Times New Roman"/>
          <w:sz w:val="18"/>
          <w:szCs w:val="18"/>
          <w:i w:val="1"/>
          <w:iCs w:val="1"/>
          <w:color w:val="auto"/>
        </w:rPr>
        <w:t>Financial Statements - Notes to Condensed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 Note 8, Income Taxes.”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6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Net income and adjusted net income were $89.0 million each for the three months ended March 31, 2024, compared to $74.5 million each for the three months ended March 31, 2023. The increases in net income and adjusted net income were primarily driven by growth in our total revenues, as well as a decline in our insurance claims and claim expenses, partially offset by increases in our underwriting and operating expenses and income tax expense.</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Diluted EPS and adjusted diluted EPS were $1.08 each for the three months ended March 31, 2024, compared to $0.88 each for the three months ended March 31, 2023. Diluted and adjusted diluted EPS increased primarily due to growth in our net income and adjusted net income, as well as a decline in the number of weighted average diluted shares outstanding tied to share repurchase activity.</w:t>
      </w:r>
    </w:p>
    <w:p>
      <w:pPr>
        <w:spacing w:after="0" w:line="12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non-GAAP financial measures of adjusted income before tax, adjusted net income and adjusted diluted EPS are presented to enhance the comparability of financial results between periods.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1" w:name="page42"/>
    <w:bookmarkEnd w:id="41"/>
    <w:tbl>
      <w:tblPr>
        <w:tblLayout w:type="fixed"/>
        <w:tblInd w:w="74" w:type="dxa"/>
        <w:tblCellMar>
          <w:top w:w="0" w:type="dxa"/>
          <w:left w:w="0" w:type="dxa"/>
          <w:bottom w:w="0" w:type="dxa"/>
          <w:right w:w="0" w:type="dxa"/>
        </w:tblCellMar>
      </w:tblPr>
      <w:tr>
        <w:trPr>
          <w:trHeight w:val="211"/>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 Reconciliations</w:t>
            </w:r>
          </w:p>
        </w:tc>
        <w:tc>
          <w:tcPr>
            <w:tcW w:w="3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87"/>
        </w:trPr>
        <w:tc>
          <w:tcPr>
            <w:tcW w:w="7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340" w:type="dxa"/>
            <w:vAlign w:val="bottom"/>
          </w:tcPr>
          <w:p>
            <w:pPr>
              <w:spacing w:after="0"/>
              <w:rPr>
                <w:sz w:val="18"/>
                <w:szCs w:val="18"/>
                <w:color w:val="auto"/>
              </w:rPr>
            </w:pPr>
          </w:p>
        </w:tc>
        <w:tc>
          <w:tcPr>
            <w:tcW w:w="322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96,173</w:t>
            </w:r>
          </w:p>
        </w:tc>
      </w:tr>
      <w:tr>
        <w:trPr>
          <w:trHeight w:val="224"/>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21,715</w:t>
            </w:r>
          </w:p>
        </w:tc>
      </w:tr>
      <w:tr>
        <w:trPr>
          <w:trHeight w:val="242"/>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7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investment losses</w:t>
            </w:r>
          </w:p>
        </w:tc>
        <w:tc>
          <w:tcPr>
            <w:tcW w:w="3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7"/>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 before tax</w:t>
            </w: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114,567</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96,206</w:t>
            </w:r>
          </w:p>
        </w:tc>
      </w:tr>
      <w:tr>
        <w:trPr>
          <w:trHeight w:val="198"/>
        </w:trPr>
        <w:tc>
          <w:tcPr>
            <w:tcW w:w="7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4"/>
        </w:trPr>
        <w:tc>
          <w:tcPr>
            <w:tcW w:w="760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Income tax expense on adjustments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89,050</w:t>
            </w:r>
          </w:p>
        </w:tc>
        <w:tc>
          <w:tcPr>
            <w:tcW w:w="80" w:type="dxa"/>
            <w:vAlign w:val="bottom"/>
          </w:tcPr>
          <w:p>
            <w:pPr>
              <w:spacing w:after="0"/>
              <w:rPr>
                <w:sz w:val="18"/>
                <w:szCs w:val="18"/>
                <w:color w:val="auto"/>
              </w:rPr>
            </w:pPr>
          </w:p>
        </w:tc>
        <w:tc>
          <w:tcPr>
            <w:tcW w:w="42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74,484</w:t>
            </w:r>
          </w:p>
        </w:tc>
      </w:tr>
      <w:tr>
        <w:trPr>
          <w:trHeight w:val="211"/>
        </w:trPr>
        <w:tc>
          <w:tcPr>
            <w:tcW w:w="7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84,840</w:t>
            </w:r>
          </w:p>
        </w:tc>
      </w:tr>
      <w:tr>
        <w:trPr>
          <w:trHeight w:val="22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diluted EPS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r>
    </w:tbl>
    <w:p>
      <w:pPr>
        <w:spacing w:after="0" w:line="123" w:lineRule="exact"/>
        <w:rPr>
          <w:sz w:val="20"/>
          <w:szCs w:val="20"/>
          <w:color w:val="auto"/>
        </w:rPr>
      </w:pPr>
    </w:p>
    <w:p>
      <w:pPr>
        <w:ind w:left="314" w:right="20" w:hanging="314"/>
        <w:spacing w:after="0" w:line="269" w:lineRule="auto"/>
        <w:tabs>
          <w:tab w:leader="none" w:pos="32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Marginal tax impact of non-GAAP adjustments is calculated based on our statutory U.S. federal corporate income tax rate of 21%, except for those items that are not eligible for an income tax deduction.</w:t>
      </w:r>
    </w:p>
    <w:p>
      <w:pPr>
        <w:spacing w:after="0" w:line="208"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8"/>
          <w:szCs w:val="18"/>
          <w:b w:val="1"/>
          <w:bCs w:val="1"/>
          <w:color w:val="auto"/>
        </w:rPr>
        <w:t>Explanation and Reconciliation of Our Use of Non-GAAP Financial Measures</w:t>
      </w:r>
    </w:p>
    <w:p>
      <w:pPr>
        <w:spacing w:after="0" w:line="164" w:lineRule="exact"/>
        <w:rPr>
          <w:sz w:val="20"/>
          <w:szCs w:val="20"/>
          <w:color w:val="auto"/>
        </w:rPr>
      </w:pPr>
    </w:p>
    <w:p>
      <w:pPr>
        <w:jc w:val="both"/>
        <w:ind w:left="74" w:firstLine="633"/>
        <w:spacing w:after="0" w:line="249" w:lineRule="auto"/>
        <w:rPr>
          <w:sz w:val="20"/>
          <w:szCs w:val="20"/>
          <w:color w:val="auto"/>
        </w:rPr>
      </w:pPr>
      <w:r>
        <w:rPr>
          <w:rFonts w:ascii="Times New Roman" w:cs="Times New Roman" w:eastAsia="Times New Roman" w:hAnsi="Times New Roman"/>
          <w:sz w:val="18"/>
          <w:szCs w:val="18"/>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134" w:lineRule="exact"/>
        <w:rPr>
          <w:sz w:val="20"/>
          <w:szCs w:val="20"/>
          <w:color w:val="auto"/>
        </w:rPr>
      </w:pPr>
    </w:p>
    <w:p>
      <w:pPr>
        <w:jc w:val="both"/>
        <w:ind w:left="74" w:firstLine="633"/>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Adjusted income before tax </w:t>
      </w:r>
      <w:r>
        <w:rPr>
          <w:rFonts w:ascii="Times New Roman" w:cs="Times New Roman" w:eastAsia="Times New Roman" w:hAnsi="Times New Roman"/>
          <w:sz w:val="18"/>
          <w:szCs w:val="18"/>
          <w:color w:val="auto"/>
        </w:rPr>
        <w:t>is defined as GAAP income before tax, excluding the pre-tax effects of net realized gains or losses from our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portfolio, periodic costs incurred in connection with capital markets transactions, and other infrequent, unusual or non-operating items in the periods in which such items are incurred.</w:t>
      </w:r>
    </w:p>
    <w:p>
      <w:pPr>
        <w:spacing w:after="0" w:line="124" w:lineRule="exact"/>
        <w:rPr>
          <w:sz w:val="20"/>
          <w:szCs w:val="20"/>
          <w:color w:val="auto"/>
        </w:rPr>
      </w:pPr>
    </w:p>
    <w:p>
      <w:pPr>
        <w:jc w:val="both"/>
        <w:ind w:left="74" w:firstLine="633"/>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is defined as GAAP net income, excluding the after-tax effects of net realized gains or losses from our investment portfolio,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 costs incurred in connection with capital markets transactions, and other infrequent, unusual or non-operating items in the periods in which such items are incurred. Adjustments to components of pre-tax income are tax effected using the applicable federal statutory tax rate for the respective periods.</w:t>
      </w:r>
    </w:p>
    <w:p>
      <w:pPr>
        <w:spacing w:after="0" w:line="124" w:lineRule="exact"/>
        <w:rPr>
          <w:sz w:val="20"/>
          <w:szCs w:val="20"/>
          <w:color w:val="auto"/>
        </w:rPr>
      </w:pPr>
    </w:p>
    <w:p>
      <w:pPr>
        <w:jc w:val="both"/>
        <w:ind w:left="74" w:firstLine="63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Adjusted diluted EPS </w:t>
      </w:r>
      <w:r>
        <w:rPr>
          <w:rFonts w:ascii="Times New Roman" w:cs="Times New Roman" w:eastAsia="Times New Roman" w:hAnsi="Times New Roman"/>
          <w:sz w:val="18"/>
          <w:szCs w:val="18"/>
          <w:color w:val="auto"/>
        </w:rPr>
        <w:t>is defined as adjusted net income divided by adjusted weighted average diluted shares outstanding. Adjusted weighted average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32" w:lineRule="exact"/>
        <w:rPr>
          <w:sz w:val="20"/>
          <w:szCs w:val="20"/>
          <w:color w:val="auto"/>
        </w:rPr>
      </w:pPr>
    </w:p>
    <w:p>
      <w:pPr>
        <w:jc w:val="both"/>
        <w:ind w:left="74" w:firstLine="633"/>
        <w:spacing w:after="0" w:line="253" w:lineRule="auto"/>
        <w:rPr>
          <w:sz w:val="20"/>
          <w:szCs w:val="20"/>
          <w:color w:val="auto"/>
        </w:rPr>
      </w:pPr>
      <w:r>
        <w:rPr>
          <w:rFonts w:ascii="Times New Roman" w:cs="Times New Roman" w:eastAsia="Times New Roman" w:hAnsi="Times New Roman"/>
          <w:sz w:val="18"/>
          <w:szCs w:val="18"/>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128" w:lineRule="exact"/>
        <w:rPr>
          <w:sz w:val="20"/>
          <w:szCs w:val="20"/>
          <w:color w:val="auto"/>
        </w:rPr>
      </w:pPr>
    </w:p>
    <w:p>
      <w:pPr>
        <w:jc w:val="both"/>
        <w:ind w:left="714" w:hanging="318"/>
        <w:spacing w:after="0" w:line="258" w:lineRule="auto"/>
        <w:tabs>
          <w:tab w:leader="none" w:pos="7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realized investment gains and losses</w:t>
      </w:r>
      <w:r>
        <w:rPr>
          <w:rFonts w:ascii="Times New Roman" w:cs="Times New Roman" w:eastAsia="Times New Roman" w:hAnsi="Times New Roman"/>
          <w:sz w:val="18"/>
          <w:szCs w:val="18"/>
          <w:color w:val="auto"/>
        </w:rPr>
        <w:t>. The recognition of the net realized investment gains or losses can vary significantly across periods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timing is highly discretionary and is influenced by factors such as market opportunities, tax and capital profile, and overall market cycles that do not reflect our current period operating results.</w:t>
      </w:r>
    </w:p>
    <w:p>
      <w:pPr>
        <w:spacing w:after="0" w:line="123" w:lineRule="exact"/>
        <w:rPr>
          <w:rFonts w:ascii="Times New Roman" w:cs="Times New Roman" w:eastAsia="Times New Roman" w:hAnsi="Times New Roman"/>
          <w:sz w:val="18"/>
          <w:szCs w:val="18"/>
          <w:color w:val="auto"/>
        </w:rPr>
      </w:pPr>
    </w:p>
    <w:p>
      <w:pPr>
        <w:ind w:left="714" w:hanging="318"/>
        <w:spacing w:after="0" w:line="272" w:lineRule="auto"/>
        <w:tabs>
          <w:tab w:leader="none" w:pos="709"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 markets transaction costs</w:t>
      </w:r>
      <w:r>
        <w:rPr>
          <w:rFonts w:ascii="Times New Roman" w:cs="Times New Roman" w:eastAsia="Times New Roman" w:hAnsi="Times New Roman"/>
          <w:sz w:val="18"/>
          <w:szCs w:val="18"/>
          <w:color w:val="auto"/>
        </w:rPr>
        <w:t>. Capital markets transaction costs result from activities that are undertaken to improve our debt profile or enhance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capital position through activities such as debt refinancing and capital markets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68580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14"/>
          </w:cols>
          <w:pgMar w:left="246" w:top="1034" w:right="339" w:bottom="1440" w:gutter="0" w:footer="0" w:header="0"/>
        </w:sectPr>
      </w:pPr>
    </w:p>
    <w:bookmarkStart w:id="42" w:name="page43"/>
    <w:bookmarkEnd w:id="42"/>
    <w:p>
      <w:pPr>
        <w:ind w:left="640"/>
        <w:spacing w:after="0" w:line="269" w:lineRule="auto"/>
        <w:rPr>
          <w:sz w:val="20"/>
          <w:szCs w:val="20"/>
          <w:color w:val="auto"/>
        </w:rPr>
      </w:pPr>
      <w:r>
        <w:rPr>
          <w:rFonts w:ascii="Times New Roman" w:cs="Times New Roman" w:eastAsia="Times New Roman" w:hAnsi="Times New Roman"/>
          <w:sz w:val="18"/>
          <w:szCs w:val="18"/>
          <w:color w:val="auto"/>
        </w:rPr>
        <w:t>reinsurance transactions that may vary in their size and timing due to factors such as market opportunities, tax and capital profile, and overall market cycles.</w:t>
      </w:r>
    </w:p>
    <w:p>
      <w:pPr>
        <w:spacing w:after="0" w:line="114" w:lineRule="exact"/>
        <w:rPr>
          <w:sz w:val="20"/>
          <w:szCs w:val="20"/>
          <w:color w:val="auto"/>
        </w:rPr>
      </w:pPr>
    </w:p>
    <w:p>
      <w:pPr>
        <w:jc w:val="both"/>
        <w:ind w:left="640" w:hanging="318"/>
        <w:spacing w:after="0" w:line="249"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infrequent, unusual or non-operating items</w:t>
      </w:r>
      <w:r>
        <w:rPr>
          <w:rFonts w:ascii="Times New Roman" w:cs="Times New Roman" w:eastAsia="Times New Roman" w:hAnsi="Times New Roman"/>
          <w:sz w:val="18"/>
          <w:szCs w:val="18"/>
          <w:color w:val="auto"/>
        </w:rPr>
        <w:t>. Items that are the result of unforeseen or uncommon events, and are not expected to recur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4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11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investment portfolio</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2,393,525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2,371,021</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96,689</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 receivable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76,456</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policy acquisition costs,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62,905</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30,252</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recoverable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27,514</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federal income taxes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235,286</w:t>
            </w:r>
          </w:p>
        </w:tc>
        <w:tc>
          <w:tcPr>
            <w:tcW w:w="0" w:type="dxa"/>
            <w:vAlign w:val="bottom"/>
          </w:tcPr>
          <w:p>
            <w:pPr>
              <w:spacing w:after="0"/>
              <w:rPr>
                <w:sz w:val="1"/>
                <w:szCs w:val="1"/>
                <w:color w:val="auto"/>
              </w:rPr>
            </w:pPr>
          </w:p>
        </w:tc>
      </w:tr>
      <w:tr>
        <w:trPr>
          <w:trHeight w:val="224"/>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40,384</w:t>
            </w:r>
          </w:p>
        </w:tc>
        <w:tc>
          <w:tcPr>
            <w:tcW w:w="0" w:type="dxa"/>
            <w:vAlign w:val="bottom"/>
          </w:tcPr>
          <w:p>
            <w:pPr>
              <w:spacing w:after="0"/>
              <w:rPr>
                <w:sz w:val="1"/>
                <w:szCs w:val="1"/>
                <w:color w:val="auto"/>
              </w:rPr>
            </w:pPr>
          </w:p>
        </w:tc>
      </w:tr>
      <w:tr>
        <w:trPr>
          <w:trHeight w:val="242"/>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3,006,112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2,940,507</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240" w:type="dxa"/>
            <w:vAlign w:val="bottom"/>
          </w:tcPr>
          <w:p>
            <w:pPr>
              <w:jc w:val="right"/>
              <w:ind w:right="32"/>
              <w:spacing w:after="0" w:line="197"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398,001</w:t>
            </w:r>
          </w:p>
        </w:tc>
        <w:tc>
          <w:tcPr>
            <w:tcW w:w="100" w:type="dxa"/>
            <w:vAlign w:val="bottom"/>
          </w:tcPr>
          <w:p>
            <w:pPr>
              <w:spacing w:after="0"/>
              <w:rPr>
                <w:sz w:val="17"/>
                <w:szCs w:val="17"/>
                <w:color w:val="auto"/>
              </w:rPr>
            </w:pPr>
          </w:p>
        </w:tc>
        <w:tc>
          <w:tcPr>
            <w:tcW w:w="1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397,595</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premiums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92,295</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86,189</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Reserve for insurance claims and claim expenses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123,974</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301,573</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0" w:type="dxa"/>
            <w:vAlign w:val="bottom"/>
          </w:tcPr>
          <w:p>
            <w:pPr>
              <w:spacing w:after="0"/>
              <w:rPr>
                <w:sz w:val="1"/>
                <w:szCs w:val="1"/>
                <w:color w:val="auto"/>
              </w:rPr>
            </w:pPr>
          </w:p>
        </w:tc>
      </w:tr>
      <w:tr>
        <w:trPr>
          <w:trHeight w:val="21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1,027,731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1,014,503</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1,978,381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1,926,004</w:t>
            </w:r>
          </w:p>
        </w:tc>
        <w:tc>
          <w:tcPr>
            <w:tcW w:w="0" w:type="dxa"/>
            <w:vAlign w:val="bottom"/>
          </w:tcPr>
          <w:p>
            <w:pPr>
              <w:spacing w:after="0"/>
              <w:rPr>
                <w:sz w:val="1"/>
                <w:szCs w:val="1"/>
                <w:color w:val="auto"/>
              </w:rPr>
            </w:pPr>
          </w:p>
        </w:tc>
      </w:tr>
      <w:tr>
        <w:trPr>
          <w:trHeight w:val="21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3,006,112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2,940,507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320" w:hanging="314"/>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“Reinsurance funds withheld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has been reclassified as “Other liabilities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in the prior period.</w:t>
      </w:r>
    </w:p>
    <w:p>
      <w:pPr>
        <w:spacing w:after="0" w:line="162"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Total cash and investments were $2.5 billion as of March 31, 2024 and December 31, 2023. Cash and investments at March 31, 2024 included $91.9 million held by NMIH. The increase in total cash and investments reflects the addition of incremental cash provided by operating activities, partially offset by share repurchase activity and an increase in the unrealized loss position of our fixed income portfolio primarily tied to changes in interest rates during the three months ended March 31, 2024.</w:t>
      </w:r>
    </w:p>
    <w:p>
      <w:pPr>
        <w:spacing w:after="0" w:line="13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Premiums receivable was $75.4 million as of March 31, 2024, compared to $76.5 million as of December 31, 2023. The decrease was primarily driven by the settlement of previously outstanding receivables, partially offset by the growth of our monthly premium policies in force, where premiums are generally paid one month in arrears.</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Net deferred policy acquisition costs were $62.8 million as of March 31, 2024, compared to $62.9 million as of December 31, 2023. The decrease was primarily driven by the recognition of previously deferred policy acquisition costs between the respective balance sheet dates, and was partially offset by the deferral of certain costs associated with the origination of new policies.</w:t>
      </w:r>
    </w:p>
    <w:p>
      <w:pPr>
        <w:spacing w:after="0" w:line="12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Reinsurance recoverable was $27.9 million as of March 31, 2024, compared to $27.5 million as of December 31, 2023. The increase was driven by an increase in ceded losses recoverable under our QSR Transactions.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3" w:name="page44"/>
    <w:bookmarkEnd w:id="43"/>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Prepaid federal income taxes were $235.3 million as of March 31, 2024 and December 31, 2023. Prepaid federal income taxes represent tax and loss bonds purchased in connection with our claimed tax deduction for our statutory contingency reserve position. See Item 1, “</w:t>
      </w:r>
      <w:r>
        <w:rPr>
          <w:rFonts w:ascii="Times New Roman" w:cs="Times New Roman" w:eastAsia="Times New Roman" w:hAnsi="Times New Roman"/>
          <w:sz w:val="18"/>
          <w:szCs w:val="18"/>
          <w:i w:val="1"/>
          <w:iCs w:val="1"/>
          <w:color w:val="auto"/>
        </w:rPr>
        <w:t>Financial Statements -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Condensed Consolidated Financial Statements - Note 8, Income Taxes.”</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Other assets were $41.2 million as of March 31, 2024, compared to $40.4 million as of December 31, 2023. The increase was primarily driven by an increase in prepaid expenses, partially offset by a reduction in our right-of-use assets tied to the amortization of the operating lease for our corporate headquarters.</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Unearned premiums were $85.8 million as of March 31, 2024, compared to $92.3 million as of December 31, 2023. The decrease was driven by the amortization of existing unearned premiums through earnings in accordance with the expiration of risk on related single premium policies and the cancellations of other single premium policies, partially offset by single premium policy originations during the three months ended March 31, 2024.</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Accounts payable and accrued expenses were $81.8 million as of March 31, 2024, compared to $86.2 million as of December 31, 2023. The decrease was primarily driven by the settlement of previously accrued compensation expenses and premium taxes payable, partially offset by an increase in accrued and unpaid interest on the Notes which is payable semi-annually in June and December.</w:t>
      </w:r>
    </w:p>
    <w:p>
      <w:pPr>
        <w:spacing w:after="0" w:line="12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Reserve for insurance claims and claim expenses was $127.2 million as of March 31, 2024, compared to $124.0 million as of December 31, 2023. The increase was primarily driven by the establishment of initial reserves on newly defaulted loans during the three months ended March 31, 2024, as well as an increase in the average case reserve held against previously defaulted loans that aged in their delinquent status. The increase in the reserves for insurance claims and claim expenses was partially offset by the release of a portion of the reserves we established for anticipated claims payments in prior periods (in connection with cure activity and ongoing analysis of recent loss development trends), as well as the payment of previously reserved claims during the period. See “</w:t>
      </w:r>
      <w:r>
        <w:rPr>
          <w:rFonts w:ascii="Times New Roman" w:cs="Times New Roman" w:eastAsia="Times New Roman" w:hAnsi="Times New Roman"/>
          <w:sz w:val="18"/>
          <w:szCs w:val="18"/>
          <w:i w:val="1"/>
          <w:iCs w:val="1"/>
          <w:color w:val="auto"/>
        </w:rPr>
        <w:t>Insurance Claims and Claim Expenses</w:t>
      </w:r>
      <w:r>
        <w:rPr>
          <w:rFonts w:ascii="Times New Roman" w:cs="Times New Roman" w:eastAsia="Times New Roman" w:hAnsi="Times New Roman"/>
          <w:sz w:val="18"/>
          <w:szCs w:val="18"/>
          <w:color w:val="auto"/>
        </w:rPr>
        <w:t>,” above for further details.</w:t>
      </w:r>
    </w:p>
    <w:p>
      <w:pPr>
        <w:spacing w:after="0" w:line="13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Net deferred tax liability was $322.7 million as of March 31, 2024, compared to $301.6 million as of December 31, 2023. The increase was primarily due to an increase in the claimed deductibility of our statutory contingency reserve, partially offset by the increase in unrealized losses recorded in other comprehensive income. For further information regarding income taxes and their impact on our results of operations and financial position, see Item 1, “</w:t>
      </w:r>
      <w:r>
        <w:rPr>
          <w:rFonts w:ascii="Times New Roman" w:cs="Times New Roman" w:eastAsia="Times New Roman" w:hAnsi="Times New Roman"/>
          <w:sz w:val="18"/>
          <w:szCs w:val="18"/>
          <w:i w:val="1"/>
          <w:iCs w:val="1"/>
          <w:color w:val="auto"/>
        </w:rPr>
        <w:t>Financial Statements - Notes to Condensed Consolidated Financial Statements - Note 8, Income Taxes</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cash flows</w:t>
            </w:r>
          </w:p>
        </w:tc>
        <w:tc>
          <w:tcPr>
            <w:tcW w:w="360" w:type="dxa"/>
            <w:vAlign w:val="bottom"/>
          </w:tcPr>
          <w:p>
            <w:pPr>
              <w:spacing w:after="0"/>
              <w:rPr>
                <w:sz w:val="16"/>
                <w:szCs w:val="16"/>
                <w:color w:val="auto"/>
              </w:rPr>
            </w:pPr>
          </w:p>
        </w:tc>
        <w:tc>
          <w:tcPr>
            <w:tcW w:w="3200" w:type="dxa"/>
            <w:vAlign w:val="bottom"/>
            <w:gridSpan w:val="4"/>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7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60" w:type="dxa"/>
            <w:vAlign w:val="bottom"/>
          </w:tcPr>
          <w:p>
            <w:pPr>
              <w:spacing w:after="0"/>
              <w:rPr>
                <w:sz w:val="18"/>
                <w:szCs w:val="18"/>
                <w:color w:val="auto"/>
              </w:rPr>
            </w:pPr>
          </w:p>
        </w:tc>
        <w:tc>
          <w:tcPr>
            <w:tcW w:w="2020" w:type="dxa"/>
            <w:vAlign w:val="bottom"/>
            <w:gridSpan w:val="3"/>
          </w:tcPr>
          <w:p>
            <w:pPr>
              <w:jc w:val="center"/>
              <w:ind w:left="74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80" w:type="dxa"/>
            <w:vAlign w:val="bottom"/>
          </w:tcPr>
          <w:p>
            <w:pPr>
              <w:spacing w:after="0"/>
              <w:rPr>
                <w:sz w:val="18"/>
                <w:szCs w:val="18"/>
                <w:color w:val="auto"/>
              </w:rPr>
            </w:pPr>
          </w:p>
        </w:tc>
      </w:tr>
      <w:tr>
        <w:trPr>
          <w:trHeight w:val="225"/>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111,574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rPr>
              <w:t>89,835</w:t>
            </w:r>
          </w:p>
        </w:tc>
      </w:tr>
      <w:tr>
        <w:trPr>
          <w:trHeight w:val="22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Pr>
          <w:p>
            <w:pPr>
              <w:spacing w:after="0"/>
              <w:rPr>
                <w:sz w:val="19"/>
                <w:szCs w:val="19"/>
                <w:color w:val="auto"/>
              </w:rPr>
            </w:pPr>
          </w:p>
        </w:tc>
        <w:tc>
          <w:tcPr>
            <w:tcW w:w="13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(37,752)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center"/>
              <w:ind w:left="456"/>
              <w:spacing w:after="0"/>
              <w:rPr>
                <w:sz w:val="20"/>
                <w:szCs w:val="20"/>
                <w:color w:val="auto"/>
              </w:rPr>
            </w:pPr>
            <w:r>
              <w:rPr>
                <w:rFonts w:ascii="Times New Roman" w:cs="Times New Roman" w:eastAsia="Times New Roman" w:hAnsi="Times New Roman"/>
                <w:sz w:val="18"/>
                <w:szCs w:val="18"/>
                <w:color w:val="auto"/>
                <w:w w:val="97"/>
              </w:rPr>
              <w:t>(33,751)</w:t>
            </w:r>
          </w:p>
        </w:tc>
      </w:tr>
      <w:tr>
        <w:trPr>
          <w:trHeight w:val="224"/>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7"/>
              </w:rPr>
              <w:t>(30,785)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color w:val="auto"/>
                <w:w w:val="97"/>
              </w:rPr>
              <w:t>(17,406)</w:t>
            </w:r>
          </w:p>
        </w:tc>
      </w:tr>
      <w:tr>
        <w:trPr>
          <w:trHeight w:val="21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43,037</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8"/>
                <w:szCs w:val="18"/>
                <w:color w:val="auto"/>
              </w:rPr>
              <w:t>38,678</w:t>
            </w:r>
          </w:p>
        </w:tc>
      </w:tr>
      <w:tr>
        <w:trPr>
          <w:trHeight w:val="20"/>
        </w:trPr>
        <w:tc>
          <w:tcPr>
            <w:tcW w:w="7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$111.6 million for the three months ended March 31, 2024, compared to $89.8 million for the three months ended March 31, 2023. Cash provided by operating activities increased during the three months ended March 31, 2024, primarily due to an increase in our net premium receipts, growth in our investment income and a reduction in technology service costs paid under our long-term IT services agreement with TCS, partially offset by an increase in short-term employee incentive payments, premium taxes paid and net claim settlement costs.</w:t>
      </w:r>
    </w:p>
    <w:p>
      <w:pPr>
        <w:spacing w:after="0" w:line="13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2024 and 2023 reflects the purchase of fixed and short-term maturities with cash provided by operating activities, and the reinvestment of coupon payments, maturities and sale proceeds within our investment portfolio.</w:t>
      </w:r>
    </w:p>
    <w:p>
      <w:pPr>
        <w:spacing w:after="0" w:line="11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Cash used in financing activities was $30.8 million for the three months ended March 31, 2024, compared to $17.4 million for the three months ended March 31, 2023. Cash used in financing activities primarily relates to the repurchase of common stock and taxes paid on the net share settlement of equity awards for certain employees.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Notes and 2021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3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of March 31, 2024, NMIH had $91.9 million of cash and investments. NMIH's principal sources of net cash are dividends from its subsidiaries and investment income. NMIC has the capacity to pay $96.3 million of aggregate ordinary dividends to NMIH during the twelve-month period ending December 31, 2024. NMIH also has access to $250 million of undrawn revolving credit capacity under the 2021 Revolving Credit Facility. See Item 1,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 Notes to Condensed Consolidated Financial Statements - Note 4, Debt.”</w:t>
      </w:r>
    </w:p>
    <w:p>
      <w:pPr>
        <w:spacing w:after="0" w:line="130"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On February 10, 2022, our Board of Directors authorized a $125 million share repurchase program (excluding associated costs and applicable taxes) effective through December 31, 2023. On July 31, 2023, our Board of Directors authorized a new $200 million share repurchase program (excluding associated costs and applicable taxes) effective through December 31, 2025. Concurrent with the new authorization, our Board of Directors also approved an extension of our existing $125 million share repurchase program through December 31, 2025 to align its remaining tenor with that of the new $200 million program. The authorization provides NMIH the flexibility, based on market and business conditions, stock price and other factors, to repurchase stock from time to time through open market repurchases, privately negotiated transactions, or other means, including pursuant to Rule 10b5-1 trading plans.</w:t>
      </w:r>
    </w:p>
    <w:p>
      <w:pPr>
        <w:spacing w:after="0" w:line="10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During the three months ended March 31, 2024, NMIH repurchased 0.8 million shares of common stock at a total cost of $25.3 million, including associated costs and applicable taxes. As of March 31, 2024, NMIH had $151.8 million of repurchase authority remaining.</w:t>
      </w:r>
    </w:p>
    <w:p>
      <w:pPr>
        <w:spacing w:after="0" w:line="11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Notes and the 2021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30"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The Notes mature on June 1, 2025 and bear interest at a rate of 7.375%, payable semi-annually on June 1 and December 1. The 2021 Revolving Credit Facility matures on the earlier of (x) November 29, 2025 or (y) if any existing senior secured notes remain outstanding on such date, February 28, 2025, and accrues interest at a variable rate equal to, at our discretion, (i) a Base Rate (as defined in the 2021 Revolving Credit Facility, subject to a floor of 1.00% per annum) plus a margin of 0.375% to 1.875% per annum, or (ii) the Adjusted Term SOFR Rate (as defined in the 2021 Revolving Credit Facility) plus a margin of 1.375% to 2.875% per annum, with the margin in each of (i) or (ii) based on our applicable corporate credit rating at the time. Borrowings under the 2021 Revolving Credit Facility may be used for general corporate purposes, including to support the growth of our new business production and operations.</w:t>
      </w:r>
    </w:p>
    <w:p>
      <w:pPr>
        <w:spacing w:after="0" w:line="10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Under the 2021 Revolving Credit Facility, NMIH is required to pay a quarterly commitment fee on the average daily undrawn amount of 0.175% to 0.525%, based on the applicable corporate credit rating at the time. As of March 31, 2024, the applicable commitment fee was 0.225%.</w:t>
      </w:r>
    </w:p>
    <w:p>
      <w:pPr>
        <w:spacing w:after="0" w:line="11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are subject to certain covenants under the 2021 Revolving Credit Facility, including: a maximum debt-to-total capitalization ratio of 35%, a requirement to maintain compliance with the PMIERs financial requirements (subject to any GSE approved waivers), and minimum consolidated net worth and statutory capital requirements (respectively, as defined therein). We were in compliance with all covenants at March 31, 2024.</w:t>
      </w:r>
    </w:p>
    <w:p>
      <w:pPr>
        <w:spacing w:after="0" w:line="12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NMIC and Re One are subject to certain capital and dividend rules and regulations prescribed by jurisdictions in which they are authorized to operate and by the GSEs. Under Wisconsin law, NMIC and Re One may pay dividends up to specified levels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NMIC has the capacity to pay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$96.3 million of aggregate ordinary dividends to NMIH during the twelve-month period ending December 31, 2024.</w:t>
      </w:r>
    </w:p>
    <w:p>
      <w:pPr>
        <w:spacing w:after="0" w:line="160"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18"/>
          <w:szCs w:val="18"/>
          <w:color w:val="auto"/>
        </w:rPr>
        <w:t xml:space="preserve">As an </w:t>
      </w:r>
      <w:r>
        <w:rPr>
          <w:rFonts w:ascii="Times New Roman" w:cs="Times New Roman" w:eastAsia="Times New Roman" w:hAnsi="Times New Roman"/>
          <w:sz w:val="18"/>
          <w:szCs w:val="18"/>
          <w:i w:val="1"/>
          <w:iCs w:val="1"/>
          <w:color w:val="auto"/>
        </w:rPr>
        <w:t>approved insurer</w:t>
      </w:r>
      <w:r>
        <w:rPr>
          <w:rFonts w:ascii="Times New Roman" w:cs="Times New Roman" w:eastAsia="Times New Roman" w:hAnsi="Times New Roman"/>
          <w:sz w:val="18"/>
          <w:szCs w:val="18"/>
          <w:color w:val="auto"/>
        </w:rPr>
        <w:t xml:space="preserve"> 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spacing w:after="0" w:line="12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Times New Roman" w:cs="Times New Roman" w:eastAsia="Times New Roman" w:hAnsi="Times New Roman"/>
          <w:sz w:val="18"/>
          <w:szCs w:val="18"/>
          <w:i w:val="1"/>
          <w:iCs w:val="1"/>
          <w:color w:val="auto"/>
        </w:rPr>
        <w:t xml:space="preserve">minimum required asset </w:t>
      </w:r>
      <w:r>
        <w:rPr>
          <w:rFonts w:ascii="Times New Roman" w:cs="Times New Roman" w:eastAsia="Times New Roman" w:hAnsi="Times New Roman"/>
          <w:sz w:val="18"/>
          <w:szCs w:val="18"/>
          <w:color w:val="auto"/>
        </w:rPr>
        <w:t>thresholds under the PMIERs and minimum state capital requirements (respectively, as defined therein).</w:t>
      </w:r>
    </w:p>
    <w:p>
      <w:pPr>
        <w:spacing w:after="0" w:line="121"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 xml:space="preserve">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w:t>
      </w:r>
      <w:r>
        <w:rPr>
          <w:rFonts w:ascii="Times New Roman" w:cs="Times New Roman" w:eastAsia="Times New Roman" w:hAnsi="Times New Roman"/>
          <w:sz w:val="16"/>
          <w:szCs w:val="16"/>
          <w:i w:val="1"/>
          <w:iCs w:val="1"/>
          <w:color w:val="auto"/>
        </w:rPr>
        <w:t>risk-based required asset</w:t>
      </w:r>
      <w:r>
        <w:rPr>
          <w:rFonts w:ascii="Times New Roman" w:cs="Times New Roman" w:eastAsia="Times New Roman" w:hAnsi="Times New Roman"/>
          <w:sz w:val="16"/>
          <w:szCs w:val="16"/>
          <w:color w:val="auto"/>
        </w:rPr>
        <w:t xml:space="preserve"> amount, subject to a minimum floor of $400 million. At March 31, 2024, NMIC reported $2,822 million </w:t>
      </w:r>
      <w:r>
        <w:rPr>
          <w:rFonts w:ascii="Times New Roman" w:cs="Times New Roman" w:eastAsia="Times New Roman" w:hAnsi="Times New Roman"/>
          <w:sz w:val="16"/>
          <w:szCs w:val="16"/>
          <w:i w:val="1"/>
          <w:iCs w:val="1"/>
          <w:color w:val="auto"/>
        </w:rPr>
        <w:t>available assets</w:t>
      </w:r>
      <w:r>
        <w:rPr>
          <w:rFonts w:ascii="Times New Roman" w:cs="Times New Roman" w:eastAsia="Times New Roman" w:hAnsi="Times New Roman"/>
          <w:sz w:val="16"/>
          <w:szCs w:val="16"/>
          <w:color w:val="auto"/>
        </w:rPr>
        <w:t xml:space="preserve"> against $1,562 million net </w:t>
      </w:r>
      <w:r>
        <w:rPr>
          <w:rFonts w:ascii="Times New Roman" w:cs="Times New Roman" w:eastAsia="Times New Roman" w:hAnsi="Times New Roman"/>
          <w:sz w:val="16"/>
          <w:szCs w:val="16"/>
          <w:i w:val="1"/>
          <w:iCs w:val="1"/>
          <w:color w:val="auto"/>
        </w:rPr>
        <w:t>risk-based required assets</w:t>
      </w:r>
      <w:r>
        <w:rPr>
          <w:rFonts w:ascii="Times New Roman" w:cs="Times New Roman" w:eastAsia="Times New Roman" w:hAnsi="Times New Roman"/>
          <w:sz w:val="16"/>
          <w:szCs w:val="16"/>
          <w:color w:val="auto"/>
        </w:rPr>
        <w:t xml:space="preserve"> for a $1,260 million “excess” funding position.</w:t>
      </w:r>
    </w:p>
    <w:p>
      <w:pPr>
        <w:spacing w:after="0" w:line="99"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to be a Major Disaster zone eligible for Individual Assistance. In June 2020, the GSEs issued guidance (which was subsequently amended and restated) on the risk-based treatment of loans affected by the COVID-19 pandemic. Under the guidance, non-performing loans that are subject to a forbearance program granted in response to a financial hardship related to COVID-19 will benefit from a 70%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haircut for the duration of the forbearance period and subsequent repayment plan or trial modification period.</w:t>
      </w:r>
    </w:p>
    <w:p>
      <w:pPr>
        <w:spacing w:after="0" w:line="135" w:lineRule="exact"/>
        <w:rPr>
          <w:sz w:val="20"/>
          <w:szCs w:val="20"/>
          <w:color w:val="auto"/>
        </w:rPr>
      </w:pPr>
    </w:p>
    <w:p>
      <w:pPr>
        <w:jc w:val="both"/>
        <w:ind w:firstLine="633"/>
        <w:spacing w:after="0" w:line="251" w:lineRule="auto"/>
        <w:rPr>
          <w:sz w:val="20"/>
          <w:szCs w:val="20"/>
          <w:color w:val="auto"/>
        </w:rPr>
      </w:pPr>
      <w:r>
        <w:rPr>
          <w:rFonts w:ascii="Times New Roman" w:cs="Times New Roman" w:eastAsia="Times New Roman" w:hAnsi="Times New Roman"/>
          <w:sz w:val="18"/>
          <w:szCs w:val="18"/>
          <w:color w:val="auto"/>
        </w:rPr>
        <w:t xml:space="preserve">NMIC's PMIERs minimum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amount is also adjusted for its reinsurance transactions (as approved by the GSEs). Under NMIC's quota share reinsurance treaties, it receives credit for the PMIERs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amount on ceded RIF. As its gross PMIERs </w:t>
      </w:r>
      <w:r>
        <w:rPr>
          <w:rFonts w:ascii="Times New Roman" w:cs="Times New Roman" w:eastAsia="Times New Roman" w:hAnsi="Times New Roman"/>
          <w:sz w:val="18"/>
          <w:szCs w:val="18"/>
          <w:i w:val="1"/>
          <w:iCs w:val="1"/>
          <w:color w:val="auto"/>
        </w:rPr>
        <w:t>risk-based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required asset </w:t>
      </w:r>
      <w:r>
        <w:rPr>
          <w:rFonts w:ascii="Times New Roman" w:cs="Times New Roman" w:eastAsia="Times New Roman" w:hAnsi="Times New Roman"/>
          <w:sz w:val="18"/>
          <w:szCs w:val="18"/>
          <w:color w:val="auto"/>
        </w:rPr>
        <w:t>amount on ceded RIF increases, the PMIERs credit for ceded RIF automatically increases as well (in an unlimited amount). Under NMIC's ILN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XOL Transactions, it generally receives credit for the PMIERs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amount on ceded RIF to the extent such requirement is within the subordinated coverage (excess of loss detachment threshold) afforded by the transaction.</w:t>
      </w:r>
    </w:p>
    <w:p>
      <w:pPr>
        <w:spacing w:after="0" w:line="13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3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As of March 31, 2024, NMIC had a RTC ratio of 11.7:1 with $31.1 billion of performing primary RIF, net of reinsurance, and $2.6 billion of total statutory capital, including contingency reserves. Re One has no risk in force remaining and no longer reports a RTC ratio.</w:t>
      </w:r>
    </w:p>
    <w:p>
      <w:pPr>
        <w:spacing w:after="0" w:line="116"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March 31, 2024, NMIC had $2.4 billion of cash and investments, including $76.9 million of cash and cash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March 31, 2024, NMIC generated $340 million of cash flow from operations and received an additional $240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are of a contractually predetermined amount and due at a contractually predetermined date). NMIC's only use of cash that develops along an unscheduled path is claims payments. Given the relatively small size of our current population of defaulted policies, the generally extended duration of the default-to-foreclosure-to-claim cycle, and the potential availability of forbearance,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6" w:name="page47"/>
    <w:bookmarkEnd w:id="46"/>
    <w:p>
      <w:pPr>
        <w:jc w:val="both"/>
        <w:spacing w:after="0" w:line="269" w:lineRule="auto"/>
        <w:rPr>
          <w:sz w:val="20"/>
          <w:szCs w:val="20"/>
          <w:color w:val="auto"/>
        </w:rPr>
      </w:pPr>
      <w:r>
        <w:rPr>
          <w:rFonts w:ascii="Times New Roman" w:cs="Times New Roman" w:eastAsia="Times New Roman" w:hAnsi="Times New Roman"/>
          <w:sz w:val="18"/>
          <w:szCs w:val="18"/>
          <w:color w:val="auto"/>
        </w:rPr>
        <w:t>foreclosure moratorium and other borrower assistance programs (which were broadly applied in response to the COVID-19 pandemic and serve to further extend the default-to-foreclosure-to-claim cycle timeline), we do not expect NMIC to use a meaningful amount of cash to settle claims in the near-term.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Financial Strength Ratings</w:t>
      </w:r>
    </w:p>
    <w:p>
      <w:pPr>
        <w:spacing w:after="0" w:line="151" w:lineRule="exact"/>
        <w:rPr>
          <w:sz w:val="20"/>
          <w:szCs w:val="20"/>
          <w:color w:val="auto"/>
        </w:rPr>
      </w:pPr>
    </w:p>
    <w:p>
      <w:pPr>
        <w:jc w:val="both"/>
        <w:ind w:firstLine="633"/>
        <w:spacing w:after="0" w:line="241" w:lineRule="auto"/>
        <w:rPr>
          <w:sz w:val="20"/>
          <w:szCs w:val="20"/>
          <w:color w:val="auto"/>
        </w:rPr>
      </w:pPr>
      <w:r>
        <w:rPr>
          <w:rFonts w:ascii="Times New Roman" w:cs="Times New Roman" w:eastAsia="Times New Roman" w:hAnsi="Times New Roman"/>
          <w:sz w:val="18"/>
          <w:szCs w:val="18"/>
          <w:color w:val="auto"/>
        </w:rPr>
        <w:t>NMIC's financial strength is rated “A-” by Fitch Ratings (Fitch), “A3” by Moody's and “BBB+” by S&amp;P. NMIH's Notes are rated “BBB+” by Fitch and “Baa3” by Moody's, and its long-term counter-party credit profile is “BB+” by S&amp;P. The outlook for all ratings provided by Fitch, Moody's and S&amp;P is stable.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Investment Portfolio</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30"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Our investment portfolio is comprised entirely of fixed maturity instruments. As of March 31, 2024, the fair value of our investment portfolio was $2.4 billion and we held an additional $139.7 million of cash and cash equivalents. Pre-tax book yield on the investment portfolio for the three months ended March 31, 2024 was 2.9%.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present a breakdown of our investment portfolio and cash and cash equivalents by investment type and credit rating: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of portfolio's fair value</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4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w:t>
            </w:r>
          </w:p>
        </w:tc>
      </w:tr>
      <w:tr>
        <w:trPr>
          <w:trHeight w:val="22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 agencies</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w:t>
            </w:r>
          </w:p>
        </w:tc>
      </w:tr>
      <w:tr>
        <w:trPr>
          <w:trHeight w:val="22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r>
      <w:tr>
        <w:trPr>
          <w:trHeight w:val="22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4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430"/>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portfolio ratings at fair value </w:t>
            </w:r>
            <w:r>
              <w:rPr>
                <w:rFonts w:ascii="Times New Roman" w:cs="Times New Roman" w:eastAsia="Times New Roman" w:hAnsi="Times New Roman"/>
                <w:sz w:val="9"/>
                <w:szCs w:val="9"/>
                <w:b w:val="1"/>
                <w:bCs w:val="1"/>
                <w:color w:val="auto"/>
              </w:rPr>
              <w:t>(1)</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4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7"/>
        </w:trPr>
        <w:tc>
          <w:tcPr>
            <w:tcW w:w="746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25"/>
                <w:szCs w:val="25"/>
                <w:color w:val="auto"/>
                <w:vertAlign w:val="subscript"/>
              </w:rPr>
              <w:t>AAA</w:t>
            </w:r>
            <w:r>
              <w:rPr>
                <w:rFonts w:ascii="Times New Roman" w:cs="Times New Roman" w:eastAsia="Times New Roman" w:hAnsi="Times New Roman"/>
                <w:sz w:val="10"/>
                <w:szCs w:val="10"/>
                <w:color w:val="auto"/>
              </w:rPr>
              <w:t xml:space="preserve"> (2)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4"/>
        </w:trPr>
        <w:tc>
          <w:tcPr>
            <w:tcW w:w="7460" w:type="dxa"/>
            <w:vAlign w:val="bottom"/>
          </w:tcPr>
          <w:p>
            <w:pPr>
              <w:ind w:left="20"/>
              <w:spacing w:after="0" w:line="224" w:lineRule="exact"/>
              <w:rPr>
                <w:sz w:val="20"/>
                <w:szCs w:val="20"/>
                <w:color w:val="auto"/>
              </w:rPr>
            </w:pPr>
            <w:r>
              <w:rPr>
                <w:rFonts w:ascii="Times New Roman" w:cs="Times New Roman" w:eastAsia="Times New Roman" w:hAnsi="Times New Roman"/>
                <w:sz w:val="25"/>
                <w:szCs w:val="25"/>
                <w:color w:val="auto"/>
                <w:vertAlign w:val="subscript"/>
              </w:rPr>
              <w:t>AA</w:t>
            </w:r>
            <w:r>
              <w:rPr>
                <w:rFonts w:ascii="Times New Roman" w:cs="Times New Roman" w:eastAsia="Times New Roman" w:hAnsi="Times New Roman"/>
                <w:sz w:val="10"/>
                <w:szCs w:val="10"/>
                <w:color w:val="auto"/>
              </w:rPr>
              <w:t xml:space="preserve"> (3)</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34</w:t>
            </w:r>
          </w:p>
        </w:tc>
      </w:tr>
      <w:tr>
        <w:trPr>
          <w:trHeight w:val="224"/>
        </w:trPr>
        <w:tc>
          <w:tcPr>
            <w:tcW w:w="74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10"/>
                <w:szCs w:val="10"/>
                <w:color w:val="auto"/>
              </w:rPr>
              <w:t xml:space="preserve"> (3)</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w:t>
            </w:r>
          </w:p>
        </w:tc>
      </w:tr>
      <w:tr>
        <w:trPr>
          <w:trHeight w:val="224"/>
        </w:trPr>
        <w:tc>
          <w:tcPr>
            <w:tcW w:w="74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BBB </w:t>
            </w:r>
            <w:r>
              <w:rPr>
                <w:rFonts w:ascii="Times New Roman" w:cs="Times New Roman" w:eastAsia="Times New Roman" w:hAnsi="Times New Roman"/>
                <w:sz w:val="22"/>
                <w:szCs w:val="22"/>
                <w:color w:val="auto"/>
                <w:vertAlign w:val="superscript"/>
              </w:rPr>
              <w:t>(3)</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74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25"/>
                <w:szCs w:val="25"/>
                <w:color w:val="auto"/>
                <w:vertAlign w:val="subscript"/>
              </w:rPr>
              <w:t>BB</w:t>
            </w:r>
            <w:r>
              <w:rPr>
                <w:rFonts w:ascii="Times New Roman" w:cs="Times New Roman" w:eastAsia="Times New Roman" w:hAnsi="Times New Roman"/>
                <w:sz w:val="10"/>
                <w:szCs w:val="10"/>
                <w:color w:val="auto"/>
              </w:rPr>
              <w:t xml:space="preserve"> (4)</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4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320" w:hanging="314"/>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certain operating cash accounts.</w:t>
      </w:r>
    </w:p>
    <w:p>
      <w:pPr>
        <w:spacing w:after="0" w:line="22"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securities rated A-1+.</w:t>
      </w:r>
    </w:p>
    <w:p>
      <w:pPr>
        <w:spacing w:after="0" w:line="10"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 ratings.</w:t>
      </w:r>
    </w:p>
    <w:p>
      <w:pPr>
        <w:spacing w:after="0" w:line="1"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held one security with a BB+ rating at March 31, 2024 and December 31, 2023, which is not identifiable in the table due to rounding.</w:t>
      </w:r>
    </w:p>
    <w:p>
      <w:pPr>
        <w:spacing w:after="0" w:line="236"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All of our investments are rated by one or more nationally recognized statistical rating organizations. If three or more ratings are available, we assign the middle rating for classification purposes, otherwise we assign the lowest rating.</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Investment Securities - Allowance for credit losses</w:t>
      </w:r>
    </w:p>
    <w:p>
      <w:pPr>
        <w:spacing w:after="0" w:line="164"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We did not recognize an allowance for credit loss for any security in the investment portfolio as of March 31, 2024 or December 31, 2023, and we did not record any provision for credit loss for investment securities during the three months ended March 31, 2024 or 2023.</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March 31, 2024, the investment portfolio had gross unrealized losses of $190.2 million, of which $187.5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7" w:name="page48"/>
    <w:bookmarkEnd w:id="47"/>
    <w:p>
      <w:pPr>
        <w:jc w:val="both"/>
        <w:spacing w:after="0" w:line="257" w:lineRule="auto"/>
        <w:rPr>
          <w:sz w:val="20"/>
          <w:szCs w:val="20"/>
          <w:color w:val="auto"/>
        </w:rPr>
      </w:pPr>
      <w:r>
        <w:rPr>
          <w:rFonts w:ascii="Times New Roman" w:cs="Times New Roman" w:eastAsia="Times New Roman" w:hAnsi="Times New Roman"/>
          <w:sz w:val="18"/>
          <w:szCs w:val="18"/>
          <w:color w:val="auto"/>
        </w:rPr>
        <w:t>were associated with securities that had been in an unrealized loss position for a period of twelve months or longer. As of December 31, 2023, the investment portfolio had gross unrealized losses of $184.3 million, of which $183.1 million were associated with securities that had been in an unrealized loss position for a period of twelve months or longer.</w:t>
      </w:r>
    </w:p>
    <w:p>
      <w:pPr>
        <w:spacing w:after="0" w:line="12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evaluated the securities in an unrealized loss position as of March 31, 2024, assessing their credit ratings as well as any adverse conditions specifically related to the security. Based upon our assessment of the amount and timing of cash flows to be collected over the remaining life of each instrument, we believe the unrealized losses as of March 31, 2024 are not indicative of the ultimate collectability of the current amortized cost of the securities. Rather, the unrealized losses on securities held as of March 31, 2024 were primarily driven by fluctuations in interest rates, and to a lesser extent, movements in credit spreads following the purchase of those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our investment portfolio, deferred policy acquisition costs, premium deficiency reserves,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2023 10-K.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4"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manage market risk via a defined investment policy implemented by our treasury function with oversight from our Board's Risk Committee.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drivers of our market risk exposure monitored and managed by us include but are not limited to:</w:t>
      </w:r>
    </w:p>
    <w:p>
      <w:pPr>
        <w:spacing w:after="0" w:line="143" w:lineRule="exact"/>
        <w:rPr>
          <w:sz w:val="20"/>
          <w:szCs w:val="20"/>
          <w:color w:val="auto"/>
        </w:rPr>
      </w:pPr>
    </w:p>
    <w:p>
      <w:pPr>
        <w:jc w:val="both"/>
        <w:ind w:left="960" w:hanging="321"/>
        <w:spacing w:after="0" w:line="250"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the level of interest rates</w:t>
      </w:r>
      <w:r>
        <w:rPr>
          <w:rFonts w:ascii="Times New Roman" w:cs="Times New Roman" w:eastAsia="Times New Roman" w:hAnsi="Times New Roman"/>
          <w:sz w:val="18"/>
          <w:szCs w:val="18"/>
          <w:color w:val="auto"/>
        </w:rPr>
        <w:t>. Increasing interest rates may reduce the value of certain fixed-rate bonds held in the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SOFR based interest rates affect the interest expense related to the Company's debt.</w:t>
      </w:r>
    </w:p>
    <w:p>
      <w:pPr>
        <w:spacing w:after="0" w:line="130" w:lineRule="exact"/>
        <w:rPr>
          <w:rFonts w:ascii="Times New Roman" w:cs="Times New Roman" w:eastAsia="Times New Roman" w:hAnsi="Times New Roman"/>
          <w:sz w:val="18"/>
          <w:szCs w:val="18"/>
          <w:color w:val="auto"/>
        </w:rPr>
      </w:pPr>
    </w:p>
    <w:p>
      <w:pPr>
        <w:ind w:left="960" w:hanging="321"/>
        <w:spacing w:after="0" w:line="272" w:lineRule="auto"/>
        <w:tabs>
          <w:tab w:leader="none" w:pos="9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to the term structure of interest rates</w:t>
      </w:r>
      <w:r>
        <w:rPr>
          <w:rFonts w:ascii="Times New Roman" w:cs="Times New Roman" w:eastAsia="Times New Roman" w:hAnsi="Times New Roman"/>
          <w:sz w:val="18"/>
          <w:szCs w:val="18"/>
          <w:color w:val="auto"/>
        </w:rPr>
        <w:t>. 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111" w:lineRule="exact"/>
        <w:rPr>
          <w:rFonts w:ascii="Times New Roman" w:cs="Times New Roman" w:eastAsia="Times New Roman" w:hAnsi="Times New Roman"/>
          <w:sz w:val="18"/>
          <w:szCs w:val="18"/>
          <w:i w:val="1"/>
          <w:iCs w:val="1"/>
          <w:color w:val="auto"/>
        </w:rPr>
      </w:pPr>
    </w:p>
    <w:p>
      <w:pPr>
        <w:jc w:val="both"/>
        <w:ind w:left="960" w:hanging="321"/>
        <w:spacing w:after="0" w:line="258"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volatility/changes in the real or perceived credit quality of investments</w:t>
      </w:r>
      <w:r>
        <w:rPr>
          <w:rFonts w:ascii="Times New Roman" w:cs="Times New Roman" w:eastAsia="Times New Roman" w:hAnsi="Times New Roman"/>
          <w:sz w:val="18"/>
          <w:szCs w:val="18"/>
          <w:color w:val="auto"/>
        </w:rPr>
        <w:t>. Deterioration in the quality of investments, identified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own or third-party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rating agency or investment advisors) assessments, will reduce the value and potentially the liquidity of investments.</w:t>
      </w:r>
    </w:p>
    <w:p>
      <w:pPr>
        <w:spacing w:after="0" w:line="123" w:lineRule="exact"/>
        <w:rPr>
          <w:rFonts w:ascii="Times New Roman" w:cs="Times New Roman" w:eastAsia="Times New Roman" w:hAnsi="Times New Roman"/>
          <w:sz w:val="18"/>
          <w:szCs w:val="18"/>
          <w:color w:val="auto"/>
        </w:rPr>
      </w:pPr>
    </w:p>
    <w:p>
      <w:pPr>
        <w:ind w:left="960" w:hanging="321"/>
        <w:spacing w:after="0" w:line="272"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risk</w:t>
      </w:r>
      <w:r>
        <w:rPr>
          <w:rFonts w:ascii="Times New Roman" w:cs="Times New Roman" w:eastAsia="Times New Roman" w:hAnsi="Times New Roman"/>
          <w:sz w:val="18"/>
          <w:szCs w:val="18"/>
          <w:color w:val="auto"/>
        </w:rPr>
        <w:t>. If the investment portfolio is highly concentrated in one asset, or in multiple assets whose values are highly correlated,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total portfolio may be greatly affected by the change in value of just one asset or a group of highly correlated assets.</w:t>
      </w:r>
    </w:p>
    <w:p>
      <w:pPr>
        <w:spacing w:after="0" w:line="111" w:lineRule="exact"/>
        <w:rPr>
          <w:rFonts w:ascii="Times New Roman" w:cs="Times New Roman" w:eastAsia="Times New Roman" w:hAnsi="Times New Roman"/>
          <w:sz w:val="18"/>
          <w:szCs w:val="18"/>
          <w:color w:val="auto"/>
        </w:rPr>
      </w:pPr>
    </w:p>
    <w:p>
      <w:pPr>
        <w:ind w:left="960" w:hanging="321"/>
        <w:spacing w:after="0" w:line="272"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Prepayment risk</w:t>
      </w:r>
      <w:r>
        <w:rPr>
          <w:rFonts w:ascii="Times New Roman" w:cs="Times New Roman" w:eastAsia="Times New Roman" w:hAnsi="Times New Roman"/>
          <w:sz w:val="18"/>
          <w:szCs w:val="18"/>
          <w:color w:val="auto"/>
        </w:rPr>
        <w:t>. Bonds may have call provisions that permit debtors to repay prior to maturity when it is to their advantage. This typically occurs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rates fall below the interest rate of the debt.</w:t>
      </w:r>
    </w:p>
    <w:p>
      <w:pPr>
        <w:spacing w:after="0" w:line="11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carrying value of our investment portfolio as of March 31, 2024 and December 31, 2023 was $2.4 billion,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of March 31, 2024, the duration of our fixed income portfolio, including cash and cash equivalents, was 3.85 years, which means that an instantaneous parallel shift (movement up or down) in the yield curve of 100 basis points would result in a change of 3.85% in fair value of our fixed income portfolio. Excluding cash, our fixed income portfolio duration was 3.86 years, which means that an instantaneous parallel shift (movement up or down) in the yield curve of 100 basis points would result in a change of 3.86% in fair value of our fixed income portfolio.</w:t>
      </w:r>
    </w:p>
    <w:p>
      <w:pPr>
        <w:spacing w:after="0" w:line="128"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18"/>
          <w:szCs w:val="18"/>
          <w:color w:val="auto"/>
        </w:rPr>
        <w:t>We are also subject to market risk related to the 2021 Revolving Credit Facility and the ILN Transactions. As discussed in Item 1,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 Notes to Condensed Consolidated Financial Statements - Note 4, Debt” </w:t>
      </w:r>
      <w:r>
        <w:rPr>
          <w:rFonts w:ascii="Times New Roman" w:cs="Times New Roman" w:eastAsia="Times New Roman" w:hAnsi="Times New Roman"/>
          <w:sz w:val="18"/>
          <w:szCs w:val="18"/>
          <w:color w:val="auto"/>
        </w:rPr>
        <w:t>the 2021 Revolving Credit Facility bears interest at a variable rate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increases in market interest rates would generally result in increased interest expense on any outstanding drawn balance.</w:t>
      </w:r>
    </w:p>
    <w:p>
      <w:pPr>
        <w:spacing w:after="0" w:line="126"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The risk premium amounts under the ILN Transactions are calculated by multiplying the outstanding reinsurance coverage amount at the beginning of any payment period by a coupon rate, which is the sum of one-month SOFR, as applicable, and a risk margin, and then subtracting actual investment income earned on the trust balance during that payment period. An increase in one-month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0"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conducted an evaluation of the effectiveness of our disclosure controls and procedures (as defined in Rule 13a-15(e) of the Exchange Act) as of March 31, 2024,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as of March 31, 2024,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6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3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As we have previously disclosed, we were named as a defendant in one litigation case that involves refunds of mortgage insurance premiums under the Homeowners Protection Act. In September 2023, the United States District Court for the Eastern District of Virginia granted our motion to dismiss the case. Subsequently, the plaintiff filed a notice of appeal in October 2023, appealing the District Court’s decision to the United States Court of Appeals for the Fourth Circuit. The appeal is currently pending. 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of our 2023 10-K. As of the date of this report, we are not aware of any material changes in our risk factors from the risk factors disclosed in our 2023 10-K. You should carefully consider the risks and uncertainties described herein and in our 2023 10-K, which have the potential to affect our business, financial condition, results of operations, cash flows or prospects in a material and adverse manner. The risks described herein and in our 2023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of NMI Holdings, Inc. common stock by us during the three months ended March 31,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3"/>
        </w:trPr>
        <w:tc>
          <w:tcPr>
            <w:tcW w:w="3500" w:type="dxa"/>
            <w:vAlign w:val="bottom"/>
          </w:tcPr>
          <w:p>
            <w:pPr>
              <w:spacing w:after="0"/>
              <w:rPr>
                <w:sz w:val="12"/>
                <w:szCs w:val="12"/>
                <w:color w:val="auto"/>
              </w:rPr>
            </w:pPr>
          </w:p>
        </w:tc>
        <w:tc>
          <w:tcPr>
            <w:tcW w:w="186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Purchased as Part of Publicly</w:t>
            </w:r>
          </w:p>
        </w:tc>
        <w:tc>
          <w:tcPr>
            <w:tcW w:w="240" w:type="dxa"/>
            <w:vAlign w:val="bottom"/>
          </w:tcPr>
          <w:p>
            <w:pPr>
              <w:spacing w:after="0"/>
              <w:rPr>
                <w:sz w:val="12"/>
                <w:szCs w:val="12"/>
                <w:color w:val="auto"/>
              </w:rPr>
            </w:pPr>
          </w:p>
        </w:tc>
        <w:tc>
          <w:tcPr>
            <w:tcW w:w="1720" w:type="dxa"/>
            <w:vAlign w:val="bottom"/>
          </w:tcPr>
          <w:p>
            <w:pPr>
              <w:jc w:val="center"/>
              <w:ind w:right="59"/>
              <w:spacing w:after="0" w:line="143" w:lineRule="exact"/>
              <w:rPr>
                <w:sz w:val="20"/>
                <w:szCs w:val="20"/>
                <w:color w:val="auto"/>
              </w:rPr>
            </w:pPr>
            <w:r>
              <w:rPr>
                <w:rFonts w:ascii="Times New Roman" w:cs="Times New Roman" w:eastAsia="Times New Roman" w:hAnsi="Times New Roman"/>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45"/>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860" w:type="dxa"/>
            <w:vAlign w:val="bottom"/>
            <w:vMerge w:val="continue"/>
          </w:tcPr>
          <w:p>
            <w:pPr>
              <w:spacing w:after="0"/>
              <w:rPr>
                <w:sz w:val="12"/>
                <w:szCs w:val="12"/>
                <w:color w:val="auto"/>
              </w:rPr>
            </w:pPr>
          </w:p>
        </w:tc>
        <w:tc>
          <w:tcPr>
            <w:tcW w:w="204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8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960" w:type="dxa"/>
            <w:vAlign w:val="bottom"/>
            <w:gridSpan w:val="2"/>
          </w:tcPr>
          <w:p>
            <w:pPr>
              <w:jc w:val="center"/>
              <w:ind w:left="4"/>
              <w:spacing w:after="0" w:line="145"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8"/>
        </w:trPr>
        <w:tc>
          <w:tcPr>
            <w:tcW w:w="3500" w:type="dxa"/>
            <w:vAlign w:val="bottom"/>
            <w:tcBorders>
              <w:bottom w:val="single" w:sz="8" w:color="auto"/>
            </w:tcBorders>
            <w:vMerge w:val="continue"/>
          </w:tcPr>
          <w:p>
            <w:pPr>
              <w:spacing w:after="0"/>
              <w:rPr>
                <w:sz w:val="17"/>
                <w:szCs w:val="17"/>
                <w:color w:val="auto"/>
              </w:rPr>
            </w:pPr>
          </w:p>
        </w:tc>
        <w:tc>
          <w:tcPr>
            <w:tcW w:w="18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40" w:type="dxa"/>
            <w:vAlign w:val="bottom"/>
            <w:tcBorders>
              <w:bottom w:val="single" w:sz="8" w:color="auto"/>
            </w:tcBorders>
            <w:gridSpan w:val="2"/>
            <w:vMerge w:val="continue"/>
          </w:tcPr>
          <w:p>
            <w:pPr>
              <w:spacing w:after="0"/>
              <w:rPr>
                <w:sz w:val="17"/>
                <w:szCs w:val="17"/>
                <w:color w:val="auto"/>
              </w:rPr>
            </w:pPr>
          </w:p>
        </w:tc>
        <w:tc>
          <w:tcPr>
            <w:tcW w:w="188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3"/>
              </w:rPr>
              <w:t xml:space="preserve">Programs </w:t>
            </w:r>
            <w:r>
              <w:rPr>
                <w:rFonts w:ascii="Times New Roman" w:cs="Times New Roman" w:eastAsia="Times New Roman" w:hAnsi="Times New Roman"/>
                <w:sz w:val="18"/>
                <w:szCs w:val="18"/>
                <w:b w:val="1"/>
                <w:bCs w:val="1"/>
                <w:color w:val="auto"/>
                <w:w w:val="93"/>
                <w:vertAlign w:val="superscript"/>
              </w:rPr>
              <w:t>(1)</w:t>
            </w: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79"/>
              <w:spacing w:after="0" w:line="198" w:lineRule="exact"/>
              <w:rPr>
                <w:sz w:val="20"/>
                <w:szCs w:val="20"/>
                <w:color w:val="auto"/>
              </w:rPr>
            </w:pPr>
            <w:r>
              <w:rPr>
                <w:rFonts w:ascii="Times New Roman" w:cs="Times New Roman" w:eastAsia="Times New Roman" w:hAnsi="Times New Roman"/>
                <w:sz w:val="14"/>
                <w:szCs w:val="14"/>
                <w:b w:val="1"/>
                <w:bCs w:val="1"/>
                <w:color w:val="auto"/>
                <w:w w:val="95"/>
              </w:rPr>
              <w:t xml:space="preserve">Program </w:t>
            </w:r>
            <w:r>
              <w:rPr>
                <w:rFonts w:ascii="Times New Roman" w:cs="Times New Roman" w:eastAsia="Times New Roman" w:hAnsi="Times New Roman"/>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1/1/2024 to 1/31/2024</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231,062</w:t>
            </w:r>
          </w:p>
        </w:tc>
        <w:tc>
          <w:tcPr>
            <w:tcW w:w="840" w:type="dxa"/>
            <w:vAlign w:val="bottom"/>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29.78</w:t>
            </w:r>
          </w:p>
        </w:tc>
        <w:tc>
          <w:tcPr>
            <w:tcW w:w="18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231,062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170,058</w:t>
            </w:r>
          </w:p>
        </w:tc>
        <w:tc>
          <w:tcPr>
            <w:tcW w:w="0" w:type="dxa"/>
            <w:vAlign w:val="bottom"/>
          </w:tcPr>
          <w:p>
            <w:pPr>
              <w:spacing w:after="0"/>
              <w:rPr>
                <w:sz w:val="1"/>
                <w:szCs w:val="1"/>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2/1/2024 to 2/29/2024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218,546</w:t>
            </w: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29.98</w:t>
            </w:r>
          </w:p>
        </w:tc>
        <w:tc>
          <w:tcPr>
            <w:tcW w:w="1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218,546</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163,506</w:t>
            </w:r>
          </w:p>
        </w:tc>
        <w:tc>
          <w:tcPr>
            <w:tcW w:w="0" w:type="dxa"/>
            <w:vAlign w:val="bottom"/>
          </w:tcPr>
          <w:p>
            <w:pPr>
              <w:spacing w:after="0"/>
              <w:rPr>
                <w:sz w:val="1"/>
                <w:szCs w:val="1"/>
                <w:color w:val="auto"/>
              </w:rPr>
            </w:pPr>
          </w:p>
        </w:tc>
      </w:tr>
      <w:tr>
        <w:trPr>
          <w:trHeight w:val="224"/>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3/1/2024 to 3/31/2024</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390,601</w:t>
            </w:r>
          </w:p>
        </w:tc>
        <w:tc>
          <w:tcPr>
            <w:tcW w:w="8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ind w:right="72"/>
              <w:spacing w:after="0"/>
              <w:rPr>
                <w:sz w:val="20"/>
                <w:szCs w:val="20"/>
                <w:color w:val="auto"/>
              </w:rPr>
            </w:pPr>
            <w:r>
              <w:rPr>
                <w:rFonts w:ascii="Times New Roman" w:cs="Times New Roman" w:eastAsia="Times New Roman" w:hAnsi="Times New Roman"/>
                <w:sz w:val="18"/>
                <w:szCs w:val="18"/>
                <w:color w:val="auto"/>
              </w:rPr>
              <w:t>30.09</w:t>
            </w:r>
          </w:p>
        </w:tc>
        <w:tc>
          <w:tcPr>
            <w:tcW w:w="1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390,601</w:t>
            </w:r>
          </w:p>
        </w:tc>
        <w:tc>
          <w:tcPr>
            <w:tcW w:w="2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151,751</w:t>
            </w:r>
          </w:p>
        </w:tc>
        <w:tc>
          <w:tcPr>
            <w:tcW w:w="0" w:type="dxa"/>
            <w:vAlign w:val="bottom"/>
          </w:tcPr>
          <w:p>
            <w:pPr>
              <w:spacing w:after="0"/>
              <w:rPr>
                <w:sz w:val="1"/>
                <w:szCs w:val="1"/>
                <w:color w:val="auto"/>
              </w:rPr>
            </w:pPr>
          </w:p>
        </w:tc>
      </w:tr>
      <w:tr>
        <w:trPr>
          <w:trHeight w:val="24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840,209</w:t>
            </w:r>
          </w:p>
        </w:tc>
        <w:tc>
          <w:tcPr>
            <w:tcW w:w="8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840,209</w:t>
            </w:r>
          </w:p>
        </w:tc>
        <w:tc>
          <w:tcPr>
            <w:tcW w:w="2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320" w:hanging="314"/>
        <w:spacing w:after="0" w:line="258" w:lineRule="auto"/>
        <w:tabs>
          <w:tab w:leader="none" w:pos="3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10, 2022, our Board of Directors approved a $125 million share repurchase program effective through December 31, 2023, excluding associated costs and applicable taxes. On July 31, 2023, our Board of Directors approved an extension of the $125 million repurchase program through December 31, 2025. The Board also approved a new $200 million share repurchase program (excluding associated costs and applicable taxes) effective through December 31, 2025. As of March 31, 2024, no repurchase authority remained available under the February 2022 share repurchase program and $151.8 million repurchase authority remained under the July 2023 share repurchase program. See Part I, Item 1, “</w:t>
      </w:r>
      <w:r>
        <w:rPr>
          <w:rFonts w:ascii="Times New Roman" w:cs="Times New Roman" w:eastAsia="Times New Roman" w:hAnsi="Times New Roman"/>
          <w:sz w:val="14"/>
          <w:szCs w:val="14"/>
          <w:i w:val="1"/>
          <w:iCs w:val="1"/>
          <w:color w:val="auto"/>
        </w:rPr>
        <w:t>Financial Statements - Notes to Condensed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Consolidated Financial Statements - Note 9, Stockholder's Equity” </w:t>
      </w:r>
      <w:r>
        <w:rPr>
          <w:rFonts w:ascii="Times New Roman" w:cs="Times New Roman" w:eastAsia="Times New Roman" w:hAnsi="Times New Roman"/>
          <w:sz w:val="14"/>
          <w:szCs w:val="14"/>
          <w:color w:val="auto"/>
        </w:rPr>
        <w:t>for additional information.</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4"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On April 29, 2024, 2024, NMIH entered into a new credit agreement with Royal Bank of Canada as administrative agent and the lenders party thereto that provides for a new five-year $250 million senior unsecured revolving credit facility (the 2024 Revolving Credit Facility) that is intended to replace our existing four-year $250 million senior secured revolving credit facility (the 2021 Revolving Credit Facility), which is scheduled to mature in November 2025. The availability of borrowings under the 2024 Revolving Credit Facility is subject to the satisfaction of certain closing conditions, including the (i) termination of commitments under the 2021 Revolving Credit Facility and (ii) redemption or satisfaction and discharge of our outstanding Notes (the date such closing conditions are satisfied, the Closing Date). The 2024 Revolving Credit Facility will mature on the fifth anniversary of the Closing Date.</w:t>
      </w:r>
    </w:p>
    <w:p>
      <w:pPr>
        <w:spacing w:after="0" w:line="109"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Borrowings under the 2024 Revolving Credit Facility may be used for general corporate purposes, including to support growth, new business production and operations, and will accrue interest at a variable rate equal to, at our discretion, (i) a Base Rate (as defined in the 2024 Revolving Credit Facility) subject to a floor of 1.00% per annum plus a margin of 0.375% to 1.875% per annum, or (ii) the Adjusted Term Secured Overnight Financing Rate (as defined in the 2024 Revolving Credit Facility) plus a margin of 1.375% to 2.875% per annum, with the margin in each of (i) or (ii) based on our applicable corporate credit rating at the time. Upon close of the 2024 Revolving Credit Facility, we will be required to pay a quarterly commitment fee on the average daily undrawn amount of 0.175% to 0.525%, based on the applicable corporate credit rating at the time.</w:t>
      </w:r>
    </w:p>
    <w:p>
      <w:pPr>
        <w:spacing w:after="0" w:line="13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will be subject to certain covenants under the 2024 Revolving Credit Facility, including a maximum debt-to-total capitalization ratio of 35%, compliance with the PMIERs financial requirements (subject to any GSE approved waivers), and a minimum consolidated net worth requirement (as defined therein).</w:t>
      </w:r>
    </w:p>
    <w:p>
      <w:pPr>
        <w:spacing w:after="0" w:line="126"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The 2024 Revolving Credit Facility contains customary negative and affirmative covenants that will apply upon closing, including covenants that limit, among other things, our ability to (i) incur indebtedness, (ii) incur liens on property, (iii) make restricted payments, (iv) sell assets, (v) make certain loans or investments, (vi) merge or consolidate and (vii) enter into transactions with affiliates, in each case subject to certain exceptions. The 2024 Revolving Credit Facility contains customary events of default. The foregoing summary of the 2024 Revolving Credit Facility does not purport to be complete and is subject to, and qualified in its entirety by, the full text of the credit agreement, which is attached hereto as Exhibit 10.31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ectPr>
          <w:pgSz w:w="11900" w:h="16838" w:orient="portrait"/>
          <w:cols w:equalWidth="0" w:num="1">
            <w:col w:w="10960"/>
          </w:cols>
          <w:pgMar w:left="320" w:top="990" w:right="619" w:bottom="1440" w:gutter="0" w:footer="0" w:header="0"/>
        </w:sectPr>
      </w:pP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6362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4480"/>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63500</wp:posOffset>
            </wp:positionV>
            <wp:extent cx="62642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6427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4900" w:space="720"/>
            <w:col w:w="5340"/>
          </w:cols>
          <w:pgMar w:left="320" w:top="990" w:right="619" w:bottom="1440" w:gutter="0" w:footer="0" w:header="0"/>
          <w:type w:val="continuous"/>
        </w:sectPr>
      </w:pPr>
    </w:p>
    <w:p>
      <w:pPr>
        <w:spacing w:after="0" w:line="31" w:lineRule="exact"/>
        <w:rPr>
          <w:sz w:val="20"/>
          <w:szCs w:val="20"/>
          <w:color w:val="auto"/>
        </w:rPr>
      </w:pPr>
    </w:p>
    <w:p>
      <w:pPr>
        <w:ind w:left="1140" w:hanging="733"/>
        <w:spacing w:after="0" w:line="231"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64">
        <w:r>
          <w:rPr>
            <w:rFonts w:ascii="Times New Roman" w:cs="Times New Roman" w:eastAsia="Times New Roman" w:hAnsi="Times New Roman"/>
            <w:sz w:val="18"/>
            <w:szCs w:val="18"/>
            <w:u w:val="single" w:color="auto"/>
            <w:color w:val="0000FF"/>
          </w:rPr>
          <w:t xml:space="preserve">Second Amended and Restated Certificate of Incorporation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 Exhibit 3.1 to our Form S-1 Registration</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Statement (Registration No. 333-191635), filed on October 9, 2013)</w:t>
      </w:r>
    </w:p>
    <w:p>
      <w:pPr>
        <w:spacing w:after="0" w:line="10" w:lineRule="exact"/>
        <w:rPr>
          <w:sz w:val="20"/>
          <w:szCs w:val="20"/>
          <w:color w:val="auto"/>
        </w:rPr>
      </w:pPr>
    </w:p>
    <w:p>
      <w:pPr>
        <w:ind w:left="400"/>
        <w:spacing w:after="0"/>
        <w:tabs>
          <w:tab w:leader="none" w:pos="11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65">
        <w:r>
          <w:rPr>
            <w:rFonts w:ascii="Times New Roman" w:cs="Times New Roman" w:eastAsia="Times New Roman" w:hAnsi="Times New Roman"/>
            <w:sz w:val="16"/>
            <w:szCs w:val="16"/>
            <w:u w:val="single" w:color="auto"/>
            <w:color w:val="0000FF"/>
          </w:rPr>
          <w:t xml:space="preserve">Fourth Amended and Restated By-Laws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3.2 to our Form 8-K, filed on November 10, 2022)</w:t>
      </w:r>
    </w:p>
    <w:p>
      <w:pPr>
        <w:spacing w:after="0" w:line="22" w:lineRule="exact"/>
        <w:rPr>
          <w:sz w:val="20"/>
          <w:szCs w:val="20"/>
          <w:color w:val="auto"/>
        </w:rPr>
      </w:pPr>
    </w:p>
    <w:p>
      <w:pPr>
        <w:jc w:val="right"/>
        <w:ind w:left="400"/>
        <w:spacing w:after="0" w:line="215"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4.1      </w:t>
      </w:r>
      <w:hyperlink r:id="rId66">
        <w:r>
          <w:rPr>
            <w:rFonts w:ascii="Times New Roman" w:cs="Times New Roman" w:eastAsia="Times New Roman" w:hAnsi="Times New Roman"/>
            <w:sz w:val="18"/>
            <w:szCs w:val="18"/>
            <w:u w:val="single" w:color="auto"/>
            <w:color w:val="0000FF"/>
          </w:rPr>
          <w:t>Indenture, dated as of June 19, 2020, among NMI Holdings, Inc., NMI Services, Inc. as the Initial Guarantor, and the Bank of New York</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FF"/>
          </w:rPr>
          <w:t>Mellon Trust Company, N.A. as Trustee and Notes Collateral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4.1 to our Form 8-K, filed</w:t>
        </w:r>
      </w:hyperlink>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on June 19, 2020)</w:t>
      </w:r>
    </w:p>
    <w:p>
      <w:pPr>
        <w:spacing w:after="0" w:line="2" w:lineRule="exact"/>
        <w:rPr>
          <w:sz w:val="20"/>
          <w:szCs w:val="20"/>
          <w:color w:val="auto"/>
        </w:rPr>
      </w:pPr>
    </w:p>
    <w:p>
      <w:pPr>
        <w:ind w:left="400"/>
        <w:spacing w:after="0"/>
        <w:tabs>
          <w:tab w:leader="none" w:pos="11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67">
        <w:r>
          <w:rPr>
            <w:rFonts w:ascii="Times New Roman" w:cs="Times New Roman" w:eastAsia="Times New Roman" w:hAnsi="Times New Roman"/>
            <w:sz w:val="16"/>
            <w:szCs w:val="16"/>
            <w:u w:val="single" w:color="auto"/>
            <w:color w:val="0000FF"/>
          </w:rPr>
          <w:t xml:space="preserve">Description of Securities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by reference to Exhibit 4.8 to our Form 10-8, filed on February 16, 2022)</w:t>
      </w:r>
    </w:p>
    <w:p>
      <w:pPr>
        <w:spacing w:after="0" w:line="17" w:lineRule="exact"/>
        <w:rPr>
          <w:sz w:val="20"/>
          <w:szCs w:val="20"/>
          <w:color w:val="auto"/>
        </w:rPr>
      </w:pPr>
    </w:p>
    <w:p>
      <w:pPr>
        <w:ind w:left="1140" w:hanging="846"/>
        <w:spacing w:after="0" w:line="229"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 ~</w:t>
      </w:r>
      <w:r>
        <w:rPr>
          <w:sz w:val="20"/>
          <w:szCs w:val="20"/>
          <w:color w:val="auto"/>
        </w:rPr>
        <w:tab/>
      </w:r>
      <w:hyperlink r:id="rId68">
        <w:r>
          <w:rPr>
            <w:rFonts w:ascii="Times New Roman" w:cs="Times New Roman" w:eastAsia="Times New Roman" w:hAnsi="Times New Roman"/>
            <w:sz w:val="18"/>
            <w:szCs w:val="18"/>
            <w:u w:val="single" w:color="auto"/>
            <w:color w:val="0000FF"/>
          </w:rPr>
          <w:t xml:space="preserve">NMI Holdings, Inc. 2012 Stock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 Exhibit 10.1 to our Form S-1 Registration Statement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(Registration No. 333-191635), filed on October 9, 2013)</w:t>
      </w:r>
    </w:p>
    <w:p>
      <w:pPr>
        <w:spacing w:after="0" w:line="9" w:lineRule="exact"/>
        <w:rPr>
          <w:sz w:val="20"/>
          <w:szCs w:val="20"/>
          <w:color w:val="auto"/>
        </w:rPr>
      </w:pPr>
    </w:p>
    <w:p>
      <w:pPr>
        <w:ind w:left="1140" w:right="180" w:hanging="846"/>
        <w:spacing w:after="0" w:line="266" w:lineRule="auto"/>
        <w:tabs>
          <w:tab w:leader="none" w:pos="11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10.2 ~</w:t>
      </w:r>
      <w:r>
        <w:rPr>
          <w:sz w:val="20"/>
          <w:szCs w:val="20"/>
          <w:color w:val="auto"/>
        </w:rPr>
        <w:tab/>
      </w:r>
      <w:hyperlink r:id="rId69">
        <w:r>
          <w:rPr>
            <w:rFonts w:ascii="Times New Roman" w:cs="Times New Roman" w:eastAsia="Times New Roman" w:hAnsi="Times New Roman"/>
            <w:sz w:val="16"/>
            <w:szCs w:val="16"/>
            <w:u w:val="single" w:color="auto"/>
            <w:color w:val="0000FF"/>
          </w:rPr>
          <w:t xml:space="preserve">Form of NMI Holdings, Inc. 2012 Stock Incentive Plan Nonqualified Stock Option Award Agreement (For CEO and CFO)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10.5 to our Form S-1 Registration Statement (Registration No. 333-191635), filed on October 9, 2013)</w:t>
      </w:r>
    </w:p>
    <w:p>
      <w:pPr>
        <w:spacing w:after="0" w:line="1" w:lineRule="exact"/>
        <w:rPr>
          <w:sz w:val="20"/>
          <w:szCs w:val="20"/>
          <w:color w:val="auto"/>
        </w:rPr>
      </w:pPr>
    </w:p>
    <w:p>
      <w:pPr>
        <w:ind w:left="1140" w:right="300" w:hanging="846"/>
        <w:spacing w:after="0" w:line="266" w:lineRule="auto"/>
        <w:tabs>
          <w:tab w:leader="none" w:pos="11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10.3 ~</w:t>
      </w:r>
      <w:r>
        <w:rPr>
          <w:sz w:val="20"/>
          <w:szCs w:val="20"/>
          <w:color w:val="auto"/>
        </w:rPr>
        <w:tab/>
      </w:r>
      <w:hyperlink r:id="rId70">
        <w:r>
          <w:rPr>
            <w:rFonts w:ascii="Times New Roman" w:cs="Times New Roman" w:eastAsia="Times New Roman" w:hAnsi="Times New Roman"/>
            <w:sz w:val="16"/>
            <w:szCs w:val="16"/>
            <w:u w:val="single" w:color="auto"/>
            <w:color w:val="0000FF"/>
          </w:rPr>
          <w:t xml:space="preserve">Form of NMI Holdings, Inc. 2012 Stock Incentive Plan Nonqualified Stock Option Award Agreement (For Management)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10.6 to our Form S-1 Registration Statement (Registration No. 333-191635), filed on October 9, 2013)</w:t>
      </w:r>
    </w:p>
    <w:p>
      <w:pPr>
        <w:spacing w:after="0" w:line="1" w:lineRule="exact"/>
        <w:rPr>
          <w:sz w:val="20"/>
          <w:szCs w:val="20"/>
          <w:color w:val="auto"/>
        </w:rPr>
      </w:pPr>
    </w:p>
    <w:p>
      <w:pPr>
        <w:ind w:left="1140" w:right="100" w:hanging="846"/>
        <w:spacing w:after="0" w:line="245" w:lineRule="auto"/>
        <w:tabs>
          <w:tab w:leader="none" w:pos="11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10.4 ~</w:t>
      </w:r>
      <w:r>
        <w:rPr>
          <w:sz w:val="20"/>
          <w:szCs w:val="20"/>
          <w:color w:val="auto"/>
        </w:rPr>
        <w:tab/>
      </w:r>
      <w:hyperlink r:id="rId71">
        <w:r>
          <w:rPr>
            <w:rFonts w:ascii="Times New Roman" w:cs="Times New Roman" w:eastAsia="Times New Roman" w:hAnsi="Times New Roman"/>
            <w:sz w:val="16"/>
            <w:szCs w:val="16"/>
            <w:u w:val="single" w:color="auto"/>
            <w:color w:val="0000FF"/>
          </w:rPr>
          <w:t>Form of NMI Holdings, Inc. 2012 Stock Incentive Plan Nonqualified Stock Option Award Agreement (For Non-Employee Directors)</w:t>
        </w:r>
      </w:hyperlink>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(incorporated herein by reference to Exhibit 10.7 to our Form S-1 Registration Statement (Registration No. 333-191635), filed on October</w:t>
      </w:r>
    </w:p>
    <w:p>
      <w:pPr>
        <w:ind w:left="1140"/>
        <w:spacing w:after="0"/>
        <w:rPr>
          <w:sz w:val="20"/>
          <w:szCs w:val="20"/>
          <w:color w:val="auto"/>
        </w:rPr>
      </w:pPr>
      <w:r>
        <w:rPr>
          <w:rFonts w:ascii="Times New Roman" w:cs="Times New Roman" w:eastAsia="Times New Roman" w:hAnsi="Times New Roman"/>
          <w:sz w:val="18"/>
          <w:szCs w:val="18"/>
          <w:color w:val="auto"/>
        </w:rPr>
        <w:t>9, 2013)</w:t>
      </w:r>
    </w:p>
    <w:p>
      <w:pPr>
        <w:spacing w:after="0" w:line="2" w:lineRule="exact"/>
        <w:rPr>
          <w:sz w:val="20"/>
          <w:szCs w:val="20"/>
          <w:color w:val="auto"/>
        </w:rPr>
      </w:pPr>
    </w:p>
    <w:p>
      <w:pPr>
        <w:ind w:left="1140" w:right="480" w:hanging="846"/>
        <w:spacing w:after="0" w:line="229"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 ~</w:t>
      </w:r>
      <w:r>
        <w:rPr>
          <w:sz w:val="20"/>
          <w:szCs w:val="20"/>
          <w:color w:val="auto"/>
        </w:rPr>
        <w:tab/>
      </w:r>
      <w:hyperlink r:id="rId72">
        <w:r>
          <w:rPr>
            <w:rFonts w:ascii="Times New Roman" w:cs="Times New Roman" w:eastAsia="Times New Roman" w:hAnsi="Times New Roman"/>
            <w:sz w:val="18"/>
            <w:szCs w:val="18"/>
            <w:u w:val="single" w:color="auto"/>
            <w:color w:val="0000FF"/>
          </w:rPr>
          <w:t xml:space="preserve">Form of NMI Holdings, Inc. 2012 Stock Incentive Plan Nonqualified Stock Option Award Agreement (For CEO/CFO)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 Exhibit 10.8 to our Form 10-K, filed on February 17, 2017)</w:t>
      </w:r>
    </w:p>
    <w:p>
      <w:pPr>
        <w:spacing w:after="0" w:line="9" w:lineRule="exact"/>
        <w:rPr>
          <w:sz w:val="20"/>
          <w:szCs w:val="20"/>
          <w:color w:val="auto"/>
        </w:rPr>
      </w:pPr>
    </w:p>
    <w:p>
      <w:pPr>
        <w:ind w:left="1140" w:right="440" w:hanging="846"/>
        <w:spacing w:after="0" w:line="231"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 ~</w:t>
      </w:r>
      <w:r>
        <w:rPr>
          <w:sz w:val="20"/>
          <w:szCs w:val="20"/>
          <w:color w:val="auto"/>
        </w:rPr>
        <w:tab/>
      </w:r>
      <w:hyperlink r:id="rId73">
        <w:r>
          <w:rPr>
            <w:rFonts w:ascii="Times New Roman" w:cs="Times New Roman" w:eastAsia="Times New Roman" w:hAnsi="Times New Roman"/>
            <w:sz w:val="18"/>
            <w:szCs w:val="18"/>
            <w:u w:val="single" w:color="auto"/>
            <w:color w:val="0000FF"/>
          </w:rPr>
          <w:t xml:space="preserve">Form of NMI Holdings, Inc. 2012 Stock Incentive Plan Nonqualified Stock Option Award Agreement (For Employees)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 Exhibit 10.9 to our Form 10-K, filed on February 17, 2017)</w:t>
      </w:r>
    </w:p>
    <w:p>
      <w:pPr>
        <w:spacing w:after="0" w:line="10" w:lineRule="exact"/>
        <w:rPr>
          <w:sz w:val="20"/>
          <w:szCs w:val="20"/>
          <w:color w:val="auto"/>
        </w:rPr>
      </w:pPr>
    </w:p>
    <w:p>
      <w:pPr>
        <w:ind w:left="1140" w:right="240" w:hanging="846"/>
        <w:spacing w:after="0" w:line="231"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 ~</w:t>
      </w:r>
      <w:r>
        <w:rPr>
          <w:sz w:val="20"/>
          <w:szCs w:val="20"/>
          <w:color w:val="auto"/>
        </w:rPr>
        <w:tab/>
      </w:r>
      <w:hyperlink r:id="rId74">
        <w:r>
          <w:rPr>
            <w:rFonts w:ascii="Times New Roman" w:cs="Times New Roman" w:eastAsia="Times New Roman" w:hAnsi="Times New Roman"/>
            <w:sz w:val="18"/>
            <w:szCs w:val="18"/>
            <w:u w:val="single" w:color="auto"/>
            <w:color w:val="0000FF"/>
          </w:rPr>
          <w:t xml:space="preserve">Form of NMI Holdings, Inc. 2012 Stock Incentive Plan Nonqualified Stock Option Agreement (For Employees)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reference to Exhibit 10.32 to our Form 10-Q, filed on May 2, 2019)</w:t>
      </w:r>
    </w:p>
    <w:p>
      <w:pPr>
        <w:spacing w:after="0" w:line="10" w:lineRule="exact"/>
        <w:rPr>
          <w:sz w:val="20"/>
          <w:szCs w:val="20"/>
          <w:color w:val="auto"/>
        </w:rPr>
      </w:pPr>
    </w:p>
    <w:p>
      <w:pPr>
        <w:ind w:left="1140" w:hanging="846"/>
        <w:spacing w:after="0" w:line="231" w:lineRule="auto"/>
        <w:tabs>
          <w:tab w:leader="none" w:pos="1120" w:val="left"/>
        </w:tabs>
        <w:rPr>
          <w:sz w:val="20"/>
          <w:szCs w:val="20"/>
          <w:color w:val="auto"/>
        </w:rPr>
      </w:pPr>
      <w:r>
        <w:rPr>
          <w:rFonts w:ascii="Times New Roman" w:cs="Times New Roman" w:eastAsia="Times New Roman" w:hAnsi="Times New Roman"/>
          <w:sz w:val="18"/>
          <w:szCs w:val="18"/>
          <w:color w:val="auto"/>
        </w:rPr>
        <w:t>10.8 ~</w:t>
      </w:r>
      <w:r>
        <w:rPr>
          <w:sz w:val="20"/>
          <w:szCs w:val="20"/>
          <w:color w:val="auto"/>
        </w:rPr>
        <w:tab/>
      </w:r>
      <w:r>
        <w:rPr>
          <w:rFonts w:ascii="Times New Roman" w:cs="Times New Roman" w:eastAsia="Times New Roman" w:hAnsi="Times New Roman"/>
          <w:sz w:val="18"/>
          <w:szCs w:val="18"/>
          <w:u w:val="single" w:color="auto"/>
          <w:color w:val="0000FF"/>
        </w:rPr>
        <w:t xml:space="preserve">NMI Holdings, Inc. Amended and Restated 2014 Omnibus Incentive Plan </w:t>
      </w:r>
      <w:r>
        <w:rPr>
          <w:rFonts w:ascii="Times New Roman" w:cs="Times New Roman" w:eastAsia="Times New Roman" w:hAnsi="Times New Roman"/>
          <w:sz w:val="18"/>
          <w:szCs w:val="18"/>
          <w:color w:val="000000"/>
        </w:rPr>
        <w:t>(incorporated herein by reference to Appendix A to our 2022</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Annual Proxy Statement, filed on March 29, 2022)</w:t>
      </w:r>
    </w:p>
    <w:p>
      <w:pPr>
        <w:spacing w:after="0" w:line="10" w:lineRule="exact"/>
        <w:rPr>
          <w:sz w:val="20"/>
          <w:szCs w:val="20"/>
          <w:color w:val="auto"/>
        </w:rPr>
      </w:pPr>
    </w:p>
    <w:p>
      <w:pPr>
        <w:ind w:left="1140" w:hanging="846"/>
        <w:spacing w:after="0" w:line="231" w:lineRule="auto"/>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10.9 ~</w:t>
      </w:r>
      <w:r>
        <w:rPr>
          <w:sz w:val="20"/>
          <w:szCs w:val="20"/>
          <w:color w:val="auto"/>
        </w:rPr>
        <w:tab/>
      </w:r>
      <w:hyperlink r:id="rId75">
        <w:r>
          <w:rPr>
            <w:rFonts w:ascii="Times New Roman" w:cs="Times New Roman" w:eastAsia="Times New Roman" w:hAnsi="Times New Roman"/>
            <w:sz w:val="18"/>
            <w:szCs w:val="18"/>
            <w:u w:val="single" w:color="auto"/>
            <w:color w:val="0000FF"/>
          </w:rPr>
          <w:t>Form of NMI Holdings, Inc. Amended and Restated 2014 Omnibus Incentive Plan Nonqualified Stock Option Award Agreement (For</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CEO)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10.23 to our Form 10-Q filed on August 1, 2017)</w:t>
        </w:r>
      </w:hyperlink>
    </w:p>
    <w:p>
      <w:pPr>
        <w:spacing w:after="0" w:line="10" w:lineRule="exact"/>
        <w:rPr>
          <w:sz w:val="20"/>
          <w:szCs w:val="20"/>
          <w:color w:val="auto"/>
        </w:rPr>
      </w:pPr>
    </w:p>
    <w:p>
      <w:pPr>
        <w:ind w:left="1140" w:hanging="890"/>
        <w:spacing w:after="0" w:line="231" w:lineRule="auto"/>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10.10 ~</w:t>
      </w:r>
      <w:r>
        <w:rPr>
          <w:sz w:val="20"/>
          <w:szCs w:val="20"/>
          <w:color w:val="auto"/>
        </w:rPr>
        <w:tab/>
      </w:r>
      <w:hyperlink r:id="rId76">
        <w:r>
          <w:rPr>
            <w:rFonts w:ascii="Times New Roman" w:cs="Times New Roman" w:eastAsia="Times New Roman" w:hAnsi="Times New Roman"/>
            <w:sz w:val="18"/>
            <w:szCs w:val="18"/>
            <w:u w:val="single" w:color="auto"/>
            <w:color w:val="0000FF"/>
          </w:rPr>
          <w:t>Form of NMI Holdings, Inc. Amended and Restated 2014 Omnibus Incentive Plan Nonqualified Stock Option Award Agreement (For</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Executive Officers and Employees</w:t>
        </w:r>
        <w:r>
          <w:rPr>
            <w:rFonts w:ascii="Times New Roman" w:cs="Times New Roman" w:eastAsia="Times New Roman" w:hAnsi="Times New Roman"/>
            <w:sz w:val="18"/>
            <w:szCs w:val="18"/>
            <w:color w:val="000000"/>
          </w:rPr>
          <w:t>) (incorporated herein by reference to Exhibit 10.24 to our Form 10-Q filed on August 1, 2017)</w:t>
        </w:r>
      </w:hyperlink>
    </w:p>
    <w:p>
      <w:pPr>
        <w:spacing w:after="0" w:line="10" w:lineRule="exact"/>
        <w:rPr>
          <w:sz w:val="20"/>
          <w:szCs w:val="20"/>
          <w:color w:val="auto"/>
        </w:rPr>
      </w:pPr>
    </w:p>
    <w:p>
      <w:pPr>
        <w:ind w:left="1140" w:hanging="887"/>
        <w:spacing w:after="0" w:line="231" w:lineRule="auto"/>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10.11 ~</w:t>
      </w:r>
      <w:r>
        <w:rPr>
          <w:sz w:val="20"/>
          <w:szCs w:val="20"/>
          <w:color w:val="auto"/>
        </w:rPr>
        <w:tab/>
      </w:r>
      <w:hyperlink r:id="rId77">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(Performance</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Based)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10.38 to our Form 10-Q, filed on May 7, 2020)</w:t>
        </w:r>
      </w:hyperlink>
    </w:p>
    <w:p>
      <w:pPr>
        <w:spacing w:after="0" w:line="10" w:lineRule="exact"/>
        <w:rPr>
          <w:sz w:val="20"/>
          <w:szCs w:val="20"/>
          <w:color w:val="auto"/>
        </w:rPr>
      </w:pPr>
    </w:p>
    <w:p>
      <w:pPr>
        <w:ind w:left="1140" w:hanging="890"/>
        <w:spacing w:after="0" w:line="231" w:lineRule="auto"/>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10.12 ~</w:t>
      </w:r>
      <w:r>
        <w:rPr>
          <w:sz w:val="20"/>
          <w:szCs w:val="20"/>
          <w:color w:val="auto"/>
        </w:rPr>
        <w:tab/>
      </w:r>
      <w:hyperlink r:id="rId78">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Independent Directors</w:t>
        </w:r>
        <w:r>
          <w:rPr>
            <w:rFonts w:ascii="Times New Roman" w:cs="Times New Roman" w:eastAsia="Times New Roman" w:hAnsi="Times New Roman"/>
            <w:sz w:val="18"/>
            <w:szCs w:val="18"/>
            <w:color w:val="000000"/>
          </w:rPr>
          <w:t>) (incorporated herein by reference to Exhibit 10.33 to our Form 10-Q, filed on May 2, 2019)</w:t>
        </w:r>
      </w:hyperlink>
    </w:p>
    <w:p>
      <w:pPr>
        <w:spacing w:after="0" w:line="10" w:lineRule="exact"/>
        <w:rPr>
          <w:sz w:val="20"/>
          <w:szCs w:val="20"/>
          <w:color w:val="auto"/>
        </w:rPr>
      </w:pPr>
    </w:p>
    <w:p>
      <w:pPr>
        <w:ind w:left="1140" w:hanging="890"/>
        <w:spacing w:after="0" w:line="231" w:lineRule="auto"/>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10.13 ~</w:t>
      </w:r>
      <w:r>
        <w:rPr>
          <w:sz w:val="20"/>
          <w:szCs w:val="20"/>
          <w:color w:val="auto"/>
        </w:rPr>
        <w:tab/>
      </w:r>
      <w:hyperlink r:id="rId79">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Independent Directors)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10.20 to our Form 10-K, filed on February 15, 2024)</w:t>
        </w:r>
      </w:hyperlink>
    </w:p>
    <w:p>
      <w:pPr>
        <w:spacing w:after="0" w:line="10" w:lineRule="exact"/>
        <w:rPr>
          <w:sz w:val="20"/>
          <w:szCs w:val="20"/>
          <w:color w:val="auto"/>
        </w:rPr>
      </w:pPr>
    </w:p>
    <w:p>
      <w:pPr>
        <w:ind w:left="1140" w:hanging="890"/>
        <w:spacing w:after="0" w:line="231" w:lineRule="auto"/>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10.14 ~</w:t>
      </w:r>
      <w:r>
        <w:rPr>
          <w:sz w:val="20"/>
          <w:szCs w:val="20"/>
          <w:color w:val="auto"/>
        </w:rPr>
        <w:tab/>
      </w:r>
      <w:hyperlink r:id="rId80">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Employees</w:t>
        </w:r>
        <w:r>
          <w:rPr>
            <w:rFonts w:ascii="Times New Roman" w:cs="Times New Roman" w:eastAsia="Times New Roman" w:hAnsi="Times New Roman"/>
            <w:sz w:val="18"/>
            <w:szCs w:val="18"/>
            <w:color w:val="000000"/>
          </w:rPr>
          <w:t>) (incorporated herein by reference to Exhibit 10.34 to our Form 10-Q, filed on May 2, 2019)</w:t>
        </w:r>
      </w:hyperlink>
    </w:p>
    <w:p>
      <w:pPr>
        <w:spacing w:after="0" w:line="10" w:lineRule="exact"/>
        <w:rPr>
          <w:sz w:val="20"/>
          <w:szCs w:val="20"/>
          <w:color w:val="auto"/>
        </w:rPr>
      </w:pPr>
    </w:p>
    <w:p>
      <w:pPr>
        <w:ind w:left="1140" w:hanging="890"/>
        <w:spacing w:after="0" w:line="231" w:lineRule="auto"/>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10.15 ~</w:t>
      </w:r>
      <w:r>
        <w:rPr>
          <w:sz w:val="20"/>
          <w:szCs w:val="20"/>
          <w:color w:val="auto"/>
        </w:rPr>
        <w:tab/>
      </w:r>
      <w:hyperlink r:id="rId81">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Executives)</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herein by reference to Exhibit 10.22 to our Form 10-K, filed on February 15, 2024)</w:t>
      </w:r>
    </w:p>
    <w:p>
      <w:pPr>
        <w:spacing w:after="0" w:line="10" w:lineRule="exact"/>
        <w:rPr>
          <w:sz w:val="20"/>
          <w:szCs w:val="20"/>
          <w:color w:val="auto"/>
        </w:rPr>
      </w:pPr>
    </w:p>
    <w:p>
      <w:pPr>
        <w:ind w:left="1140" w:hanging="890"/>
        <w:spacing w:after="0" w:line="231" w:lineRule="auto"/>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10.16 ~</w:t>
      </w:r>
      <w:r>
        <w:rPr>
          <w:sz w:val="20"/>
          <w:szCs w:val="20"/>
          <w:color w:val="auto"/>
        </w:rPr>
        <w:tab/>
      </w:r>
      <w:hyperlink r:id="rId82">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Employees)</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herein by reference to Exhibit 10.23 to our Form 10-K, filed on February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60"/>
          </w:cols>
          <w:pgMar w:left="320" w:top="990" w:right="619" w:bottom="1440" w:gutter="0" w:footer="0" w:header="0"/>
          <w:type w:val="continuous"/>
        </w:sectPr>
      </w:pPr>
    </w:p>
    <w:bookmarkStart w:id="53" w:name="page54"/>
    <w:bookmarkEnd w:id="53"/>
    <w:p>
      <w:pPr>
        <w:ind w:left="900" w:hanging="890"/>
        <w:spacing w:after="0" w:line="231" w:lineRule="auto"/>
        <w:tabs>
          <w:tab w:leader="none" w:pos="8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10.17 ~</w:t>
      </w:r>
      <w:r>
        <w:rPr>
          <w:sz w:val="20"/>
          <w:szCs w:val="20"/>
          <w:color w:val="auto"/>
        </w:rPr>
        <w:tab/>
      </w:r>
      <w:hyperlink r:id="rId84">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(Performance</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Based)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(incorporated herein by reference to Exhibit 10.24 to our Form 10-K, filed on February 15, 2024)</w:t>
        </w:r>
      </w:hyperlink>
    </w:p>
    <w:p>
      <w:pPr>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10.18 ~</w:t>
      </w:r>
      <w:r>
        <w:rPr>
          <w:sz w:val="20"/>
          <w:szCs w:val="20"/>
          <w:color w:val="auto"/>
        </w:rPr>
        <w:tab/>
      </w:r>
      <w:hyperlink r:id="rId85">
        <w:r>
          <w:rPr>
            <w:rFonts w:ascii="Times New Roman" w:cs="Times New Roman" w:eastAsia="Times New Roman" w:hAnsi="Times New Roman"/>
            <w:sz w:val="16"/>
            <w:szCs w:val="16"/>
            <w:u w:val="single" w:color="auto"/>
            <w:color w:val="0000FF"/>
          </w:rPr>
          <w:t>Form of NMI Holdings, Inc. Amended and Restated 2014 Omnibus Incentive Plan Nonqualified Stock Option Agreement (For Employees</w:t>
        </w:r>
      </w:hyperlink>
      <w:r>
        <w:rPr>
          <w:rFonts w:ascii="Times New Roman" w:cs="Times New Roman" w:eastAsia="Times New Roman" w:hAnsi="Times New Roman"/>
          <w:sz w:val="16"/>
          <w:szCs w:val="16"/>
          <w:color w:val="000000"/>
        </w:rPr>
        <w:t>)</w:t>
      </w:r>
    </w:p>
    <w:p>
      <w:pPr>
        <w:ind w:left="900"/>
        <w:spacing w:after="0"/>
        <w:rPr>
          <w:sz w:val="20"/>
          <w:szCs w:val="20"/>
          <w:color w:val="auto"/>
        </w:rPr>
      </w:pPr>
      <w:r>
        <w:rPr>
          <w:rFonts w:ascii="Times New Roman" w:cs="Times New Roman" w:eastAsia="Times New Roman" w:hAnsi="Times New Roman"/>
          <w:sz w:val="18"/>
          <w:szCs w:val="18"/>
          <w:color w:val="auto"/>
        </w:rPr>
        <w:t>(incorporated herein by reference to Exhibit 10.35 to our Form 10-Q, filed on May 2, 2019)</w:t>
      </w:r>
    </w:p>
    <w:p>
      <w:pPr>
        <w:spacing w:after="0" w:line="10" w:lineRule="exact"/>
        <w:rPr>
          <w:sz w:val="20"/>
          <w:szCs w:val="20"/>
          <w:color w:val="auto"/>
        </w:rPr>
      </w:pPr>
    </w:p>
    <w:p>
      <w:pPr>
        <w:ind w:left="900" w:hanging="890"/>
        <w:spacing w:after="0" w:line="23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 ~</w:t>
      </w:r>
      <w:r>
        <w:rPr>
          <w:sz w:val="20"/>
          <w:szCs w:val="20"/>
          <w:color w:val="auto"/>
        </w:rPr>
        <w:tab/>
      </w:r>
      <w:hyperlink r:id="rId86">
        <w:r>
          <w:rPr>
            <w:rFonts w:ascii="Times New Roman" w:cs="Times New Roman" w:eastAsia="Times New Roman" w:hAnsi="Times New Roman"/>
            <w:sz w:val="18"/>
            <w:szCs w:val="18"/>
            <w:u w:val="single" w:color="auto"/>
            <w:color w:val="0000FF"/>
          </w:rPr>
          <w:t xml:space="preserve">Form of Indemnification Agreement between NMI Holdings, Inc. and its directors and certain executive officers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reference to Exhibit 10.1 to our Form 8-K, filed on November 25, 2014)</w:t>
      </w:r>
    </w:p>
    <w:p>
      <w:pPr>
        <w:spacing w:after="0" w:line="10" w:lineRule="exact"/>
        <w:rPr>
          <w:sz w:val="20"/>
          <w:szCs w:val="20"/>
          <w:color w:val="auto"/>
        </w:rPr>
      </w:pPr>
    </w:p>
    <w:p>
      <w:pPr>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10.20 ~</w:t>
      </w:r>
      <w:r>
        <w:rPr>
          <w:sz w:val="20"/>
          <w:szCs w:val="20"/>
          <w:color w:val="auto"/>
        </w:rPr>
        <w:tab/>
      </w:r>
      <w:hyperlink r:id="rId87">
        <w:r>
          <w:rPr>
            <w:rFonts w:ascii="Times New Roman" w:cs="Times New Roman" w:eastAsia="Times New Roman" w:hAnsi="Times New Roman"/>
            <w:sz w:val="16"/>
            <w:szCs w:val="16"/>
            <w:u w:val="single" w:color="auto"/>
            <w:color w:val="0000FF"/>
          </w:rPr>
          <w:t xml:space="preserve">NMI Holdings, Inc. Severance Benefit Plan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10.1 to our Form 8-K, filed on February 17, 2016)</w:t>
      </w:r>
    </w:p>
    <w:p>
      <w:pPr>
        <w:spacing w:after="0" w:line="22" w:lineRule="exact"/>
        <w:rPr>
          <w:sz w:val="20"/>
          <w:szCs w:val="20"/>
          <w:color w:val="auto"/>
        </w:rPr>
      </w:pPr>
    </w:p>
    <w:p>
      <w:pPr>
        <w:ind w:left="900" w:right="20" w:hanging="890"/>
        <w:spacing w:after="0" w:line="229"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 ~</w:t>
      </w:r>
      <w:r>
        <w:rPr>
          <w:sz w:val="20"/>
          <w:szCs w:val="20"/>
          <w:color w:val="auto"/>
        </w:rPr>
        <w:tab/>
      </w:r>
      <w:hyperlink r:id="rId88">
        <w:r>
          <w:rPr>
            <w:rFonts w:ascii="Times New Roman" w:cs="Times New Roman" w:eastAsia="Times New Roman" w:hAnsi="Times New Roman"/>
            <w:sz w:val="18"/>
            <w:szCs w:val="18"/>
            <w:u w:val="single" w:color="auto"/>
            <w:color w:val="0000FF"/>
          </w:rPr>
          <w:t xml:space="preserve">NMI Holdings, Inc. Amended and Restated Change in Control Severance Benefit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 Exhibit 10.30</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to our Form 10-Q, filed on October 30, 2018)</w:t>
      </w:r>
    </w:p>
    <w:p>
      <w:pPr>
        <w:spacing w:after="0" w:line="9" w:lineRule="exact"/>
        <w:rPr>
          <w:sz w:val="20"/>
          <w:szCs w:val="20"/>
          <w:color w:val="auto"/>
        </w:rPr>
      </w:pPr>
    </w:p>
    <w:p>
      <w:pPr>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10.22 ~</w:t>
      </w:r>
      <w:r>
        <w:rPr>
          <w:sz w:val="20"/>
          <w:szCs w:val="20"/>
          <w:color w:val="auto"/>
        </w:rPr>
        <w:tab/>
      </w:r>
      <w:hyperlink r:id="rId89">
        <w:r>
          <w:rPr>
            <w:rFonts w:ascii="Times New Roman" w:cs="Times New Roman" w:eastAsia="Times New Roman" w:hAnsi="Times New Roman"/>
            <w:sz w:val="16"/>
            <w:szCs w:val="16"/>
            <w:u w:val="single" w:color="auto"/>
            <w:color w:val="0000FF"/>
          </w:rPr>
          <w:t xml:space="preserve">NMI Holdings, Inc. Clawback Policy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10.2 to our Form 8-K, filed on February 23, 2017)</w:t>
      </w:r>
    </w:p>
    <w:p>
      <w:pPr>
        <w:spacing w:after="0" w:line="22" w:lineRule="exact"/>
        <w:rPr>
          <w:sz w:val="20"/>
          <w:szCs w:val="20"/>
          <w:color w:val="auto"/>
        </w:rPr>
      </w:pPr>
    </w:p>
    <w:p>
      <w:pPr>
        <w:ind w:left="900" w:hanging="890"/>
        <w:spacing w:after="0" w:line="229"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 ~</w:t>
      </w:r>
      <w:r>
        <w:rPr>
          <w:sz w:val="20"/>
          <w:szCs w:val="20"/>
          <w:color w:val="auto"/>
        </w:rPr>
        <w:tab/>
      </w:r>
      <w:hyperlink r:id="rId90">
        <w:r>
          <w:rPr>
            <w:rFonts w:ascii="Times New Roman" w:cs="Times New Roman" w:eastAsia="Times New Roman" w:hAnsi="Times New Roman"/>
            <w:sz w:val="18"/>
            <w:szCs w:val="18"/>
            <w:u w:val="single" w:color="auto"/>
            <w:color w:val="0000FF"/>
          </w:rPr>
          <w:t xml:space="preserve">Offer Letter by and between NMI Holdings, Inc. and William Leatherberry, dated July 11, 2014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Exhibit 10.10 to our Form 10-Q, filed on April 28, 2016)</w:t>
      </w:r>
    </w:p>
    <w:p>
      <w:pPr>
        <w:spacing w:after="0" w:line="9" w:lineRule="exact"/>
        <w:rPr>
          <w:sz w:val="20"/>
          <w:szCs w:val="20"/>
          <w:color w:val="auto"/>
        </w:rPr>
      </w:pPr>
    </w:p>
    <w:p>
      <w:pPr>
        <w:ind w:left="900" w:hanging="890"/>
        <w:spacing w:after="0" w:line="23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 ~</w:t>
      </w:r>
      <w:r>
        <w:rPr>
          <w:sz w:val="20"/>
          <w:szCs w:val="20"/>
          <w:color w:val="auto"/>
        </w:rPr>
        <w:tab/>
      </w:r>
      <w:hyperlink r:id="rId91">
        <w:r>
          <w:rPr>
            <w:rFonts w:ascii="Times New Roman" w:cs="Times New Roman" w:eastAsia="Times New Roman" w:hAnsi="Times New Roman"/>
            <w:sz w:val="18"/>
            <w:szCs w:val="18"/>
            <w:u w:val="single" w:color="auto"/>
            <w:color w:val="0000FF"/>
          </w:rPr>
          <w:t xml:space="preserve">Employment Letter by and between NMI Holdings, Inc. and Bradley M. Shuster, effective as of January 1, 2019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reference to Exhibit 10.1 to our Form 8-K, filed on December 28, 2018)</w:t>
      </w:r>
    </w:p>
    <w:p>
      <w:pPr>
        <w:spacing w:after="0" w:line="48" w:lineRule="exact"/>
        <w:rPr>
          <w:sz w:val="20"/>
          <w:szCs w:val="20"/>
          <w:color w:val="auto"/>
        </w:rPr>
      </w:pPr>
    </w:p>
    <w:p>
      <w:pPr>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10.25 ~</w:t>
      </w:r>
      <w:r>
        <w:rPr>
          <w:sz w:val="20"/>
          <w:szCs w:val="20"/>
          <w:color w:val="auto"/>
        </w:rPr>
        <w:tab/>
      </w:r>
      <w:hyperlink r:id="rId92">
        <w:r>
          <w:rPr>
            <w:rFonts w:ascii="Times New Roman" w:cs="Times New Roman" w:eastAsia="Times New Roman" w:hAnsi="Times New Roman"/>
            <w:sz w:val="16"/>
            <w:szCs w:val="16"/>
            <w:u w:val="single" w:color="auto"/>
            <w:color w:val="0000FF"/>
          </w:rPr>
          <w:t xml:space="preserve">Offer Letter by and between NMI Holdings, Inc. and Adam Pollitzer, dated September 9, 2021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w:t>
      </w:r>
    </w:p>
    <w:p>
      <w:pPr>
        <w:ind w:left="900"/>
        <w:spacing w:after="0"/>
        <w:rPr>
          <w:sz w:val="20"/>
          <w:szCs w:val="20"/>
          <w:color w:val="auto"/>
        </w:rPr>
      </w:pPr>
      <w:r>
        <w:rPr>
          <w:rFonts w:ascii="Times New Roman" w:cs="Times New Roman" w:eastAsia="Times New Roman" w:hAnsi="Times New Roman"/>
          <w:sz w:val="18"/>
          <w:szCs w:val="18"/>
          <w:color w:val="auto"/>
        </w:rPr>
        <w:t>10.1 to our Form 8-K, filed on September 9, 2021)</w:t>
      </w:r>
    </w:p>
    <w:p>
      <w:pPr>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10.26 ~</w:t>
      </w:r>
      <w:r>
        <w:rPr>
          <w:sz w:val="20"/>
          <w:szCs w:val="20"/>
          <w:color w:val="auto"/>
        </w:rPr>
        <w:tab/>
      </w:r>
      <w:hyperlink r:id="rId93">
        <w:r>
          <w:rPr>
            <w:rFonts w:ascii="Times New Roman" w:cs="Times New Roman" w:eastAsia="Times New Roman" w:hAnsi="Times New Roman"/>
            <w:sz w:val="16"/>
            <w:szCs w:val="16"/>
            <w:u w:val="single" w:color="auto"/>
            <w:color w:val="0000FF"/>
          </w:rPr>
          <w:t xml:space="preserve">Offer letter by and between NMI Holdings, Inc. and Ravi Mallela, dated December 20, 2021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w:t>
      </w:r>
    </w:p>
    <w:p>
      <w:pPr>
        <w:ind w:left="900"/>
        <w:spacing w:after="0"/>
        <w:rPr>
          <w:sz w:val="20"/>
          <w:szCs w:val="20"/>
          <w:color w:val="auto"/>
        </w:rPr>
      </w:pPr>
      <w:r>
        <w:rPr>
          <w:rFonts w:ascii="Times New Roman" w:cs="Times New Roman" w:eastAsia="Times New Roman" w:hAnsi="Times New Roman"/>
          <w:sz w:val="18"/>
          <w:szCs w:val="18"/>
          <w:color w:val="auto"/>
        </w:rPr>
        <w:t>10.1 to our Form 8-K, filed on December 21, 2021)</w:t>
      </w:r>
    </w:p>
    <w:p>
      <w:pPr>
        <w:spacing w:after="0" w:line="10" w:lineRule="exact"/>
        <w:rPr>
          <w:sz w:val="20"/>
          <w:szCs w:val="20"/>
          <w:color w:val="auto"/>
        </w:rPr>
      </w:pPr>
    </w:p>
    <w:p>
      <w:pPr>
        <w:ind w:left="900" w:hanging="890"/>
        <w:spacing w:after="0" w:line="23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 ~</w:t>
      </w:r>
      <w:r>
        <w:rPr>
          <w:sz w:val="20"/>
          <w:szCs w:val="20"/>
          <w:color w:val="auto"/>
        </w:rPr>
        <w:tab/>
      </w:r>
      <w:hyperlink r:id="rId94">
        <w:r>
          <w:rPr>
            <w:rFonts w:ascii="Times New Roman" w:cs="Times New Roman" w:eastAsia="Times New Roman" w:hAnsi="Times New Roman"/>
            <w:sz w:val="18"/>
            <w:szCs w:val="18"/>
            <w:u w:val="single" w:color="auto"/>
            <w:color w:val="0000FF"/>
          </w:rPr>
          <w:t>Offer Letter by and between NMI Holdings, Inc. and Aurora Swithenbank, dated March 1, 202</w:t>
        </w:r>
      </w:hyperlink>
      <w:r>
        <w:rPr>
          <w:rFonts w:ascii="Times New Roman" w:cs="Times New Roman" w:eastAsia="Times New Roman" w:hAnsi="Times New Roman"/>
          <w:sz w:val="18"/>
          <w:szCs w:val="18"/>
          <w:color w:val="000000"/>
        </w:rPr>
        <w:t>4</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(incorporated herein by reference to</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Exhibit 10.1 to our Form 8-K, filed on March 4, 2024)</w:t>
      </w:r>
    </w:p>
    <w:p>
      <w:pPr>
        <w:spacing w:after="0" w:line="10" w:lineRule="exact"/>
        <w:rPr>
          <w:sz w:val="20"/>
          <w:szCs w:val="20"/>
          <w:color w:val="auto"/>
        </w:rPr>
      </w:pPr>
    </w:p>
    <w:p>
      <w:pPr>
        <w:ind w:left="900" w:hanging="890"/>
        <w:spacing w:after="0" w:line="23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 ~</w:t>
      </w:r>
      <w:r>
        <w:rPr>
          <w:sz w:val="20"/>
          <w:szCs w:val="20"/>
          <w:color w:val="auto"/>
        </w:rPr>
        <w:tab/>
      </w:r>
      <w:hyperlink r:id="rId95">
        <w:r>
          <w:rPr>
            <w:rFonts w:ascii="Times New Roman" w:cs="Times New Roman" w:eastAsia="Times New Roman" w:hAnsi="Times New Roman"/>
            <w:sz w:val="18"/>
            <w:szCs w:val="18"/>
            <w:u w:val="single" w:color="auto"/>
            <w:color w:val="0000FF"/>
          </w:rPr>
          <w:t xml:space="preserve">Separation Agreement by </w:t>
        </w:r>
      </w:hyperlink>
      <w:r>
        <w:rPr>
          <w:rFonts w:ascii="Times New Roman" w:cs="Times New Roman" w:eastAsia="Times New Roman" w:hAnsi="Times New Roman"/>
          <w:sz w:val="18"/>
          <w:szCs w:val="18"/>
          <w:u w:val="single" w:color="auto"/>
          <w:color w:val="0000FF"/>
        </w:rPr>
        <w:t xml:space="preserve">and </w:t>
      </w:r>
      <w:hyperlink r:id="rId95">
        <w:r>
          <w:rPr>
            <w:rFonts w:ascii="Times New Roman" w:cs="Times New Roman" w:eastAsia="Times New Roman" w:hAnsi="Times New Roman"/>
            <w:sz w:val="18"/>
            <w:szCs w:val="18"/>
            <w:u w:val="single" w:color="auto"/>
            <w:color w:val="0000FF"/>
          </w:rPr>
          <w:t xml:space="preserve">between NMI </w:t>
        </w:r>
      </w:hyperlink>
      <w:r>
        <w:rPr>
          <w:rFonts w:ascii="Times New Roman" w:cs="Times New Roman" w:eastAsia="Times New Roman" w:hAnsi="Times New Roman"/>
          <w:sz w:val="18"/>
          <w:szCs w:val="18"/>
          <w:u w:val="single" w:color="auto"/>
          <w:color w:val="0000FF"/>
        </w:rPr>
        <w:t xml:space="preserve">Holdings, </w:t>
      </w:r>
      <w:hyperlink r:id="rId95">
        <w:r>
          <w:rPr>
            <w:rFonts w:ascii="Times New Roman" w:cs="Times New Roman" w:eastAsia="Times New Roman" w:hAnsi="Times New Roman"/>
            <w:sz w:val="18"/>
            <w:szCs w:val="18"/>
            <w:u w:val="single" w:color="auto"/>
            <w:color w:val="0000FF"/>
          </w:rPr>
          <w:t xml:space="preserve">Inc. and Ravi Mallela, dated March 1, 2024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Exhibit 10.2 to our Form 8-K, filed on March 4, 2024)</w:t>
      </w:r>
    </w:p>
    <w:p>
      <w:pPr>
        <w:spacing w:after="0" w:line="10" w:lineRule="exact"/>
        <w:rPr>
          <w:rFonts w:ascii="Times New Roman" w:cs="Times New Roman" w:eastAsia="Times New Roman" w:hAnsi="Times New Roman"/>
          <w:sz w:val="18"/>
          <w:szCs w:val="18"/>
          <w:u w:val="single" w:color="auto"/>
          <w:color w:val="0000FF"/>
        </w:rPr>
      </w:pPr>
    </w:p>
    <w:p>
      <w:pPr>
        <w:jc w:val="right"/>
        <w:spacing w:after="0" w:line="218"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10.29 +    </w:t>
      </w:r>
      <w:hyperlink r:id="rId96">
        <w:r>
          <w:rPr>
            <w:rFonts w:ascii="Times New Roman" w:cs="Times New Roman" w:eastAsia="Times New Roman" w:hAnsi="Times New Roman"/>
            <w:sz w:val="18"/>
            <w:szCs w:val="18"/>
            <w:u w:val="single" w:color="auto"/>
            <w:color w:val="0000FF"/>
          </w:rPr>
          <w:t>Commitment Letter dated July 12, 2013 for Bulk Fannie Mae-Paid Loss-on-Sale Mortgage Insurance on the Portfolio of approximately</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$5.46 billion Purchased by Fannie Mae and Identified by Fannie Mae as Deal No. 2013 MIRT 01 and by the Company as Policy No. P-</w:t>
        </w:r>
      </w:hyperlink>
    </w:p>
    <w:p>
      <w:pPr>
        <w:ind w:left="900"/>
        <w:spacing w:after="0" w:line="220" w:lineRule="auto"/>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u w:val="single" w:color="auto"/>
            <w:color w:val="0000FF"/>
          </w:rPr>
          <w:t>0001-01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10.14 to our Form S-1 Registration Statement (Registration No. 333-191635), filed on</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October 9, 2013)</w:t>
      </w:r>
    </w:p>
    <w:p>
      <w:pPr>
        <w:spacing w:after="0" w:line="1" w:lineRule="exact"/>
        <w:rPr>
          <w:sz w:val="20"/>
          <w:szCs w:val="20"/>
          <w:color w:val="auto"/>
        </w:rPr>
      </w:pPr>
    </w:p>
    <w:p>
      <w:pPr>
        <w:jc w:val="right"/>
        <w:ind w:left="60"/>
        <w:spacing w:after="0" w:line="215"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10.30     </w:t>
      </w:r>
      <w:hyperlink r:id="rId97">
        <w:r>
          <w:rPr>
            <w:rFonts w:ascii="Times New Roman" w:cs="Times New Roman" w:eastAsia="Times New Roman" w:hAnsi="Times New Roman"/>
            <w:sz w:val="18"/>
            <w:szCs w:val="18"/>
            <w:u w:val="single" w:color="auto"/>
            <w:color w:val="0000FF"/>
          </w:rPr>
          <w:t>Amended and Restated Credit Agreement, dated as of November 29, 2021, by and among the Company, the lender parties thereto and</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FF"/>
          </w:rPr>
          <w:t>JPMorgan Chase Bank, N.A., as administrative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10.1 to our Form 8-K filed on November</w:t>
        </w:r>
      </w:hyperlink>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30, 2021)</w:t>
      </w:r>
    </w:p>
    <w:p>
      <w:pPr>
        <w:spacing w:after="0" w:line="2" w:lineRule="exact"/>
        <w:rPr>
          <w:sz w:val="20"/>
          <w:szCs w:val="20"/>
          <w:color w:val="auto"/>
        </w:rPr>
      </w:pPr>
    </w:p>
    <w:p>
      <w:pPr>
        <w:ind w:left="900" w:hanging="887"/>
        <w:spacing w:after="0" w:line="229" w:lineRule="auto"/>
        <w:tabs>
          <w:tab w:leader="none" w:pos="880" w:val="left"/>
        </w:tabs>
        <w:rPr>
          <w:sz w:val="20"/>
          <w:szCs w:val="20"/>
          <w:color w:val="auto"/>
        </w:rPr>
      </w:pPr>
      <w:r>
        <w:rPr>
          <w:rFonts w:ascii="Times New Roman" w:cs="Times New Roman" w:eastAsia="Times New Roman" w:hAnsi="Times New Roman"/>
          <w:sz w:val="18"/>
          <w:szCs w:val="18"/>
          <w:color w:val="auto"/>
        </w:rPr>
        <w:t>10.31 *</w:t>
      </w:r>
      <w:r>
        <w:rPr>
          <w:sz w:val="20"/>
          <w:szCs w:val="20"/>
          <w:color w:val="auto"/>
        </w:rPr>
        <w:tab/>
      </w:r>
      <w:r>
        <w:rPr>
          <w:rFonts w:ascii="Times New Roman" w:cs="Times New Roman" w:eastAsia="Times New Roman" w:hAnsi="Times New Roman"/>
          <w:sz w:val="18"/>
          <w:szCs w:val="18"/>
          <w:u w:val="single" w:color="auto"/>
          <w:color w:val="0000FF"/>
        </w:rPr>
        <w:t xml:space="preserve">Credit Agreement, dated as of April 29, 2024, by and among the Company, the lenders party hereto, </w:t>
      </w:r>
      <w:r>
        <w:rPr>
          <w:rFonts w:ascii="Times New Roman" w:cs="Times New Roman" w:eastAsia="Times New Roman" w:hAnsi="Times New Roman"/>
          <w:sz w:val="18"/>
          <w:szCs w:val="18"/>
          <w:color w:val="0000FF"/>
        </w:rPr>
        <w:t>and Royal Bank of Canada, as the</w:t>
      </w:r>
      <w:r>
        <w:rPr>
          <w:rFonts w:ascii="Times New Roman" w:cs="Times New Roman" w:eastAsia="Times New Roman" w:hAnsi="Times New Roman"/>
          <w:sz w:val="18"/>
          <w:szCs w:val="18"/>
          <w:u w:val="single" w:color="auto"/>
          <w:color w:val="0000FF"/>
        </w:rPr>
        <w:t xml:space="preser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5181600</wp:posOffset>
            </wp:positionH>
            <wp:positionV relativeFrom="paragraph">
              <wp:posOffset>-132715</wp:posOffset>
            </wp:positionV>
            <wp:extent cx="16192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extLst>
                    </a:blip>
                    <a:srcRect/>
                    <a:stretch>
                      <a:fillRect/>
                    </a:stretch>
                  </pic:blipFill>
                  <pic:spPr bwMode="auto">
                    <a:xfrm>
                      <a:off x="0" y="0"/>
                      <a:ext cx="1619250" cy="8255"/>
                    </a:xfrm>
                    <a:prstGeom prst="rect">
                      <a:avLst/>
                    </a:prstGeom>
                    <a:noFill/>
                  </pic:spPr>
                </pic:pic>
              </a:graphicData>
            </a:graphic>
          </wp:anchor>
        </w:drawing>
      </w:r>
    </w:p>
    <w:p>
      <w:pPr>
        <w:ind w:left="120"/>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21.1</w:t>
      </w:r>
      <w:r>
        <w:rPr>
          <w:sz w:val="20"/>
          <w:szCs w:val="20"/>
          <w:color w:val="auto"/>
        </w:rPr>
        <w:tab/>
      </w:r>
      <w:hyperlink r:id="rId99">
        <w:r>
          <w:rPr>
            <w:rFonts w:ascii="Times New Roman" w:cs="Times New Roman" w:eastAsia="Times New Roman" w:hAnsi="Times New Roman"/>
            <w:sz w:val="16"/>
            <w:szCs w:val="16"/>
            <w:u w:val="single" w:color="auto"/>
            <w:color w:val="0000FF"/>
          </w:rPr>
          <w:t xml:space="preserve">Subsidiaries of NMI Holdings, Inc.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21.1 to our Form 10-Q, filed on October 30, 2015)</w:t>
      </w:r>
    </w:p>
    <w:p>
      <w:pPr>
        <w:spacing w:after="0" w:line="2"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6"/>
          <w:szCs w:val="16"/>
          <w:u w:val="single" w:color="auto"/>
          <w:color w:val="0000FF"/>
        </w:rPr>
        <w:t xml:space="preserve">Guaranteed Securities by Subsidiary Guarantor </w:t>
      </w:r>
      <w:r>
        <w:rPr>
          <w:rFonts w:ascii="Times New Roman" w:cs="Times New Roman" w:eastAsia="Times New Roman" w:hAnsi="Times New Roman"/>
          <w:sz w:val="16"/>
          <w:szCs w:val="16"/>
          <w:color w:val="000000"/>
        </w:rPr>
        <w:t>(incorporated herein by reference to Exhibit 22.1 to our Form 10-K, filed on February 16,</w:t>
      </w:r>
    </w:p>
    <w:p>
      <w:pPr>
        <w:ind w:left="900"/>
        <w:spacing w:after="0"/>
        <w:rPr>
          <w:sz w:val="20"/>
          <w:szCs w:val="20"/>
          <w:color w:val="auto"/>
        </w:rPr>
      </w:pPr>
      <w:r>
        <w:rPr>
          <w:rFonts w:ascii="Times New Roman" w:cs="Times New Roman" w:eastAsia="Times New Roman" w:hAnsi="Times New Roman"/>
          <w:sz w:val="18"/>
          <w:szCs w:val="18"/>
          <w:color w:val="auto"/>
        </w:rPr>
        <w:t>2022)</w:t>
      </w:r>
    </w:p>
    <w:p>
      <w:pPr>
        <w:spacing w:after="0" w:line="10"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u w:val="single" w:color="auto"/>
          <w:color w:val="0000FF"/>
        </w:rPr>
        <w:t>Principal Executive Officer's Certification Pursuant to Section 302 of the Sarbanes-Oxley Act of 2002</w:t>
      </w:r>
    </w:p>
    <w:p>
      <w:pPr>
        <w:spacing w:after="0" w:line="22"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u w:val="single" w:color="auto"/>
          <w:color w:val="0000FF"/>
        </w:rPr>
        <w:t>Principal Financial Officer's Certification Pursuant to Section 302 of the Sarbanes-Oxley Act of 2002</w:t>
      </w:r>
    </w:p>
    <w:p>
      <w:pPr>
        <w:ind w:left="40"/>
        <w:spacing w:after="0" w:line="236" w:lineRule="auto"/>
        <w:tabs>
          <w:tab w:leader="none" w:pos="880" w:val="left"/>
        </w:tabs>
        <w:rPr>
          <w:sz w:val="20"/>
          <w:szCs w:val="20"/>
          <w:color w:val="auto"/>
        </w:rPr>
      </w:pPr>
      <w:r>
        <w:rPr>
          <w:rFonts w:ascii="Times New Roman" w:cs="Times New Roman" w:eastAsia="Times New Roman" w:hAnsi="Times New Roman"/>
          <w:sz w:val="18"/>
          <w:szCs w:val="18"/>
          <w:color w:val="auto"/>
        </w:rPr>
        <w:t>32.1 #</w:t>
      </w:r>
      <w:r>
        <w:rPr>
          <w:sz w:val="20"/>
          <w:szCs w:val="20"/>
          <w:color w:val="auto"/>
        </w:rPr>
        <w:tab/>
      </w:r>
      <w:r>
        <w:rPr>
          <w:rFonts w:ascii="Times New Roman" w:cs="Times New Roman" w:eastAsia="Times New Roman" w:hAnsi="Times New Roman"/>
          <w:sz w:val="18"/>
          <w:szCs w:val="18"/>
          <w:u w:val="single" w:color="auto"/>
          <w:color w:val="0000FF"/>
        </w:rPr>
        <w:t>Certifications of CEO and CFO Pursuant to 18 U.S.C. Section 1350, as Adopted Pursuant to Section 906 of the Sarbanes-Oxley Act of</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10" w:lineRule="exact"/>
        <w:rPr>
          <w:sz w:val="20"/>
          <w:szCs w:val="20"/>
          <w:color w:val="auto"/>
        </w:rPr>
      </w:pPr>
    </w:p>
    <w:p>
      <w:pPr>
        <w:ind w:left="900" w:right="40" w:hanging="777"/>
        <w:spacing w:after="0" w:line="23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97.1</w:t>
      </w:r>
      <w:r>
        <w:rPr>
          <w:sz w:val="20"/>
          <w:szCs w:val="20"/>
          <w:color w:val="auto"/>
        </w:rPr>
        <w:tab/>
      </w:r>
      <w:hyperlink r:id="rId100">
        <w:r>
          <w:rPr>
            <w:rFonts w:ascii="Times New Roman" w:cs="Times New Roman" w:eastAsia="Times New Roman" w:hAnsi="Times New Roman"/>
            <w:sz w:val="18"/>
            <w:szCs w:val="18"/>
            <w:u w:val="single" w:color="auto"/>
            <w:color w:val="0000FF"/>
          </w:rPr>
          <w:t xml:space="preserve">NMI Holdings, Inc. Compensation Recovery Policy, Effective September 13, 2023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 Exhibit 97.1 to our</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Form 10-K, filed on February 15, 2024)</w:t>
      </w:r>
    </w:p>
    <w:p>
      <w:pPr>
        <w:spacing w:after="0" w:line="10" w:lineRule="exact"/>
        <w:rPr>
          <w:sz w:val="20"/>
          <w:szCs w:val="20"/>
          <w:color w:val="auto"/>
        </w:rPr>
      </w:pPr>
    </w:p>
    <w:p>
      <w:pPr>
        <w:ind w:left="900" w:right="420" w:hanging="765"/>
        <w:spacing w:after="0" w:line="231"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NMI Holdings, Inc.'s Quarterly Report on Form 10-Q for the quarter ended March 31, 2024 (Unaudited) formatted in XBRL (eXtensible Business Reporting Language):</w:t>
      </w:r>
    </w:p>
    <w:p>
      <w:pPr>
        <w:spacing w:after="0" w:line="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 Condensed Consolidated Balance Sheets as of March 31, 2024 (Unaudited) and December 31, 2023;</w:t>
      </w:r>
    </w:p>
    <w:p>
      <w:pPr>
        <w:spacing w:after="0" w:line="22" w:lineRule="exact"/>
        <w:rPr>
          <w:sz w:val="20"/>
          <w:szCs w:val="20"/>
          <w:color w:val="auto"/>
        </w:rPr>
      </w:pPr>
    </w:p>
    <w:p>
      <w:pPr>
        <w:ind w:left="900" w:right="640" w:hanging="9"/>
        <w:spacing w:after="0" w:line="229" w:lineRule="auto"/>
        <w:tabs>
          <w:tab w:leader="none" w:pos="12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Changes in Shareholders' Equity for the three months ended March 31, 2024 and 2023 (Unaudited);</w:t>
      </w:r>
    </w:p>
    <w:p>
      <w:pPr>
        <w:spacing w:after="0" w:line="9" w:lineRule="exact"/>
        <w:rPr>
          <w:rFonts w:ascii="Times New Roman" w:cs="Times New Roman" w:eastAsia="Times New Roman" w:hAnsi="Times New Roman"/>
          <w:sz w:val="18"/>
          <w:szCs w:val="18"/>
          <w:color w:val="auto"/>
        </w:rPr>
      </w:pPr>
    </w:p>
    <w:p>
      <w:pPr>
        <w:ind w:left="1180" w:hanging="289"/>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three months ended March 31, 2024 and 2023 (Unaudited);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68580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20"/>
          </w:cols>
          <w:pgMar w:left="560" w:top="1031" w:right="619" w:bottom="1440" w:gutter="0" w:footer="0" w:header="0"/>
        </w:sectPr>
      </w:pPr>
    </w:p>
    <w:bookmarkStart w:id="54" w:name="page55"/>
    <w:bookmarkEnd w:id="54"/>
    <w:p>
      <w:pPr>
        <w:ind w:left="1005" w:right="180" w:hanging="9"/>
        <w:spacing w:after="0" w:line="231" w:lineRule="auto"/>
        <w:tabs>
          <w:tab w:leader="none" w:pos="12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Condensed Consolidated Financial Statements (Unaudited). The instance document does not appear in the Interactive Data File because XBRL tags are embedded within the Inline XBRL document.</w:t>
      </w:r>
    </w:p>
    <w:p>
      <w:pPr>
        <w:spacing w:after="0" w:line="10" w:lineRule="exact"/>
        <w:rPr>
          <w:sz w:val="20"/>
          <w:szCs w:val="20"/>
          <w:color w:val="auto"/>
        </w:rPr>
      </w:pPr>
    </w:p>
    <w:p>
      <w:pPr>
        <w:ind w:left="1005" w:right="300" w:hanging="765"/>
        <w:spacing w:after="0" w:line="231" w:lineRule="auto"/>
        <w:tabs>
          <w:tab w:leader="none" w:pos="100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NMI Holdings, Inc.'s Quarterly Report on Form 10-Q for the quarter ended March 31, 2024 (formatted as Inline XBRL and contained in Exhibit 101).</w:t>
      </w:r>
    </w:p>
    <w:p>
      <w:pPr>
        <w:spacing w:after="0" w:line="291" w:lineRule="exact"/>
        <w:rPr>
          <w:rFonts w:ascii="Times New Roman" w:cs="Times New Roman" w:eastAsia="Times New Roman" w:hAnsi="Times New Roman"/>
          <w:sz w:val="18"/>
          <w:szCs w:val="18"/>
          <w:color w:val="auto"/>
        </w:rPr>
      </w:pPr>
    </w:p>
    <w:p>
      <w:pPr>
        <w:ind w:left="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Filed herewith</w:t>
      </w:r>
    </w:p>
    <w:p>
      <w:pPr>
        <w:spacing w:after="0" w:line="27" w:lineRule="exact"/>
        <w:rPr>
          <w:sz w:val="20"/>
          <w:szCs w:val="20"/>
          <w:color w:val="auto"/>
        </w:rPr>
      </w:pPr>
    </w:p>
    <w:p>
      <w:pPr>
        <w:ind w:left="265" w:hanging="265"/>
        <w:spacing w:after="0"/>
        <w:tabs>
          <w:tab w:leader="none" w:pos="265"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contract.</w:t>
      </w:r>
    </w:p>
    <w:p>
      <w:pPr>
        <w:spacing w:after="0" w:line="27" w:lineRule="exact"/>
        <w:rPr>
          <w:sz w:val="20"/>
          <w:szCs w:val="20"/>
          <w:color w:val="auto"/>
        </w:rPr>
      </w:pPr>
    </w:p>
    <w:p>
      <w:pPr>
        <w:ind w:left="265" w:hanging="265"/>
        <w:spacing w:after="0"/>
        <w:tabs>
          <w:tab w:leader="none" w:pos="26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granted as to certain portions, which portions have been filed separately with the SEC.</w:t>
      </w:r>
    </w:p>
    <w:p>
      <w:pPr>
        <w:spacing w:after="0" w:line="27" w:lineRule="exact"/>
        <w:rPr>
          <w:sz w:val="20"/>
          <w:szCs w:val="20"/>
          <w:color w:val="auto"/>
        </w:rPr>
      </w:pPr>
    </w:p>
    <w:p>
      <w:pPr>
        <w:ind w:left="265" w:hanging="265"/>
        <w:spacing w:after="0" w:line="227" w:lineRule="auto"/>
        <w:tabs>
          <w:tab w:leader="none" w:pos="26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34-47986, the certifications furnished in Exhibit 32.1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04"/>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85"/>
          </w:cols>
          <w:pgMar w:left="455" w:top="1031" w:right="75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7"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NMI HOLDINGS, INC.</w:t>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6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/s/ Ravi Mallela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3115310</wp:posOffset>
            </wp:positionH>
            <wp:positionV relativeFrom="paragraph">
              <wp:posOffset>-10160</wp:posOffset>
            </wp:positionV>
            <wp:extent cx="12153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 Ravi Mallela</w:t>
      </w:r>
    </w:p>
    <w:p>
      <w:pPr>
        <w:spacing w:after="0" w:line="2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042"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NMI HOLDINGS, INC. AMENDED AND RESTATED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OMNIBUS INCENTIVE PLAN</w:t>
      </w:r>
    </w:p>
    <w:p>
      <w:pPr>
        <w:spacing w:after="0" w:line="200" w:lineRule="exact"/>
        <w:rPr>
          <w:sz w:val="20"/>
          <w:szCs w:val="20"/>
          <w:color w:val="auto"/>
        </w:rPr>
      </w:pPr>
    </w:p>
    <w:p>
      <w:pPr>
        <w:spacing w:after="0" w:line="21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6"/>
          <w:szCs w:val="16"/>
          <w:b w:val="1"/>
          <w:bCs w:val="1"/>
          <w:color w:val="auto"/>
        </w:rPr>
        <w:t>Purpose; Definitions</w:t>
      </w:r>
    </w:p>
    <w:p>
      <w:pPr>
        <w:spacing w:after="0" w:line="270" w:lineRule="exact"/>
        <w:rPr>
          <w:sz w:val="20"/>
          <w:szCs w:val="20"/>
          <w:color w:val="auto"/>
        </w:rPr>
      </w:pPr>
    </w:p>
    <w:p>
      <w:pPr>
        <w:jc w:val="both"/>
        <w:ind w:firstLine="1266"/>
        <w:spacing w:after="0" w:line="272" w:lineRule="auto"/>
        <w:rPr>
          <w:sz w:val="20"/>
          <w:szCs w:val="20"/>
          <w:color w:val="auto"/>
        </w:rPr>
      </w:pPr>
      <w:r>
        <w:rPr>
          <w:rFonts w:ascii="Times New Roman" w:cs="Times New Roman" w:eastAsia="Times New Roman" w:hAnsi="Times New Roman"/>
          <w:sz w:val="18"/>
          <w:szCs w:val="18"/>
          <w:color w:val="auto"/>
        </w:rPr>
        <w:t>The purpose of this Plan is to give the Company a competitive advantage in attracting, retaining and motivating officers, employees, directors and/or consultants and to provide the Company and its Subsidiaries and Affiliates with a compensation plan providing incentives for future performance of services directly linked to the profitability of the Company’s businesses and increases in Company shareholder value.</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For purposes of this Plan, the following terms are defined as set forth below:</w:t>
      </w:r>
    </w:p>
    <w:p>
      <w:pPr>
        <w:spacing w:after="0" w:line="253" w:lineRule="exact"/>
        <w:rPr>
          <w:sz w:val="20"/>
          <w:szCs w:val="20"/>
          <w:color w:val="auto"/>
        </w:rPr>
      </w:pPr>
    </w:p>
    <w:p>
      <w:pPr>
        <w:ind w:left="1060" w:hanging="421"/>
        <w:spacing w:after="0"/>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 corporation or other entity controlled by, controlling or under common control with the Company.</w:t>
      </w:r>
    </w:p>
    <w:p>
      <w:pPr>
        <w:spacing w:after="0" w:line="254" w:lineRule="exact"/>
        <w:rPr>
          <w:rFonts w:ascii="Times New Roman" w:cs="Times New Roman" w:eastAsia="Times New Roman" w:hAnsi="Times New Roman"/>
          <w:sz w:val="18"/>
          <w:szCs w:val="18"/>
          <w:color w:val="auto"/>
        </w:rPr>
      </w:pPr>
    </w:p>
    <w:p>
      <w:pPr>
        <w:ind w:firstLine="639"/>
        <w:spacing w:after="0" w:line="302" w:lineRule="auto"/>
        <w:tabs>
          <w:tab w:leader="none" w:pos="10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Exchange</w:t>
      </w:r>
      <w:r>
        <w:rPr>
          <w:rFonts w:ascii="Times New Roman" w:cs="Times New Roman" w:eastAsia="Times New Roman" w:hAnsi="Times New Roman"/>
          <w:sz w:val="18"/>
          <w:szCs w:val="18"/>
          <w:color w:val="auto"/>
        </w:rPr>
        <w:t>” means the NASDAQ or such other securities exchange as may at the applicable time be the principal market for the Common Stock.</w:t>
      </w:r>
    </w:p>
    <w:p>
      <w:pPr>
        <w:spacing w:after="0" w:line="178" w:lineRule="exact"/>
        <w:rPr>
          <w:rFonts w:ascii="Times New Roman" w:cs="Times New Roman" w:eastAsia="Times New Roman" w:hAnsi="Times New Roman"/>
          <w:sz w:val="18"/>
          <w:szCs w:val="18"/>
          <w:color w:val="auto"/>
        </w:rPr>
      </w:pPr>
    </w:p>
    <w:p>
      <w:pPr>
        <w:ind w:firstLine="639"/>
        <w:spacing w:after="0" w:line="287" w:lineRule="auto"/>
        <w:tabs>
          <w:tab w:leader="none" w:pos="10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means a Stock Option, Stock Appreciation Right, Restricted Stock, Restricted Stock Unit, Performance Unit, Other Stock-Based Award or Cash-Based Award granted pursuant to the terms of this Plan.</w:t>
      </w:r>
    </w:p>
    <w:p>
      <w:pPr>
        <w:spacing w:after="0" w:line="203" w:lineRule="exact"/>
        <w:rPr>
          <w:rFonts w:ascii="Times New Roman" w:cs="Times New Roman" w:eastAsia="Times New Roman" w:hAnsi="Times New Roman"/>
          <w:sz w:val="18"/>
          <w:szCs w:val="18"/>
          <w:color w:val="auto"/>
        </w:rPr>
      </w:pPr>
    </w:p>
    <w:p>
      <w:pPr>
        <w:ind w:left="1060" w:hanging="421"/>
        <w:spacing w:after="0"/>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means a written or electronic document or agreement setting forth the terms and conditions of a specific Award.</w:t>
      </w:r>
    </w:p>
    <w:p>
      <w:pPr>
        <w:spacing w:after="0" w:line="254" w:lineRule="exact"/>
        <w:rPr>
          <w:rFonts w:ascii="Times New Roman" w:cs="Times New Roman" w:eastAsia="Times New Roman" w:hAnsi="Times New Roman"/>
          <w:sz w:val="18"/>
          <w:szCs w:val="18"/>
          <w:color w:val="auto"/>
        </w:rPr>
      </w:pPr>
    </w:p>
    <w:p>
      <w:pPr>
        <w:ind w:left="1000" w:hanging="361"/>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Beneficial Ownership</w:t>
      </w:r>
      <w:r>
        <w:rPr>
          <w:rFonts w:ascii="Times New Roman" w:cs="Times New Roman" w:eastAsia="Times New Roman" w:hAnsi="Times New Roman"/>
          <w:sz w:val="18"/>
          <w:szCs w:val="18"/>
          <w:color w:val="auto"/>
        </w:rPr>
        <w:t>” shall have the meaning given in Rule 13d3 promulgated under the Exchange Act.</w:t>
      </w:r>
    </w:p>
    <w:p>
      <w:pPr>
        <w:spacing w:after="0" w:line="254" w:lineRule="exact"/>
        <w:rPr>
          <w:rFonts w:ascii="Times New Roman" w:cs="Times New Roman" w:eastAsia="Times New Roman" w:hAnsi="Times New Roman"/>
          <w:sz w:val="18"/>
          <w:szCs w:val="18"/>
          <w:color w:val="auto"/>
        </w:rPr>
      </w:pPr>
    </w:p>
    <w:p>
      <w:pPr>
        <w:ind w:left="1000" w:hanging="361"/>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67" w:lineRule="exact"/>
        <w:rPr>
          <w:rFonts w:ascii="Times New Roman" w:cs="Times New Roman" w:eastAsia="Times New Roman" w:hAnsi="Times New Roman"/>
          <w:sz w:val="18"/>
          <w:szCs w:val="18"/>
          <w:color w:val="auto"/>
        </w:rPr>
      </w:pPr>
    </w:p>
    <w:p>
      <w:pPr>
        <w:ind w:left="1020" w:hanging="381"/>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has the meaning set forth in Section 11(e)(iii).</w:t>
      </w:r>
    </w:p>
    <w:p>
      <w:pPr>
        <w:spacing w:after="0" w:line="254" w:lineRule="exact"/>
        <w:rPr>
          <w:rFonts w:ascii="Times New Roman" w:cs="Times New Roman" w:eastAsia="Times New Roman" w:hAnsi="Times New Roman"/>
          <w:sz w:val="18"/>
          <w:szCs w:val="18"/>
          <w:color w:val="auto"/>
        </w:rPr>
      </w:pPr>
    </w:p>
    <w:p>
      <w:pPr>
        <w:ind w:left="1020" w:hanging="381"/>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Cash-Based Award</w:t>
      </w:r>
      <w:r>
        <w:rPr>
          <w:rFonts w:ascii="Times New Roman" w:cs="Times New Roman" w:eastAsia="Times New Roman" w:hAnsi="Times New Roman"/>
          <w:sz w:val="18"/>
          <w:szCs w:val="18"/>
          <w:color w:val="auto"/>
        </w:rPr>
        <w:t>” means an Award denominated in a dollar amount.</w:t>
      </w:r>
    </w:p>
    <w:p>
      <w:pPr>
        <w:spacing w:after="0" w:line="254" w:lineRule="exact"/>
        <w:rPr>
          <w:rFonts w:ascii="Times New Roman" w:cs="Times New Roman" w:eastAsia="Times New Roman" w:hAnsi="Times New Roman"/>
          <w:sz w:val="18"/>
          <w:szCs w:val="18"/>
          <w:color w:val="auto"/>
        </w:rPr>
      </w:pPr>
    </w:p>
    <w:p>
      <w:pPr>
        <w:ind w:left="980" w:hanging="341"/>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means, unless otherwise provided in an Award Agreement, (1) “Cause” as defined in any Individual</w:t>
      </w:r>
    </w:p>
    <w:p>
      <w:pPr>
        <w:spacing w:after="0" w:line="32" w:lineRule="exact"/>
        <w:rPr>
          <w:sz w:val="20"/>
          <w:szCs w:val="20"/>
          <w:color w:val="auto"/>
        </w:rPr>
      </w:pPr>
    </w:p>
    <w:p>
      <w:pPr>
        <w:jc w:val="both"/>
        <w:ind w:firstLine="633"/>
        <w:spacing w:after="0" w:line="268" w:lineRule="auto"/>
        <w:rPr>
          <w:sz w:val="20"/>
          <w:szCs w:val="20"/>
          <w:color w:val="auto"/>
        </w:rPr>
      </w:pPr>
      <w:r>
        <w:rPr>
          <w:rFonts w:ascii="Times New Roman" w:cs="Times New Roman" w:eastAsia="Times New Roman" w:hAnsi="Times New Roman"/>
          <w:sz w:val="18"/>
          <w:szCs w:val="18"/>
          <w:color w:val="auto"/>
        </w:rPr>
        <w:t xml:space="preserve">Agreement to which the Participant is a party as of the Grant Date, or (2) if there is no such Individual Agreement or if it does not define Cause: (A) conviction of,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by, the Participant for committing a felony under federal law or the law of the state in which such action occurred, (B) willful and deliberate failure on the part of the Participant to perform his or her employment duties in any material respect, (C) dishonesty in the course of fulfilling the Participant’s employment duties, (D) a material violation of the Company’s ethics and compliance program or (E) prior to a Change in Control, such other events as shall be determined by the Committee. Notwithstanding the general rule of Section 2(c), following a Change in Control, any determination by the Committee as to whether “Cause” exists shall be subject to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review.</w:t>
      </w:r>
    </w:p>
    <w:p>
      <w:pPr>
        <w:spacing w:after="0" w:line="220" w:lineRule="exact"/>
        <w:rPr>
          <w:sz w:val="20"/>
          <w:szCs w:val="20"/>
          <w:color w:val="auto"/>
        </w:rPr>
      </w:pPr>
    </w:p>
    <w:p>
      <w:pPr>
        <w:ind w:left="980" w:hanging="341"/>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has the meaning set forth in Section 11(e).</w:t>
      </w:r>
    </w:p>
    <w:p>
      <w:pPr>
        <w:spacing w:after="0" w:line="254" w:lineRule="exact"/>
        <w:rPr>
          <w:rFonts w:ascii="Times New Roman" w:cs="Times New Roman" w:eastAsia="Times New Roman" w:hAnsi="Times New Roman"/>
          <w:sz w:val="18"/>
          <w:szCs w:val="18"/>
          <w:color w:val="auto"/>
        </w:rPr>
      </w:pPr>
    </w:p>
    <w:p>
      <w:pPr>
        <w:jc w:val="both"/>
        <w:ind w:firstLine="639"/>
        <w:spacing w:after="0" w:line="281" w:lineRule="auto"/>
        <w:tabs>
          <w:tab w:leader="none" w:pos="11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96" w:lineRule="exact"/>
        <w:rPr>
          <w:rFonts w:ascii="Times New Roman" w:cs="Times New Roman" w:eastAsia="Times New Roman" w:hAnsi="Times New Roman"/>
          <w:sz w:val="18"/>
          <w:szCs w:val="18"/>
          <w:color w:val="auto"/>
        </w:rPr>
      </w:pPr>
    </w:p>
    <w:p>
      <w:pPr>
        <w:ind w:left="980" w:hanging="341"/>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Securities and Exchange Commission or any successor agency.</w:t>
      </w:r>
    </w:p>
    <w:p>
      <w:pPr>
        <w:sectPr>
          <w:pgSz w:w="11900" w:h="16838" w:orient="portrait"/>
          <w:cols w:equalWidth="0" w:num="1">
            <w:col w:w="11240"/>
          </w:cols>
          <w:pgMar w:left="320" w:top="343" w:right="339" w:bottom="1440" w:gutter="0" w:footer="0" w:header="0"/>
        </w:sectPr>
      </w:pPr>
    </w:p>
    <w:bookmarkStart w:id="57" w:name="page58"/>
    <w:bookmarkEnd w:id="57"/>
    <w:p>
      <w:pPr>
        <w:ind w:left="1060" w:hanging="421"/>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means the Committee referred to in Section 2.</w:t>
      </w:r>
    </w:p>
    <w:p>
      <w:pPr>
        <w:spacing w:after="0" w:line="254" w:lineRule="exact"/>
        <w:rPr>
          <w:rFonts w:ascii="Times New Roman" w:cs="Times New Roman" w:eastAsia="Times New Roman" w:hAnsi="Times New Roman"/>
          <w:sz w:val="18"/>
          <w:szCs w:val="18"/>
          <w:color w:val="auto"/>
        </w:rPr>
      </w:pPr>
    </w:p>
    <w:p>
      <w:pPr>
        <w:ind w:left="1020" w:hanging="381"/>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means common stock, no par value per share, of the Company.</w:t>
      </w:r>
    </w:p>
    <w:p>
      <w:pPr>
        <w:spacing w:after="0" w:line="254" w:lineRule="exact"/>
        <w:rPr>
          <w:rFonts w:ascii="Times New Roman" w:cs="Times New Roman" w:eastAsia="Times New Roman" w:hAnsi="Times New Roman"/>
          <w:sz w:val="18"/>
          <w:szCs w:val="18"/>
          <w:color w:val="auto"/>
        </w:rPr>
      </w:pPr>
    </w:p>
    <w:p>
      <w:pPr>
        <w:ind w:left="1020" w:hanging="381"/>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NMI Holdings, Inc., a Delaware corporation, or its successor.</w:t>
      </w:r>
    </w:p>
    <w:p>
      <w:pPr>
        <w:spacing w:after="0" w:line="267" w:lineRule="exact"/>
        <w:rPr>
          <w:rFonts w:ascii="Times New Roman" w:cs="Times New Roman" w:eastAsia="Times New Roman" w:hAnsi="Times New Roman"/>
          <w:sz w:val="18"/>
          <w:szCs w:val="18"/>
          <w:color w:val="auto"/>
        </w:rPr>
      </w:pPr>
    </w:p>
    <w:p>
      <w:pPr>
        <w:ind w:left="1020" w:hanging="381"/>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Transaction</w:t>
      </w:r>
      <w:r>
        <w:rPr>
          <w:rFonts w:ascii="Times New Roman" w:cs="Times New Roman" w:eastAsia="Times New Roman" w:hAnsi="Times New Roman"/>
          <w:sz w:val="18"/>
          <w:szCs w:val="18"/>
          <w:color w:val="auto"/>
        </w:rPr>
        <w:t>” has the meaning set forth in Section 3(d).</w:t>
      </w:r>
    </w:p>
    <w:p>
      <w:pPr>
        <w:spacing w:after="0" w:line="254" w:lineRule="exact"/>
        <w:rPr>
          <w:rFonts w:ascii="Times New Roman" w:cs="Times New Roman" w:eastAsia="Times New Roman" w:hAnsi="Times New Roman"/>
          <w:sz w:val="18"/>
          <w:szCs w:val="18"/>
          <w:color w:val="auto"/>
        </w:rPr>
      </w:pPr>
    </w:p>
    <w:p>
      <w:pPr>
        <w:jc w:val="both"/>
        <w:ind w:firstLine="639"/>
        <w:spacing w:after="0" w:line="269" w:lineRule="auto"/>
        <w:tabs>
          <w:tab w:leader="none" w:pos="105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means, unless otherwise provided in an Award Agreement, the Company or an Affiliate having cause to terminate a Participant’s employment or service on account of “disability,” as defined in any existing Individual Agreement, or, in the absence of such an Individual Agreement or if it does not define disability, a condition entitling the Participant to receive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or, as determined by the Committee, based upon medical evidence acceptable to it. Notwithstanding the above, with respect to each Award that constitutes a “nonqualified deferred compensation plan” within the meaning of Section 409A of the Code, the foregoing definition shall apply for purposes of vesting of such Award, provided that such Award shall not be settled until the earliest of: (i) the Participant’s “disability” within the meaning of Section 409A of the Code, (ii) the Participant’s “separation from service” within the meaning of Section 409A of the Code and (iii) the date such Award would otherwise be settled pursuant to the terms of the Award Agreement.</w:t>
      </w:r>
    </w:p>
    <w:p>
      <w:pPr>
        <w:spacing w:after="0" w:line="206" w:lineRule="exact"/>
        <w:rPr>
          <w:rFonts w:ascii="Times New Roman" w:cs="Times New Roman" w:eastAsia="Times New Roman" w:hAnsi="Times New Roman"/>
          <w:sz w:val="18"/>
          <w:szCs w:val="18"/>
          <w:color w:val="auto"/>
        </w:rPr>
      </w:pPr>
    </w:p>
    <w:p>
      <w:pPr>
        <w:ind w:firstLine="639"/>
        <w:spacing w:after="0" w:line="353" w:lineRule="auto"/>
        <w:tabs>
          <w:tab w:leader="none" w:pos="98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Disaffiliation</w:t>
      </w:r>
      <w:r>
        <w:rPr>
          <w:rFonts w:ascii="Times New Roman" w:cs="Times New Roman" w:eastAsia="Times New Roman" w:hAnsi="Times New Roman"/>
          <w:sz w:val="16"/>
          <w:szCs w:val="16"/>
          <w:color w:val="auto"/>
        </w:rPr>
        <w:t>” 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spacing w:after="0" w:line="157" w:lineRule="exact"/>
        <w:rPr>
          <w:rFonts w:ascii="Times New Roman" w:cs="Times New Roman" w:eastAsia="Times New Roman" w:hAnsi="Times New Roman"/>
          <w:sz w:val="16"/>
          <w:szCs w:val="16"/>
          <w:color w:val="auto"/>
        </w:rPr>
      </w:pPr>
    </w:p>
    <w:p>
      <w:pPr>
        <w:ind w:left="1000" w:hanging="361"/>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has the meaning set forth in Section 13(a).</w:t>
      </w:r>
    </w:p>
    <w:p>
      <w:pPr>
        <w:spacing w:after="0" w:line="254" w:lineRule="exact"/>
        <w:rPr>
          <w:rFonts w:ascii="Times New Roman" w:cs="Times New Roman" w:eastAsia="Times New Roman" w:hAnsi="Times New Roman"/>
          <w:sz w:val="18"/>
          <w:szCs w:val="18"/>
          <w:color w:val="auto"/>
        </w:rPr>
      </w:pPr>
    </w:p>
    <w:p>
      <w:pPr>
        <w:jc w:val="both"/>
        <w:ind w:firstLine="639"/>
        <w:spacing w:after="0" w:line="28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Eligible Individuals</w:t>
      </w:r>
      <w:r>
        <w:rPr>
          <w:rFonts w:ascii="Times New Roman" w:cs="Times New Roman" w:eastAsia="Times New Roman" w:hAnsi="Times New Roman"/>
          <w:sz w:val="18"/>
          <w:szCs w:val="18"/>
          <w:color w:val="auto"/>
        </w:rPr>
        <w:t>” means any director, officer, employee or consultant of the Company or any of its Subsidiaries or Affiliates, or any prospective employee and consultant who has accepted an offer of employment or consultancy from the Company or its Subsidiaries or Affiliates, who are or will be responsible for, or contribute to, the management, growth or profitability of the business of the Company or its Subsidiaries or Affiliates.</w:t>
      </w:r>
    </w:p>
    <w:p>
      <w:pPr>
        <w:spacing w:after="0" w:line="196" w:lineRule="exact"/>
        <w:rPr>
          <w:rFonts w:ascii="Times New Roman" w:cs="Times New Roman" w:eastAsia="Times New Roman" w:hAnsi="Times New Roman"/>
          <w:sz w:val="18"/>
          <w:szCs w:val="18"/>
          <w:color w:val="auto"/>
        </w:rPr>
      </w:pPr>
    </w:p>
    <w:p>
      <w:pPr>
        <w:ind w:left="1020" w:hanging="381"/>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from time to time, and 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thereto.</w:t>
      </w:r>
    </w:p>
    <w:p>
      <w:pPr>
        <w:spacing w:after="0" w:line="261" w:lineRule="exact"/>
        <w:rPr>
          <w:sz w:val="20"/>
          <w:szCs w:val="20"/>
          <w:color w:val="auto"/>
        </w:rPr>
      </w:pPr>
    </w:p>
    <w:p>
      <w:pPr>
        <w:jc w:val="both"/>
        <w:ind w:firstLine="639"/>
        <w:spacing w:after="0" w:line="270" w:lineRule="auto"/>
        <w:tabs>
          <w:tab w:leader="none" w:pos="102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means, except as otherwise determined by the Committee, the closing price of a Share on the Applicable Exchange on the date of measurement or, if Shares were not traded on the Applicable Exchange on such measurement date, then on the next preceding date on which Shares were traded on the Applicable Exchange, as reported by such source as the Committee may select. If there is no regular public trading market for such Common Stock, the Fair Market Value of the Common Stock shall be determined by the Committee in good faith and, to the extent applicable, such determination shall be made in a manner that satisfies Sections 409A and Sections 422(c)(1) of the Code.</w:t>
      </w:r>
    </w:p>
    <w:p>
      <w:pPr>
        <w:spacing w:after="0" w:line="207" w:lineRule="exact"/>
        <w:rPr>
          <w:rFonts w:ascii="Times New Roman" w:cs="Times New Roman" w:eastAsia="Times New Roman" w:hAnsi="Times New Roman"/>
          <w:sz w:val="18"/>
          <w:szCs w:val="18"/>
          <w:color w:val="auto"/>
        </w:rPr>
      </w:pPr>
    </w:p>
    <w:p>
      <w:pPr>
        <w:ind w:left="1060" w:hanging="421"/>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Free-Standing SAR</w:t>
      </w:r>
      <w:r>
        <w:rPr>
          <w:rFonts w:ascii="Times New Roman" w:cs="Times New Roman" w:eastAsia="Times New Roman" w:hAnsi="Times New Roman"/>
          <w:sz w:val="18"/>
          <w:szCs w:val="18"/>
          <w:color w:val="auto"/>
        </w:rPr>
        <w:t>” has the meaning set forth in Section 5(b).</w:t>
      </w:r>
    </w:p>
    <w:p>
      <w:pPr>
        <w:spacing w:after="0" w:line="267" w:lineRule="exact"/>
        <w:rPr>
          <w:rFonts w:ascii="Times New Roman" w:cs="Times New Roman" w:eastAsia="Times New Roman" w:hAnsi="Times New Roman"/>
          <w:sz w:val="18"/>
          <w:szCs w:val="18"/>
          <w:color w:val="auto"/>
        </w:rPr>
      </w:pPr>
    </w:p>
    <w:p>
      <w:pPr>
        <w:ind w:left="1020" w:hanging="381"/>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Full-Value Award</w:t>
      </w:r>
      <w:r>
        <w:rPr>
          <w:rFonts w:ascii="Times New Roman" w:cs="Times New Roman" w:eastAsia="Times New Roman" w:hAnsi="Times New Roman"/>
          <w:sz w:val="18"/>
          <w:szCs w:val="18"/>
          <w:color w:val="auto"/>
        </w:rPr>
        <w:t>” means any Award other than a Cash-Based Award, Stock Option or Stock Appreciation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w:t>
      </w:r>
    </w:p>
    <w:p>
      <w:pPr>
        <w:spacing w:after="0" w:line="248" w:lineRule="exact"/>
        <w:rPr>
          <w:sz w:val="20"/>
          <w:szCs w:val="20"/>
          <w:color w:val="auto"/>
        </w:rPr>
      </w:pPr>
    </w:p>
    <w:p>
      <w:pPr>
        <w:jc w:val="both"/>
        <w:ind w:firstLine="639"/>
        <w:spacing w:after="0" w:line="281" w:lineRule="auto"/>
        <w:tabs>
          <w:tab w:leader="none" w:pos="11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Grant Date</w:t>
      </w:r>
      <w:r>
        <w:rPr>
          <w:rFonts w:ascii="Times New Roman" w:cs="Times New Roman" w:eastAsia="Times New Roman" w:hAnsi="Times New Roman"/>
          <w:sz w:val="18"/>
          <w:szCs w:val="18"/>
          <w:color w:val="auto"/>
        </w:rPr>
        <w:t>” means (i) the date on which the Committee by resolution selects an Eligible Individual to receive a grant of an Award and determines the number of Shares, or the formula for earning a number of Shares, to be subject to such Award or the cash amount subject to such Award, or (ii) such later date as the Committee shall provide in such resolution.</w:t>
      </w:r>
    </w:p>
    <w:p>
      <w:pPr>
        <w:sectPr>
          <w:pgSz w:w="11900" w:h="16838" w:orient="portrait"/>
          <w:cols w:equalWidth="0" w:num="1">
            <w:col w:w="11240"/>
          </w:cols>
          <w:pgMar w:left="320" w:top="1399"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639"/>
        <w:spacing w:after="0" w:line="287" w:lineRule="auto"/>
        <w:tabs>
          <w:tab w:leader="none" w:pos="10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means any Stock Option designated in the applicable Award Agreement as an “incentive stock option” within the meaning of Section 422 of the Code, and that in fact so qualifies.</w:t>
      </w:r>
    </w:p>
    <w:p>
      <w:pPr>
        <w:spacing w:after="0" w:line="191" w:lineRule="exact"/>
        <w:rPr>
          <w:sz w:val="20"/>
          <w:szCs w:val="20"/>
          <w:color w:val="auto"/>
        </w:rPr>
      </w:pPr>
    </w:p>
    <w:p>
      <w:pPr>
        <w:ind w:left="1080" w:hanging="441"/>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Incumbent Board</w:t>
      </w:r>
      <w:r>
        <w:rPr>
          <w:rFonts w:ascii="Times New Roman" w:cs="Times New Roman" w:eastAsia="Times New Roman" w:hAnsi="Times New Roman"/>
          <w:sz w:val="18"/>
          <w:szCs w:val="18"/>
          <w:color w:val="auto"/>
        </w:rPr>
        <w:t>” has the meaning set forth in Section 11(e)(ii).</w:t>
      </w:r>
    </w:p>
    <w:p>
      <w:pPr>
        <w:spacing w:after="0" w:line="267" w:lineRule="exact"/>
        <w:rPr>
          <w:rFonts w:ascii="Times New Roman" w:cs="Times New Roman" w:eastAsia="Times New Roman" w:hAnsi="Times New Roman"/>
          <w:sz w:val="18"/>
          <w:szCs w:val="18"/>
          <w:color w:val="auto"/>
        </w:rPr>
      </w:pPr>
    </w:p>
    <w:p>
      <w:pPr>
        <w:ind w:left="1100" w:hanging="461"/>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Individual Agreement</w:t>
      </w:r>
      <w:r>
        <w:rPr>
          <w:rFonts w:ascii="Times New Roman" w:cs="Times New Roman" w:eastAsia="Times New Roman" w:hAnsi="Times New Roman"/>
          <w:sz w:val="18"/>
          <w:szCs w:val="18"/>
          <w:color w:val="auto"/>
        </w:rPr>
        <w:t>” means an employment, consulting or similar agreement between a Participant and the</w:t>
      </w:r>
    </w:p>
    <w:p>
      <w:pPr>
        <w:spacing w:after="0" w:line="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Company or one of its Subsidiaries or Affiliates, and, after a Change in Control, a change in control or salary continuation agreement between a Participant and the Company or one of its Subsidiaries or Affiliates. If a Participant is party to both an employment agreement and a change in control or salary continuation agreement, the employment agreement shall be the relevant “Individual Agreement” prior to a Change in Control, and the change in control or salary continuation agreement shall be the relevant “Individual Agreement” after a Change in Control.</w:t>
      </w:r>
    </w:p>
    <w:p>
      <w:pPr>
        <w:spacing w:after="0" w:line="206" w:lineRule="exact"/>
        <w:rPr>
          <w:sz w:val="20"/>
          <w:szCs w:val="20"/>
          <w:color w:val="auto"/>
        </w:rPr>
      </w:pPr>
    </w:p>
    <w:p>
      <w:pPr>
        <w:ind w:left="1080" w:hanging="441"/>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Nonqualified Stock Option</w:t>
      </w:r>
      <w:r>
        <w:rPr>
          <w:rFonts w:ascii="Times New Roman" w:cs="Times New Roman" w:eastAsia="Times New Roman" w:hAnsi="Times New Roman"/>
          <w:sz w:val="18"/>
          <w:szCs w:val="18"/>
          <w:color w:val="auto"/>
        </w:rPr>
        <w:t>” means any Stock Option that is not an Incentive Stock Option.</w:t>
      </w:r>
    </w:p>
    <w:p>
      <w:pPr>
        <w:spacing w:after="0" w:line="267" w:lineRule="exact"/>
        <w:rPr>
          <w:rFonts w:ascii="Times New Roman" w:cs="Times New Roman" w:eastAsia="Times New Roman" w:hAnsi="Times New Roman"/>
          <w:sz w:val="18"/>
          <w:szCs w:val="18"/>
          <w:color w:val="auto"/>
        </w:rPr>
      </w:pPr>
    </w:p>
    <w:p>
      <w:pPr>
        <w:ind w:firstLine="639"/>
        <w:spacing w:after="0" w:line="287" w:lineRule="auto"/>
        <w:tabs>
          <w:tab w:leader="none" w:pos="11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Stock-Based Award</w:t>
      </w:r>
      <w:r>
        <w:rPr>
          <w:rFonts w:ascii="Times New Roman" w:cs="Times New Roman" w:eastAsia="Times New Roman" w:hAnsi="Times New Roman"/>
          <w:sz w:val="18"/>
          <w:szCs w:val="18"/>
          <w:color w:val="auto"/>
        </w:rPr>
        <w:t>” means Awards of Common Stock and other Awards that are valued in whole or in part by reference to, or are otherwise based upon, Common Stock, including (without limitation) unrestricted stock, dividend equivalents, and convertible debentures.</w:t>
      </w:r>
    </w:p>
    <w:p>
      <w:pPr>
        <w:spacing w:after="0" w:line="190" w:lineRule="exact"/>
        <w:rPr>
          <w:rFonts w:ascii="Times New Roman" w:cs="Times New Roman" w:eastAsia="Times New Roman" w:hAnsi="Times New Roman"/>
          <w:sz w:val="18"/>
          <w:szCs w:val="18"/>
          <w:color w:val="auto"/>
        </w:rPr>
      </w:pPr>
    </w:p>
    <w:p>
      <w:pPr>
        <w:ind w:left="1080" w:hanging="441"/>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Outstanding Common Stock</w:t>
      </w:r>
      <w:r>
        <w:rPr>
          <w:rFonts w:ascii="Times New Roman" w:cs="Times New Roman" w:eastAsia="Times New Roman" w:hAnsi="Times New Roman"/>
          <w:sz w:val="18"/>
          <w:szCs w:val="18"/>
          <w:color w:val="auto"/>
        </w:rPr>
        <w:t>” has the meaning set forth in Section 11(e)(i).</w:t>
      </w:r>
    </w:p>
    <w:p>
      <w:pPr>
        <w:spacing w:after="0" w:line="267" w:lineRule="exact"/>
        <w:rPr>
          <w:rFonts w:ascii="Times New Roman" w:cs="Times New Roman" w:eastAsia="Times New Roman" w:hAnsi="Times New Roman"/>
          <w:sz w:val="18"/>
          <w:szCs w:val="18"/>
          <w:color w:val="auto"/>
        </w:rPr>
      </w:pPr>
    </w:p>
    <w:p>
      <w:pPr>
        <w:ind w:left="1020" w:hanging="381"/>
        <w:spacing w:after="0"/>
        <w:tabs>
          <w:tab w:leader="none" w:pos="102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“Outstanding Company Voting Securities</w:t>
      </w:r>
      <w:r>
        <w:rPr>
          <w:rFonts w:ascii="Times New Roman" w:cs="Times New Roman" w:eastAsia="Times New Roman" w:hAnsi="Times New Roman"/>
          <w:sz w:val="18"/>
          <w:szCs w:val="18"/>
          <w:color w:val="auto"/>
        </w:rPr>
        <w:t>” has the meaning set forth in Section 11(e)(i).</w:t>
      </w:r>
    </w:p>
    <w:p>
      <w:pPr>
        <w:spacing w:after="0" w:line="254" w:lineRule="exact"/>
        <w:rPr>
          <w:rFonts w:ascii="Times New Roman" w:cs="Times New Roman" w:eastAsia="Times New Roman" w:hAnsi="Times New Roman"/>
          <w:sz w:val="18"/>
          <w:szCs w:val="18"/>
          <w:i w:val="1"/>
          <w:iCs w:val="1"/>
          <w:color w:val="auto"/>
        </w:rPr>
      </w:pPr>
    </w:p>
    <w:p>
      <w:pPr>
        <w:ind w:left="1100" w:hanging="461"/>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means an Eligible Individual to whom an Award is or has been granted.</w:t>
      </w:r>
    </w:p>
    <w:p>
      <w:pPr>
        <w:spacing w:after="0" w:line="254" w:lineRule="exact"/>
        <w:rPr>
          <w:rFonts w:ascii="Times New Roman" w:cs="Times New Roman" w:eastAsia="Times New Roman" w:hAnsi="Times New Roman"/>
          <w:sz w:val="18"/>
          <w:szCs w:val="18"/>
          <w:color w:val="auto"/>
        </w:rPr>
      </w:pPr>
    </w:p>
    <w:p>
      <w:pPr>
        <w:jc w:val="both"/>
        <w:ind w:firstLine="639"/>
        <w:spacing w:after="0" w:line="268" w:lineRule="auto"/>
        <w:tabs>
          <w:tab w:leader="none" w:pos="110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Goals</w:t>
      </w:r>
      <w:r>
        <w:rPr>
          <w:rFonts w:ascii="Times New Roman" w:cs="Times New Roman" w:eastAsia="Times New Roman" w:hAnsi="Times New Roman"/>
          <w:sz w:val="18"/>
          <w:szCs w:val="18"/>
          <w:color w:val="auto"/>
        </w:rPr>
        <w:t>” means the performance goals established by the Committee in connection with the grant of an Award. Such goals shall be based on the attainment of specified levels of one or more of the following measures: new insurance written (“NIW”) volume, insurance in force levels (“IIF”), policies in force, market share, premiums written, premiums earned, investment income, total operating revenue (excluding net realized investment gains (losses) and gain (loss) from change in fair value of warrant liability), total underwriting expense, total incurred or paid losses, loss ratio, expense ratio, combined ratio, cost/expense management, net income (loss) (including earnings before tax, earnings before interest and tax and earnings before interest, tax, depreciation and amortization), operating earnings (loss) (excluding net realized investment gains (losses) and gain (loss) from change in fair value of warrant liability), return on equity or assets, book value, book value including net operating loss (“NOL”) carry forward, return on investment portfolio (absolute and relative to a benchmark), cash flow (excluding net realized investment gains (losses) and gain (loss) from change in fair value of warrant liability), capital management/liquidity, average premium (“BPS”) of portfolio, earned premium yield of portfolio, average FICO score of portfolio, average LTV of portfolio, delinquency rate of portfolio, objective customer service measures or indices, employee management, common stock share price, and total return to shareholders, in each case with respect to the Company or any one or more Subsidiaries, divisions, business units or business segments thereof, either in absolute terms or relative to the performance of one or more other companies (including an index covering multiple companies).</w:t>
      </w:r>
    </w:p>
    <w:p>
      <w:pPr>
        <w:spacing w:after="0" w:line="207" w:lineRule="exact"/>
        <w:rPr>
          <w:rFonts w:ascii="Times New Roman" w:cs="Times New Roman" w:eastAsia="Times New Roman" w:hAnsi="Times New Roman"/>
          <w:sz w:val="18"/>
          <w:szCs w:val="18"/>
          <w:color w:val="auto"/>
        </w:rPr>
      </w:pPr>
    </w:p>
    <w:p>
      <w:pPr>
        <w:ind w:firstLine="639"/>
        <w:spacing w:after="0" w:line="302" w:lineRule="auto"/>
        <w:tabs>
          <w:tab w:leader="none" w:pos="103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Period</w:t>
      </w:r>
      <w:r>
        <w:rPr>
          <w:rFonts w:ascii="Times New Roman" w:cs="Times New Roman" w:eastAsia="Times New Roman" w:hAnsi="Times New Roman"/>
          <w:sz w:val="18"/>
          <w:szCs w:val="18"/>
          <w:color w:val="auto"/>
        </w:rPr>
        <w:t>” means that period established by the Committee at the time any Performance Unit or Cash-Based Award is granted or at any time thereafter during which any Performance Goals specified by the Committee with respect to such Award are to be measured.</w:t>
      </w:r>
    </w:p>
    <w:p>
      <w:pPr>
        <w:spacing w:after="0" w:line="178" w:lineRule="exact"/>
        <w:rPr>
          <w:rFonts w:ascii="Times New Roman" w:cs="Times New Roman" w:eastAsia="Times New Roman" w:hAnsi="Times New Roman"/>
          <w:sz w:val="18"/>
          <w:szCs w:val="18"/>
          <w:color w:val="auto"/>
        </w:rPr>
      </w:pPr>
    </w:p>
    <w:p>
      <w:pPr>
        <w:jc w:val="both"/>
        <w:ind w:firstLine="639"/>
        <w:spacing w:after="0" w:line="274" w:lineRule="auto"/>
        <w:tabs>
          <w:tab w:leader="none" w:pos="105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Unit</w:t>
      </w:r>
      <w:r>
        <w:rPr>
          <w:rFonts w:ascii="Times New Roman" w:cs="Times New Roman" w:eastAsia="Times New Roman" w:hAnsi="Times New Roman"/>
          <w:sz w:val="18"/>
          <w:szCs w:val="18"/>
          <w:color w:val="auto"/>
        </w:rPr>
        <w:t>” means any Award granted under Section 8 of a unit valued by reference to a designated amount of cash or other property other than Shares, which value may be paid to the Participant by delivery of such property as the Committee shall determine, including, without limitation, cash, Shares, or any combination thereof, upon achievement of such Performance Goals during the Performance Period as the Committee shall establish at the time of such grant or thereafter.</w:t>
      </w:r>
    </w:p>
    <w:p>
      <w:pPr>
        <w:spacing w:after="0" w:line="202" w:lineRule="exact"/>
        <w:rPr>
          <w:rFonts w:ascii="Times New Roman" w:cs="Times New Roman" w:eastAsia="Times New Roman" w:hAnsi="Times New Roman"/>
          <w:sz w:val="18"/>
          <w:szCs w:val="18"/>
          <w:color w:val="auto"/>
        </w:rPr>
      </w:pPr>
    </w:p>
    <w:p>
      <w:pPr>
        <w:ind w:left="1100" w:hanging="461"/>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has the meaning set forth in Section 11(e)(i).</w:t>
      </w:r>
    </w:p>
    <w:p>
      <w:pPr>
        <w:spacing w:after="0" w:line="267" w:lineRule="exact"/>
        <w:rPr>
          <w:rFonts w:ascii="Times New Roman" w:cs="Times New Roman" w:eastAsia="Times New Roman" w:hAnsi="Times New Roman"/>
          <w:sz w:val="18"/>
          <w:szCs w:val="18"/>
          <w:color w:val="auto"/>
        </w:rPr>
      </w:pPr>
    </w:p>
    <w:p>
      <w:pPr>
        <w:ind w:left="1020" w:hanging="381"/>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means the NMI Holdings, Inc. Amended and Restated 2014 Omnibus Incentive Plan, as set forth</w:t>
      </w:r>
    </w:p>
    <w:p>
      <w:pPr>
        <w:sectPr>
          <w:pgSz w:w="11900" w:h="16838" w:orient="portrait"/>
          <w:cols w:equalWidth="0" w:num="1">
            <w:col w:w="11240"/>
          </w:cols>
          <w:pgMar w:left="320" w:top="34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herein and as hereinafter amended from time to time.</w:t>
      </w:r>
    </w:p>
    <w:p>
      <w:pPr>
        <w:spacing w:after="0" w:line="253" w:lineRule="exact"/>
        <w:rPr>
          <w:sz w:val="20"/>
          <w:szCs w:val="20"/>
          <w:color w:val="auto"/>
        </w:rPr>
      </w:pPr>
    </w:p>
    <w:p>
      <w:pPr>
        <w:ind w:left="1200" w:hanging="561"/>
        <w:spacing w:after="0"/>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Replaced Award</w:t>
      </w:r>
      <w:r>
        <w:rPr>
          <w:rFonts w:ascii="Times New Roman" w:cs="Times New Roman" w:eastAsia="Times New Roman" w:hAnsi="Times New Roman"/>
          <w:sz w:val="18"/>
          <w:szCs w:val="18"/>
          <w:color w:val="auto"/>
        </w:rPr>
        <w:t>” has the meaning set forth in Section 11(b)</w:t>
      </w:r>
    </w:p>
    <w:p>
      <w:pPr>
        <w:spacing w:after="0" w:line="254" w:lineRule="exact"/>
        <w:rPr>
          <w:rFonts w:ascii="Times New Roman" w:cs="Times New Roman" w:eastAsia="Times New Roman" w:hAnsi="Times New Roman"/>
          <w:sz w:val="18"/>
          <w:szCs w:val="18"/>
          <w:color w:val="auto"/>
        </w:rPr>
      </w:pPr>
    </w:p>
    <w:p>
      <w:pPr>
        <w:ind w:left="1100" w:hanging="461"/>
        <w:spacing w:after="0"/>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Replacement Award</w:t>
      </w:r>
      <w:r>
        <w:rPr>
          <w:rFonts w:ascii="Times New Roman" w:cs="Times New Roman" w:eastAsia="Times New Roman" w:hAnsi="Times New Roman"/>
          <w:sz w:val="18"/>
          <w:szCs w:val="18"/>
          <w:color w:val="auto"/>
        </w:rPr>
        <w:t>” has the meaning set forth in Section 11(b).</w:t>
      </w:r>
    </w:p>
    <w:p>
      <w:pPr>
        <w:spacing w:after="0" w:line="267" w:lineRule="exact"/>
        <w:rPr>
          <w:rFonts w:ascii="Times New Roman" w:cs="Times New Roman" w:eastAsia="Times New Roman" w:hAnsi="Times New Roman"/>
          <w:sz w:val="18"/>
          <w:szCs w:val="18"/>
          <w:color w:val="auto"/>
        </w:rPr>
      </w:pPr>
    </w:p>
    <w:p>
      <w:pPr>
        <w:ind w:left="1100" w:hanging="461"/>
        <w:spacing w:after="0"/>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Restatement Effective Date</w:t>
      </w:r>
      <w:r>
        <w:rPr>
          <w:rFonts w:ascii="Times New Roman" w:cs="Times New Roman" w:eastAsia="Times New Roman" w:hAnsi="Times New Roman"/>
          <w:sz w:val="18"/>
          <w:szCs w:val="18"/>
          <w:color w:val="auto"/>
        </w:rPr>
        <w:t>” has the meaning set forth in Section 13(a).</w:t>
      </w:r>
    </w:p>
    <w:p>
      <w:pPr>
        <w:spacing w:after="0" w:line="254" w:lineRule="exact"/>
        <w:rPr>
          <w:rFonts w:ascii="Times New Roman" w:cs="Times New Roman" w:eastAsia="Times New Roman" w:hAnsi="Times New Roman"/>
          <w:sz w:val="18"/>
          <w:szCs w:val="18"/>
          <w:color w:val="auto"/>
        </w:rPr>
      </w:pPr>
    </w:p>
    <w:p>
      <w:pPr>
        <w:ind w:left="1100" w:hanging="461"/>
        <w:spacing w:after="0"/>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means an Award granted under Section 6.</w:t>
      </w:r>
    </w:p>
    <w:p>
      <w:pPr>
        <w:spacing w:after="0" w:line="254" w:lineRule="exact"/>
        <w:rPr>
          <w:rFonts w:ascii="Times New Roman" w:cs="Times New Roman" w:eastAsia="Times New Roman" w:hAnsi="Times New Roman"/>
          <w:sz w:val="18"/>
          <w:szCs w:val="18"/>
          <w:color w:val="auto"/>
        </w:rPr>
      </w:pPr>
    </w:p>
    <w:p>
      <w:pPr>
        <w:ind w:left="1100" w:hanging="461"/>
        <w:spacing w:after="0"/>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Unit</w:t>
      </w:r>
      <w:r>
        <w:rPr>
          <w:rFonts w:ascii="Times New Roman" w:cs="Times New Roman" w:eastAsia="Times New Roman" w:hAnsi="Times New Roman"/>
          <w:sz w:val="18"/>
          <w:szCs w:val="18"/>
          <w:color w:val="auto"/>
        </w:rPr>
        <w:t>” has the meaning set forth in Section 7(a).</w:t>
      </w:r>
    </w:p>
    <w:p>
      <w:pPr>
        <w:spacing w:after="0" w:line="267" w:lineRule="exact"/>
        <w:rPr>
          <w:rFonts w:ascii="Times New Roman" w:cs="Times New Roman" w:eastAsia="Times New Roman" w:hAnsi="Times New Roman"/>
          <w:sz w:val="18"/>
          <w:szCs w:val="18"/>
          <w:color w:val="auto"/>
        </w:rPr>
      </w:pPr>
    </w:p>
    <w:p>
      <w:pPr>
        <w:ind w:left="1040" w:hanging="401"/>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Restriction Period</w:t>
      </w:r>
      <w:r>
        <w:rPr>
          <w:rFonts w:ascii="Times New Roman" w:cs="Times New Roman" w:eastAsia="Times New Roman" w:hAnsi="Times New Roman"/>
          <w:sz w:val="18"/>
          <w:szCs w:val="18"/>
          <w:color w:val="auto"/>
        </w:rPr>
        <w:t>” has the meaning set forth in Section 6(c)(ii).</w:t>
      </w:r>
    </w:p>
    <w:p>
      <w:pPr>
        <w:spacing w:after="0" w:line="254" w:lineRule="exact"/>
        <w:rPr>
          <w:rFonts w:ascii="Times New Roman" w:cs="Times New Roman" w:eastAsia="Times New Roman" w:hAnsi="Times New Roman"/>
          <w:sz w:val="18"/>
          <w:szCs w:val="18"/>
          <w:color w:val="auto"/>
        </w:rPr>
      </w:pPr>
    </w:p>
    <w:p>
      <w:pPr>
        <w:ind w:left="1060" w:hanging="421"/>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 16(b)</w:t>
      </w:r>
      <w:r>
        <w:rPr>
          <w:rFonts w:ascii="Times New Roman" w:cs="Times New Roman" w:eastAsia="Times New Roman" w:hAnsi="Times New Roman"/>
          <w:sz w:val="18"/>
          <w:szCs w:val="18"/>
          <w:color w:val="auto"/>
        </w:rPr>
        <w:t>” has the meaning set forth in Section 12(d).</w:t>
      </w:r>
    </w:p>
    <w:p>
      <w:pPr>
        <w:spacing w:after="0" w:line="254" w:lineRule="exact"/>
        <w:rPr>
          <w:rFonts w:ascii="Times New Roman" w:cs="Times New Roman" w:eastAsia="Times New Roman" w:hAnsi="Times New Roman"/>
          <w:sz w:val="18"/>
          <w:szCs w:val="18"/>
          <w:color w:val="auto"/>
        </w:rPr>
      </w:pPr>
    </w:p>
    <w:p>
      <w:pPr>
        <w:ind w:left="1020" w:hanging="381"/>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w:t>
      </w:r>
      <w:r>
        <w:rPr>
          <w:rFonts w:ascii="Times New Roman" w:cs="Times New Roman" w:eastAsia="Times New Roman" w:hAnsi="Times New Roman"/>
          <w:sz w:val="18"/>
          <w:szCs w:val="18"/>
          <w:color w:val="auto"/>
        </w:rPr>
        <w:t>” means a share of Common Stock.</w:t>
      </w:r>
    </w:p>
    <w:p>
      <w:pPr>
        <w:spacing w:after="0" w:line="267" w:lineRule="exact"/>
        <w:rPr>
          <w:rFonts w:ascii="Times New Roman" w:cs="Times New Roman" w:eastAsia="Times New Roman" w:hAnsi="Times New Roman"/>
          <w:sz w:val="18"/>
          <w:szCs w:val="18"/>
          <w:color w:val="auto"/>
        </w:rPr>
      </w:pPr>
    </w:p>
    <w:p>
      <w:pPr>
        <w:ind w:left="1100" w:hanging="461"/>
        <w:spacing w:after="0"/>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Appreciation Right</w:t>
      </w:r>
      <w:r>
        <w:rPr>
          <w:rFonts w:ascii="Times New Roman" w:cs="Times New Roman" w:eastAsia="Times New Roman" w:hAnsi="Times New Roman"/>
          <w:sz w:val="18"/>
          <w:szCs w:val="18"/>
          <w:color w:val="auto"/>
        </w:rPr>
        <w:t>” means an Award granted under Section 5(b) or 5(c).</w:t>
      </w:r>
    </w:p>
    <w:p>
      <w:pPr>
        <w:spacing w:after="0" w:line="254" w:lineRule="exact"/>
        <w:rPr>
          <w:rFonts w:ascii="Times New Roman" w:cs="Times New Roman" w:eastAsia="Times New Roman" w:hAnsi="Times New Roman"/>
          <w:sz w:val="18"/>
          <w:szCs w:val="18"/>
          <w:color w:val="auto"/>
        </w:rPr>
      </w:pPr>
    </w:p>
    <w:p>
      <w:pPr>
        <w:ind w:left="1100" w:hanging="461"/>
        <w:spacing w:after="0"/>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Option</w:t>
      </w:r>
      <w:r>
        <w:rPr>
          <w:rFonts w:ascii="Times New Roman" w:cs="Times New Roman" w:eastAsia="Times New Roman" w:hAnsi="Times New Roman"/>
          <w:sz w:val="18"/>
          <w:szCs w:val="18"/>
          <w:color w:val="auto"/>
        </w:rPr>
        <w:t>” means an Award granted under Section 5(a).</w:t>
      </w:r>
    </w:p>
    <w:p>
      <w:pPr>
        <w:spacing w:after="0" w:line="23" w:lineRule="exact"/>
        <w:rPr>
          <w:rFonts w:ascii="Times New Roman" w:cs="Times New Roman" w:eastAsia="Times New Roman" w:hAnsi="Times New Roman"/>
          <w:sz w:val="18"/>
          <w:szCs w:val="18"/>
          <w:color w:val="auto"/>
        </w:rPr>
      </w:pPr>
    </w:p>
    <w:p>
      <w:pPr>
        <w:ind w:left="1180" w:hanging="541"/>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partnership, joint venture, limited liability company or other entity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any period in which at least a 50% voting or profits interest is owned, directly or indirectly, by the Company or any successor to the Company.</w:t>
      </w:r>
    </w:p>
    <w:p>
      <w:pPr>
        <w:spacing w:after="0" w:line="253" w:lineRule="exact"/>
        <w:rPr>
          <w:sz w:val="20"/>
          <w:szCs w:val="20"/>
          <w:color w:val="auto"/>
        </w:rPr>
      </w:pPr>
    </w:p>
    <w:p>
      <w:pPr>
        <w:ind w:left="1100" w:hanging="461"/>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Tandem SAR</w:t>
      </w:r>
      <w:r>
        <w:rPr>
          <w:rFonts w:ascii="Times New Roman" w:cs="Times New Roman" w:eastAsia="Times New Roman" w:hAnsi="Times New Roman"/>
          <w:sz w:val="18"/>
          <w:szCs w:val="18"/>
          <w:color w:val="auto"/>
        </w:rPr>
        <w:t>” has the meaning set forth in Section 5(b).</w:t>
      </w:r>
    </w:p>
    <w:p>
      <w:pPr>
        <w:spacing w:after="0" w:line="254" w:lineRule="exact"/>
        <w:rPr>
          <w:rFonts w:ascii="Times New Roman" w:cs="Times New Roman" w:eastAsia="Times New Roman" w:hAnsi="Times New Roman"/>
          <w:sz w:val="18"/>
          <w:szCs w:val="18"/>
          <w:color w:val="auto"/>
        </w:rPr>
      </w:pPr>
    </w:p>
    <w:p>
      <w:pPr>
        <w:ind w:left="1100" w:hanging="461"/>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means the maximum period during which a Stock Option or Stock Appreciation Right may remain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subject to earlier termination upon Termination of Employment or otherwise, as specified in the applicable Award Agreement.</w:t>
      </w:r>
    </w:p>
    <w:p>
      <w:pPr>
        <w:spacing w:after="0" w:line="253"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18"/>
          <w:szCs w:val="18"/>
          <w:color w:val="auto"/>
        </w:rPr>
        <w:t>(zz)</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Termination of Employment</w:t>
      </w:r>
      <w:r>
        <w:rPr>
          <w:rFonts w:ascii="Times New Roman" w:cs="Times New Roman" w:eastAsia="Times New Roman" w:hAnsi="Times New Roman"/>
          <w:sz w:val="16"/>
          <w:szCs w:val="16"/>
          <w:color w:val="auto"/>
        </w:rPr>
        <w:t>” means the termination of the applicable Participant’s employment with, or</w:t>
      </w:r>
    </w:p>
    <w:p>
      <w:pPr>
        <w:spacing w:after="0" w:line="2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6"/>
          <w:szCs w:val="16"/>
          <w:color w:val="auto"/>
        </w:rPr>
        <w:t>performance of services for, the Company and any of its Subsidiaries or Affiliates. Unless otherwise determined by the Committee, (i) if a Participant’s employment with the Company and its Affiliates terminates but such Participant continues to provide services to the Company and its Affiliates in a non-employee capacity, such change in status shall not be deemed a Termination of Employment and (ii) a Participant employed by, or performing services for, a Subsidiary or an Affiliate or a division of the Company and its Affiliates shall also be deemed to incur a Termination of Employment if, as a result of a Disaffiliation, such Subsidiary, Affiliate or division ceases to be a Subsidiary, Affiliate or division, as the case may be, and the Participant does not immediately thereafter become an employee of, or service provider for, the Company or another Subsidiary or Affiliate. Temporary absences from employment because of illness, vacation or leave of absence and transfers among the Company and its Subsidiaries and Affiliates shall not be considered Terminations of Employment. Notwithstanding the foregoing provisions of this definition, with respect to any Award that constitutes a “non-qualified deferred compensation plan” within the meaning of Section 409A of the Code, a Participant shall not be considered to have experienced a “Termination of Employment” unless the Participant has experienced a “separation from service” within the meaning of Section 409A of the Code (a “</w:t>
      </w:r>
      <w:r>
        <w:rPr>
          <w:rFonts w:ascii="Times New Roman" w:cs="Times New Roman" w:eastAsia="Times New Roman" w:hAnsi="Times New Roman"/>
          <w:sz w:val="16"/>
          <w:szCs w:val="16"/>
          <w:u w:val="single" w:color="auto"/>
          <w:color w:val="auto"/>
        </w:rPr>
        <w:t>Separation from Service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certain other terms used herein have definitions given to them in the first place in which they are used.</w:t>
      </w:r>
    </w:p>
    <w:p>
      <w:pPr>
        <w:spacing w:after="0" w:line="2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6"/>
          <w:szCs w:val="16"/>
          <w:b w:val="1"/>
          <w:bCs w:val="1"/>
          <w:color w:val="auto"/>
        </w:rPr>
        <w:t>Administration</w:t>
      </w:r>
    </w:p>
    <w:p>
      <w:pPr>
        <w:spacing w:after="0" w:line="255" w:lineRule="exact"/>
        <w:rPr>
          <w:sz w:val="20"/>
          <w:szCs w:val="20"/>
          <w:color w:val="auto"/>
        </w:rPr>
      </w:pPr>
    </w:p>
    <w:p>
      <w:pPr>
        <w:ind w:firstLine="639"/>
        <w:spacing w:after="0" w:line="302" w:lineRule="auto"/>
        <w:tabs>
          <w:tab w:leader="none" w:pos="1132"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The Plan shall be administered by the Board directly, or if the Board elects, by the Compensation Committee or such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of the Board as the Board may from time to time designate, which committee shall be</w:t>
      </w:r>
    </w:p>
    <w:p>
      <w:pPr>
        <w:sectPr>
          <w:pgSz w:w="11900" w:h="16838" w:orient="portrait"/>
          <w:cols w:equalWidth="0" w:num="1">
            <w:col w:w="11240"/>
          </w:cols>
          <w:pgMar w:left="320" w:top="116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composed of not less than two directors, and shall be appointed by and serve at the pleasure of the Board. All references in this Plan to the “Committee” refer to the Board as a whole, unless a separate committee has been designated or authorized consistent with the foregoing.</w:t>
      </w:r>
    </w:p>
    <w:p>
      <w:pPr>
        <w:spacing w:after="0" w:line="1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Subject to the terms and conditions of this Plan, the Committee shall have absolute authority:</w:t>
      </w:r>
    </w:p>
    <w:p>
      <w:pPr>
        <w:spacing w:after="0" w:line="268" w:lineRule="exact"/>
        <w:rPr>
          <w:sz w:val="20"/>
          <w:szCs w:val="20"/>
          <w:color w:val="auto"/>
        </w:rPr>
      </w:pPr>
    </w:p>
    <w:p>
      <w:pPr>
        <w:ind w:left="1620" w:hanging="348"/>
        <w:spacing w:after="0"/>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Eligible Individuals to whom Awards may from time to time be granted;</w:t>
      </w:r>
    </w:p>
    <w:p>
      <w:pPr>
        <w:spacing w:after="0" w:line="254" w:lineRule="exact"/>
        <w:rPr>
          <w:rFonts w:ascii="Times New Roman" w:cs="Times New Roman" w:eastAsia="Times New Roman" w:hAnsi="Times New Roman"/>
          <w:sz w:val="18"/>
          <w:szCs w:val="18"/>
          <w:color w:val="auto"/>
        </w:rPr>
      </w:pPr>
    </w:p>
    <w:p>
      <w:pPr>
        <w:jc w:val="both"/>
        <w:ind w:left="1280" w:hanging="8"/>
        <w:spacing w:after="0" w:line="280" w:lineRule="auto"/>
        <w:tabs>
          <w:tab w:leader="none" w:pos="16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to what extent Incentive Stock Options, Nonqualified Stock Options, Stock Appreciation Rights, Restricted Stock, Restricted Stock Units, Performance Units, Other Stock-Based Awards, Cash-Based Awards or any combination thereof are to be granted hereunder;</w:t>
      </w:r>
    </w:p>
    <w:p>
      <w:pPr>
        <w:spacing w:after="0" w:line="198" w:lineRule="exact"/>
        <w:rPr>
          <w:rFonts w:ascii="Times New Roman" w:cs="Times New Roman" w:eastAsia="Times New Roman" w:hAnsi="Times New Roman"/>
          <w:sz w:val="18"/>
          <w:szCs w:val="18"/>
          <w:color w:val="auto"/>
        </w:rPr>
      </w:pPr>
    </w:p>
    <w:p>
      <w:pPr>
        <w:ind w:left="1700" w:hanging="428"/>
        <w:spacing w:after="0"/>
        <w:tabs>
          <w:tab w:leader="none" w:pos="17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254" w:lineRule="exact"/>
        <w:rPr>
          <w:rFonts w:ascii="Times New Roman" w:cs="Times New Roman" w:eastAsia="Times New Roman" w:hAnsi="Times New Roman"/>
          <w:sz w:val="18"/>
          <w:szCs w:val="18"/>
          <w:color w:val="auto"/>
        </w:rPr>
      </w:pPr>
    </w:p>
    <w:p>
      <w:pPr>
        <w:jc w:val="both"/>
        <w:ind w:left="1280" w:hanging="8"/>
        <w:spacing w:after="0" w:line="273" w:lineRule="auto"/>
        <w:tabs>
          <w:tab w:leader="none" w:pos="172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form of any Award Agreement and determine the terms and conditions of any Award granted hereunder, including, but not limited to, the exercise price (subject to Section 5(d)), any vesting condition, restriction or limitation (which may be related to the performance of the Participant, the Company or any Subsidiary or Affiliate) and any vesting acceleration or forfeiture waiver regarding any Award and the shares of Common Stock relating thereto, based on such factors as the Committee shall determine;</w:t>
      </w:r>
    </w:p>
    <w:p>
      <w:pPr>
        <w:spacing w:after="0" w:line="218" w:lineRule="exact"/>
        <w:rPr>
          <w:rFonts w:ascii="Times New Roman" w:cs="Times New Roman" w:eastAsia="Times New Roman" w:hAnsi="Times New Roman"/>
          <w:sz w:val="18"/>
          <w:szCs w:val="18"/>
          <w:color w:val="auto"/>
        </w:rPr>
      </w:pPr>
    </w:p>
    <w:p>
      <w:pPr>
        <w:ind w:left="1280" w:hanging="8"/>
        <w:spacing w:after="0" w:line="285" w:lineRule="auto"/>
        <w:tabs>
          <w:tab w:leader="none" w:pos="171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amend or adjust the terms and conditions of any Award (subject to Sections 5(d) and 13(d)), at any time or from time to time, including, but not limited to, Performance Goals;</w:t>
      </w:r>
    </w:p>
    <w:p>
      <w:pPr>
        <w:spacing w:after="0" w:line="194" w:lineRule="exact"/>
        <w:rPr>
          <w:rFonts w:ascii="Times New Roman" w:cs="Times New Roman" w:eastAsia="Times New Roman" w:hAnsi="Times New Roman"/>
          <w:sz w:val="18"/>
          <w:szCs w:val="18"/>
          <w:color w:val="auto"/>
        </w:rPr>
      </w:pPr>
    </w:p>
    <w:p>
      <w:pPr>
        <w:ind w:left="1280" w:hanging="8"/>
        <w:spacing w:after="0" w:line="300" w:lineRule="auto"/>
        <w:tabs>
          <w:tab w:leader="none" w:pos="173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to what extent and under what circumstances Common Stock and other amounts payable with respect to an Award shall be deferred;</w:t>
      </w:r>
    </w:p>
    <w:p>
      <w:pPr>
        <w:spacing w:after="0" w:line="181" w:lineRule="exact"/>
        <w:rPr>
          <w:rFonts w:ascii="Times New Roman" w:cs="Times New Roman" w:eastAsia="Times New Roman" w:hAnsi="Times New Roman"/>
          <w:sz w:val="18"/>
          <w:szCs w:val="18"/>
          <w:color w:val="auto"/>
        </w:rPr>
      </w:pPr>
    </w:p>
    <w:p>
      <w:pPr>
        <w:ind w:left="1740" w:hanging="468"/>
        <w:spacing w:after="0"/>
        <w:tabs>
          <w:tab w:leader="none" w:pos="17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under what circumstances an Award may be settled in cash, Shares, other property or a combination of the foregoing;</w:t>
      </w:r>
    </w:p>
    <w:p>
      <w:pPr>
        <w:spacing w:after="0" w:line="254" w:lineRule="exact"/>
        <w:rPr>
          <w:rFonts w:ascii="Times New Roman" w:cs="Times New Roman" w:eastAsia="Times New Roman" w:hAnsi="Times New Roman"/>
          <w:sz w:val="18"/>
          <w:szCs w:val="18"/>
          <w:color w:val="auto"/>
        </w:rPr>
      </w:pPr>
    </w:p>
    <w:p>
      <w:pPr>
        <w:ind w:left="1280" w:right="20" w:hanging="8"/>
        <w:spacing w:after="0" w:line="300" w:lineRule="auto"/>
        <w:tabs>
          <w:tab w:leader="none" w:pos="182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to what extent and under what circumstances cash, Shares and other property and other amounts payable with respect to an Award under this Plan shall be deferred either automatically or at the election of the Participant;</w:t>
      </w:r>
    </w:p>
    <w:p>
      <w:pPr>
        <w:spacing w:after="0" w:line="181" w:lineRule="exact"/>
        <w:rPr>
          <w:rFonts w:ascii="Times New Roman" w:cs="Times New Roman" w:eastAsia="Times New Roman" w:hAnsi="Times New Roman"/>
          <w:sz w:val="18"/>
          <w:szCs w:val="18"/>
          <w:color w:val="auto"/>
        </w:rPr>
      </w:pPr>
    </w:p>
    <w:p>
      <w:pPr>
        <w:ind w:left="1280" w:hanging="8"/>
        <w:spacing w:after="0" w:line="285" w:lineRule="auto"/>
        <w:tabs>
          <w:tab w:leader="none" w:pos="176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alter and repeal such administrative rules, guidelines and practices governing this Plan as it shall from time to time deem advisable;</w:t>
      </w:r>
    </w:p>
    <w:p>
      <w:pPr>
        <w:spacing w:after="0" w:line="207" w:lineRule="exact"/>
        <w:rPr>
          <w:rFonts w:ascii="Times New Roman" w:cs="Times New Roman" w:eastAsia="Times New Roman" w:hAnsi="Times New Roman"/>
          <w:sz w:val="18"/>
          <w:szCs w:val="18"/>
          <w:color w:val="auto"/>
        </w:rPr>
      </w:pPr>
    </w:p>
    <w:p>
      <w:pPr>
        <w:jc w:val="both"/>
        <w:ind w:left="1280" w:hanging="8"/>
        <w:spacing w:after="0" w:line="272" w:lineRule="auto"/>
        <w:tabs>
          <w:tab w:leader="none" w:pos="170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any “blackout” period that the Committee in its sole discretion deems necessary or advisable, but in no event shall such blackout period conflict with or be more permissive than the blackout period determined under the Company’s Insider Trading Policy as may be in effect from time to time;</w:t>
      </w:r>
    </w:p>
    <w:p>
      <w:pPr>
        <w:spacing w:after="0" w:line="219" w:lineRule="exact"/>
        <w:rPr>
          <w:rFonts w:ascii="Times New Roman" w:cs="Times New Roman" w:eastAsia="Times New Roman" w:hAnsi="Times New Roman"/>
          <w:sz w:val="18"/>
          <w:szCs w:val="18"/>
          <w:color w:val="auto"/>
        </w:rPr>
      </w:pPr>
    </w:p>
    <w:p>
      <w:pPr>
        <w:ind w:left="1700" w:hanging="428"/>
        <w:spacing w:after="0"/>
        <w:tabs>
          <w:tab w:leader="none" w:pos="170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interpret the terms and provisions of this Plan and any Award issued under this Plan (and any Award Agreement relating thereto);</w:t>
      </w:r>
    </w:p>
    <w:p>
      <w:pPr>
        <w:spacing w:after="0" w:line="277" w:lineRule="exact"/>
        <w:rPr>
          <w:rFonts w:ascii="Times New Roman" w:cs="Times New Roman" w:eastAsia="Times New Roman" w:hAnsi="Times New Roman"/>
          <w:sz w:val="16"/>
          <w:szCs w:val="16"/>
          <w:color w:val="auto"/>
        </w:rPr>
      </w:pPr>
    </w:p>
    <w:p>
      <w:pPr>
        <w:ind w:left="1740" w:hanging="468"/>
        <w:spacing w:after="0"/>
        <w:tabs>
          <w:tab w:leader="none" w:pos="17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decide all other matters that must be determined in connection with an Award; and</w:t>
      </w:r>
    </w:p>
    <w:p>
      <w:pPr>
        <w:spacing w:after="0" w:line="254" w:lineRule="exact"/>
        <w:rPr>
          <w:rFonts w:ascii="Times New Roman" w:cs="Times New Roman" w:eastAsia="Times New Roman" w:hAnsi="Times New Roman"/>
          <w:sz w:val="18"/>
          <w:szCs w:val="18"/>
          <w:color w:val="auto"/>
        </w:rPr>
      </w:pPr>
    </w:p>
    <w:p>
      <w:pPr>
        <w:ind w:left="1800" w:hanging="528"/>
        <w:spacing w:after="0"/>
        <w:tabs>
          <w:tab w:leader="none" w:pos="18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otherwise administer this Plan.</w:t>
      </w:r>
    </w:p>
    <w:p>
      <w:pPr>
        <w:spacing w:after="0" w:line="265" w:lineRule="exact"/>
        <w:rPr>
          <w:rFonts w:ascii="Times New Roman" w:cs="Times New Roman" w:eastAsia="Times New Roman" w:hAnsi="Times New Roman"/>
          <w:sz w:val="18"/>
          <w:szCs w:val="18"/>
          <w:color w:val="auto"/>
        </w:rPr>
      </w:pPr>
    </w:p>
    <w:p>
      <w:pPr>
        <w:ind w:left="1020" w:hanging="381"/>
        <w:spacing w:after="0"/>
        <w:tabs>
          <w:tab w:leader="none" w:pos="10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Procedures</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i w:val="1"/>
          <w:iCs w:val="1"/>
          <w:color w:val="auto"/>
        </w:rPr>
      </w:pPr>
    </w:p>
    <w:p>
      <w:pPr>
        <w:jc w:val="both"/>
        <w:ind w:left="1280" w:hanging="8"/>
        <w:spacing w:after="0" w:line="280" w:lineRule="auto"/>
        <w:tabs>
          <w:tab w:leader="none" w:pos="162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act only by a majority of its members then in office, except that the Committee may, except to the extent prohibited by applicable law or the listing standards of the Applicable Exchange and subject to Section 11, allocate all or any portion of its responsibilities and powers to any one or more of its</w:t>
      </w:r>
    </w:p>
    <w:p>
      <w:pPr>
        <w:sectPr>
          <w:pgSz w:w="11900" w:h="16838" w:orient="portrait"/>
          <w:cols w:equalWidth="0" w:num="1">
            <w:col w:w="11240"/>
          </w:cols>
          <w:pgMar w:left="320" w:top="343" w:right="339" w:bottom="1440" w:gutter="0" w:footer="0" w:header="0"/>
        </w:sectPr>
      </w:pPr>
    </w:p>
    <w:bookmarkStart w:id="61" w:name="page62"/>
    <w:bookmarkEnd w:id="61"/>
    <w:p>
      <w:pPr>
        <w:ind w:left="1280"/>
        <w:spacing w:after="0" w:line="285" w:lineRule="auto"/>
        <w:rPr>
          <w:sz w:val="20"/>
          <w:szCs w:val="20"/>
          <w:color w:val="auto"/>
        </w:rPr>
      </w:pPr>
      <w:r>
        <w:rPr>
          <w:rFonts w:ascii="Times New Roman" w:cs="Times New Roman" w:eastAsia="Times New Roman" w:hAnsi="Times New Roman"/>
          <w:sz w:val="18"/>
          <w:szCs w:val="18"/>
          <w:color w:val="auto"/>
        </w:rPr>
        <w:t>members and may (to the extent permitted by applicable law) delegate all or any part of its responsibilities and powers to any person or persons selected by it. Any such allocation or delegation may be revoked by the Committee at any time.</w:t>
      </w:r>
    </w:p>
    <w:p>
      <w:pPr>
        <w:spacing w:after="0" w:line="194" w:lineRule="exact"/>
        <w:rPr>
          <w:sz w:val="20"/>
          <w:szCs w:val="20"/>
          <w:color w:val="auto"/>
        </w:rPr>
      </w:pPr>
    </w:p>
    <w:p>
      <w:pPr>
        <w:ind w:left="1280" w:hanging="8"/>
        <w:spacing w:after="0" w:line="300" w:lineRule="auto"/>
        <w:tabs>
          <w:tab w:leader="none" w:pos="170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12(c), any authority granted to the Committee may be exercised by the full Board. To the extent that any permitted action taken by the Board conflicts with action taken by the Committee, the Board action shall control.</w:t>
      </w:r>
    </w:p>
    <w:p>
      <w:pPr>
        <w:spacing w:after="0" w:line="179" w:lineRule="exact"/>
        <w:rPr>
          <w:rFonts w:ascii="Times New Roman" w:cs="Times New Roman" w:eastAsia="Times New Roman" w:hAnsi="Times New Roman"/>
          <w:sz w:val="18"/>
          <w:szCs w:val="18"/>
          <w:color w:val="auto"/>
        </w:rPr>
      </w:pPr>
    </w:p>
    <w:p>
      <w:pPr>
        <w:jc w:val="both"/>
        <w:ind w:firstLine="639"/>
        <w:spacing w:after="0" w:line="318" w:lineRule="auto"/>
        <w:tabs>
          <w:tab w:leader="none" w:pos="1109" w:val="left"/>
        </w:tabs>
        <w:numPr>
          <w:ilvl w:val="0"/>
          <w:numId w:val="4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Discretion of Committee</w:t>
      </w:r>
      <w:r>
        <w:rPr>
          <w:rFonts w:ascii="Times New Roman" w:cs="Times New Roman" w:eastAsia="Times New Roman" w:hAnsi="Times New Roman"/>
          <w:sz w:val="16"/>
          <w:szCs w:val="16"/>
          <w:color w:val="auto"/>
        </w:rPr>
        <w:t>. Subject to Section 1(i), any determination made by the Committee or pursuant to delegated authority under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provisions of this Plan with respect to any Award shall be made in the sole discretion of the Committee or such delegate at the time of the grant of the Award or, unless in contravention of any express term of this Plan, at any time thereafter. All decisions made by the Committee or any appropriately delegated officer pursuant to the provisions of this Plan shall be final, binding and conclusive on all persons, including the Company, Participants and Eligible Individuals.</w:t>
      </w:r>
    </w:p>
    <w:p>
      <w:pPr>
        <w:spacing w:after="0" w:line="172" w:lineRule="exact"/>
        <w:rPr>
          <w:rFonts w:ascii="Times New Roman" w:cs="Times New Roman" w:eastAsia="Times New Roman" w:hAnsi="Times New Roman"/>
          <w:sz w:val="16"/>
          <w:szCs w:val="16"/>
          <w:i w:val="1"/>
          <w:iCs w:val="1"/>
          <w:color w:val="auto"/>
        </w:rPr>
      </w:pPr>
    </w:p>
    <w:p>
      <w:pPr>
        <w:ind w:left="1020" w:hanging="381"/>
        <w:spacing w:after="0"/>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Cancellation or Suspension</w:t>
      </w:r>
      <w:r>
        <w:rPr>
          <w:rFonts w:ascii="Times New Roman" w:cs="Times New Roman" w:eastAsia="Times New Roman" w:hAnsi="Times New Roman"/>
          <w:sz w:val="18"/>
          <w:szCs w:val="18"/>
          <w:color w:val="auto"/>
        </w:rPr>
        <w:t>. Subject to Section 5(d), the Committee shall have full power and authority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 whether, to what extent and under what circumstances any Award shall be canceled or suspended.</w:t>
      </w:r>
    </w:p>
    <w:p>
      <w:pPr>
        <w:spacing w:after="0" w:line="253" w:lineRule="exact"/>
        <w:rPr>
          <w:sz w:val="20"/>
          <w:szCs w:val="20"/>
          <w:color w:val="auto"/>
        </w:rPr>
      </w:pPr>
    </w:p>
    <w:p>
      <w:pPr>
        <w:jc w:val="both"/>
        <w:ind w:firstLine="639"/>
        <w:spacing w:after="0" w:line="270" w:lineRule="auto"/>
        <w:tabs>
          <w:tab w:leader="none" w:pos="1064"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Award Agreements</w:t>
      </w:r>
      <w:r>
        <w:rPr>
          <w:rFonts w:ascii="Times New Roman" w:cs="Times New Roman" w:eastAsia="Times New Roman" w:hAnsi="Times New Roman"/>
          <w:sz w:val="18"/>
          <w:szCs w:val="18"/>
          <w:color w:val="auto"/>
        </w:rPr>
        <w:t>. The terms and conditions of each Award, as determined by the Committee, shall be set forth in a written (or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Award Agreement, which shall be delivered to the Participant receiving such Award upon, or as promptly as is reasonably practicable following, the grant of such Award;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terms of a Cash-Based Award may, but are not required to, be set forth in an Award Agreement. The effectiveness of an Award shall be subject to the Award Agreement being signed by the Company and the Participant receiving the Award unless otherwise provided in the Award Agreement. Award Agreements may be amended only in accordance with Section 13(d) hereof.</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6"/>
          <w:szCs w:val="16"/>
          <w:b w:val="1"/>
          <w:bCs w:val="1"/>
          <w:color w:val="auto"/>
        </w:rPr>
        <w:t>Common Stock Subject to Plan</w:t>
      </w:r>
    </w:p>
    <w:p>
      <w:pPr>
        <w:spacing w:after="0" w:line="255" w:lineRule="exact"/>
        <w:rPr>
          <w:sz w:val="20"/>
          <w:szCs w:val="20"/>
          <w:color w:val="auto"/>
        </w:rPr>
      </w:pPr>
    </w:p>
    <w:p>
      <w:pPr>
        <w:jc w:val="both"/>
        <w:ind w:firstLine="639"/>
        <w:spacing w:after="0" w:line="274" w:lineRule="auto"/>
        <w:tabs>
          <w:tab w:leader="none" w:pos="1066"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Plan Maximums</w:t>
      </w:r>
      <w:r>
        <w:rPr>
          <w:rFonts w:ascii="Times New Roman" w:cs="Times New Roman" w:eastAsia="Times New Roman" w:hAnsi="Times New Roman"/>
          <w:sz w:val="18"/>
          <w:szCs w:val="18"/>
          <w:color w:val="auto"/>
        </w:rPr>
        <w:t>. The maximum number of Shares that may be granted pursuant to Awards under this Plan shall be 8,250,000 Shares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includes, for the avoidance of doubt the number of Shares subject to outstanding awards and otherwise available for issuance under the Prior Plan). The maximum number of Shares that may be granted pursuant to Stock Options intended to be Incentive Stock Options shall be 6,000,000 Shares. Shares subject to an Award under this Plan may be authorized and unissued Shares.</w:t>
      </w:r>
    </w:p>
    <w:p>
      <w:pPr>
        <w:spacing w:after="0" w:line="202" w:lineRule="exact"/>
        <w:rPr>
          <w:rFonts w:ascii="Times New Roman" w:cs="Times New Roman" w:eastAsia="Times New Roman" w:hAnsi="Times New Roman"/>
          <w:sz w:val="18"/>
          <w:szCs w:val="18"/>
          <w:i w:val="1"/>
          <w:iCs w:val="1"/>
          <w:color w:val="auto"/>
        </w:rPr>
      </w:pPr>
    </w:p>
    <w:p>
      <w:pPr>
        <w:ind w:left="1020" w:hanging="381"/>
        <w:spacing w:after="0"/>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Individual Limits</w:t>
      </w:r>
      <w:r>
        <w:rPr>
          <w:rFonts w:ascii="Times New Roman" w:cs="Times New Roman" w:eastAsia="Times New Roman" w:hAnsi="Times New Roman"/>
          <w:sz w:val="18"/>
          <w:szCs w:val="18"/>
          <w:color w:val="auto"/>
        </w:rPr>
        <w:t>.</w:t>
      </w:r>
    </w:p>
    <w:p>
      <w:pPr>
        <w:spacing w:after="0" w:line="269" w:lineRule="exact"/>
        <w:rPr>
          <w:rFonts w:ascii="Times New Roman" w:cs="Times New Roman" w:eastAsia="Times New Roman" w:hAnsi="Times New Roman"/>
          <w:sz w:val="18"/>
          <w:szCs w:val="18"/>
          <w:i w:val="1"/>
          <w:iCs w:val="1"/>
          <w:color w:val="auto"/>
        </w:rPr>
      </w:pPr>
    </w:p>
    <w:p>
      <w:pPr>
        <w:jc w:val="both"/>
        <w:ind w:left="1280" w:hanging="8"/>
        <w:spacing w:after="0" w:line="272" w:lineRule="auto"/>
        <w:tabs>
          <w:tab w:leader="none" w:pos="170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may be granted Performance Units (other than Stock Options and Stock Appreciation Rights) covering in excess of 1,000,000 Shares during any calendar year. No Participant may be granted Stock Options and Stock Appreciation Rights covering in excess of 1,000,000 Shares during any calendar year.</w:t>
      </w:r>
    </w:p>
    <w:p>
      <w:pPr>
        <w:spacing w:after="0" w:line="219" w:lineRule="exact"/>
        <w:rPr>
          <w:rFonts w:ascii="Times New Roman" w:cs="Times New Roman" w:eastAsia="Times New Roman" w:hAnsi="Times New Roman"/>
          <w:sz w:val="18"/>
          <w:szCs w:val="18"/>
          <w:color w:val="auto"/>
        </w:rPr>
      </w:pPr>
    </w:p>
    <w:p>
      <w:pPr>
        <w:jc w:val="both"/>
        <w:ind w:left="1280" w:hanging="8"/>
        <w:spacing w:after="0" w:line="268" w:lineRule="auto"/>
        <w:tabs>
          <w:tab w:leader="none" w:pos="168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given calendar year, no Participant who is a non-employee member of the Board may be granted Awards (other than Cash-Based Awards) with a value in excess of $600,000 in respect of such Board service. For purposes of this Section 3(b)(ii), the value of an Option or Stock Appreciation right shall be determined in accordance with the Black-Scholes or other pricing model used to determine Option values in the Company’s most recent report on Form 10-K and the value of any Award of Restricted Stock, Restricted Stock Units or Performance Units or Other Stock-Based Awards shall be determined based on the Fair Market Value of the underlying Shares on the grant date of the Award.</w:t>
      </w:r>
    </w:p>
    <w:p>
      <w:pPr>
        <w:spacing w:after="0" w:line="220" w:lineRule="exact"/>
        <w:rPr>
          <w:rFonts w:ascii="Times New Roman" w:cs="Times New Roman" w:eastAsia="Times New Roman" w:hAnsi="Times New Roman"/>
          <w:sz w:val="18"/>
          <w:szCs w:val="18"/>
          <w:color w:val="auto"/>
        </w:rPr>
      </w:pPr>
    </w:p>
    <w:p>
      <w:pPr>
        <w:jc w:val="both"/>
        <w:ind w:firstLine="639"/>
        <w:spacing w:after="0" w:line="318" w:lineRule="auto"/>
        <w:tabs>
          <w:tab w:leader="none" w:pos="1010" w:val="left"/>
        </w:tabs>
        <w:numPr>
          <w:ilvl w:val="0"/>
          <w:numId w:val="5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Rules for Calculating Shares Delivered. </w:t>
      </w:r>
      <w:r>
        <w:rPr>
          <w:rFonts w:ascii="Times New Roman" w:cs="Times New Roman" w:eastAsia="Times New Roman" w:hAnsi="Times New Roman"/>
          <w:sz w:val="16"/>
          <w:szCs w:val="16"/>
          <w:color w:val="auto"/>
        </w:rPr>
        <w:t>To the extent that any Award is forfeited, terminates, expires or lapses instead of being exercised, or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Award is settled for cash, the Shares subject to such Awards not delivered as a result thereof shall again be available for Awards under this Plan. If the tax withholding obligations relating to any Award are satisfied by delivering Shares (either actually or through a signed document affirming the Participant’s ownership and delivery of such Shares) or withholding Shares relating to such Award, the net number of Shares subject to the Award after payment of</w:t>
      </w:r>
    </w:p>
    <w:p>
      <w:pPr>
        <w:sectPr>
          <w:pgSz w:w="11900" w:h="16838" w:orient="portrait"/>
          <w:cols w:equalWidth="0" w:num="1">
            <w:col w:w="11240"/>
          </w:cols>
          <w:pgMar w:left="320" w:top="116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tax withholding obligations shall be deemed to have been granted for purposes of the first sentence of Section 3(a), and the number of Shares delivered or withheld to satisfy the tax withholding obligations shall again be available for Awards under the Plan. If any Shares subject to a Stock Option or Stock Appreciation Right are not delivered to a Participant because the Stock Option or Stock Appreciation Right is exercised through a reduction of Shares subject to the Award (i.e., “net exercised”), the number of Shares that are not delivered to the Participant shall no longer be available for issuance under the Plan. If any Shares are reacquired by the Company as consideration for the exercise of a Stock Option or a Stock Appreciation Right, such Shares shall no longer be available for issuance under the Plan.</w:t>
      </w:r>
    </w:p>
    <w:p>
      <w:pPr>
        <w:spacing w:after="0" w:line="220" w:lineRule="exact"/>
        <w:rPr>
          <w:sz w:val="20"/>
          <w:szCs w:val="20"/>
          <w:color w:val="auto"/>
        </w:rPr>
      </w:pPr>
    </w:p>
    <w:p>
      <w:pPr>
        <w:ind w:left="1020" w:hanging="381"/>
        <w:spacing w:after="0"/>
        <w:tabs>
          <w:tab w:leader="none" w:pos="10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Adjustment Provisions</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i w:val="1"/>
          <w:iCs w:val="1"/>
          <w:color w:val="auto"/>
        </w:rPr>
      </w:pPr>
    </w:p>
    <w:p>
      <w:pPr>
        <w:jc w:val="both"/>
        <w:ind w:left="1280" w:hanging="8"/>
        <w:spacing w:after="0" w:line="267" w:lineRule="auto"/>
        <w:tabs>
          <w:tab w:leader="none" w:pos="163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merger, consolidation, acquisition of property or shares, stock rights offering, liquidation, disposition for consideration of the Company’s direct or indirect ownership of a Subsidiary or Affiliate (including by reason of a Disaffiliation), or similar event affecting the Company or any of its Subsidiaries (each, a “</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the Committee or the Board may in its discretion make such substitutions or adjustments as it deems appropriate and equitable to (i) the aggregate number and kind of Shares or other securities reserved for issuance and delivery under this Plan, (ii) the various maximum limitations set forth in Sections 3(a) and 3(b) upon certain types of Awards and upon the grants to individuals of certain types of Awards, (iii) the number of Shares considered delivered based on the type of Award granted as set forth in Section 3(c), (iv) the number and kind of Shares or other securities subject to outstanding Awards; (v) the Performance Goals applicable to outstanding Awards; and (vi) the exercise price of outstanding Awards.</w:t>
      </w:r>
    </w:p>
    <w:p>
      <w:pPr>
        <w:spacing w:after="0" w:line="228" w:lineRule="exact"/>
        <w:rPr>
          <w:rFonts w:ascii="Times New Roman" w:cs="Times New Roman" w:eastAsia="Times New Roman" w:hAnsi="Times New Roman"/>
          <w:sz w:val="18"/>
          <w:szCs w:val="18"/>
          <w:color w:val="auto"/>
        </w:rPr>
      </w:pPr>
    </w:p>
    <w:p>
      <w:pPr>
        <w:jc w:val="both"/>
        <w:ind w:left="1280" w:hanging="8"/>
        <w:spacing w:after="0" w:line="307" w:lineRule="auto"/>
        <w:tabs>
          <w:tab w:leader="none" w:pos="1707"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stock dividend, stock split, reverse stock split, reorganization, share combination, or recapitalization or similar event affecting the capital structure of the Company, or a Disaffiliation, separation or spinoff, in each case without consideration, or other extraordinary dividend of cash or other property to the Company’s shareholders, the Committee or the Board shall make such substitutions or adjustments as it deems appropriate and equitable to (A) the aggregate number and kind of Shares or other securities reserved for issuance and delivery under this Plan, (B) the various maximum limitations set forth in Sections 3(a) and 3(b) upon certain types of Awards and upon the grants to individuals of certain types of Awards, (C) the number and kind of Shares or other securities subject to outstanding Awards; (D) the Performance Goals applicable to outstanding Awards; and (E) the exercise price of outstanding Awards.</w:t>
      </w:r>
    </w:p>
    <w:p>
      <w:pPr>
        <w:spacing w:after="0" w:line="185" w:lineRule="exact"/>
        <w:rPr>
          <w:rFonts w:ascii="Times New Roman" w:cs="Times New Roman" w:eastAsia="Times New Roman" w:hAnsi="Times New Roman"/>
          <w:sz w:val="16"/>
          <w:szCs w:val="16"/>
          <w:color w:val="auto"/>
        </w:rPr>
      </w:pPr>
    </w:p>
    <w:p>
      <w:pPr>
        <w:jc w:val="both"/>
        <w:ind w:left="1280" w:hanging="8"/>
        <w:spacing w:after="0" w:line="267" w:lineRule="auto"/>
        <w:tabs>
          <w:tab w:leader="none" w:pos="173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Corporate Transactions, such adjustments may include, without limitation, (1)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shareholders of Common Stock receive consideration other than publicly traded equity securities of the ultimate surviving entity, any such determination by the Committee that the value of a Stock Option or Stock Appreciation Right shall for this purpose be deemed to equal the excess, if any, of the value (as determined by the Board) of the consideration being paid for each Share pursuant to such Corporate Transaction over the exercise price of such Stock Option or Stock Appreciation Right shall conclusively be deemed valid); (2) the substitution of other property (including, without limitation, cash or other securities of the Company and securities of entities other than the Company) for the Shares subject to outstanding Awards; and (3) in connection with any Disaffiliation, arranging for the assumption of Awards, or replacement of Awards with new awards based on other property or other securities (including, without limitation,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 The Committee may adjust the Performance Goals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w:t>
      </w:r>
    </w:p>
    <w:p>
      <w:pPr>
        <w:sectPr>
          <w:pgSz w:w="11900" w:h="16838" w:orient="portrait"/>
          <w:cols w:equalWidth="0" w:num="1">
            <w:col w:w="11240"/>
          </w:cols>
          <w:pgMar w:left="320" w:top="343" w:right="339" w:bottom="1440" w:gutter="0" w:footer="0" w:header="0"/>
        </w:sectPr>
      </w:pPr>
    </w:p>
    <w:bookmarkStart w:id="63" w:name="page64"/>
    <w:bookmarkEnd w:id="63"/>
    <w:p>
      <w:pPr>
        <w:ind w:left="1280"/>
        <w:spacing w:after="0" w:line="285" w:lineRule="auto"/>
        <w:rPr>
          <w:sz w:val="20"/>
          <w:szCs w:val="20"/>
          <w:color w:val="auto"/>
        </w:rPr>
      </w:pPr>
      <w:r>
        <w:rPr>
          <w:rFonts w:ascii="Times New Roman" w:cs="Times New Roman" w:eastAsia="Times New Roman" w:hAnsi="Times New Roman"/>
          <w:sz w:val="18"/>
          <w:szCs w:val="18"/>
          <w:color w:val="auto"/>
        </w:rPr>
        <w:t>identified in the Company’s financial statements, notes to the financial statements, management’s discussion and analysis or other the Company’s filings with the Commission.</w:t>
      </w:r>
    </w:p>
    <w:p>
      <w:pPr>
        <w:spacing w:after="0" w:line="194" w:lineRule="exact"/>
        <w:rPr>
          <w:sz w:val="20"/>
          <w:szCs w:val="20"/>
          <w:color w:val="auto"/>
        </w:rPr>
      </w:pPr>
    </w:p>
    <w:p>
      <w:pPr>
        <w:jc w:val="both"/>
        <w:ind w:left="1280" w:hanging="8"/>
        <w:spacing w:after="0" w:line="273" w:lineRule="auto"/>
        <w:tabs>
          <w:tab w:leader="none" w:pos="176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adjustments made pursuant to this Section 3(d) to Awards that are considered “deferred compensation” within the meaning of Section 409A of the Code shall be made in compliance with the requirements of Section 409A of the Code; and (ii) any adjustments made pursuant to Section 3(d) to Awards that are not considered “deferred compensation” subject to Section 409A of the Code shall be made in such a manner as to ensure that after such adjustments, either (A) the Awards continue not to be subject to Section 409A of the Code or (B) there does not result in the imposition of any penalty taxes under Section 409A of the Code in respect of such Awards.</w:t>
      </w:r>
    </w:p>
    <w:p>
      <w:pPr>
        <w:spacing w:after="0" w:line="207" w:lineRule="exact"/>
        <w:rPr>
          <w:rFonts w:ascii="Times New Roman" w:cs="Times New Roman" w:eastAsia="Times New Roman" w:hAnsi="Times New Roman"/>
          <w:sz w:val="18"/>
          <w:szCs w:val="18"/>
          <w:color w:val="auto"/>
        </w:rPr>
      </w:pPr>
    </w:p>
    <w:p>
      <w:pPr>
        <w:ind w:left="1640" w:hanging="368"/>
        <w:spacing w:after="0"/>
        <w:tabs>
          <w:tab w:leader="none" w:pos="1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under this Section 3(d) need not be the same for all Participants.</w:t>
      </w:r>
    </w:p>
    <w:p>
      <w:pPr>
        <w:spacing w:after="0" w:line="25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6"/>
          <w:szCs w:val="16"/>
          <w:b w:val="1"/>
          <w:bCs w:val="1"/>
          <w:color w:val="auto"/>
        </w:rPr>
        <w:t>Awards</w:t>
      </w:r>
    </w:p>
    <w:p>
      <w:pPr>
        <w:spacing w:after="0" w:line="268" w:lineRule="exact"/>
        <w:rPr>
          <w:sz w:val="20"/>
          <w:szCs w:val="20"/>
          <w:color w:val="auto"/>
        </w:rPr>
      </w:pPr>
    </w:p>
    <w:p>
      <w:pPr>
        <w:ind w:left="1020" w:hanging="381"/>
        <w:spacing w:after="0"/>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Awards may be granted under this Plan to Eligible Individuals;</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Incentive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Options may be granted only to employees of the Company and its subsidiaries or parent corporation (within the meaning of Section 424(f) of the Code).</w:t>
      </w:r>
    </w:p>
    <w:p>
      <w:pPr>
        <w:spacing w:after="0" w:line="271" w:lineRule="exact"/>
        <w:rPr>
          <w:sz w:val="20"/>
          <w:szCs w:val="20"/>
          <w:color w:val="auto"/>
        </w:rPr>
      </w:pPr>
    </w:p>
    <w:p>
      <w:pPr>
        <w:ind w:left="1020" w:hanging="381"/>
        <w:spacing w:after="0"/>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Notwithstanding anything contained in this Plan to the contrary, Awards granted under the Plan (i)</w:t>
      </w:r>
    </w:p>
    <w:p>
      <w:pPr>
        <w:spacing w:after="0" w:line="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 xml:space="preserve">that vest based upon the continued service of the applicable Participant shall vest over a minimum service period of one year and (ii) that vest based on the attainment of Performance Goals shall vest over a minimum Performance Period of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the Committee may, in its discretion, determine that such restrictions may lapse (in whole or in part) in the event of a Participant’s death or disability or other termination of employment or services or upon a Change in Control and (y) up to 5% of the total number of Shares reserved for issuance under the Plan pursuant to Section 3(a) may be subject to Awards granted after the Restatement Effective Date which do not meet the preceding vesting or acceleration limitations.</w:t>
      </w:r>
    </w:p>
    <w:p>
      <w:pPr>
        <w:spacing w:after="0" w:line="205" w:lineRule="exact"/>
        <w:rPr>
          <w:sz w:val="20"/>
          <w:szCs w:val="20"/>
          <w:color w:val="auto"/>
        </w:rPr>
      </w:pPr>
    </w:p>
    <w:p>
      <w:pPr>
        <w:jc w:val="both"/>
        <w:ind w:firstLine="639"/>
        <w:spacing w:after="0" w:line="318" w:lineRule="auto"/>
        <w:tabs>
          <w:tab w:leader="none" w:pos="1030" w:val="left"/>
        </w:tabs>
        <w:numPr>
          <w:ilvl w:val="0"/>
          <w:numId w:val="5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Notwithstanding anything contained in this Plan to the contrary, no dividends (whether payable in cash or Common Stock) shall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paid in respect of an Award of Restricted Stock, Restricted Stock Units or Performance Units or Other Stock-Based Awards until the restrictions and risks of forfeiture applicable to the underlying Award (or portion thereof) have lapsed;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Committee may, in its sole discretion, provide that any such dividends may be accumulated and paid upon the date on which such restrictions or risks of forfeiture have lapsed in respect of the associated Award.</w:t>
      </w:r>
    </w:p>
    <w:p>
      <w:pPr>
        <w:spacing w:after="0" w:line="18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6"/>
          <w:szCs w:val="16"/>
          <w:b w:val="1"/>
          <w:bCs w:val="1"/>
          <w:color w:val="auto"/>
        </w:rPr>
        <w:t>Stock Options and Stock Appreciation Rights</w:t>
      </w:r>
    </w:p>
    <w:p>
      <w:pPr>
        <w:spacing w:after="0" w:line="255" w:lineRule="exact"/>
        <w:rPr>
          <w:sz w:val="20"/>
          <w:szCs w:val="20"/>
          <w:color w:val="auto"/>
        </w:rPr>
      </w:pPr>
    </w:p>
    <w:p>
      <w:pPr>
        <w:jc w:val="both"/>
        <w:ind w:firstLine="639"/>
        <w:spacing w:after="0" w:line="281" w:lineRule="auto"/>
        <w:tabs>
          <w:tab w:leader="none" w:pos="1059"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Types of Stock Options</w:t>
      </w:r>
      <w:r>
        <w:rPr>
          <w:rFonts w:ascii="Times New Roman" w:cs="Times New Roman" w:eastAsia="Times New Roman" w:hAnsi="Times New Roman"/>
          <w:sz w:val="18"/>
          <w:szCs w:val="18"/>
          <w:color w:val="auto"/>
        </w:rPr>
        <w:t>. Stock Options may be granted alone or in addition to other Awards granted under this Plan and may be of two types: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Stock Options and Nonqualified Stock Options. The Award Agreement for a Stock Option shall indicate whether the Stock Option is intended to be an Incentive Stock Option or a Nonqualified Stock Option.</w:t>
      </w:r>
    </w:p>
    <w:p>
      <w:pPr>
        <w:spacing w:after="0" w:line="196" w:lineRule="exact"/>
        <w:rPr>
          <w:rFonts w:ascii="Times New Roman" w:cs="Times New Roman" w:eastAsia="Times New Roman" w:hAnsi="Times New Roman"/>
          <w:sz w:val="18"/>
          <w:szCs w:val="18"/>
          <w:i w:val="1"/>
          <w:iCs w:val="1"/>
          <w:color w:val="auto"/>
        </w:rPr>
      </w:pPr>
    </w:p>
    <w:p>
      <w:pPr>
        <w:jc w:val="both"/>
        <w:ind w:firstLine="639"/>
        <w:spacing w:after="0" w:line="271" w:lineRule="auto"/>
        <w:tabs>
          <w:tab w:leader="none" w:pos="1066"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Types and Nature of Stock Appreciation Rights</w:t>
      </w:r>
      <w:r>
        <w:rPr>
          <w:rFonts w:ascii="Times New Roman" w:cs="Times New Roman" w:eastAsia="Times New Roman" w:hAnsi="Times New Roman"/>
          <w:sz w:val="18"/>
          <w:szCs w:val="18"/>
          <w:color w:val="auto"/>
        </w:rPr>
        <w:t>. Stock Appreciation Rights may be “Tandem SARs,” which are granted in conjunction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 or “Free-Standing SARs,” which are not granted in conjunction with a Stock Option. Upon the exercise of a Stock Appreciation Right, the Participant shall be entitled to receive an amount in cash, Shares, or both, in value equal to the product of (i) the excess of the Fair Market Value of one Share over the exercise price of the applicable Stock Appreciation Right, multiplied by (ii) the number of Shares in respect of which the Stock Appreciation Right has been exercised. The applicable Award Agreement shall specify whether such payment is to be made in cash or Common Stock or both, or shall reserve to the Committee or the Participant the right to make that determination prior to or upon the exercise of the Stock Appreciation Right.</w:t>
      </w:r>
    </w:p>
    <w:p>
      <w:pPr>
        <w:sectPr>
          <w:pgSz w:w="11900" w:h="16838" w:orient="portrait"/>
          <w:cols w:equalWidth="0" w:num="1">
            <w:col w:w="11240"/>
          </w:cols>
          <w:pgMar w:left="320" w:top="1163"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39"/>
        <w:spacing w:after="0" w:line="274" w:lineRule="auto"/>
        <w:tabs>
          <w:tab w:leader="none" w:pos="1025"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Tandem SARs</w:t>
      </w:r>
      <w:r>
        <w:rPr>
          <w:rFonts w:ascii="Times New Roman" w:cs="Times New Roman" w:eastAsia="Times New Roman" w:hAnsi="Times New Roman"/>
          <w:sz w:val="18"/>
          <w:szCs w:val="18"/>
          <w:color w:val="auto"/>
        </w:rPr>
        <w:t>. A Tandem SAR may be granted at the Grant Date of the related Stock Option. A Tandem SAR shall be exercisable only 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or times and to the extent that the related Stock Option is exercisable in accordance with the provisions of this Section 5, and shall have the same exercise price as the related Stock Option. A Tandem SAR shall terminate or be forfeited upon the exercise or forfeiture of the related Stock Option, and the related Stock Option shall terminate or be forfeited upon the exercise or forfeiture of the Tandem SAR.</w:t>
      </w:r>
    </w:p>
    <w:p>
      <w:pPr>
        <w:spacing w:after="0" w:line="202" w:lineRule="exact"/>
        <w:rPr>
          <w:rFonts w:ascii="Times New Roman" w:cs="Times New Roman" w:eastAsia="Times New Roman" w:hAnsi="Times New Roman"/>
          <w:sz w:val="18"/>
          <w:szCs w:val="18"/>
          <w:i w:val="1"/>
          <w:iCs w:val="1"/>
          <w:color w:val="auto"/>
        </w:rPr>
      </w:pPr>
    </w:p>
    <w:p>
      <w:pPr>
        <w:jc w:val="both"/>
        <w:ind w:firstLine="639"/>
        <w:spacing w:after="0" w:line="311" w:lineRule="auto"/>
        <w:tabs>
          <w:tab w:leader="none" w:pos="1014" w:val="left"/>
        </w:tabs>
        <w:numPr>
          <w:ilvl w:val="0"/>
          <w:numId w:val="5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Exercise Price</w:t>
      </w:r>
      <w:r>
        <w:rPr>
          <w:rFonts w:ascii="Times New Roman" w:cs="Times New Roman" w:eastAsia="Times New Roman" w:hAnsi="Times New Roman"/>
          <w:sz w:val="16"/>
          <w:szCs w:val="16"/>
          <w:color w:val="auto"/>
        </w:rPr>
        <w:t>. The exercise price per Share subject to a Stock Option or Free-Standing SAR shall be determined by the Committee and set forth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the applicable Award Agreement, and shall not be less than the Fair Market Value of a share of the Common Stock on the applicable Grant Date. In no event may any Stock Option or Stock Appreciation Right granted under this Plan be amended, other than pursuant to Section 3(d), to decrease the exercise price thereof, be canceled in exchange for cash or other Awards or in conjunction with the grant of any new Stock Option or Free-Standing SAR with a lower exercise price, or otherwise be subject to any action that would be treated, under the Applicable Exchange listing standards or for accounting purposes, as a “repricing” of such Stock Option or Free-Standing SAR, unless such amendment, cancellation, or action is approved by the Company’s shareholders.</w:t>
      </w:r>
    </w:p>
    <w:p>
      <w:pPr>
        <w:spacing w:after="0" w:line="178" w:lineRule="exact"/>
        <w:rPr>
          <w:rFonts w:ascii="Times New Roman" w:cs="Times New Roman" w:eastAsia="Times New Roman" w:hAnsi="Times New Roman"/>
          <w:sz w:val="16"/>
          <w:szCs w:val="16"/>
          <w:i w:val="1"/>
          <w:iCs w:val="1"/>
          <w:color w:val="auto"/>
        </w:rPr>
      </w:pPr>
    </w:p>
    <w:p>
      <w:pPr>
        <w:ind w:firstLine="639"/>
        <w:spacing w:after="0" w:line="287" w:lineRule="auto"/>
        <w:tabs>
          <w:tab w:leader="none" w:pos="1004"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The Term of each Stock Option and each Free-Standing SAR shall be fixed by the Committee, but no Stock Option or Free-Standing 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exercisable more than 10 years after its Grant Date.</w:t>
      </w:r>
    </w:p>
    <w:p>
      <w:pPr>
        <w:spacing w:after="0" w:line="203" w:lineRule="exact"/>
        <w:rPr>
          <w:rFonts w:ascii="Times New Roman" w:cs="Times New Roman" w:eastAsia="Times New Roman" w:hAnsi="Times New Roman"/>
          <w:sz w:val="18"/>
          <w:szCs w:val="18"/>
          <w:i w:val="1"/>
          <w:iCs w:val="1"/>
          <w:color w:val="auto"/>
        </w:rPr>
      </w:pPr>
    </w:p>
    <w:p>
      <w:pPr>
        <w:ind w:firstLine="639"/>
        <w:spacing w:after="0" w:line="287" w:lineRule="auto"/>
        <w:tabs>
          <w:tab w:leader="none" w:pos="1067"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Except as otherwise provided herein, Stock Options and Free-Standing SARs shall be exercisable at such time or times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such terms and conditions as shall be determined by the Committee.</w:t>
      </w:r>
    </w:p>
    <w:p>
      <w:pPr>
        <w:spacing w:after="0" w:line="190" w:lineRule="exact"/>
        <w:rPr>
          <w:rFonts w:ascii="Times New Roman" w:cs="Times New Roman" w:eastAsia="Times New Roman" w:hAnsi="Times New Roman"/>
          <w:sz w:val="18"/>
          <w:szCs w:val="18"/>
          <w:i w:val="1"/>
          <w:iCs w:val="1"/>
          <w:color w:val="auto"/>
        </w:rPr>
      </w:pPr>
    </w:p>
    <w:p>
      <w:pPr>
        <w:jc w:val="both"/>
        <w:ind w:firstLine="639"/>
        <w:spacing w:after="0" w:line="281" w:lineRule="auto"/>
        <w:tabs>
          <w:tab w:leader="none" w:pos="1023"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Method of Exercise</w:t>
      </w:r>
      <w:r>
        <w:rPr>
          <w:rFonts w:ascii="Times New Roman" w:cs="Times New Roman" w:eastAsia="Times New Roman" w:hAnsi="Times New Roman"/>
          <w:sz w:val="18"/>
          <w:szCs w:val="18"/>
          <w:color w:val="auto"/>
        </w:rPr>
        <w:t>. Subject to the provisions of this Section 5, Stock Options and Free-Standing SARs may be exercised, in whole or in part,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time during the Term thereof by giving written notice of exercise to the Company specifying the number of shares of Common Stock subject to the Stock Option or Free-Standing SAR to be purchased.</w:t>
      </w:r>
    </w:p>
    <w:p>
      <w:pPr>
        <w:spacing w:after="0" w:line="198" w:lineRule="exact"/>
        <w:rPr>
          <w:sz w:val="20"/>
          <w:szCs w:val="20"/>
          <w:color w:val="auto"/>
        </w:rPr>
      </w:pPr>
    </w:p>
    <w:p>
      <w:pPr>
        <w:jc w:val="both"/>
        <w:ind w:firstLine="1266"/>
        <w:spacing w:after="0" w:line="273" w:lineRule="auto"/>
        <w:rPr>
          <w:sz w:val="20"/>
          <w:szCs w:val="20"/>
          <w:color w:val="auto"/>
        </w:rPr>
      </w:pPr>
      <w:r>
        <w:rPr>
          <w:rFonts w:ascii="Times New Roman" w:cs="Times New Roman" w:eastAsia="Times New Roman" w:hAnsi="Times New Roman"/>
          <w:sz w:val="18"/>
          <w:szCs w:val="18"/>
          <w:color w:val="auto"/>
        </w:rPr>
        <w:t>In the case of the exercise of a Stock Option, such notice shall be accompanied by payment in full of the aggregate purchase price (which shall equal the product of such number of Shares subject to such Stock Options multiplied by the applicable exercise price) per Share by certified or bank check, wire transfer, or such other instrument or method as the Company may accept. If provided for in the applicable Award Agreement as approved by the Committee, payment in full or in part may also be made as follows:</w:t>
      </w:r>
    </w:p>
    <w:p>
      <w:pPr>
        <w:spacing w:after="0" w:line="219" w:lineRule="exact"/>
        <w:rPr>
          <w:sz w:val="20"/>
          <w:szCs w:val="20"/>
          <w:color w:val="auto"/>
        </w:rPr>
      </w:pPr>
    </w:p>
    <w:p>
      <w:pPr>
        <w:jc w:val="both"/>
        <w:ind w:left="1280" w:hanging="8"/>
        <w:spacing w:after="0" w:line="270" w:lineRule="auto"/>
        <w:tabs>
          <w:tab w:leader="none" w:pos="165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form of unrestricted Common Stock (by delivery of such shares or by attestation) already owned by the Participant of the same class as the Common Stock subject to the Stock Option (based on the Fair Market Value of the Common Stock on the date the Stock Option is exercised);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an Incentive Stock Option, the Participant shall only have the right to make a payment in the form of already owned shares of Common Stock of the same class as the Common Stock subject to the Stock Option if such right is set forth in the applicable Award Agreement.</w:t>
      </w:r>
    </w:p>
    <w:p>
      <w:pPr>
        <w:spacing w:after="0" w:line="207" w:lineRule="exact"/>
        <w:rPr>
          <w:rFonts w:ascii="Times New Roman" w:cs="Times New Roman" w:eastAsia="Times New Roman" w:hAnsi="Times New Roman"/>
          <w:sz w:val="18"/>
          <w:szCs w:val="18"/>
          <w:color w:val="auto"/>
        </w:rPr>
      </w:pPr>
    </w:p>
    <w:p>
      <w:pPr>
        <w:jc w:val="both"/>
        <w:ind w:left="1280" w:hanging="8"/>
        <w:spacing w:after="0" w:line="273" w:lineRule="auto"/>
        <w:tabs>
          <w:tab w:leader="none" w:pos="170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by delivering a properly executed exercise notice to the Company, together with a copy of irrevocable instructions to a broker to deliver promptly to the Company the amount of sale necessary to pay the purchase price, and, if requested, by the amount of any federal, state, local or foreign withholding taxes. To facilitate the foregoing, the Company may, to the extent permitted by applicable law, enter into agreements for coordinated procedures with one or more brokerage firms.</w:t>
      </w:r>
    </w:p>
    <w:p>
      <w:pPr>
        <w:spacing w:after="0" w:line="218" w:lineRule="exact"/>
        <w:rPr>
          <w:rFonts w:ascii="Times New Roman" w:cs="Times New Roman" w:eastAsia="Times New Roman" w:hAnsi="Times New Roman"/>
          <w:sz w:val="18"/>
          <w:szCs w:val="18"/>
          <w:color w:val="auto"/>
        </w:rPr>
      </w:pPr>
    </w:p>
    <w:p>
      <w:pPr>
        <w:ind w:left="1720" w:hanging="448"/>
        <w:spacing w:after="0"/>
        <w:tabs>
          <w:tab w:leader="none" w:pos="1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instructing the Company to withhold a number of such shares having a Fair Market Value (based</w:t>
      </w:r>
    </w:p>
    <w:p>
      <w:pPr>
        <w:spacing w:after="0" w:line="2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on the Fair Market Value of the Common Stock on the date the applicable Stock Option is exercised) equal to the product of (A) the exercise price per Share multiplied by (B) the number of shares of Common Stock in respect of which the Stock Option shall have been exercised.</w:t>
      </w:r>
    </w:p>
    <w:p>
      <w:pPr>
        <w:spacing w:after="0" w:line="211" w:lineRule="exact"/>
        <w:rPr>
          <w:sz w:val="20"/>
          <w:szCs w:val="20"/>
          <w:color w:val="auto"/>
        </w:rPr>
      </w:pPr>
    </w:p>
    <w:p>
      <w:pPr>
        <w:jc w:val="both"/>
        <w:ind w:firstLine="639"/>
        <w:spacing w:after="0" w:line="273" w:lineRule="auto"/>
        <w:tabs>
          <w:tab w:leader="none" w:pos="1059"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Delivery; Rights of Shareholders</w:t>
      </w:r>
      <w:r>
        <w:rPr>
          <w:rFonts w:ascii="Times New Roman" w:cs="Times New Roman" w:eastAsia="Times New Roman" w:hAnsi="Times New Roman"/>
          <w:sz w:val="18"/>
          <w:szCs w:val="18"/>
          <w:color w:val="auto"/>
        </w:rPr>
        <w:t>. A Participant shall not be entitled to delivery of Shares pursuant to the exercise of a Stock Option or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 until the exercise price therefor has been fully paid and applicable taxes have been withheld. Except as otherwise provided in Section 5(l), a Participant shall have all of the rights of a shareholder of</w:t>
      </w:r>
    </w:p>
    <w:p>
      <w:pPr>
        <w:sectPr>
          <w:pgSz w:w="11900" w:h="16838" w:orient="portrait"/>
          <w:cols w:equalWidth="0" w:num="1">
            <w:col w:w="11240"/>
          </w:cols>
          <w:pgMar w:left="320" w:top="343" w:right="339" w:bottom="1440" w:gutter="0" w:footer="0" w:header="0"/>
        </w:sectPr>
      </w:pPr>
    </w:p>
    <w:bookmarkStart w:id="65" w:name="page66"/>
    <w:bookmarkEnd w:id="65"/>
    <w:p>
      <w:pPr>
        <w:jc w:val="both"/>
        <w:spacing w:after="0" w:line="272" w:lineRule="auto"/>
        <w:rPr>
          <w:sz w:val="20"/>
          <w:szCs w:val="20"/>
          <w:color w:val="auto"/>
        </w:rPr>
      </w:pPr>
      <w:r>
        <w:rPr>
          <w:rFonts w:ascii="Times New Roman" w:cs="Times New Roman" w:eastAsia="Times New Roman" w:hAnsi="Times New Roman"/>
          <w:sz w:val="18"/>
          <w:szCs w:val="18"/>
          <w:color w:val="auto"/>
        </w:rPr>
        <w:t>the Company holding the class or series of Common Stock that is subject to such Stock Option or Stock Appreciation Right (including, if applicable, the right to vote the applicable Shares), when the Participant (i) has given written notice of exercise, (ii) if requested, has given the representation described in Section 15(a) and (iii) in the case of a Stock Option, has paid in full for such Shares.</w:t>
      </w:r>
    </w:p>
    <w:p>
      <w:pPr>
        <w:spacing w:after="0" w:line="217" w:lineRule="exact"/>
        <w:rPr>
          <w:sz w:val="20"/>
          <w:szCs w:val="20"/>
          <w:color w:val="auto"/>
        </w:rPr>
      </w:pPr>
    </w:p>
    <w:p>
      <w:pPr>
        <w:jc w:val="both"/>
        <w:ind w:firstLine="639"/>
        <w:spacing w:after="0" w:line="268" w:lineRule="auto"/>
        <w:tabs>
          <w:tab w:leader="none" w:pos="984"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Nontransferability of Stock Options and Stock Appreciation Rights</w:t>
      </w:r>
      <w:r>
        <w:rPr>
          <w:rFonts w:ascii="Times New Roman" w:cs="Times New Roman" w:eastAsia="Times New Roman" w:hAnsi="Times New Roman"/>
          <w:sz w:val="18"/>
          <w:szCs w:val="18"/>
          <w:color w:val="auto"/>
        </w:rPr>
        <w:t>. No Stock Option or Free-Standing SAR shall be transferable by a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than, for no value or consideration, (i) by will or by the laws of descent and distribution; or (ii) in the case of a Nonqualified Stock Option or Free-Standing SAR, as otherwise expressly permitted by the Committee including, if so permitted, pursuant to a transfer to such Participant’s family members, whether directly or indirectly or by means of a trust or partnership or otherwise (for purposes of this Plan, unless otherwise determined by the Committee, “family member” shall have the meaning given to such term in General Instructions A.1(a)(5) to Form S-8 under the Securities Act of 1933, as amended, and any successor thereto). A Tandem SAR shall be transferable only with the related Stock Option as permitted by the preceding sentence. Any Stock Option or Stock Appreciation Right shall be exercisable, subject to the terms of this Plan, only by the Participant, the guardian or legal representative of the Participant, or any person to whom such Stock Option is transferred pursuant to this Section 5(i), it being understood that the term “holder” and “Participant” include such guardian, legal representative and other transferee;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term “Termination of Employment” shall continue to refer to the Termination of Employment of the original Participant.</w:t>
      </w:r>
    </w:p>
    <w:p>
      <w:pPr>
        <w:spacing w:after="0" w:line="207" w:lineRule="exact"/>
        <w:rPr>
          <w:rFonts w:ascii="Times New Roman" w:cs="Times New Roman" w:eastAsia="Times New Roman" w:hAnsi="Times New Roman"/>
          <w:sz w:val="18"/>
          <w:szCs w:val="18"/>
          <w:i w:val="1"/>
          <w:iCs w:val="1"/>
          <w:color w:val="auto"/>
        </w:rPr>
      </w:pPr>
    </w:p>
    <w:p>
      <w:pPr>
        <w:ind w:firstLine="639"/>
        <w:spacing w:after="0" w:line="287" w:lineRule="auto"/>
        <w:tabs>
          <w:tab w:leader="none" w:pos="1142"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Unless otherwise determined by the Committee or provided in the applicable Award Agreement, upon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Termination or Employment, his or her Stock Options and Stock Appreciation Rights shall be treated as set forth below:</w:t>
      </w:r>
    </w:p>
    <w:p>
      <w:pPr>
        <w:spacing w:after="0" w:line="203" w:lineRule="exact"/>
        <w:rPr>
          <w:rFonts w:ascii="Times New Roman" w:cs="Times New Roman" w:eastAsia="Times New Roman" w:hAnsi="Times New Roman"/>
          <w:sz w:val="18"/>
          <w:szCs w:val="18"/>
          <w:i w:val="1"/>
          <w:iCs w:val="1"/>
          <w:color w:val="auto"/>
        </w:rPr>
      </w:pPr>
    </w:p>
    <w:p>
      <w:pPr>
        <w:jc w:val="both"/>
        <w:ind w:left="1280" w:hanging="8"/>
        <w:spacing w:after="0" w:line="311" w:lineRule="auto"/>
        <w:tabs>
          <w:tab w:leader="none" w:pos="1668" w:val="left"/>
        </w:tabs>
        <w:numPr>
          <w:ilvl w:val="1"/>
          <w:numId w:val="6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Termination by Reason of Death</w:t>
      </w:r>
      <w:r>
        <w:rPr>
          <w:rFonts w:ascii="Times New Roman" w:cs="Times New Roman" w:eastAsia="Times New Roman" w:hAnsi="Times New Roman"/>
          <w:sz w:val="16"/>
          <w:szCs w:val="16"/>
          <w:color w:val="auto"/>
        </w:rPr>
        <w:t>. If a Participant incurs a Termination of Employment by reason of death, any Stock Option or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Appreciation Right held by such Participant shall immediately vest in full and may thereafter be exercised until the earlier of (A) the third anniversary of such Participant’s Termination of Employment and (B) the expiration of the stated full Term thereof. In the event of Termination of Employment by reason of death, if an Incentive Stock Option is exercised after the expiration of the post-termination exercise periods that apply for purposes of Section 422 of the Code, such Stock Option will thereafter be treated as a Nonqualified Stock Option.</w:t>
      </w:r>
    </w:p>
    <w:p>
      <w:pPr>
        <w:spacing w:after="0" w:line="179" w:lineRule="exact"/>
        <w:rPr>
          <w:rFonts w:ascii="Times New Roman" w:cs="Times New Roman" w:eastAsia="Times New Roman" w:hAnsi="Times New Roman"/>
          <w:sz w:val="16"/>
          <w:szCs w:val="16"/>
          <w:i w:val="1"/>
          <w:iCs w:val="1"/>
          <w:color w:val="auto"/>
        </w:rPr>
      </w:pPr>
    </w:p>
    <w:p>
      <w:pPr>
        <w:jc w:val="both"/>
        <w:ind w:left="1280" w:hanging="8"/>
        <w:spacing w:after="0" w:line="274" w:lineRule="auto"/>
        <w:tabs>
          <w:tab w:leader="none" w:pos="1690" w:val="left"/>
        </w:tabs>
        <w:numPr>
          <w:ilvl w:val="1"/>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Termination by Reason of Disability</w:t>
      </w:r>
      <w:r>
        <w:rPr>
          <w:rFonts w:ascii="Times New Roman" w:cs="Times New Roman" w:eastAsia="Times New Roman" w:hAnsi="Times New Roman"/>
          <w:sz w:val="18"/>
          <w:szCs w:val="18"/>
          <w:color w:val="auto"/>
        </w:rPr>
        <w:t>. If a Participant incurs a Termination of Employment by reason of Disability, any Stock Option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Appreciation Right held by such Participant shall immediately vest in full and may thereafter be exercised until the earlier of (A) the third anniversary of such Participant’s Termination of Employment and (B) the expiration of the stated full Term thereof. In the event of Termination of Employment by reason of Disability, if an Incentive Stock Option is exercised after the expiration of the exercise periods that apply for purposes of Section 422 of the Code, such Stock Option will thereafter be treated as a Nonqualified Stock Option.</w:t>
      </w:r>
    </w:p>
    <w:p>
      <w:pPr>
        <w:spacing w:after="0" w:line="203" w:lineRule="exact"/>
        <w:rPr>
          <w:rFonts w:ascii="Times New Roman" w:cs="Times New Roman" w:eastAsia="Times New Roman" w:hAnsi="Times New Roman"/>
          <w:sz w:val="18"/>
          <w:szCs w:val="18"/>
          <w:i w:val="1"/>
          <w:iCs w:val="1"/>
          <w:color w:val="auto"/>
        </w:rPr>
      </w:pPr>
    </w:p>
    <w:p>
      <w:pPr>
        <w:ind w:left="1280" w:hanging="8"/>
        <w:spacing w:after="0" w:line="287" w:lineRule="auto"/>
        <w:tabs>
          <w:tab w:leader="none" w:pos="1737" w:val="left"/>
        </w:tabs>
        <w:numPr>
          <w:ilvl w:val="1"/>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Termination by the Company for Cause</w:t>
      </w:r>
      <w:r>
        <w:rPr>
          <w:rFonts w:ascii="Times New Roman" w:cs="Times New Roman" w:eastAsia="Times New Roman" w:hAnsi="Times New Roman"/>
          <w:sz w:val="18"/>
          <w:szCs w:val="18"/>
          <w:color w:val="auto"/>
        </w:rPr>
        <w:t>. If a Participant incurs a Termination of Employment for Cause, any Stock Options and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held by such Participant, whether vested or unvested, shall thereupon terminate.</w:t>
      </w:r>
    </w:p>
    <w:p>
      <w:pPr>
        <w:spacing w:after="0" w:line="203" w:lineRule="exact"/>
        <w:rPr>
          <w:rFonts w:ascii="Times New Roman" w:cs="Times New Roman" w:eastAsia="Times New Roman" w:hAnsi="Times New Roman"/>
          <w:sz w:val="18"/>
          <w:szCs w:val="18"/>
          <w:i w:val="1"/>
          <w:iCs w:val="1"/>
          <w:color w:val="auto"/>
        </w:rPr>
      </w:pPr>
    </w:p>
    <w:p>
      <w:pPr>
        <w:jc w:val="both"/>
        <w:ind w:left="1280" w:hanging="8"/>
        <w:spacing w:after="0" w:line="270" w:lineRule="auto"/>
        <w:tabs>
          <w:tab w:leader="none" w:pos="1721" w:val="left"/>
        </w:tabs>
        <w:numPr>
          <w:ilvl w:val="1"/>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Termination</w:t>
      </w:r>
      <w:r>
        <w:rPr>
          <w:rFonts w:ascii="Times New Roman" w:cs="Times New Roman" w:eastAsia="Times New Roman" w:hAnsi="Times New Roman"/>
          <w:sz w:val="18"/>
          <w:szCs w:val="18"/>
          <w:color w:val="auto"/>
        </w:rPr>
        <w:t>. If a Participant incurs a Termination of Employment for any reason other than death, Disability, or for Cause,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otherwise set forth in this Section 5(j), any Stock Option or Stock Appreciation Right held by such Participant, to the extent it was then exercisable at the time of termination, or, subject to Section 4(b), on such accelerated basis as the Committee may determine, may be exercised for the lesser of (A) 90 days following the date of such Termination of Employment and (B) the balance of the stated full Term thereof.</w:t>
      </w:r>
    </w:p>
    <w:p>
      <w:pPr>
        <w:spacing w:after="0" w:line="209" w:lineRule="exact"/>
        <w:rPr>
          <w:rFonts w:ascii="Times New Roman" w:cs="Times New Roman" w:eastAsia="Times New Roman" w:hAnsi="Times New Roman"/>
          <w:sz w:val="18"/>
          <w:szCs w:val="18"/>
          <w:i w:val="1"/>
          <w:iCs w:val="1"/>
          <w:color w:val="auto"/>
        </w:rPr>
      </w:pPr>
    </w:p>
    <w:p>
      <w:pPr>
        <w:ind w:left="1280" w:hanging="8"/>
        <w:spacing w:after="0" w:line="300" w:lineRule="auto"/>
        <w:tabs>
          <w:tab w:leader="none" w:pos="176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Section 5(j) and subject to Section 4(b), the Committee shall have the power, in its discretion, to apply different rules concerning the consequences of a Termination</w:t>
      </w:r>
    </w:p>
    <w:p>
      <w:pPr>
        <w:sectPr>
          <w:pgSz w:w="11900" w:h="16838" w:orient="portrait"/>
          <w:cols w:equalWidth="0" w:num="1">
            <w:col w:w="11240"/>
          </w:cols>
          <w:pgMar w:left="320" w:top="1163"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280"/>
        <w:spacing w:after="0" w:line="287" w:lineRule="auto"/>
        <w:rPr>
          <w:sz w:val="20"/>
          <w:szCs w:val="20"/>
          <w:color w:val="auto"/>
        </w:rPr>
      </w:pPr>
      <w:r>
        <w:rPr>
          <w:rFonts w:ascii="Times New Roman" w:cs="Times New Roman" w:eastAsia="Times New Roman" w:hAnsi="Times New Roman"/>
          <w:sz w:val="18"/>
          <w:szCs w:val="18"/>
          <w:color w:val="auto"/>
        </w:rPr>
        <w:t xml:space="preserve">of Employment,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rules are less favorable to the Participant than those set forth above, such rules are set forth in the applicable Award Agreement.</w:t>
      </w:r>
    </w:p>
    <w:p>
      <w:pPr>
        <w:spacing w:after="0" w:line="191" w:lineRule="exact"/>
        <w:rPr>
          <w:sz w:val="20"/>
          <w:szCs w:val="20"/>
          <w:color w:val="auto"/>
        </w:rPr>
      </w:pPr>
    </w:p>
    <w:p>
      <w:pPr>
        <w:jc w:val="both"/>
        <w:ind w:firstLine="639"/>
        <w:spacing w:after="0" w:line="308" w:lineRule="auto"/>
        <w:tabs>
          <w:tab w:leader="none" w:pos="1001" w:val="left"/>
        </w:tabs>
        <w:numPr>
          <w:ilvl w:val="0"/>
          <w:numId w:val="6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Additional Rules for Incentive Stock Options</w:t>
      </w:r>
      <w:r>
        <w:rPr>
          <w:rFonts w:ascii="Times New Roman" w:cs="Times New Roman" w:eastAsia="Times New Roman" w:hAnsi="Times New Roman"/>
          <w:sz w:val="16"/>
          <w:szCs w:val="16"/>
          <w:color w:val="auto"/>
        </w:rPr>
        <w:t>. Notwithstanding any other provision of this Plan to the contrary, no Stock Option which is intended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qualify as an Incentive Stock Option may be granted to any Eligible Employee who at the time of such grant owns stock possessing more than 10% of the total combined voting power of all classes of stock of the Company or of any Subsidiary, unless at the time such Stock Option is granted the exercise price is at least 110% of the Fair Market Value of a Share and such Stock Option by its terms is not exercisable after the expiration of five years from the date such Stock Option is granted. In addition, the aggregate Fair Market Value of the Common Stock (determined at the time a Stock Option for the Common Stock is granted) for which Incentive Stock Options are exercisable for the first time by an optionee during any calendar year, under all of the incentive stock option plans of the Company and of any Subsidiary, may not exceed $100,000. To the extent a Stock Option that by its terms was intended to be an Incentive Stock Option exceeds this $100,000 limit, the portion of the Stock Option in excess of such limit shall be treated as a Nonqualified Stock Option.</w:t>
      </w:r>
    </w:p>
    <w:p>
      <w:pPr>
        <w:spacing w:after="0" w:line="181" w:lineRule="exact"/>
        <w:rPr>
          <w:rFonts w:ascii="Times New Roman" w:cs="Times New Roman" w:eastAsia="Times New Roman" w:hAnsi="Times New Roman"/>
          <w:sz w:val="16"/>
          <w:szCs w:val="16"/>
          <w:i w:val="1"/>
          <w:iCs w:val="1"/>
          <w:color w:val="auto"/>
        </w:rPr>
      </w:pPr>
    </w:p>
    <w:p>
      <w:pPr>
        <w:jc w:val="both"/>
        <w:ind w:firstLine="639"/>
        <w:spacing w:after="0" w:line="281" w:lineRule="auto"/>
        <w:tabs>
          <w:tab w:leader="none" w:pos="99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Dividends and Dividend Equivalents</w:t>
      </w:r>
      <w:r>
        <w:rPr>
          <w:rFonts w:ascii="Times New Roman" w:cs="Times New Roman" w:eastAsia="Times New Roman" w:hAnsi="Times New Roman"/>
          <w:sz w:val="18"/>
          <w:szCs w:val="18"/>
          <w:color w:val="auto"/>
        </w:rPr>
        <w:t>. Dividends (whether paid in cash or Shares) and dividend equivalents may not be paid or accrued 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Options or Stock Appreciation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Stock Options and Stock Appreciation Rights may be adjusted under certain circumstances in accordance with the terms of Section 3(d).</w:t>
      </w:r>
    </w:p>
    <w:p>
      <w:pPr>
        <w:spacing w:after="0" w:line="19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6"/>
          <w:szCs w:val="16"/>
          <w:b w:val="1"/>
          <w:bCs w:val="1"/>
          <w:color w:val="auto"/>
        </w:rPr>
        <w:t>Restricted Stock</w:t>
      </w:r>
    </w:p>
    <w:p>
      <w:pPr>
        <w:spacing w:after="0" w:line="255" w:lineRule="exact"/>
        <w:rPr>
          <w:sz w:val="20"/>
          <w:szCs w:val="20"/>
          <w:color w:val="auto"/>
        </w:rPr>
      </w:pPr>
    </w:p>
    <w:p>
      <w:pPr>
        <w:jc w:val="both"/>
        <w:ind w:firstLine="639"/>
        <w:spacing w:after="0" w:line="274" w:lineRule="auto"/>
        <w:tabs>
          <w:tab w:leader="none" w:pos="1076"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Shares of Restricted Stock are actual Shares issued to a Participant and may be awarded either alone or in addition to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granted under this Plan. The Committee shall determine the Eligible Individuals to whom and the time or times at which grants of Restricted Stock will be awarded, the number of shares to be awarded to any Eligible Individual, the conditions for vesting, the time or times within which such Awards may be subject to forfeiture and any other terms and conditions of the Awards, in addition to those contained in Section 6(c).</w:t>
      </w:r>
    </w:p>
    <w:p>
      <w:pPr>
        <w:spacing w:after="0" w:line="215" w:lineRule="exact"/>
        <w:rPr>
          <w:rFonts w:ascii="Times New Roman" w:cs="Times New Roman" w:eastAsia="Times New Roman" w:hAnsi="Times New Roman"/>
          <w:sz w:val="18"/>
          <w:szCs w:val="18"/>
          <w:i w:val="1"/>
          <w:iCs w:val="1"/>
          <w:color w:val="auto"/>
        </w:rPr>
      </w:pPr>
    </w:p>
    <w:p>
      <w:pPr>
        <w:jc w:val="both"/>
        <w:ind w:firstLine="639"/>
        <w:spacing w:after="0" w:line="274" w:lineRule="auto"/>
        <w:tabs>
          <w:tab w:leader="none" w:pos="109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Book Entry Registration or Certificated Shares</w:t>
      </w:r>
      <w:r>
        <w:rPr>
          <w:rFonts w:ascii="Times New Roman" w:cs="Times New Roman" w:eastAsia="Times New Roman" w:hAnsi="Times New Roman"/>
          <w:sz w:val="18"/>
          <w:szCs w:val="18"/>
          <w:color w:val="auto"/>
        </w:rPr>
        <w:t>. Shares of Restricted Stock shall be evidenced in such manner as the Committee may deem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including book-entry registration or issuance of one or more stock certificates. If any certificate is issued in respect of shares of Restricted Stock, such certificates shall be registered in the name of the Participant and shall bear an appropriate legend referring to the terms, conditions, and restrictions applicable to such Award, substantially in the following form:</w:t>
      </w:r>
    </w:p>
    <w:p>
      <w:pPr>
        <w:spacing w:after="0" w:line="204"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18"/>
          <w:szCs w:val="18"/>
          <w:color w:val="auto"/>
        </w:rPr>
        <w:t>The transferability of this certificate and the shares of stock represented hereby are subject to the terms and conditions (including forfeiture) of the NMI Holdings, Inc. 2014 Amended and Restated Omnibus Incentive Plan and an Award Agreement. Copies of such Plan and Agreement are on file at the offices of NMI Holdings, Inc.</w:t>
      </w:r>
    </w:p>
    <w:p>
      <w:pPr>
        <w:spacing w:after="0" w:line="199"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18"/>
          <w:szCs w:val="18"/>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 blank, relating to the Common Stock covered by such Award.</w:t>
      </w:r>
    </w:p>
    <w:p>
      <w:pPr>
        <w:spacing w:after="0" w:line="197" w:lineRule="exact"/>
        <w:rPr>
          <w:sz w:val="20"/>
          <w:szCs w:val="20"/>
          <w:color w:val="auto"/>
        </w:rPr>
      </w:pPr>
    </w:p>
    <w:p>
      <w:pPr>
        <w:ind w:firstLine="639"/>
        <w:spacing w:after="0" w:line="287" w:lineRule="auto"/>
        <w:tabs>
          <w:tab w:leader="none" w:pos="1021"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Terms and Conditions</w:t>
      </w:r>
      <w:r>
        <w:rPr>
          <w:rFonts w:ascii="Times New Roman" w:cs="Times New Roman" w:eastAsia="Times New Roman" w:hAnsi="Times New Roman"/>
          <w:sz w:val="18"/>
          <w:szCs w:val="18"/>
          <w:color w:val="auto"/>
        </w:rPr>
        <w:t>. Shares of Restricted Stock shall be subject to the following terms and conditions and such other terms and conditions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set forth in the applicable Award Agreement (including the vesting or forfeiture provisions applicable upon a Termination of Employment):</w:t>
      </w:r>
    </w:p>
    <w:p>
      <w:pPr>
        <w:spacing w:after="0" w:line="205" w:lineRule="exact"/>
        <w:rPr>
          <w:rFonts w:ascii="Times New Roman" w:cs="Times New Roman" w:eastAsia="Times New Roman" w:hAnsi="Times New Roman"/>
          <w:sz w:val="18"/>
          <w:szCs w:val="18"/>
          <w:i w:val="1"/>
          <w:iCs w:val="1"/>
          <w:color w:val="auto"/>
        </w:rPr>
      </w:pPr>
    </w:p>
    <w:p>
      <w:pPr>
        <w:jc w:val="both"/>
        <w:ind w:left="1280" w:hanging="8"/>
        <w:spacing w:after="0" w:line="295" w:lineRule="auto"/>
        <w:tabs>
          <w:tab w:leader="none" w:pos="1683"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Committee shall, prior to or at the time of grant, condition (A) the vesting of an Award of Restricted Stock upon the continued service of the applicable Participant, or (B) the grant or vesting of an Award of Restricted Stock upon the attainment of Performance Goals or</w:t>
      </w:r>
    </w:p>
    <w:p>
      <w:pPr>
        <w:jc w:val="both"/>
        <w:ind w:left="1280"/>
        <w:spacing w:after="0" w:line="27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 the grant or vesting of an Award of Restricted Stock upon the attainment of Performance Goals and the continued service of the applicable Participant. The conditions for grant or vesting and the other provisions of Restricted Stock Awards (including without limitation any applicable Performance Goals) need not be the same with respect to each recipient.</w:t>
      </w:r>
    </w:p>
    <w:p>
      <w:pPr>
        <w:sectPr>
          <w:pgSz w:w="11900" w:h="16838" w:orient="portrait"/>
          <w:cols w:equalWidth="0" w:num="1">
            <w:col w:w="11240"/>
          </w:cols>
          <w:pgMar w:left="320" w:top="343" w:right="339" w:bottom="1440" w:gutter="0" w:footer="0" w:header="0"/>
        </w:sectPr>
      </w:pPr>
    </w:p>
    <w:bookmarkStart w:id="67" w:name="page68"/>
    <w:bookmarkEnd w:id="67"/>
    <w:p>
      <w:pPr>
        <w:jc w:val="both"/>
        <w:ind w:left="1280" w:hanging="8"/>
        <w:spacing w:after="0" w:line="273" w:lineRule="auto"/>
        <w:tabs>
          <w:tab w:leader="none" w:pos="18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and the applicable Award Agreement, during the period, if any, set by the Committee, commencing with the date of such Restricted Stock Award for which such vesting restrictions apply (the “</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and until the expiration of the Restriction Period, the Participant shall not be permitted to sell, assign, transfer, pledge or otherwise encumber Shares of Restricted Stock.</w:t>
      </w:r>
    </w:p>
    <w:p>
      <w:pPr>
        <w:spacing w:after="0" w:line="203" w:lineRule="exact"/>
        <w:rPr>
          <w:rFonts w:ascii="Times New Roman" w:cs="Times New Roman" w:eastAsia="Times New Roman" w:hAnsi="Times New Roman"/>
          <w:sz w:val="18"/>
          <w:szCs w:val="18"/>
          <w:color w:val="auto"/>
        </w:rPr>
      </w:pPr>
    </w:p>
    <w:p>
      <w:pPr>
        <w:jc w:val="both"/>
        <w:ind w:firstLine="639"/>
        <w:spacing w:after="0" w:line="268" w:lineRule="auto"/>
        <w:tabs>
          <w:tab w:leader="none" w:pos="1051"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Rights of a Shareholder</w:t>
      </w:r>
      <w:r>
        <w:rPr>
          <w:rFonts w:ascii="Times New Roman" w:cs="Times New Roman" w:eastAsia="Times New Roman" w:hAnsi="Times New Roman"/>
          <w:sz w:val="18"/>
          <w:szCs w:val="18"/>
          <w:color w:val="auto"/>
        </w:rPr>
        <w:t>. Except as provided in this Section 6 and the applicable Award Agreement, the applicable Participant shall have,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Shares of Restricted Stock, all of the rights of a shareholder of the Company holding the class or series of Common Stock that is the subject of the Restricted Stock, including, if applicable, the right to vote the Shares and the right to receive any dividends. As determined by the Committee in the applicable Award Agreement and subject to Section 15(e), (A) cash dividends on the class or series of Common Stock that is the subject of the Restricted Stock Award shall be payable in cash and shall be held subject to the vesting of the underlying Restricted Stock, or held subject to meeting Performance Goals applicable only to dividends, and (B) dividends payable in Common Stock shall be paid in the form of Restricted Stock of the same class as the Common Stock with which such dividend was paid, and shall be held subject to the vesting of the underlying Restricted Stock, or held subject to meeting Performance Goals applicable only to dividends.</w:t>
      </w:r>
    </w:p>
    <w:p>
      <w:pPr>
        <w:spacing w:after="0" w:line="221" w:lineRule="exact"/>
        <w:rPr>
          <w:rFonts w:ascii="Times New Roman" w:cs="Times New Roman" w:eastAsia="Times New Roman" w:hAnsi="Times New Roman"/>
          <w:sz w:val="18"/>
          <w:szCs w:val="18"/>
          <w:i w:val="1"/>
          <w:iCs w:val="1"/>
          <w:color w:val="auto"/>
        </w:rPr>
      </w:pPr>
    </w:p>
    <w:p>
      <w:pPr>
        <w:jc w:val="both"/>
        <w:ind w:firstLine="639"/>
        <w:spacing w:after="0" w:line="273" w:lineRule="auto"/>
        <w:tabs>
          <w:tab w:leader="none" w:pos="1049"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Delivery of Unlegended Certificates</w:t>
      </w:r>
      <w:r>
        <w:rPr>
          <w:rFonts w:ascii="Times New Roman" w:cs="Times New Roman" w:eastAsia="Times New Roman" w:hAnsi="Times New Roman"/>
          <w:sz w:val="18"/>
          <w:szCs w:val="18"/>
          <w:color w:val="auto"/>
        </w:rPr>
        <w:t>. If and when any applicable Performance Goals are satisfied and the Restriction Period expires without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forfeiture of the Shares of Restricted Stock for which legended certificates have been issued, unlegended certificates for such Shares shall be delivered to the Participant upon surrender of the legended certificates.</w:t>
      </w:r>
    </w:p>
    <w:p>
      <w:pPr>
        <w:spacing w:after="0" w:line="216" w:lineRule="exact"/>
        <w:rPr>
          <w:rFonts w:ascii="Times New Roman" w:cs="Times New Roman" w:eastAsia="Times New Roman" w:hAnsi="Times New Roman"/>
          <w:sz w:val="18"/>
          <w:szCs w:val="18"/>
          <w:i w:val="1"/>
          <w:iCs w:val="1"/>
          <w:color w:val="auto"/>
        </w:rPr>
      </w:pPr>
    </w:p>
    <w:p>
      <w:pPr>
        <w:ind w:firstLine="639"/>
        <w:spacing w:after="0" w:line="287" w:lineRule="auto"/>
        <w:tabs>
          <w:tab w:leader="none" w:pos="1142"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Unless otherwise determined by the Committee or provided in the applicable Award Agreement, upon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Termination or Employment, his or her Restricted Stock shall be treated as set forth below:</w:t>
      </w:r>
    </w:p>
    <w:p>
      <w:pPr>
        <w:spacing w:after="0" w:line="190" w:lineRule="exact"/>
        <w:rPr>
          <w:rFonts w:ascii="Times New Roman" w:cs="Times New Roman" w:eastAsia="Times New Roman" w:hAnsi="Times New Roman"/>
          <w:sz w:val="18"/>
          <w:szCs w:val="18"/>
          <w:i w:val="1"/>
          <w:iCs w:val="1"/>
          <w:color w:val="auto"/>
        </w:rPr>
      </w:pPr>
    </w:p>
    <w:p>
      <w:pPr>
        <w:jc w:val="both"/>
        <w:ind w:left="1280" w:hanging="8"/>
        <w:spacing w:after="0" w:line="274" w:lineRule="auto"/>
        <w:tabs>
          <w:tab w:leader="none" w:pos="1632" w:val="left"/>
        </w:tabs>
        <w:numPr>
          <w:ilvl w:val="1"/>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Termination by Reason of Death or Disability</w:t>
      </w:r>
      <w:r>
        <w:rPr>
          <w:rFonts w:ascii="Times New Roman" w:cs="Times New Roman" w:eastAsia="Times New Roman" w:hAnsi="Times New Roman"/>
          <w:sz w:val="18"/>
          <w:szCs w:val="18"/>
          <w:color w:val="auto"/>
        </w:rPr>
        <w:t>. If a Participant incurs a Termination of Employment by reason of death or Disability,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including any Performance Goals, applicable to any Restricted Stock shall lapse (with respect to Performance Goals, be deemed earned in full based on the applicable target level), and such Restricted Stock shall become free of all restrictions and become fully vested and transferable to the full extent of the original grant.</w:t>
      </w:r>
    </w:p>
    <w:p>
      <w:pPr>
        <w:spacing w:after="0" w:line="215" w:lineRule="exact"/>
        <w:rPr>
          <w:sz w:val="20"/>
          <w:szCs w:val="20"/>
          <w:color w:val="auto"/>
        </w:rPr>
      </w:pPr>
    </w:p>
    <w:p>
      <w:pPr>
        <w:jc w:val="both"/>
        <w:ind w:left="1280" w:hanging="8"/>
        <w:spacing w:after="0" w:line="273" w:lineRule="auto"/>
        <w:tabs>
          <w:tab w:leader="none" w:pos="1766" w:val="left"/>
        </w:tabs>
        <w:numPr>
          <w:ilvl w:val="0"/>
          <w:numId w:val="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Termination</w:t>
      </w:r>
      <w:r>
        <w:rPr>
          <w:rFonts w:ascii="Times New Roman" w:cs="Times New Roman" w:eastAsia="Times New Roman" w:hAnsi="Times New Roman"/>
          <w:sz w:val="18"/>
          <w:szCs w:val="18"/>
          <w:color w:val="auto"/>
        </w:rPr>
        <w:t>. If a Participant incurs a Termination of Employment for any reason other than death or Disability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 Period or before the requisite service period or applicable Performance Goals are satisfied, all Shares still subject to restriction shall be forfeited by the Participant.</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6"/>
          <w:szCs w:val="16"/>
          <w:b w:val="1"/>
          <w:bCs w:val="1"/>
          <w:color w:val="auto"/>
        </w:rPr>
        <w:t>Restricted Stock Units</w:t>
      </w:r>
    </w:p>
    <w:p>
      <w:pPr>
        <w:spacing w:after="0" w:line="255" w:lineRule="exact"/>
        <w:rPr>
          <w:sz w:val="20"/>
          <w:szCs w:val="20"/>
          <w:color w:val="auto"/>
        </w:rPr>
      </w:pPr>
    </w:p>
    <w:p>
      <w:pPr>
        <w:jc w:val="both"/>
        <w:ind w:firstLine="639"/>
        <w:spacing w:after="0" w:line="281" w:lineRule="auto"/>
        <w:tabs>
          <w:tab w:leader="none" w:pos="1058"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Nature of Awards</w:t>
      </w:r>
      <w:r>
        <w:rPr>
          <w:rFonts w:ascii="Times New Roman" w:cs="Times New Roman" w:eastAsia="Times New Roman" w:hAnsi="Times New Roman"/>
          <w:sz w:val="18"/>
          <w:szCs w:val="18"/>
          <w:color w:val="auto"/>
        </w:rPr>
        <w:t>. Restricted stock units and deferred share rights (together,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are Awards denominated in Shares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settled, subject to the terms and conditions of the Restricted Stock Units, in an amount in cash, Shares, or both, based upon the Fair Market Value of a specified number of Shares.</w:t>
      </w:r>
    </w:p>
    <w:p>
      <w:pPr>
        <w:spacing w:after="0" w:line="196" w:lineRule="exact"/>
        <w:rPr>
          <w:rFonts w:ascii="Times New Roman" w:cs="Times New Roman" w:eastAsia="Times New Roman" w:hAnsi="Times New Roman"/>
          <w:sz w:val="18"/>
          <w:szCs w:val="18"/>
          <w:i w:val="1"/>
          <w:iCs w:val="1"/>
          <w:color w:val="auto"/>
        </w:rPr>
      </w:pPr>
    </w:p>
    <w:p>
      <w:pPr>
        <w:ind w:firstLine="639"/>
        <w:spacing w:after="0" w:line="287" w:lineRule="auto"/>
        <w:tabs>
          <w:tab w:leader="none" w:pos="1040"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Terms and Conditions</w:t>
      </w:r>
      <w:r>
        <w:rPr>
          <w:rFonts w:ascii="Times New Roman" w:cs="Times New Roman" w:eastAsia="Times New Roman" w:hAnsi="Times New Roman"/>
          <w:sz w:val="18"/>
          <w:szCs w:val="18"/>
          <w:color w:val="auto"/>
        </w:rPr>
        <w:t>. Restricted Stock Units shall be subject to the following terms and conditions and such other terms and conditions as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the applicable Award Agreement (including the vesting or forfeiture provisions applicable upon a Termination of Employment):</w:t>
      </w:r>
    </w:p>
    <w:p>
      <w:pPr>
        <w:spacing w:after="0" w:line="205" w:lineRule="exact"/>
        <w:rPr>
          <w:rFonts w:ascii="Times New Roman" w:cs="Times New Roman" w:eastAsia="Times New Roman" w:hAnsi="Times New Roman"/>
          <w:sz w:val="18"/>
          <w:szCs w:val="18"/>
          <w:i w:val="1"/>
          <w:iCs w:val="1"/>
          <w:color w:val="auto"/>
        </w:rPr>
      </w:pPr>
    </w:p>
    <w:p>
      <w:pPr>
        <w:jc w:val="both"/>
        <w:ind w:left="1280" w:hanging="8"/>
        <w:spacing w:after="0" w:line="268" w:lineRule="auto"/>
        <w:tabs>
          <w:tab w:leader="none" w:pos="164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prior to or at the time of grant, condition (A) the vesting of Restricted Stock Units upon the continued service of the applicable Participant, or (B) the grant or vesting of Restricted Stock Units upon the attainment of Performance Goals or (C) the grant or vesting of an Award of Restricted Stock Units upon the attainment of Performance Goals and the continued service of the applicable Participant. The conditions for grant or vesting and the other provisions of Restricted Stock Units (including without limitation any applicable Performance Goals) need not be the same with respect to each recipient. An Award of Restricted Stock Units shall be settled as and when the Restricted Stock Units vest, at a later time specified</w:t>
      </w:r>
    </w:p>
    <w:p>
      <w:pPr>
        <w:sectPr>
          <w:pgSz w:w="11900" w:h="16838" w:orient="portrait"/>
          <w:cols w:equalWidth="0" w:num="1">
            <w:col w:w="11240"/>
          </w:cols>
          <w:pgMar w:left="320" w:top="116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by the Committee in the applicable Award Agreement, or, if the Committee so permits, in accordance with an election of the Participant.</w:t>
      </w:r>
    </w:p>
    <w:p>
      <w:pPr>
        <w:spacing w:after="0" w:line="255" w:lineRule="exact"/>
        <w:rPr>
          <w:sz w:val="20"/>
          <w:szCs w:val="20"/>
          <w:color w:val="auto"/>
        </w:rPr>
      </w:pPr>
    </w:p>
    <w:p>
      <w:pPr>
        <w:ind w:left="1280" w:hanging="8"/>
        <w:spacing w:after="0" w:line="285" w:lineRule="auto"/>
        <w:tabs>
          <w:tab w:leader="none" w:pos="168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and the applicable Award Agreement, during the Restriction Period, if any, set by the Committee, the Participant shall not be permitted to sell, assign, transfer, pledge or otherwise encumber Restricted Stock Units.</w:t>
      </w:r>
    </w:p>
    <w:p>
      <w:pPr>
        <w:spacing w:after="0" w:line="207" w:lineRule="exact"/>
        <w:rPr>
          <w:rFonts w:ascii="Times New Roman" w:cs="Times New Roman" w:eastAsia="Times New Roman" w:hAnsi="Times New Roman"/>
          <w:sz w:val="18"/>
          <w:szCs w:val="18"/>
          <w:color w:val="auto"/>
        </w:rPr>
      </w:pPr>
    </w:p>
    <w:p>
      <w:pPr>
        <w:jc w:val="both"/>
        <w:ind w:left="1280" w:hanging="8"/>
        <w:spacing w:after="0" w:line="272" w:lineRule="auto"/>
        <w:tabs>
          <w:tab w:leader="none" w:pos="171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Agreement for Restricted Stock Units shall specify whether, to what extent and on what terms and conditions the applicable Participant shall be entitled to receive payments of cash, Common Stock or other property corresponding to the dividends payable on the Common Stock (subject to Section 15(e) below).</w:t>
      </w:r>
    </w:p>
    <w:p>
      <w:pPr>
        <w:spacing w:after="0" w:line="217" w:lineRule="exact"/>
        <w:rPr>
          <w:rFonts w:ascii="Times New Roman" w:cs="Times New Roman" w:eastAsia="Times New Roman" w:hAnsi="Times New Roman"/>
          <w:sz w:val="18"/>
          <w:szCs w:val="18"/>
          <w:color w:val="auto"/>
        </w:rPr>
      </w:pPr>
    </w:p>
    <w:p>
      <w:pPr>
        <w:jc w:val="both"/>
        <w:ind w:firstLine="639"/>
        <w:spacing w:after="0" w:line="269" w:lineRule="auto"/>
        <w:tabs>
          <w:tab w:leader="none" w:pos="1064"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Rights of a Shareholder</w:t>
      </w:r>
      <w:r>
        <w:rPr>
          <w:rFonts w:ascii="Times New Roman" w:cs="Times New Roman" w:eastAsia="Times New Roman" w:hAnsi="Times New Roman"/>
          <w:sz w:val="18"/>
          <w:szCs w:val="18"/>
          <w:color w:val="auto"/>
        </w:rPr>
        <w:t>. A Participant to whom Restricted Stock Units are awarded shall have no rights as a shareholder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represented by the Restricted Stock Units unless and until Shares are actually delivered to the participant in settlement thereof. Unless otherwise determined by the Committee and subject to Section 15(e), an Award of Restricted Stock Units shall be adjusted to reflect deemed reinvestment in additional Restricted Stock Units of the dividends that would be paid and distributions that would be made with respect to the Award of Restricted Stock Units if it consisted of actual Shares. Notwithstanding the immediately preceding sentence, if an adjustment to an Award of Restricted Stock Units is made pursuant to Section 3(d) as a result of any dividend or distribution, no increase to such Award (by means of deemed reinvestment in additional Restricted Stock Units) shall be made under this Section 7(c) as a result of the same dividend or distribution.</w:t>
      </w:r>
    </w:p>
    <w:p>
      <w:pPr>
        <w:spacing w:after="0" w:line="209" w:lineRule="exact"/>
        <w:rPr>
          <w:rFonts w:ascii="Times New Roman" w:cs="Times New Roman" w:eastAsia="Times New Roman" w:hAnsi="Times New Roman"/>
          <w:sz w:val="18"/>
          <w:szCs w:val="18"/>
          <w:i w:val="1"/>
          <w:iCs w:val="1"/>
          <w:color w:val="auto"/>
        </w:rPr>
      </w:pPr>
    </w:p>
    <w:p>
      <w:pPr>
        <w:ind w:firstLine="639"/>
        <w:spacing w:after="0" w:line="287" w:lineRule="auto"/>
        <w:tabs>
          <w:tab w:leader="none" w:pos="1181"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Unless otherwise determined by the Committee or provided in the applicable Award Agreement, upon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Termination of Employment, his or her Restricted Stock Units shall be treated as set forth below:</w:t>
      </w:r>
    </w:p>
    <w:p>
      <w:pPr>
        <w:spacing w:after="0" w:line="203" w:lineRule="exact"/>
        <w:rPr>
          <w:rFonts w:ascii="Times New Roman" w:cs="Times New Roman" w:eastAsia="Times New Roman" w:hAnsi="Times New Roman"/>
          <w:sz w:val="18"/>
          <w:szCs w:val="18"/>
          <w:i w:val="1"/>
          <w:iCs w:val="1"/>
          <w:color w:val="auto"/>
        </w:rPr>
      </w:pPr>
    </w:p>
    <w:p>
      <w:pPr>
        <w:jc w:val="both"/>
        <w:ind w:left="1280" w:hanging="8"/>
        <w:spacing w:after="0" w:line="274" w:lineRule="auto"/>
        <w:tabs>
          <w:tab w:leader="none" w:pos="1632" w:val="left"/>
        </w:tabs>
        <w:numPr>
          <w:ilvl w:val="1"/>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Termination by Reason of Death or Disability</w:t>
      </w:r>
      <w:r>
        <w:rPr>
          <w:rFonts w:ascii="Times New Roman" w:cs="Times New Roman" w:eastAsia="Times New Roman" w:hAnsi="Times New Roman"/>
          <w:sz w:val="18"/>
          <w:szCs w:val="18"/>
          <w:color w:val="auto"/>
        </w:rPr>
        <w:t>. If a Participant incurs a Termination of Employment by reason of death or Disability,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including any Performance Goals, applicable to any Restricted Stock Units shall lapse (with respect to Performance Goals, be deemed earned in full based on the applicable target level), and such Restricted Stock Units shall become fully vested and settled to the full extent of the original grant.</w:t>
      </w:r>
    </w:p>
    <w:p>
      <w:pPr>
        <w:spacing w:after="0" w:line="202" w:lineRule="exact"/>
        <w:rPr>
          <w:rFonts w:ascii="Times New Roman" w:cs="Times New Roman" w:eastAsia="Times New Roman" w:hAnsi="Times New Roman"/>
          <w:sz w:val="18"/>
          <w:szCs w:val="18"/>
          <w:i w:val="1"/>
          <w:iCs w:val="1"/>
          <w:color w:val="auto"/>
        </w:rPr>
      </w:pPr>
    </w:p>
    <w:p>
      <w:pPr>
        <w:jc w:val="both"/>
        <w:ind w:left="1280" w:hanging="8"/>
        <w:spacing w:after="0" w:line="281" w:lineRule="auto"/>
        <w:tabs>
          <w:tab w:leader="none" w:pos="176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If a Participant incurs a Termination of Employment for any reason other than death or Disability during the Restriction Period or before the applicable Performance Goals are satisfied, all unvested Restricted Stock Units shall be forfeited by the Participant.</w:t>
      </w:r>
    </w:p>
    <w:p>
      <w:pPr>
        <w:spacing w:after="0" w:line="19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6"/>
          <w:szCs w:val="16"/>
          <w:b w:val="1"/>
          <w:bCs w:val="1"/>
          <w:color w:val="auto"/>
        </w:rPr>
        <w:t>Performance Units</w:t>
      </w:r>
    </w:p>
    <w:p>
      <w:pPr>
        <w:spacing w:after="0" w:line="257" w:lineRule="exact"/>
        <w:rPr>
          <w:sz w:val="20"/>
          <w:szCs w:val="20"/>
          <w:color w:val="auto"/>
        </w:rPr>
      </w:pPr>
    </w:p>
    <w:p>
      <w:pPr>
        <w:jc w:val="both"/>
        <w:ind w:firstLine="1266"/>
        <w:spacing w:after="0" w:line="271" w:lineRule="auto"/>
        <w:rPr>
          <w:sz w:val="20"/>
          <w:szCs w:val="20"/>
          <w:color w:val="auto"/>
        </w:rPr>
      </w:pPr>
      <w:r>
        <w:rPr>
          <w:rFonts w:ascii="Times New Roman" w:cs="Times New Roman" w:eastAsia="Times New Roman" w:hAnsi="Times New Roman"/>
          <w:sz w:val="18"/>
          <w:szCs w:val="18"/>
          <w:color w:val="auto"/>
        </w:rPr>
        <w:t>Performance Units may be issued hereunder to Eligible Individuals, for no cash consideration or for such minimum consideration as may be required by applicable law, either alone or in addition to other Awards granted under this Plan. The Performance Goals to be achieved during any Performance Period and the length of the Performance Period shall be determined by the Committee upon the grant of each Performance Unit. The conditions for grant or vesting and the other provisions of Performance Units (including without limitation any applicable Performance Goals) need not be the same with respect to each recipient. Performance Units may be paid in cash, Shares, other property or any combination thereof, in the sole discretion of the Committee as set forth in the applicable Award Agreement.</w:t>
      </w:r>
    </w:p>
    <w:p>
      <w:pPr>
        <w:spacing w:after="0" w:line="20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6"/>
          <w:szCs w:val="16"/>
          <w:b w:val="1"/>
          <w:bCs w:val="1"/>
          <w:color w:val="auto"/>
        </w:rPr>
        <w:t>Other Stock-Based Awards</w:t>
      </w:r>
    </w:p>
    <w:p>
      <w:pPr>
        <w:spacing w:after="0" w:line="270" w:lineRule="exact"/>
        <w:rPr>
          <w:sz w:val="20"/>
          <w:szCs w:val="20"/>
          <w:color w:val="auto"/>
        </w:rPr>
      </w:pPr>
    </w:p>
    <w:p>
      <w:pPr>
        <w:jc w:val="both"/>
        <w:ind w:firstLine="1266"/>
        <w:spacing w:after="0" w:line="273" w:lineRule="auto"/>
        <w:rPr>
          <w:sz w:val="20"/>
          <w:szCs w:val="20"/>
          <w:color w:val="auto"/>
        </w:rPr>
      </w:pPr>
      <w:r>
        <w:rPr>
          <w:rFonts w:ascii="Times New Roman" w:cs="Times New Roman" w:eastAsia="Times New Roman" w:hAnsi="Times New Roman"/>
          <w:sz w:val="18"/>
          <w:szCs w:val="18"/>
          <w:color w:val="auto"/>
        </w:rPr>
        <w:t>The Committee may grant Awards of Shares or related to Shares not otherwise described herein in such amounts and subject to such terms and conditions consistent with the terms of this Plan as the Committee shall determine. Without limiting the generality of the preceding sentence, each such Other Stock-Based Award may (a) involve the transfer of actual Shares to Participants, either at the time of grant or thereafter, or payment in cash or otherwise of amounts based on the</w:t>
      </w:r>
    </w:p>
    <w:p>
      <w:pPr>
        <w:sectPr>
          <w:pgSz w:w="11900" w:h="16838" w:orient="portrait"/>
          <w:cols w:equalWidth="0" w:num="1">
            <w:col w:w="11240"/>
          </w:cols>
          <w:pgMar w:left="320" w:top="343" w:right="339" w:bottom="1440" w:gutter="0" w:footer="0" w:header="0"/>
        </w:sectPr>
      </w:pPr>
    </w:p>
    <w:bookmarkStart w:id="69" w:name="page70"/>
    <w:bookmarkEnd w:id="69"/>
    <w:p>
      <w:pPr>
        <w:jc w:val="both"/>
        <w:spacing w:after="0" w:line="273" w:lineRule="auto"/>
        <w:rPr>
          <w:sz w:val="20"/>
          <w:szCs w:val="20"/>
          <w:color w:val="auto"/>
        </w:rPr>
      </w:pPr>
      <w:r>
        <w:rPr>
          <w:rFonts w:ascii="Times New Roman" w:cs="Times New Roman" w:eastAsia="Times New Roman" w:hAnsi="Times New Roman"/>
          <w:sz w:val="18"/>
          <w:szCs w:val="18"/>
          <w:color w:val="auto"/>
        </w:rPr>
        <w:t>value of Shares, (b) be subject to performance-based and/or service-based conditions, (c) be in the form of phantom stock, restricted stock, restricted stock units, performance shares, deferred share units or share-denominated performance units, or other Awards denominated in, or with a value determined by reference to, a number of Shares that is specified at the time of the grant of such Award, and (d) be designed to comply with applicable laws of jurisdictions other than the United States.</w:t>
      </w:r>
    </w:p>
    <w:p>
      <w:pPr>
        <w:spacing w:after="0" w:line="20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Section 10.</w:t>
      </w:r>
      <w:r>
        <w:rPr>
          <w:sz w:val="20"/>
          <w:szCs w:val="20"/>
          <w:color w:val="auto"/>
        </w:rPr>
        <w:tab/>
      </w:r>
      <w:r>
        <w:rPr>
          <w:rFonts w:ascii="Times New Roman" w:cs="Times New Roman" w:eastAsia="Times New Roman" w:hAnsi="Times New Roman"/>
          <w:sz w:val="16"/>
          <w:szCs w:val="16"/>
          <w:b w:val="1"/>
          <w:bCs w:val="1"/>
          <w:color w:val="auto"/>
        </w:rPr>
        <w:t>Cash-Based Awards</w:t>
      </w:r>
    </w:p>
    <w:p>
      <w:pPr>
        <w:spacing w:after="0" w:line="257" w:lineRule="exact"/>
        <w:rPr>
          <w:sz w:val="20"/>
          <w:szCs w:val="20"/>
          <w:color w:val="auto"/>
        </w:rPr>
      </w:pPr>
    </w:p>
    <w:p>
      <w:pPr>
        <w:jc w:val="both"/>
        <w:ind w:firstLine="1266"/>
        <w:spacing w:after="0" w:line="273" w:lineRule="auto"/>
        <w:rPr>
          <w:sz w:val="20"/>
          <w:szCs w:val="20"/>
          <w:color w:val="auto"/>
        </w:rPr>
      </w:pPr>
      <w:r>
        <w:rPr>
          <w:rFonts w:ascii="Times New Roman" w:cs="Times New Roman" w:eastAsia="Times New Roman" w:hAnsi="Times New Roman"/>
          <w:sz w:val="18"/>
          <w:szCs w:val="18"/>
          <w:color w:val="auto"/>
        </w:rPr>
        <w:t>The Committee may grant Awards to Eligible Individuals that are denominated and payable in cash in such amounts and subject to such terms and conditions consistent with the terms of this Plan as the Committee shall determine. With respect to a Cash-Based Award subject to Performance Goals, the Performance Goals to be achieved during any performance period and the length of the performance period shall be determined by the Committee upon the grant of such Cash-Based Award, or (b) the grant or vesting of Cash-Based Awards upon the attainment of Performance Goals or (c) the grant or vesting of a Cash-Based Awards upon the attainment of Performance Goals and the continued service of the applicable Participant.</w:t>
      </w:r>
    </w:p>
    <w:p>
      <w:pPr>
        <w:spacing w:after="0" w:line="2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6"/>
          <w:szCs w:val="16"/>
          <w:b w:val="1"/>
          <w:bCs w:val="1"/>
          <w:color w:val="auto"/>
        </w:rPr>
        <w:t>Change-in-Control Provisions</w:t>
      </w:r>
    </w:p>
    <w:p>
      <w:pPr>
        <w:spacing w:after="0" w:line="255" w:lineRule="exact"/>
        <w:rPr>
          <w:sz w:val="20"/>
          <w:szCs w:val="20"/>
          <w:color w:val="auto"/>
        </w:rPr>
      </w:pPr>
    </w:p>
    <w:p>
      <w:pPr>
        <w:ind w:firstLine="639"/>
        <w:spacing w:after="0" w:line="302" w:lineRule="auto"/>
        <w:tabs>
          <w:tab w:leader="none" w:pos="1040"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provisions of this Section 11 shall, subject to Section 3(d), apply notwithstanding any other provision of this Plan to the contrary,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to the extent the Committee specifically provides otherwise in an Award Agreement.</w:t>
      </w:r>
    </w:p>
    <w:p>
      <w:pPr>
        <w:spacing w:after="0" w:line="178" w:lineRule="exact"/>
        <w:rPr>
          <w:rFonts w:ascii="Times New Roman" w:cs="Times New Roman" w:eastAsia="Times New Roman" w:hAnsi="Times New Roman"/>
          <w:sz w:val="18"/>
          <w:szCs w:val="18"/>
          <w:i w:val="1"/>
          <w:iCs w:val="1"/>
          <w:color w:val="auto"/>
        </w:rPr>
      </w:pPr>
    </w:p>
    <w:p>
      <w:pPr>
        <w:jc w:val="both"/>
        <w:ind w:firstLine="639"/>
        <w:spacing w:after="0" w:line="268" w:lineRule="auto"/>
        <w:tabs>
          <w:tab w:leader="none" w:pos="1020"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Impact of Change in Control</w:t>
      </w:r>
      <w:r>
        <w:rPr>
          <w:rFonts w:ascii="Times New Roman" w:cs="Times New Roman" w:eastAsia="Times New Roman" w:hAnsi="Times New Roman"/>
          <w:sz w:val="18"/>
          <w:szCs w:val="18"/>
          <w:color w:val="auto"/>
        </w:rPr>
        <w:t>. Upon the occurrence of a Change in Control, unless otherwise provided in the applicable Award Agreement: (i)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then-outstanding Stock Options and Stock Appreciation Rights shall become fully vested and exercisable, and all Full-Value Awards (other than performance-based Awards) shall vest in full, be free of restrictions, and be deemed to be earned and payable in an amount equal to the full value of such Award, except in each case to the extent that another Award meeting the requirements of Section 11(c) (any award meeting the requirements of Section 11(c), a “</w:t>
      </w: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is provided to the Participant pursuant to Section 3(d) to replace such Award (any award intended to be replaced by a Replacement Award, a “</w:t>
      </w:r>
      <w:r>
        <w:rPr>
          <w:rFonts w:ascii="Times New Roman" w:cs="Times New Roman" w:eastAsia="Times New Roman" w:hAnsi="Times New Roman"/>
          <w:sz w:val="18"/>
          <w:szCs w:val="18"/>
          <w:u w:val="single" w:color="auto"/>
          <w:color w:val="auto"/>
        </w:rPr>
        <w:t>Replaced Award</w:t>
      </w:r>
      <w:r>
        <w:rPr>
          <w:rFonts w:ascii="Times New Roman" w:cs="Times New Roman" w:eastAsia="Times New Roman" w:hAnsi="Times New Roman"/>
          <w:sz w:val="18"/>
          <w:szCs w:val="18"/>
          <w:color w:val="auto"/>
        </w:rPr>
        <w:t>”),and (ii) any performance-based Award that is not replaced by a Replacement Award shall be deemed to be earned and payable in an amount equal to the full value of such performance-based Award (with all applicable Performance Goals deemed achieved at the greater of (x) the applicable target level and (y) the level of achievement of the Performance Goals for the Award as determined by the Committee not later than the date of the Change in Control, taking into account performance through the latest date preceding the Change in Control as to which performance can, as a practical matter, be determined (but not later than the end of the applicable Performance Period)).</w:t>
      </w:r>
    </w:p>
    <w:p>
      <w:pPr>
        <w:spacing w:after="0" w:line="207" w:lineRule="exact"/>
        <w:rPr>
          <w:rFonts w:ascii="Times New Roman" w:cs="Times New Roman" w:eastAsia="Times New Roman" w:hAnsi="Times New Roman"/>
          <w:sz w:val="18"/>
          <w:szCs w:val="18"/>
          <w:i w:val="1"/>
          <w:iCs w:val="1"/>
          <w:color w:val="auto"/>
        </w:rPr>
      </w:pPr>
    </w:p>
    <w:p>
      <w:pPr>
        <w:jc w:val="both"/>
        <w:ind w:firstLine="639"/>
        <w:spacing w:after="0" w:line="306" w:lineRule="auto"/>
        <w:tabs>
          <w:tab w:leader="none" w:pos="1046" w:val="left"/>
        </w:tabs>
        <w:numPr>
          <w:ilvl w:val="0"/>
          <w:numId w:val="7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Replacement Awards</w:t>
      </w:r>
      <w:r>
        <w:rPr>
          <w:rFonts w:ascii="Times New Roman" w:cs="Times New Roman" w:eastAsia="Times New Roman" w:hAnsi="Times New Roman"/>
          <w:sz w:val="16"/>
          <w:szCs w:val="16"/>
          <w:color w:val="auto"/>
        </w:rPr>
        <w:t>. An Award shall meet the conditions of this Section 11(c) (and hence qualify as a Replacement Award) if: (i) it is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same type as the Replaced Award; (ii) it has a value equal to the value of the Replaced Award as of the date of the Change in Control, as determined by the Committee in its sole discretion consistent with Section 3(d); (iii) if the underlying Replaced Award was an equity-based award, it relates to publicly traded equity securities of the Company or the entity surviving the Company following the Change in Control; (iv) it contains terms relating to vesting (including with respect to a Termination of Employment) that are substantially identical to those of the Replaced Award; and (v) its other terms and conditions are not less favorable to the Participant than the terms and conditions of the Replaced Award (including the provisions that would apply in the event of a subsequent Change in Control) as of the date of the Change in Control. Without limiting the generality of the foregoing, a Replacement Award may take the form of a continuation of the applicable Replaced Award if the requirements of the preceding sentence are satisfied. The determination whether the conditions of this Section 11(c) are satisfied shall be made by the Committee, as constituted immediately before the Change in Control, in its sole discretion.</w:t>
      </w:r>
    </w:p>
    <w:p>
      <w:pPr>
        <w:spacing w:after="0" w:line="183" w:lineRule="exact"/>
        <w:rPr>
          <w:rFonts w:ascii="Times New Roman" w:cs="Times New Roman" w:eastAsia="Times New Roman" w:hAnsi="Times New Roman"/>
          <w:sz w:val="16"/>
          <w:szCs w:val="16"/>
          <w:i w:val="1"/>
          <w:iCs w:val="1"/>
          <w:color w:val="auto"/>
        </w:rPr>
      </w:pPr>
    </w:p>
    <w:p>
      <w:pPr>
        <w:jc w:val="both"/>
        <w:ind w:firstLine="639"/>
        <w:spacing w:after="0" w:line="274" w:lineRule="auto"/>
        <w:tabs>
          <w:tab w:leader="none" w:pos="1014"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Notwithstanding any other provision of this Plan to the contrary and unless otherwise determined by the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set forth in the applicable Award Agreement (or other severance, change in control or employment agreement), upon a Termination of Employment of a Participant by the Company other than for Cause within 24 months following a Change in Control, (i) all Replacement Awards held by such Participant shall vest in full, be free of restrictions, and be deemed to be earned in full (with respect to Performance Goals, unless otherwise agreed in connection with the Change in Control, at the greater of (x) the applicable target level and (y) the level of achievement of the Performance Goals</w:t>
      </w:r>
    </w:p>
    <w:p>
      <w:pPr>
        <w:sectPr>
          <w:pgSz w:w="11900" w:h="16838" w:orient="portrait"/>
          <w:cols w:equalWidth="0" w:num="1">
            <w:col w:w="11240"/>
          </w:cols>
          <w:pgMar w:left="320" w:top="116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for the Award as determined by the Committee taking into account performance through the latest date preceding the Termination of Employment as to which performance can, as a practical matter, be determined (but not later than the end of the applicable Performance Period)), and (ii) unless otherwise provided in the applicable Award Agreement, notwithstanding any other provision of this Plan to the contrary, any Stock Option or Stock Appreciation Right held by the Participant as of the date of the Change in Control that remains outstanding as of the date of such Termination of Employment may thereafter be exercised until the expiration of the stated full Term of such Stock Option or Stock Appreciation Right.</w:t>
      </w:r>
    </w:p>
    <w:p>
      <w:pPr>
        <w:spacing w:after="0" w:line="205" w:lineRule="exact"/>
        <w:rPr>
          <w:sz w:val="20"/>
          <w:szCs w:val="20"/>
          <w:color w:val="auto"/>
        </w:rPr>
      </w:pPr>
    </w:p>
    <w:p>
      <w:pPr>
        <w:ind w:left="1000" w:hanging="361"/>
        <w:spacing w:after="0"/>
        <w:tabs>
          <w:tab w:leader="none" w:pos="1000" w:val="left"/>
        </w:tabs>
        <w:numPr>
          <w:ilvl w:val="0"/>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Definition of Change in Control</w:t>
      </w:r>
      <w:r>
        <w:rPr>
          <w:rFonts w:ascii="Times New Roman" w:cs="Times New Roman" w:eastAsia="Times New Roman" w:hAnsi="Times New Roman"/>
          <w:sz w:val="18"/>
          <w:szCs w:val="18"/>
          <w:color w:val="auto"/>
        </w:rPr>
        <w:t>. For purposes of this Plan, 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the happening of any of the following events:</w:t>
      </w:r>
    </w:p>
    <w:p>
      <w:pPr>
        <w:spacing w:after="0" w:line="270" w:lineRule="exact"/>
        <w:rPr>
          <w:sz w:val="20"/>
          <w:szCs w:val="20"/>
          <w:color w:val="auto"/>
        </w:rPr>
      </w:pPr>
    </w:p>
    <w:p>
      <w:pPr>
        <w:jc w:val="both"/>
        <w:ind w:left="640" w:hanging="1"/>
        <w:spacing w:after="0" w:line="267" w:lineRule="auto"/>
        <w:tabs>
          <w:tab w:leader="none" w:pos="105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by any individual, entity or group (within the meaning of Section 13(d)(3) or 14(d)(2) of the Exchange Act)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of beneficial ownership (within the meaning of Rule 13d-3 promulgated under the Exchange Act) of 30% or more of either (1) the then outstanding shares of common stock of the Company (the “</w:t>
      </w:r>
      <w:r>
        <w:rPr>
          <w:rFonts w:ascii="Times New Roman" w:cs="Times New Roman" w:eastAsia="Times New Roman" w:hAnsi="Times New Roman"/>
          <w:sz w:val="18"/>
          <w:szCs w:val="18"/>
          <w:u w:val="single" w:color="auto"/>
          <w:color w:val="auto"/>
        </w:rPr>
        <w:t>Outstanding Company Common Stock</w:t>
      </w:r>
      <w:r>
        <w:rPr>
          <w:rFonts w:ascii="Times New Roman" w:cs="Times New Roman" w:eastAsia="Times New Roman" w:hAnsi="Times New Roman"/>
          <w:sz w:val="18"/>
          <w:szCs w:val="18"/>
          <w:color w:val="auto"/>
        </w:rPr>
        <w:t>”) or (2) the combined voting power of the then outstanding voting securities of the Company entitled to vote generally in the election of directors (the “</w:t>
      </w:r>
      <w:r>
        <w:rPr>
          <w:rFonts w:ascii="Times New Roman" w:cs="Times New Roman" w:eastAsia="Times New Roman" w:hAnsi="Times New Roman"/>
          <w:sz w:val="18"/>
          <w:szCs w:val="18"/>
          <w:u w:val="single" w:color="auto"/>
          <w:color w:val="auto"/>
        </w:rPr>
        <w:t>Outstanding Company Voting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this subsection (i), the following acquisitions shall not constitute a Change of Control: (1) any acquisition directly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(2) any acquisition by the Company, (3) any acquisition by any employee benefit plan (or related trust) sponsored or maintained by the Company or any entity controlled by the Company, or (4) any acquisition by any entity pursuant to a transaction which complies with clauses (1), (2) and (3) of subsection (iii) of this Section 11(e); or</w:t>
      </w:r>
    </w:p>
    <w:p>
      <w:pPr>
        <w:spacing w:after="0" w:line="215" w:lineRule="exact"/>
        <w:rPr>
          <w:rFonts w:ascii="Times New Roman" w:cs="Times New Roman" w:eastAsia="Times New Roman" w:hAnsi="Times New Roman"/>
          <w:sz w:val="18"/>
          <w:szCs w:val="18"/>
          <w:color w:val="auto"/>
        </w:rPr>
      </w:pPr>
    </w:p>
    <w:p>
      <w:pPr>
        <w:jc w:val="both"/>
        <w:ind w:left="640" w:hanging="1"/>
        <w:spacing w:after="0" w:line="270" w:lineRule="auto"/>
        <w:tabs>
          <w:tab w:leader="none" w:pos="103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such that the individuals who, as of the Effective Date, constitute the Board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xml:space="preserve">”) cease for any reason to constitute at least a majority of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for purposes of this Section 11(e), any individual who becomes a member of the Board subsequent to the Effective Date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 or</w:t>
      </w:r>
    </w:p>
    <w:p>
      <w:pPr>
        <w:spacing w:after="0" w:line="207" w:lineRule="exact"/>
        <w:rPr>
          <w:rFonts w:ascii="Times New Roman" w:cs="Times New Roman" w:eastAsia="Times New Roman" w:hAnsi="Times New Roman"/>
          <w:sz w:val="18"/>
          <w:szCs w:val="18"/>
          <w:color w:val="auto"/>
        </w:rPr>
      </w:pPr>
    </w:p>
    <w:p>
      <w:pPr>
        <w:jc w:val="both"/>
        <w:ind w:left="640" w:hanging="1"/>
        <w:spacing w:after="0" w:line="266" w:lineRule="auto"/>
        <w:tabs>
          <w:tab w:leader="none" w:pos="11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merger, statutory share exchange or consolidation or similar transaction involving the Company or any of its subsidiaries or sale or other disposition of all or substantially all of the assets of the Company, or the acquisition of assets or securities of another entity by the Company or any of its subsidiaries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(or, for a non-corporate entity, equivalent securities) and the combined voting power of the then outstanding voting securities entitled to vote generally in the election of directors (or, for a non- corporate entity, equivalent securities),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(2) no Person (excluding any entity resulting from such Business Combination or any employee benefit plan (or related trust) of the Company or such entity resulting from such Business Combination) beneficially owns, directly or indirectly, 30% or more of, respectively, the then outstanding shares of common stock (or, for a non-corporate entity, equivalent securities) of the entity resulting from such Business Combination or the combined voting power of the then outstanding voting securities of such entity except to the extent that such ownership existed prior to the Business Combination, and (3) at least a majority of the members of the board of directors (or, for a non-corporate entity, equivalent body or committee) of the entity resulting from such</w:t>
      </w:r>
    </w:p>
    <w:p>
      <w:pPr>
        <w:sectPr>
          <w:pgSz w:w="11900" w:h="16838" w:orient="portrait"/>
          <w:cols w:equalWidth="0" w:num="1">
            <w:col w:w="11240"/>
          </w:cols>
          <w:pgMar w:left="320" w:top="343" w:right="339" w:bottom="1440" w:gutter="0" w:footer="0" w:header="0"/>
        </w:sectPr>
      </w:pPr>
    </w:p>
    <w:bookmarkStart w:id="71" w:name="page72"/>
    <w:bookmarkEnd w:id="71"/>
    <w:p>
      <w:pPr>
        <w:ind w:left="640"/>
        <w:spacing w:after="0" w:line="285" w:lineRule="auto"/>
        <w:rPr>
          <w:sz w:val="20"/>
          <w:szCs w:val="20"/>
          <w:color w:val="auto"/>
        </w:rPr>
      </w:pPr>
      <w:r>
        <w:rPr>
          <w:rFonts w:ascii="Times New Roman" w:cs="Times New Roman" w:eastAsia="Times New Roman" w:hAnsi="Times New Roman"/>
          <w:sz w:val="18"/>
          <w:szCs w:val="18"/>
          <w:color w:val="auto"/>
        </w:rPr>
        <w:t>Business Combination were members of the Incumbent Board at the time of the execution of the initial agreement, or of the action of the Board, providing for such Business Combination; or</w:t>
      </w:r>
    </w:p>
    <w:p>
      <w:pPr>
        <w:spacing w:after="0" w:line="194" w:lineRule="exact"/>
        <w:rPr>
          <w:sz w:val="20"/>
          <w:szCs w:val="20"/>
          <w:color w:val="auto"/>
        </w:rPr>
      </w:pPr>
    </w:p>
    <w:p>
      <w:pPr>
        <w:ind w:left="640"/>
        <w:spacing w:after="0"/>
        <w:tabs>
          <w:tab w:leader="none" w:pos="104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6"/>
          <w:szCs w:val="16"/>
          <w:color w:val="auto"/>
        </w:rPr>
        <w:t>The approval by the shareholders of the Company of a complete liquidation or dissolution of the Company.</w:t>
      </w:r>
    </w:p>
    <w:p>
      <w:pPr>
        <w:spacing w:after="0" w:line="26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Section 12.</w:t>
      </w:r>
      <w:r>
        <w:rPr>
          <w:sz w:val="20"/>
          <w:szCs w:val="20"/>
          <w:color w:val="auto"/>
        </w:rPr>
        <w:tab/>
      </w:r>
      <w:r>
        <w:rPr>
          <w:rFonts w:ascii="Times New Roman" w:cs="Times New Roman" w:eastAsia="Times New Roman" w:hAnsi="Times New Roman"/>
          <w:sz w:val="16"/>
          <w:szCs w:val="16"/>
          <w:b w:val="1"/>
          <w:bCs w:val="1"/>
          <w:color w:val="auto"/>
        </w:rPr>
        <w:t>Section 16(b); Section 409A</w:t>
      </w:r>
    </w:p>
    <w:p>
      <w:pPr>
        <w:spacing w:after="0" w:line="257" w:lineRule="exact"/>
        <w:rPr>
          <w:sz w:val="20"/>
          <w:szCs w:val="20"/>
          <w:color w:val="auto"/>
        </w:rPr>
      </w:pPr>
    </w:p>
    <w:p>
      <w:pPr>
        <w:jc w:val="both"/>
        <w:ind w:firstLine="639"/>
        <w:spacing w:after="0" w:line="270" w:lineRule="auto"/>
        <w:tabs>
          <w:tab w:leader="none" w:pos="101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Plan are intended to ensure that no transaction under this Plan is subject to (and all such transactions will be exempt from) the short-swing recovery rules of Section 16(b) of the Exchange Act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220" w:lineRule="exact"/>
        <w:rPr>
          <w:rFonts w:ascii="Times New Roman" w:cs="Times New Roman" w:eastAsia="Times New Roman" w:hAnsi="Times New Roman"/>
          <w:sz w:val="18"/>
          <w:szCs w:val="18"/>
          <w:color w:val="auto"/>
        </w:rPr>
      </w:pPr>
    </w:p>
    <w:p>
      <w:pPr>
        <w:jc w:val="both"/>
        <w:ind w:firstLine="639"/>
        <w:spacing w:after="0" w:line="266" w:lineRule="auto"/>
        <w:tabs>
          <w:tab w:leader="none" w:pos="10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intended to comply with the requirements of Section 409A of the Code or an exemption or exclusion therefrom and, with respect to amounts that are subject to Section 409A of the Code, it is intended that this Plan be administered in all respects in accordance with Section 409A of the Code. Each payment under any Award that constitutes non-qualified deferred compensation subject to Section 409A of the Code shall be treated as a separate payment for purposes of Section 409A of the Code. In no event may a Participant, directly or indirectly, designate the calendar year of any payment to be made under any Award that constitutes non-qualified deferred compensation subject to Section 409A of the Code. Notwithstanding any other provision of this Plan or any Award Agreement to the contrary, if a Participant is a “specified employee” within the meaning of Section 409A of the Code (as determined in accordance with the methodology established by the Company), amounts that constitute “nonqualified deferred compensation” within the meaning of Section 409A of the Code that would otherwise be payable by reason of a Participant’s Separation from Service during the six-month period immediately following such Separation from Service shall instead be paid or provided on the first business day following the date that is six months following the Participant’s Separation from Service. If the Participant dies following the Separation from Service and prior to the payment of any amounts delayed on account of Section 409A of the Code, such amounts shall be paid to the personal representative of the Participant’s estate within 30 days following the date of the Participant’s death.</w:t>
      </w:r>
    </w:p>
    <w:p>
      <w:pPr>
        <w:spacing w:after="0" w:line="22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Section 13.</w:t>
      </w:r>
      <w:r>
        <w:rPr>
          <w:sz w:val="20"/>
          <w:szCs w:val="20"/>
          <w:color w:val="auto"/>
        </w:rPr>
        <w:tab/>
      </w:r>
      <w:r>
        <w:rPr>
          <w:rFonts w:ascii="Times New Roman" w:cs="Times New Roman" w:eastAsia="Times New Roman" w:hAnsi="Times New Roman"/>
          <w:sz w:val="16"/>
          <w:szCs w:val="16"/>
          <w:b w:val="1"/>
          <w:bCs w:val="1"/>
          <w:color w:val="auto"/>
        </w:rPr>
        <w:t>Term, Amendment and Termination</w:t>
      </w:r>
    </w:p>
    <w:p>
      <w:pPr>
        <w:spacing w:after="0" w:line="255" w:lineRule="exact"/>
        <w:rPr>
          <w:sz w:val="20"/>
          <w:szCs w:val="20"/>
          <w:color w:val="auto"/>
        </w:rPr>
      </w:pPr>
    </w:p>
    <w:p>
      <w:pPr>
        <w:jc w:val="both"/>
        <w:ind w:firstLine="639"/>
        <w:spacing w:after="0" w:line="274" w:lineRule="auto"/>
        <w:tabs>
          <w:tab w:leader="none" w:pos="1027" w:val="left"/>
        </w:tabs>
        <w:numPr>
          <w:ilvl w:val="0"/>
          <w:numId w:val="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Effectiveness</w:t>
      </w:r>
      <w:r>
        <w:rPr>
          <w:rFonts w:ascii="Times New Roman" w:cs="Times New Roman" w:eastAsia="Times New Roman" w:hAnsi="Times New Roman"/>
          <w:sz w:val="18"/>
          <w:szCs w:val="18"/>
          <w:color w:val="auto"/>
        </w:rPr>
        <w:t>. The Plan was approved by the Board on March 21, 2014, and became effective upon approval by the Company’s shareholders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8, 2014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first amendment and restatement of the Plan was approved by the Board on February 9, 2017 and became effective upon approval by the Company’s shareholders on May 11, 2017. This second amendment and restatement of the Plan was approved by the Board on March 16, 2022, and it will be effective as of the date of such approval by the Company’s shareholders (the “</w:t>
      </w:r>
      <w:r>
        <w:rPr>
          <w:rFonts w:ascii="Times New Roman" w:cs="Times New Roman" w:eastAsia="Times New Roman" w:hAnsi="Times New Roman"/>
          <w:sz w:val="18"/>
          <w:szCs w:val="18"/>
          <w:u w:val="single" w:color="auto"/>
          <w:color w:val="auto"/>
        </w:rPr>
        <w:t>Restatement Effective Date</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i w:val="1"/>
          <w:iCs w:val="1"/>
          <w:color w:val="auto"/>
        </w:rPr>
      </w:pPr>
    </w:p>
    <w:p>
      <w:pPr>
        <w:ind w:firstLine="639"/>
        <w:spacing w:after="0" w:line="302" w:lineRule="auto"/>
        <w:tabs>
          <w:tab w:leader="none" w:pos="1014" w:val="left"/>
        </w:tabs>
        <w:numPr>
          <w:ilvl w:val="0"/>
          <w:numId w:val="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Plan will terminate on the tenth anniversary of the Restatement Effective Date. Awards outstanding as of such date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or impaired by the termination of this Plan.</w:t>
      </w:r>
    </w:p>
    <w:p>
      <w:pPr>
        <w:spacing w:after="0" w:line="178" w:lineRule="exact"/>
        <w:rPr>
          <w:rFonts w:ascii="Times New Roman" w:cs="Times New Roman" w:eastAsia="Times New Roman" w:hAnsi="Times New Roman"/>
          <w:sz w:val="18"/>
          <w:szCs w:val="18"/>
          <w:i w:val="1"/>
          <w:iCs w:val="1"/>
          <w:color w:val="auto"/>
        </w:rPr>
      </w:pPr>
    </w:p>
    <w:p>
      <w:pPr>
        <w:jc w:val="both"/>
        <w:ind w:firstLine="639"/>
        <w:spacing w:after="0" w:line="270" w:lineRule="auto"/>
        <w:tabs>
          <w:tab w:leader="none" w:pos="1045" w:val="left"/>
        </w:tabs>
        <w:numPr>
          <w:ilvl w:val="0"/>
          <w:numId w:val="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Amendment of Plan</w:t>
      </w:r>
      <w:r>
        <w:rPr>
          <w:rFonts w:ascii="Times New Roman" w:cs="Times New Roman" w:eastAsia="Times New Roman" w:hAnsi="Times New Roman"/>
          <w:sz w:val="18"/>
          <w:szCs w:val="18"/>
          <w:color w:val="auto"/>
        </w:rPr>
        <w:t>. The Board or the Committee may amend, alter, or discontinue this Plan, but no amendment, alteration or discontinuation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made which would materially impair the rights of the Participant with respect to a previously granted Award without such Participant’s consent, except such an amendment made to comply with applicable law, including without limitation Section 409A of the Code, Applicable Exchange listing standards or accounting rules. In addition, no amendment shall be made without the approval of the Company’s shareholders to the extent such approval is required by applicable law or the listing standards of the Applicable Exchange.</w:t>
      </w:r>
    </w:p>
    <w:p>
      <w:pPr>
        <w:spacing w:after="0" w:line="220" w:lineRule="exact"/>
        <w:rPr>
          <w:rFonts w:ascii="Times New Roman" w:cs="Times New Roman" w:eastAsia="Times New Roman" w:hAnsi="Times New Roman"/>
          <w:sz w:val="18"/>
          <w:szCs w:val="18"/>
          <w:i w:val="1"/>
          <w:iCs w:val="1"/>
          <w:color w:val="auto"/>
        </w:rPr>
      </w:pPr>
    </w:p>
    <w:p>
      <w:pPr>
        <w:jc w:val="both"/>
        <w:ind w:firstLine="639"/>
        <w:spacing w:after="0" w:line="273" w:lineRule="auto"/>
        <w:tabs>
          <w:tab w:leader="none" w:pos="1028" w:val="left"/>
        </w:tabs>
        <w:numPr>
          <w:ilvl w:val="0"/>
          <w:numId w:val="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Amendment of Awards</w:t>
      </w:r>
      <w:r>
        <w:rPr>
          <w:rFonts w:ascii="Times New Roman" w:cs="Times New Roman" w:eastAsia="Times New Roman" w:hAnsi="Times New Roman"/>
          <w:sz w:val="18"/>
          <w:szCs w:val="18"/>
          <w:color w:val="auto"/>
        </w:rPr>
        <w:t>. Subject to Section 5(d), the Committee may unilaterally amend the terms of any Award theretofore granted, but no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shall without the Participant’s consent materially impair the rights of any Participant with respect to an Award, except such an amendment made to cause this Plan or Award to comply with applicable law, Applicable Exchange listing standards or accounting rules.</w:t>
      </w:r>
    </w:p>
    <w:p>
      <w:pPr>
        <w:sectPr>
          <w:pgSz w:w="11900" w:h="16838" w:orient="portrait"/>
          <w:cols w:equalWidth="0" w:num="1">
            <w:col w:w="11240"/>
          </w:cols>
          <w:pgMar w:left="320" w:top="1163" w:right="339" w:bottom="1440" w:gutter="0" w:footer="0" w:header="0"/>
        </w:sectPr>
      </w:pPr>
    </w:p>
    <w:bookmarkStart w:id="72" w:name="page73"/>
    <w:bookmarkEnd w:id="72"/>
    <w:p>
      <w:pPr>
        <w:ind w:left="10320"/>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Section 14.</w:t>
      </w:r>
      <w:r>
        <w:rPr>
          <w:sz w:val="20"/>
          <w:szCs w:val="20"/>
          <w:color w:val="auto"/>
        </w:rPr>
        <w:tab/>
      </w:r>
      <w:r>
        <w:rPr>
          <w:rFonts w:ascii="Times New Roman" w:cs="Times New Roman" w:eastAsia="Times New Roman" w:hAnsi="Times New Roman"/>
          <w:sz w:val="16"/>
          <w:szCs w:val="16"/>
          <w:b w:val="1"/>
          <w:bCs w:val="1"/>
          <w:color w:val="auto"/>
        </w:rPr>
        <w:t>Unfunded Status of Plan</w:t>
      </w:r>
    </w:p>
    <w:p>
      <w:pPr>
        <w:spacing w:after="0" w:line="257"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18"/>
          <w:szCs w:val="18"/>
          <w:color w:val="auto"/>
        </w:rPr>
        <w:t xml:space="preserve">It is intended that this Plan constitute an “unfunded” plan for incentive and deferred compensation. The Committee may authorize the creation of trusts or other arrangements to meet the obligations created under this Plan to deliver Common Stock or make payments;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unless the Committee otherwise determines, the existence of such trusts or other arrangements is consistent with the “unfunded” status of this Plan.</w:t>
      </w:r>
    </w:p>
    <w:p>
      <w:pPr>
        <w:spacing w:after="0" w:line="19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Section 15.</w:t>
      </w:r>
      <w:r>
        <w:rPr>
          <w:sz w:val="20"/>
          <w:szCs w:val="20"/>
          <w:color w:val="auto"/>
        </w:rPr>
        <w:tab/>
      </w:r>
      <w:r>
        <w:rPr>
          <w:rFonts w:ascii="Times New Roman" w:cs="Times New Roman" w:eastAsia="Times New Roman" w:hAnsi="Times New Roman"/>
          <w:sz w:val="16"/>
          <w:szCs w:val="16"/>
          <w:b w:val="1"/>
          <w:bCs w:val="1"/>
          <w:color w:val="auto"/>
        </w:rPr>
        <w:t>General Provisions</w:t>
      </w:r>
    </w:p>
    <w:p>
      <w:pPr>
        <w:spacing w:after="0" w:line="255" w:lineRule="exact"/>
        <w:rPr>
          <w:sz w:val="20"/>
          <w:szCs w:val="20"/>
          <w:color w:val="auto"/>
        </w:rPr>
      </w:pPr>
    </w:p>
    <w:p>
      <w:pPr>
        <w:jc w:val="both"/>
        <w:ind w:firstLine="639"/>
        <w:spacing w:after="0" w:line="269" w:lineRule="auto"/>
        <w:tabs>
          <w:tab w:leader="none" w:pos="1023" w:val="left"/>
        </w:tabs>
        <w:numPr>
          <w:ilvl w:val="0"/>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Conditions for Issuance</w:t>
      </w:r>
      <w:r>
        <w:rPr>
          <w:rFonts w:ascii="Times New Roman" w:cs="Times New Roman" w:eastAsia="Times New Roman" w:hAnsi="Times New Roman"/>
          <w:sz w:val="18"/>
          <w:szCs w:val="18"/>
          <w:color w:val="auto"/>
        </w:rPr>
        <w:t>. The Committee may require each person purchasing or receiving Shares pursuant to an Award to represent to and agree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Company in writing that such person is acquiring the Shares without a view to the distribution thereof. The certificates for such Shares may include any legend which the Committee deems appropriate to reflect any restrictions on transfer. Notwithstanding any other provision of this Plan or agreements made pursuant thereto, the Company shall not be required to issue or deliver any certificate or certificates for Shares under this Plan prior to fulfillment of all of the following conditions: (i) 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which the Committee shall, in its absolute discretion upon the advice of counsel, deem necessary or advisable; and (iii) obtaining any other consent, approval, or permit from any state or federal governmental agency which the Committee shall, in its absolute discretion after receiving the advice of counsel, determine to be necessary or advisable.</w:t>
      </w:r>
    </w:p>
    <w:p>
      <w:pPr>
        <w:spacing w:after="0" w:line="206" w:lineRule="exact"/>
        <w:rPr>
          <w:rFonts w:ascii="Times New Roman" w:cs="Times New Roman" w:eastAsia="Times New Roman" w:hAnsi="Times New Roman"/>
          <w:sz w:val="18"/>
          <w:szCs w:val="18"/>
          <w:i w:val="1"/>
          <w:iCs w:val="1"/>
          <w:color w:val="auto"/>
        </w:rPr>
      </w:pPr>
    </w:p>
    <w:p>
      <w:pPr>
        <w:ind w:firstLine="639"/>
        <w:spacing w:after="0" w:line="302" w:lineRule="auto"/>
        <w:tabs>
          <w:tab w:leader="none" w:pos="1019" w:val="left"/>
        </w:tabs>
        <w:numPr>
          <w:ilvl w:val="0"/>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Additional Compensation Arrangements</w:t>
      </w:r>
      <w:r>
        <w:rPr>
          <w:rFonts w:ascii="Times New Roman" w:cs="Times New Roman" w:eastAsia="Times New Roman" w:hAnsi="Times New Roman"/>
          <w:sz w:val="18"/>
          <w:szCs w:val="18"/>
          <w:color w:val="auto"/>
        </w:rPr>
        <w:t>. Nothing contained in this Plan shall prevent the Company or any Subsidiary or Affiliate from adopting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or additional compensation arrangements for its employees.</w:t>
      </w:r>
    </w:p>
    <w:p>
      <w:pPr>
        <w:spacing w:after="0" w:line="178" w:lineRule="exact"/>
        <w:rPr>
          <w:rFonts w:ascii="Times New Roman" w:cs="Times New Roman" w:eastAsia="Times New Roman" w:hAnsi="Times New Roman"/>
          <w:sz w:val="18"/>
          <w:szCs w:val="18"/>
          <w:i w:val="1"/>
          <w:iCs w:val="1"/>
          <w:color w:val="auto"/>
        </w:rPr>
      </w:pPr>
    </w:p>
    <w:p>
      <w:pPr>
        <w:jc w:val="both"/>
        <w:ind w:firstLine="639"/>
        <w:spacing w:after="0" w:line="281" w:lineRule="auto"/>
        <w:tabs>
          <w:tab w:leader="none" w:pos="1102" w:val="left"/>
        </w:tabs>
        <w:numPr>
          <w:ilvl w:val="0"/>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Contract of Employment</w:t>
      </w:r>
      <w:r>
        <w:rPr>
          <w:rFonts w:ascii="Times New Roman" w:cs="Times New Roman" w:eastAsia="Times New Roman" w:hAnsi="Times New Roman"/>
          <w:sz w:val="18"/>
          <w:szCs w:val="18"/>
          <w:color w:val="auto"/>
        </w:rPr>
        <w:t>. The Plan shall not constitute a contract of employment, and adoption of this Plan shall not confer upon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any right to continued employment, nor shall it interfere in any way with the right of the Company or any Subsidiary or Affiliate to terminate the employment of any employee at any time.</w:t>
      </w:r>
    </w:p>
    <w:p>
      <w:pPr>
        <w:spacing w:after="0" w:line="196" w:lineRule="exact"/>
        <w:rPr>
          <w:rFonts w:ascii="Times New Roman" w:cs="Times New Roman" w:eastAsia="Times New Roman" w:hAnsi="Times New Roman"/>
          <w:sz w:val="18"/>
          <w:szCs w:val="18"/>
          <w:i w:val="1"/>
          <w:iCs w:val="1"/>
          <w:color w:val="auto"/>
        </w:rPr>
      </w:pPr>
    </w:p>
    <w:p>
      <w:pPr>
        <w:jc w:val="both"/>
        <w:ind w:firstLine="639"/>
        <w:spacing w:after="0" w:line="268" w:lineRule="auto"/>
        <w:tabs>
          <w:tab w:leader="none" w:pos="1014" w:val="left"/>
        </w:tabs>
        <w:numPr>
          <w:ilvl w:val="0"/>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Required Taxes</w:t>
      </w:r>
      <w:r>
        <w:rPr>
          <w:rFonts w:ascii="Times New Roman" w:cs="Times New Roman" w:eastAsia="Times New Roman" w:hAnsi="Times New Roman"/>
          <w:sz w:val="18"/>
          <w:szCs w:val="18"/>
          <w:color w:val="auto"/>
        </w:rPr>
        <w:t>. No later than the date as of which an amount first becomes includible in the gross income of a Participant for federal, state,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foreign income or employment or other tax purposes with respect to any Award under this Plan, such Participant shall pay to the Company, or make arrangements satisfactory to the Company regarding the payment of, any federal, state, local or foreign taxes of any kind required by law to be withheld with respect to such amount. Unless otherwise determined by the Company, withholding obligations may be settled with Common Stock, including Common Stock that is part of the Award that gives rise to the withholding requirement, having a Fair Market Value on the date of withholding of up to the maximum amount permitted to be withheld for tax purposes, but in no event less than the minimum amount required to be withheld for tax purposes, all in accordance with such procedures as the Committee establishes. The obligations of the Company under this Plan shall be conditional on such payment or arrangements, and the Company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unless otherwise subsequently determined by the Committee, with respect to a Participant subject to Section 16 of the Exchange Act, the withholding of Shares by the Company or any of its Affiliates to satisfy tax, exercise price or other withholding obligations in respect of an Award shall be mandatory.</w:t>
      </w:r>
    </w:p>
    <w:p>
      <w:pPr>
        <w:spacing w:after="0" w:line="207" w:lineRule="exact"/>
        <w:rPr>
          <w:rFonts w:ascii="Times New Roman" w:cs="Times New Roman" w:eastAsia="Times New Roman" w:hAnsi="Times New Roman"/>
          <w:sz w:val="18"/>
          <w:szCs w:val="18"/>
          <w:i w:val="1"/>
          <w:iCs w:val="1"/>
          <w:color w:val="auto"/>
        </w:rPr>
      </w:pPr>
    </w:p>
    <w:p>
      <w:pPr>
        <w:jc w:val="both"/>
        <w:ind w:firstLine="639"/>
        <w:spacing w:after="0" w:line="271" w:lineRule="auto"/>
        <w:tabs>
          <w:tab w:leader="none" w:pos="1067" w:val="left"/>
        </w:tabs>
        <w:numPr>
          <w:ilvl w:val="0"/>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Limitation on Dividend Reinvestment and Dividend Equivalents</w:t>
      </w:r>
      <w:r>
        <w:rPr>
          <w:rFonts w:ascii="Times New Roman" w:cs="Times New Roman" w:eastAsia="Times New Roman" w:hAnsi="Times New Roman"/>
          <w:sz w:val="18"/>
          <w:szCs w:val="18"/>
          <w:color w:val="auto"/>
        </w:rPr>
        <w:t>. Reinvestment of dividends in additional Restricted Stock at the time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payment, and the payment of Shares with respect to dividends to Participants holding Awards of Restricted Stock Units, shall only be permissible if sufficient Shares are available under Section 3 for such reinvestment or payment (taking into account then-outstanding Awards). If sufficient Shares are not available for such reinvestment or payment, such reinvestment or payment shall be made in the form of a grant of Restricted Stock Units equal in number to the Shares that would have been obtained by such payment or reinvestment, the terms of which Restricted Stock Units shall provide for settlement in cash and for dividend equivalent reinvestment in further Restricted Stock Units on the terms contemplated by this Section 15(e).</w:t>
      </w:r>
    </w:p>
    <w:p>
      <w:pPr>
        <w:sectPr>
          <w:pgSz w:w="11900" w:h="16838" w:orient="portrait"/>
          <w:cols w:equalWidth="0" w:num="1">
            <w:col w:w="11240"/>
          </w:cols>
          <w:pgMar w:left="320" w:top="343" w:right="339" w:bottom="1440" w:gutter="0" w:footer="0" w:header="0"/>
        </w:sectPr>
      </w:pPr>
    </w:p>
    <w:bookmarkStart w:id="73" w:name="page74"/>
    <w:bookmarkEnd w:id="73"/>
    <w:p>
      <w:pPr>
        <w:jc w:val="both"/>
        <w:ind w:left="-639" w:firstLine="639"/>
        <w:spacing w:after="0" w:line="273" w:lineRule="auto"/>
        <w:tabs>
          <w:tab w:leader="none" w:pos="442" w:val="left"/>
        </w:tabs>
        <w:numPr>
          <w:ilvl w:val="0"/>
          <w:numId w:val="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Designation of Death Beneficiary</w:t>
      </w:r>
      <w:r>
        <w:rPr>
          <w:rFonts w:ascii="Times New Roman" w:cs="Times New Roman" w:eastAsia="Times New Roman" w:hAnsi="Times New Roman"/>
          <w:sz w:val="18"/>
          <w:szCs w:val="18"/>
          <w:color w:val="auto"/>
        </w:rPr>
        <w:t>. The Committee shall establish such procedures as it deems appropriate for a Participant to designate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beneficiary to whom any amounts payable in the event of such Participant’s death are to be paid or by whom any rights of such eligible Individual, after such Participant’s death, may be exercised.</w:t>
      </w:r>
    </w:p>
    <w:p>
      <w:pPr>
        <w:spacing w:after="0" w:line="216" w:lineRule="exact"/>
        <w:rPr>
          <w:rFonts w:ascii="Times New Roman" w:cs="Times New Roman" w:eastAsia="Times New Roman" w:hAnsi="Times New Roman"/>
          <w:sz w:val="18"/>
          <w:szCs w:val="18"/>
          <w:i w:val="1"/>
          <w:iCs w:val="1"/>
          <w:color w:val="auto"/>
        </w:rPr>
      </w:pPr>
    </w:p>
    <w:p>
      <w:pPr>
        <w:jc w:val="both"/>
        <w:ind w:left="-639" w:firstLine="639"/>
        <w:spacing w:after="0" w:line="274" w:lineRule="auto"/>
        <w:tabs>
          <w:tab w:leader="none" w:pos="386" w:val="left"/>
        </w:tabs>
        <w:numPr>
          <w:ilvl w:val="0"/>
          <w:numId w:val="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Subsidiary Employees</w:t>
      </w:r>
      <w:r>
        <w:rPr>
          <w:rFonts w:ascii="Times New Roman" w:cs="Times New Roman" w:eastAsia="Times New Roman" w:hAnsi="Times New Roman"/>
          <w:sz w:val="18"/>
          <w:szCs w:val="18"/>
          <w:color w:val="auto"/>
        </w:rPr>
        <w:t>. In the case of a grant of an Award to any employee of a Subsidiary, the Company may, if the Committee so directs,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transfer the Shares, if any, covered by the Award to the Subsidiary, for such lawful consideration as the Committee may specify, upon the condition or understanding that the Subsidiary will transfer the Shares to the employee in accordance with the terms of the Award specified by the Committee pursuant to the provisions of this Plan. All Shares underlying Awards that are forfeited or canceled revert to the Company.</w:t>
      </w:r>
    </w:p>
    <w:p>
      <w:pPr>
        <w:spacing w:after="0" w:line="202" w:lineRule="exact"/>
        <w:rPr>
          <w:rFonts w:ascii="Times New Roman" w:cs="Times New Roman" w:eastAsia="Times New Roman" w:hAnsi="Times New Roman"/>
          <w:sz w:val="18"/>
          <w:szCs w:val="18"/>
          <w:i w:val="1"/>
          <w:iCs w:val="1"/>
          <w:color w:val="auto"/>
        </w:rPr>
      </w:pPr>
    </w:p>
    <w:p>
      <w:pPr>
        <w:jc w:val="both"/>
        <w:ind w:left="-639" w:firstLine="639"/>
        <w:spacing w:after="0" w:line="281" w:lineRule="auto"/>
        <w:tabs>
          <w:tab w:leader="none" w:pos="503" w:val="left"/>
        </w:tabs>
        <w:numPr>
          <w:ilvl w:val="0"/>
          <w:numId w:val="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Governing Law and Interpretation</w:t>
      </w:r>
      <w:r>
        <w:rPr>
          <w:rFonts w:ascii="Times New Roman" w:cs="Times New Roman" w:eastAsia="Times New Roman" w:hAnsi="Times New Roman"/>
          <w:sz w:val="18"/>
          <w:szCs w:val="18"/>
          <w:color w:val="auto"/>
        </w:rPr>
        <w:t>. The Plan and all Awards made and actions taken thereunder shall be governed by and construed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laws of the State of Delaware, without reference to principles of conflict of laws. The captions of this Plan are not part of the provisions hereof and shall have no force or effect.</w:t>
      </w:r>
    </w:p>
    <w:p>
      <w:pPr>
        <w:spacing w:after="0" w:line="196" w:lineRule="exact"/>
        <w:rPr>
          <w:rFonts w:ascii="Times New Roman" w:cs="Times New Roman" w:eastAsia="Times New Roman" w:hAnsi="Times New Roman"/>
          <w:sz w:val="18"/>
          <w:szCs w:val="18"/>
          <w:i w:val="1"/>
          <w:iCs w:val="1"/>
          <w:color w:val="auto"/>
        </w:rPr>
      </w:pPr>
    </w:p>
    <w:p>
      <w:pPr>
        <w:ind w:left="-639" w:firstLine="639"/>
        <w:spacing w:after="0" w:line="287" w:lineRule="auto"/>
        <w:tabs>
          <w:tab w:leader="none" w:pos="376" w:val="left"/>
        </w:tabs>
        <w:numPr>
          <w:ilvl w:val="0"/>
          <w:numId w:val="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Non-Transferability</w:t>
      </w:r>
      <w:r>
        <w:rPr>
          <w:rFonts w:ascii="Times New Roman" w:cs="Times New Roman" w:eastAsia="Times New Roman" w:hAnsi="Times New Roman"/>
          <w:sz w:val="18"/>
          <w:szCs w:val="18"/>
          <w:color w:val="auto"/>
        </w:rPr>
        <w:t>. Except as otherwise provided in Sections 5(i), 6(c)(ii) and 7(b)(ii) or as determined by the Committee, Awards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are not transferable except by will or by laws of descent and distribution.</w:t>
      </w:r>
    </w:p>
    <w:p>
      <w:pPr>
        <w:spacing w:after="0" w:line="203" w:lineRule="exact"/>
        <w:rPr>
          <w:rFonts w:ascii="Times New Roman" w:cs="Times New Roman" w:eastAsia="Times New Roman" w:hAnsi="Times New Roman"/>
          <w:sz w:val="18"/>
          <w:szCs w:val="18"/>
          <w:i w:val="1"/>
          <w:iCs w:val="1"/>
          <w:color w:val="auto"/>
        </w:rPr>
      </w:pPr>
    </w:p>
    <w:p>
      <w:pPr>
        <w:ind w:left="-639" w:firstLine="639"/>
        <w:spacing w:after="0" w:line="287" w:lineRule="auto"/>
        <w:tabs>
          <w:tab w:leader="none" w:pos="336" w:val="left"/>
        </w:tabs>
        <w:numPr>
          <w:ilvl w:val="0"/>
          <w:numId w:val="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Recoupment Policy</w:t>
      </w:r>
      <w:r>
        <w:rPr>
          <w:rFonts w:ascii="Times New Roman" w:cs="Times New Roman" w:eastAsia="Times New Roman" w:hAnsi="Times New Roman"/>
          <w:sz w:val="18"/>
          <w:szCs w:val="18"/>
          <w:color w:val="auto"/>
        </w:rPr>
        <w:t>. Awards shall be subject to any incentive compensation recoupment policy established from time to time by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all events shall be subject to such forfeiture and recoupment provisions as may be required by applicable law or exchange rule or regulation.</w:t>
      </w:r>
    </w:p>
    <w:p>
      <w:pPr>
        <w:sectPr>
          <w:pgSz w:w="11900" w:h="16838" w:orient="portrait"/>
          <w:cols w:equalWidth="0" w:num="1">
            <w:col w:w="10601"/>
          </w:cols>
          <w:pgMar w:left="959" w:top="1398"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9"/>
          <w:szCs w:val="19"/>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CREDIT AGREEMENT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Dated as of April 29, 2024</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among</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NMI HOLDINGS,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the Company,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ROYAL BANK OF CANADA,</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the Agent,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and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LENDERS PARTY HERETO</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RBC CAPITAL MARKETS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9"/>
          <w:szCs w:val="19"/>
          <w:color w:val="auto"/>
        </w:rPr>
        <w:t>, BANK OF MONTREAL, CITIBANK, N.A. AND TRUIST SECURITIES, INC.,</w:t>
      </w:r>
    </w:p>
    <w:p>
      <w:pPr>
        <w:jc w:val="center"/>
        <w:spacing w:after="0"/>
        <w:rPr>
          <w:sz w:val="20"/>
          <w:szCs w:val="20"/>
          <w:color w:val="auto"/>
        </w:rPr>
      </w:pPr>
      <w:r>
        <w:rPr>
          <w:rFonts w:ascii="Times New Roman" w:cs="Times New Roman" w:eastAsia="Times New Roman" w:hAnsi="Times New Roman"/>
          <w:sz w:val="19"/>
          <w:szCs w:val="19"/>
          <w:color w:val="auto"/>
        </w:rPr>
        <w:t>as Joint Lead Arrangers and Joint Bookrunners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and</w:t>
      </w:r>
    </w:p>
    <w:p>
      <w:pPr>
        <w:spacing w:after="0" w:line="256" w:lineRule="exact"/>
        <w:rPr>
          <w:sz w:val="20"/>
          <w:szCs w:val="20"/>
          <w:color w:val="auto"/>
        </w:rPr>
      </w:pPr>
    </w:p>
    <w:p>
      <w:pPr>
        <w:jc w:val="center"/>
        <w:spacing w:after="0" w:line="283" w:lineRule="auto"/>
        <w:rPr>
          <w:sz w:val="20"/>
          <w:szCs w:val="20"/>
          <w:color w:val="auto"/>
        </w:rPr>
      </w:pPr>
      <w:r>
        <w:rPr>
          <w:rFonts w:ascii="Times New Roman" w:cs="Times New Roman" w:eastAsia="Times New Roman" w:hAnsi="Times New Roman"/>
          <w:sz w:val="19"/>
          <w:szCs w:val="19"/>
          <w:color w:val="auto"/>
        </w:rPr>
        <w:t>GOLDMAN SACHS BANK USA, HUNTINGTON NATIONAL BANK AND U.S. BANK NATIONAL ASSOCIATION, 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3866515</wp:posOffset>
            </wp:positionV>
            <wp:extent cx="16751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hanging="94"/>
        <w:spacing w:after="0"/>
        <w:tabs>
          <w:tab w:leader="none" w:pos="100" w:val="left"/>
        </w:tabs>
        <w:numPr>
          <w:ilvl w:val="0"/>
          <w:numId w:val="7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RBC Capital Markets is a brand name for the capital markets business of Royal Bank of Canada and its Affiliates.</w:t>
      </w:r>
    </w:p>
    <w:p>
      <w:pPr>
        <w:sectPr>
          <w:pgSz w:w="11900" w:h="16838" w:orient="portrait"/>
          <w:cols w:equalWidth="0" w:num="1">
            <w:col w:w="11240"/>
          </w:cols>
          <w:pgMar w:left="320" w:top="100" w:right="33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1085850</wp:posOffset>
            </wp:positionV>
            <wp:extent cx="71354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SCHEDULES</w:t>
            </w:r>
          </w:p>
        </w:tc>
        <w:tc>
          <w:tcPr>
            <w:tcW w:w="20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420"/>
        </w:trPr>
        <w:tc>
          <w:tcPr>
            <w:tcW w:w="1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Schedule 1.01(A)</w:t>
            </w:r>
          </w:p>
        </w:tc>
        <w:tc>
          <w:tcPr>
            <w:tcW w:w="23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Commitments</w:t>
            </w:r>
          </w:p>
        </w:tc>
      </w:tr>
      <w:tr>
        <w:trPr>
          <w:trHeight w:val="237"/>
        </w:trPr>
        <w:tc>
          <w:tcPr>
            <w:tcW w:w="37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Schedule 5.01  Corporate Existence and Power</w:t>
            </w:r>
          </w:p>
        </w:tc>
      </w:tr>
      <w:tr>
        <w:trPr>
          <w:trHeight w:val="224"/>
        </w:trPr>
        <w:tc>
          <w:tcPr>
            <w:tcW w:w="1240" w:type="dxa"/>
            <w:vAlign w:val="bottom"/>
          </w:tcPr>
          <w:p>
            <w:pPr>
              <w:spacing w:after="0"/>
              <w:rPr>
                <w:sz w:val="20"/>
                <w:szCs w:val="20"/>
                <w:color w:val="auto"/>
              </w:rPr>
            </w:pPr>
            <w:r>
              <w:rPr>
                <w:rFonts w:ascii="Times New Roman" w:cs="Times New Roman" w:eastAsia="Times New Roman" w:hAnsi="Times New Roman"/>
                <w:sz w:val="19"/>
                <w:szCs w:val="19"/>
                <w:color w:val="auto"/>
              </w:rPr>
              <w:t>Schedule 5.07</w:t>
            </w:r>
          </w:p>
        </w:tc>
        <w:tc>
          <w:tcPr>
            <w:tcW w:w="25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ERISA</w:t>
            </w:r>
          </w:p>
        </w:tc>
      </w:tr>
      <w:tr>
        <w:trPr>
          <w:trHeight w:val="237"/>
        </w:trPr>
        <w:tc>
          <w:tcPr>
            <w:tcW w:w="1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Schedule 5.14(b)</w:t>
            </w:r>
          </w:p>
        </w:tc>
        <w:tc>
          <w:tcPr>
            <w:tcW w:w="230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Capital Stock</w:t>
            </w:r>
          </w:p>
        </w:tc>
      </w:tr>
      <w:tr>
        <w:trPr>
          <w:trHeight w:val="224"/>
        </w:trPr>
        <w:tc>
          <w:tcPr>
            <w:tcW w:w="1240" w:type="dxa"/>
            <w:vAlign w:val="bottom"/>
          </w:tcPr>
          <w:p>
            <w:pPr>
              <w:spacing w:after="0"/>
              <w:rPr>
                <w:sz w:val="20"/>
                <w:szCs w:val="20"/>
                <w:color w:val="auto"/>
              </w:rPr>
            </w:pPr>
            <w:r>
              <w:rPr>
                <w:rFonts w:ascii="Times New Roman" w:cs="Times New Roman" w:eastAsia="Times New Roman" w:hAnsi="Times New Roman"/>
                <w:sz w:val="19"/>
                <w:szCs w:val="19"/>
                <w:color w:val="auto"/>
              </w:rPr>
              <w:t>Schedule 5.15</w:t>
            </w:r>
          </w:p>
        </w:tc>
        <w:tc>
          <w:tcPr>
            <w:tcW w:w="25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Insurance Licenses</w:t>
            </w: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9"/>
                <w:szCs w:val="19"/>
                <w:color w:val="auto"/>
              </w:rPr>
              <w:t>Schedule 7.01</w:t>
            </w:r>
          </w:p>
        </w:tc>
        <w:tc>
          <w:tcPr>
            <w:tcW w:w="25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Existing Indebtedness</w:t>
            </w:r>
          </w:p>
        </w:tc>
      </w:tr>
      <w:tr>
        <w:trPr>
          <w:trHeight w:val="252"/>
        </w:trPr>
        <w:tc>
          <w:tcPr>
            <w:tcW w:w="1240" w:type="dxa"/>
            <w:vAlign w:val="bottom"/>
          </w:tcPr>
          <w:p>
            <w:pPr>
              <w:spacing w:after="0"/>
              <w:rPr>
                <w:sz w:val="20"/>
                <w:szCs w:val="20"/>
                <w:color w:val="auto"/>
              </w:rPr>
            </w:pPr>
            <w:r>
              <w:rPr>
                <w:rFonts w:ascii="Times New Roman" w:cs="Times New Roman" w:eastAsia="Times New Roman" w:hAnsi="Times New Roman"/>
                <w:sz w:val="19"/>
                <w:szCs w:val="19"/>
                <w:color w:val="auto"/>
              </w:rPr>
              <w:t>Schedule 7.02</w:t>
            </w:r>
          </w:p>
        </w:tc>
        <w:tc>
          <w:tcPr>
            <w:tcW w:w="25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Existing Liens</w:t>
            </w:r>
          </w:p>
        </w:tc>
      </w:tr>
    </w:tbl>
    <w:p>
      <w:pPr>
        <w:spacing w:after="0"/>
        <w:tabs>
          <w:tab w:leader="none" w:pos="1280" w:val="left"/>
        </w:tabs>
        <w:rPr>
          <w:sz w:val="20"/>
          <w:szCs w:val="20"/>
          <w:color w:val="auto"/>
        </w:rPr>
      </w:pPr>
      <w:r>
        <w:rPr>
          <w:rFonts w:ascii="Times New Roman" w:cs="Times New Roman" w:eastAsia="Times New Roman" w:hAnsi="Times New Roman"/>
          <w:sz w:val="19"/>
          <w:szCs w:val="19"/>
          <w:color w:val="auto"/>
        </w:rPr>
        <w:t>Schedule 7.09</w:t>
        <w:tab/>
        <w:t>Existing and Committed Investments</w:t>
      </w:r>
    </w:p>
    <w:p>
      <w:pPr>
        <w:spacing w:after="0" w:line="1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9"/>
          <w:szCs w:val="19"/>
          <w:color w:val="auto"/>
        </w:rPr>
        <w:t>Schedule 10.02</w:t>
        <w:tab/>
        <w:t>Addresses for Notices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EXHIBITS</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color w:val="auto"/>
        </w:rPr>
        <w:t>Exhibit A</w:t>
        <w:tab/>
        <w:t>Form of Compliance Certificate</w:t>
      </w:r>
    </w:p>
    <w:p>
      <w:pPr>
        <w:spacing w:after="0" w:line="3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color w:val="auto"/>
        </w:rPr>
        <w:t>Exhibit B</w:t>
        <w:tab/>
        <w:t>Form of Revolving Loan Note</w:t>
      </w:r>
    </w:p>
    <w:p>
      <w:pPr>
        <w:spacing w:after="0" w:line="1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Exhibit C-1</w:t>
        <w:tab/>
        <w:t>Form of Loan Notice</w:t>
      </w:r>
    </w:p>
    <w:p>
      <w:pPr>
        <w:spacing w:after="0" w:line="1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Exhibit C-2</w:t>
        <w:tab/>
        <w:t>Form of Interest Election Request</w:t>
      </w:r>
    </w:p>
    <w:p>
      <w:pPr>
        <w:spacing w:after="0" w:line="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color w:val="auto"/>
        </w:rPr>
        <w:t>Exhibit D</w:t>
        <w:tab/>
        <w:t>Form of Assignment and Assumption</w:t>
      </w:r>
    </w:p>
    <w:p>
      <w:pPr>
        <w:spacing w:after="0" w:line="1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Exhibit E-1 United States Tax Compliance Certificate (For Foreign Lenders That Are Not Partnerships For U.S. Federal Income Tax Purposes) Exhibit E-2 United States Tax Compliance Certificate (For Foreign Participants That Are Not Partnerships For U.S. Federal Income Tax</w:t>
      </w:r>
    </w:p>
    <w:p>
      <w:pPr>
        <w:spacing w:after="0" w:line="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9"/>
          <w:szCs w:val="19"/>
          <w:color w:val="auto"/>
        </w:rPr>
        <w:t>Purposes)</w:t>
      </w:r>
    </w:p>
    <w:p>
      <w:pPr>
        <w:spacing w:after="0" w:line="1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Exhibit E-3</w:t>
        <w:tab/>
        <w:t>United States Tax Compliance Certificate (For Foreign Participants That Are Partnerships For U.S. Federal Income Tax Purposes)</w:t>
      </w:r>
    </w:p>
    <w:p>
      <w:pPr>
        <w:spacing w:after="0" w:line="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Exhibit E-4</w:t>
        <w:tab/>
        <w:t>United States Tax Compliance Certificate (For Foreign Lenders That Are Partnerships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44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9"/>
          <w:szCs w:val="19"/>
          <w:b w:val="1"/>
          <w:bCs w:val="1"/>
          <w:color w:val="auto"/>
        </w:rPr>
        <w:t>CREDIT AGREEMENT</w:t>
      </w:r>
    </w:p>
    <w:p>
      <w:pPr>
        <w:spacing w:after="0" w:line="234"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9"/>
          <w:szCs w:val="19"/>
          <w:color w:val="auto"/>
        </w:rPr>
        <w:t>This CREDIT AGREEMENT is entered into as of April 29, 2024, by and among NMI HOLDINGS, INC., a Delaware corporation (together with its successors,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the lenders from time to time party to this Agreement (collectively, the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individually, each a “</w:t>
      </w:r>
      <w:r>
        <w:rPr>
          <w:rFonts w:ascii="Times New Roman" w:cs="Times New Roman" w:eastAsia="Times New Roman" w:hAnsi="Times New Roman"/>
          <w:sz w:val="19"/>
          <w:szCs w:val="19"/>
          <w:b w:val="1"/>
          <w:bCs w:val="1"/>
          <w:color w:val="auto"/>
        </w:rPr>
        <w:t>Lender</w:t>
      </w:r>
      <w:r>
        <w:rPr>
          <w:rFonts w:ascii="Times New Roman" w:cs="Times New Roman" w:eastAsia="Times New Roman" w:hAnsi="Times New Roman"/>
          <w:sz w:val="19"/>
          <w:szCs w:val="19"/>
          <w:color w:val="auto"/>
        </w:rPr>
        <w:t>”), and ROYAL BANK OF CANADA, as administrative agent for the Lenders.</w:t>
      </w:r>
    </w:p>
    <w:p>
      <w:pPr>
        <w:spacing w:after="0" w:line="154" w:lineRule="exact"/>
        <w:rPr>
          <w:sz w:val="20"/>
          <w:szCs w:val="20"/>
          <w:color w:val="auto"/>
        </w:rPr>
      </w:pPr>
    </w:p>
    <w:p>
      <w:pPr>
        <w:jc w:val="both"/>
        <w:ind w:firstLine="633"/>
        <w:spacing w:after="0" w:line="297" w:lineRule="auto"/>
        <w:rPr>
          <w:sz w:val="20"/>
          <w:szCs w:val="20"/>
          <w:color w:val="auto"/>
        </w:rPr>
      </w:pPr>
      <w:r>
        <w:rPr>
          <w:rFonts w:ascii="Times New Roman" w:cs="Times New Roman" w:eastAsia="Times New Roman" w:hAnsi="Times New Roman"/>
          <w:sz w:val="19"/>
          <w:szCs w:val="19"/>
          <w:color w:val="auto"/>
        </w:rPr>
        <w:t>WHEREAS, the Company desires to obtain from the Lenders a revolving credit facility with revolving commitments in an amount equal to $250,000,000; and</w:t>
      </w:r>
    </w:p>
    <w:p>
      <w:pPr>
        <w:spacing w:after="0" w:line="145" w:lineRule="exact"/>
        <w:rPr>
          <w:sz w:val="20"/>
          <w:szCs w:val="20"/>
          <w:color w:val="auto"/>
        </w:rPr>
      </w:pPr>
    </w:p>
    <w:p>
      <w:pPr>
        <w:jc w:val="both"/>
        <w:ind w:firstLine="633"/>
        <w:spacing w:after="0" w:line="283" w:lineRule="auto"/>
        <w:rPr>
          <w:sz w:val="20"/>
          <w:szCs w:val="20"/>
          <w:color w:val="auto"/>
        </w:rPr>
      </w:pPr>
      <w:r>
        <w:rPr>
          <w:rFonts w:ascii="Times New Roman" w:cs="Times New Roman" w:eastAsia="Times New Roman" w:hAnsi="Times New Roman"/>
          <w:sz w:val="19"/>
          <w:szCs w:val="19"/>
          <w:color w:val="auto"/>
        </w:rPr>
        <w:t>WHEREAS, the Company intends to use the proceeds of the Revolving Facility for general corporate purposes of the Company and its Subsidiaries;</w:t>
      </w:r>
    </w:p>
    <w:p>
      <w:pPr>
        <w:spacing w:after="0" w:line="157" w:lineRule="exact"/>
        <w:rPr>
          <w:sz w:val="20"/>
          <w:szCs w:val="20"/>
          <w:color w:val="auto"/>
        </w:rPr>
      </w:pPr>
    </w:p>
    <w:p>
      <w:pPr>
        <w:jc w:val="both"/>
        <w:ind w:firstLine="633"/>
        <w:spacing w:after="0" w:line="261" w:lineRule="auto"/>
        <w:rPr>
          <w:sz w:val="20"/>
          <w:szCs w:val="20"/>
          <w:color w:val="auto"/>
        </w:rPr>
      </w:pPr>
      <w:r>
        <w:rPr>
          <w:rFonts w:ascii="Times New Roman" w:cs="Times New Roman" w:eastAsia="Times New Roman" w:hAnsi="Times New Roman"/>
          <w:sz w:val="19"/>
          <w:szCs w:val="19"/>
          <w:color w:val="auto"/>
        </w:rPr>
        <w:t>NOW, THEREFORE, in consideration of the mutual agreements, provisions and covenants contained herein, the parties agree as follows: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1</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202"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1.01</w:t>
      </w:r>
      <w:r>
        <w:rPr>
          <w:sz w:val="20"/>
          <w:szCs w:val="20"/>
          <w:color w:val="auto"/>
        </w:rPr>
        <w:tab/>
      </w:r>
      <w:r>
        <w:rPr>
          <w:rFonts w:ascii="Times New Roman" w:cs="Times New Roman" w:eastAsia="Times New Roman" w:hAnsi="Times New Roman"/>
          <w:sz w:val="19"/>
          <w:szCs w:val="19"/>
          <w:u w:val="single" w:color="auto"/>
          <w:color w:val="auto"/>
        </w:rPr>
        <w:t>Certain Defined Terms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following terms have the following meanings:</w:t>
      </w:r>
    </w:p>
    <w:p>
      <w:pPr>
        <w:spacing w:after="0" w:line="213" w:lineRule="exact"/>
        <w:rPr>
          <w:sz w:val="20"/>
          <w:szCs w:val="20"/>
          <w:color w:val="auto"/>
        </w:rPr>
      </w:pPr>
    </w:p>
    <w:p>
      <w:pPr>
        <w:ind w:right="20" w:firstLine="633"/>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Acquisition</w:t>
      </w:r>
      <w:r>
        <w:rPr>
          <w:rFonts w:ascii="Times New Roman" w:cs="Times New Roman" w:eastAsia="Times New Roman" w:hAnsi="Times New Roman"/>
          <w:sz w:val="19"/>
          <w:szCs w:val="19"/>
          <w:color w:val="auto"/>
        </w:rPr>
        <w:t xml:space="preserve">” means (i) any Investment by the Company or any of its Restricted Subsidiaries in a Person (other than an existing Wholly-Owned Subsidiary) whereby such Person becomes a direct or indirect Restricted Subsidiary of the Company or is merged with and into the Company or such Restricted Subsidiary or (ii) an acquisition by the Company or any of its Restricted Subsidiaries of the property and assets of any Person (other than an existing Wholly-Owned Subsidiary) that constitutes all or substantially all of the assets of such Person or any division, line of business, book of business or business unit of such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capital expenditures (as determined in accordance with GAAP) that do not, individually or as part of a series of related transactions, result in the acquisition of all or substantially all of the assets of any Person or any division, line of business, book of business or business unit of such Person shall be deemed not to be Acquisitions.</w:t>
      </w:r>
    </w:p>
    <w:p>
      <w:pPr>
        <w:spacing w:after="0" w:line="164" w:lineRule="exact"/>
        <w:rPr>
          <w:sz w:val="20"/>
          <w:szCs w:val="20"/>
          <w:color w:val="auto"/>
        </w:rPr>
      </w:pPr>
    </w:p>
    <w:p>
      <w:pPr>
        <w:ind w:right="60" w:firstLine="633"/>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Adjusted Daily Simple SOFR</w:t>
      </w:r>
      <w:r>
        <w:rPr>
          <w:rFonts w:ascii="Times New Roman" w:cs="Times New Roman" w:eastAsia="Times New Roman" w:hAnsi="Times New Roman"/>
          <w:sz w:val="19"/>
          <w:szCs w:val="19"/>
          <w:color w:val="auto"/>
        </w:rPr>
        <w:t xml:space="preserve">” means an interest rate per annum equal to (a) the Daily Simple SOFR,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0.10%;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Adjusted Daily Simple SOFR Rate as so determined would be less than the Floor, such rate shall be deemed to be equal to the Floor for the purposes of this Agreement.</w:t>
      </w:r>
    </w:p>
    <w:p>
      <w:pPr>
        <w:spacing w:after="0" w:line="143" w:lineRule="exact"/>
        <w:rPr>
          <w:sz w:val="20"/>
          <w:szCs w:val="20"/>
          <w:color w:val="auto"/>
        </w:rPr>
      </w:pPr>
    </w:p>
    <w:p>
      <w:pPr>
        <w:ind w:right="14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Adjusted Term SOFR Rate</w:t>
      </w:r>
      <w:r>
        <w:rPr>
          <w:rFonts w:ascii="Times New Roman" w:cs="Times New Roman" w:eastAsia="Times New Roman" w:hAnsi="Times New Roman"/>
          <w:sz w:val="19"/>
          <w:szCs w:val="19"/>
          <w:color w:val="auto"/>
        </w:rPr>
        <w:t xml:space="preserve">” means, for any Interest Period, an interest rate per annum equal to (a) the Term SOFR Rate for such Interest Period,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0.10%;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Adjusted Term SOFR Rate as so determined would be less than the Floor, such rate shall be deemed to be equal to the Floor for the purposes of this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Affected Financial Institution</w:t>
      </w:r>
      <w:r>
        <w:rPr>
          <w:rFonts w:ascii="Times New Roman" w:cs="Times New Roman" w:eastAsia="Times New Roman" w:hAnsi="Times New Roman"/>
          <w:sz w:val="19"/>
          <w:szCs w:val="19"/>
          <w:color w:val="auto"/>
        </w:rPr>
        <w:t>” means (a) any EEA Financial Institution or (b) any UK Financial Institution.</w:t>
      </w:r>
    </w:p>
    <w:p>
      <w:pPr>
        <w:spacing w:after="0" w:line="230" w:lineRule="exact"/>
        <w:rPr>
          <w:sz w:val="20"/>
          <w:szCs w:val="20"/>
          <w:color w:val="auto"/>
        </w:rPr>
      </w:pPr>
    </w:p>
    <w:p>
      <w:pPr>
        <w:ind w:right="32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as to any Person, any other Person that, directly or indirectly, is in control of, is controlled by or is under common control with, such Person. A Person shall be deemed to control another Person if the controlling Person possesses, directly or indirectly, the power to direct or cause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Credit Agreement]</w:t>
      </w:r>
    </w:p>
    <w:p>
      <w:pPr>
        <w:sectPr>
          <w:pgSz w:w="11900" w:h="16838" w:orient="portrait"/>
          <w:cols w:equalWidth="0" w:num="1">
            <w:col w:w="11240"/>
          </w:cols>
          <w:pgMar w:left="320" w:top="1379" w:right="339" w:bottom="1440" w:gutter="0" w:footer="0" w:header="0"/>
        </w:sectPr>
      </w:pPr>
    </w:p>
    <w:bookmarkStart w:id="77" w:name="page78"/>
    <w:bookmarkEnd w:id="77"/>
    <w:p>
      <w:pPr>
        <w:ind w:right="440"/>
        <w:spacing w:after="0" w:line="297" w:lineRule="auto"/>
        <w:rPr>
          <w:sz w:val="20"/>
          <w:szCs w:val="20"/>
          <w:color w:val="auto"/>
        </w:rPr>
      </w:pPr>
      <w:r>
        <w:rPr>
          <w:rFonts w:ascii="Times New Roman" w:cs="Times New Roman" w:eastAsia="Times New Roman" w:hAnsi="Times New Roman"/>
          <w:sz w:val="19"/>
          <w:szCs w:val="19"/>
          <w:color w:val="auto"/>
        </w:rPr>
        <w:t>direction of the management and policies of the other Person, whether through the ownership of voting securities, membership interests, by contract or otherwise.</w:t>
      </w:r>
    </w:p>
    <w:p>
      <w:pPr>
        <w:spacing w:after="0" w:line="128" w:lineRule="exact"/>
        <w:rPr>
          <w:sz w:val="20"/>
          <w:szCs w:val="20"/>
          <w:color w:val="auto"/>
        </w:rPr>
      </w:pPr>
    </w:p>
    <w:p>
      <w:pPr>
        <w:ind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means RBC, in its capacity as administrative agent under the Loan Documents, and its successors and permitted assigns in such capacity.</w:t>
      </w:r>
    </w:p>
    <w:p>
      <w:pPr>
        <w:spacing w:after="0" w:line="123" w:lineRule="exact"/>
        <w:rPr>
          <w:sz w:val="20"/>
          <w:szCs w:val="20"/>
          <w:color w:val="auto"/>
        </w:rPr>
      </w:pPr>
    </w:p>
    <w:p>
      <w:pPr>
        <w:ind w:right="20" w:firstLine="633"/>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Agent-Related Persons</w:t>
      </w:r>
      <w:r>
        <w:rPr>
          <w:rFonts w:ascii="Times New Roman" w:cs="Times New Roman" w:eastAsia="Times New Roman" w:hAnsi="Times New Roman"/>
          <w:sz w:val="19"/>
          <w:szCs w:val="19"/>
          <w:color w:val="auto"/>
        </w:rPr>
        <w:t>” means the initial Agent, any successor Agent, any Joint Lead Arranger and the Co-Documentation Agents, in each case together with their respective Affiliates, and the officers, directors, employees, agents and attorneys-in-fact of such Persons and Affiliates.</w:t>
      </w:r>
    </w:p>
    <w:p>
      <w:pPr>
        <w:spacing w:after="0" w:line="143" w:lineRule="exact"/>
        <w:rPr>
          <w:sz w:val="20"/>
          <w:szCs w:val="20"/>
          <w:color w:val="auto"/>
        </w:rPr>
      </w:pPr>
    </w:p>
    <w:p>
      <w:pPr>
        <w:ind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Agent’s Office</w:t>
      </w:r>
      <w:r>
        <w:rPr>
          <w:rFonts w:ascii="Times New Roman" w:cs="Times New Roman" w:eastAsia="Times New Roman" w:hAnsi="Times New Roman"/>
          <w:sz w:val="19"/>
          <w:szCs w:val="19"/>
          <w:color w:val="auto"/>
        </w:rPr>
        <w:t xml:space="preserve">” means the Agent’s address and, as appropriate, account as set forth on </w:t>
      </w:r>
      <w:r>
        <w:rPr>
          <w:rFonts w:ascii="Times New Roman" w:cs="Times New Roman" w:eastAsia="Times New Roman" w:hAnsi="Times New Roman"/>
          <w:sz w:val="19"/>
          <w:szCs w:val="19"/>
          <w:u w:val="single" w:color="auto"/>
          <w:color w:val="auto"/>
        </w:rPr>
        <w:t>Schedule 10.02</w:t>
      </w:r>
      <w:r>
        <w:rPr>
          <w:rFonts w:ascii="Times New Roman" w:cs="Times New Roman" w:eastAsia="Times New Roman" w:hAnsi="Times New Roman"/>
          <w:sz w:val="19"/>
          <w:szCs w:val="19"/>
          <w:color w:val="auto"/>
        </w:rPr>
        <w:t xml:space="preserve"> or such other address or account as the Agent may from time to time specify.</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means this Credit Agreement.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Ancillary Documents</w:t>
      </w:r>
      <w:r>
        <w:rPr>
          <w:rFonts w:ascii="Times New Roman" w:cs="Times New Roman" w:eastAsia="Times New Roman" w:hAnsi="Times New Roman"/>
          <w:sz w:val="19"/>
          <w:szCs w:val="19"/>
          <w:color w:val="auto"/>
        </w:rPr>
        <w:t xml:space="preserve">” has the meanings set forth in </w:t>
      </w:r>
      <w:r>
        <w:rPr>
          <w:rFonts w:ascii="Times New Roman" w:cs="Times New Roman" w:eastAsia="Times New Roman" w:hAnsi="Times New Roman"/>
          <w:sz w:val="19"/>
          <w:szCs w:val="19"/>
          <w:u w:val="single" w:color="auto"/>
          <w:color w:val="auto"/>
        </w:rPr>
        <w:t>Section 10.11</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160"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Annual Statement</w:t>
      </w:r>
      <w:r>
        <w:rPr>
          <w:rFonts w:ascii="Times New Roman" w:cs="Times New Roman" w:eastAsia="Times New Roman" w:hAnsi="Times New Roman"/>
          <w:sz w:val="19"/>
          <w:szCs w:val="19"/>
          <w:color w:val="auto"/>
        </w:rPr>
        <w:t>” means the annual statutory financial statement of any Insurance Subsidiary required to be filed with such Insurance Subsidiary’s domiciliary insurance commissioner, which statement shall be in the form required by such Insurance Subsidiary’s domiciliary jurisdiction or, if no specific form is so required, in the form of financial statements permitted by such domiciliary insurance commissioner to be used for filing annual statutory financial statements and shall contain the type of information permitted or required by such domiciliary insurance commissioner to be disclosed therein, together with all exhibits or schedules filed therewith.</w:t>
      </w:r>
    </w:p>
    <w:p>
      <w:pPr>
        <w:spacing w:after="0" w:line="175" w:lineRule="exact"/>
        <w:rPr>
          <w:sz w:val="20"/>
          <w:szCs w:val="20"/>
          <w:color w:val="auto"/>
        </w:rPr>
      </w:pPr>
    </w:p>
    <w:p>
      <w:pPr>
        <w:ind w:right="4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Anti-Corruption Laws</w:t>
      </w:r>
      <w:r>
        <w:rPr>
          <w:rFonts w:ascii="Times New Roman" w:cs="Times New Roman" w:eastAsia="Times New Roman" w:hAnsi="Times New Roman"/>
          <w:sz w:val="19"/>
          <w:szCs w:val="19"/>
          <w:color w:val="auto"/>
        </w:rPr>
        <w:t>” means the United States Foreign Corrupt Practices Act of 1977, as amended, and any applicable similar laws, rules or regulations issued, administered or enforced by any Governmental Authority having jurisdiction over the Company.</w:t>
      </w:r>
    </w:p>
    <w:p>
      <w:pPr>
        <w:spacing w:after="0" w:line="150" w:lineRule="exact"/>
        <w:rPr>
          <w:sz w:val="20"/>
          <w:szCs w:val="20"/>
          <w:color w:val="auto"/>
        </w:rPr>
      </w:pPr>
    </w:p>
    <w:p>
      <w:pPr>
        <w:ind w:right="180"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Anti-Money Laundering Laws</w:t>
      </w:r>
      <w:r>
        <w:rPr>
          <w:rFonts w:ascii="Times New Roman" w:cs="Times New Roman" w:eastAsia="Times New Roman" w:hAnsi="Times New Roman"/>
          <w:sz w:val="19"/>
          <w:szCs w:val="19"/>
          <w:color w:val="auto"/>
        </w:rPr>
        <w:t>” means any applicable provision of Title III of the Uniting and Strengthening America by Providing Appropriate Tools Required to Intercept and Obstruct Terrorism Act (USA Patriot Act) of 2001 (Title III of Pub. L. 107-56) and The Currency and Foreign Transactions Reporting Act (also known as the “Bank Secrecy Act,” 31 U.S.C. §§ 5311-5330 and 12 U.S.C. §§ 1818(s), 1820(b) and 1951-1959), any law or executive order relating thereto administered by the U.S. Department of the Treasury Office of Foreign Assets Control, and any similar law, regulation, or executive order enacted in the United States after the date of this Agreement.</w:t>
      </w:r>
    </w:p>
    <w:p>
      <w:pPr>
        <w:spacing w:after="0" w:line="175" w:lineRule="exact"/>
        <w:rPr>
          <w:sz w:val="20"/>
          <w:szCs w:val="20"/>
          <w:color w:val="auto"/>
        </w:rPr>
      </w:pPr>
    </w:p>
    <w:p>
      <w:pPr>
        <w:ind w:right="66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Margin</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Applicable Revolving Commitment Fee Percentage</w:t>
      </w:r>
      <w:r>
        <w:rPr>
          <w:rFonts w:ascii="Times New Roman" w:cs="Times New Roman" w:eastAsia="Times New Roman" w:hAnsi="Times New Roman"/>
          <w:sz w:val="19"/>
          <w:szCs w:val="19"/>
          <w:color w:val="auto"/>
        </w:rPr>
        <w:t xml:space="preserve">” mean, on any day, a percentage, </w:t>
      </w:r>
      <w:r>
        <w:rPr>
          <w:rFonts w:ascii="Times New Roman" w:cs="Times New Roman" w:eastAsia="Times New Roman" w:hAnsi="Times New Roman"/>
          <w:sz w:val="19"/>
          <w:szCs w:val="19"/>
          <w:i w:val="1"/>
          <w:iCs w:val="1"/>
          <w:color w:val="auto"/>
        </w:rPr>
        <w:t>per annum</w:t>
      </w:r>
      <w:r>
        <w:rPr>
          <w:rFonts w:ascii="Times New Roman" w:cs="Times New Roman" w:eastAsia="Times New Roman" w:hAnsi="Times New Roman"/>
          <w:sz w:val="19"/>
          <w:szCs w:val="19"/>
          <w:color w:val="auto"/>
        </w:rPr>
        <w:t>, determined by reference to the ratings of the Index Debt in effect on such day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78" w:name="page79"/>
    <w:bookmarkEnd w:id="78"/>
    <w:p>
      <w:pPr>
        <w:spacing w:after="0" w:line="2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b w:val="1"/>
          <w:bCs w:val="1"/>
          <w:color w:val="auto"/>
        </w:rPr>
        <w:t>Pricing</w:t>
      </w:r>
    </w:p>
    <w:p>
      <w:pPr>
        <w:spacing w:after="0" w:line="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b w:val="1"/>
          <w:bCs w:val="1"/>
          <w:color w:val="auto"/>
        </w:rPr>
        <w:t>Level</w:t>
      </w:r>
    </w:p>
    <w:p>
      <w:pPr>
        <w:spacing w:after="0" w:line="1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1</w:t>
      </w:r>
    </w:p>
    <w:p>
      <w:pPr>
        <w:spacing w:after="0" w:line="30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2</w:t>
      </w:r>
    </w:p>
    <w:p>
      <w:pPr>
        <w:spacing w:after="0" w:line="23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3</w:t>
      </w:r>
    </w:p>
    <w:p>
      <w:pPr>
        <w:spacing w:after="0" w:line="23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4</w:t>
      </w:r>
    </w:p>
    <w:p>
      <w:pPr>
        <w:spacing w:after="0" w:line="4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5</w:t>
      </w:r>
    </w:p>
    <w:p>
      <w:pPr>
        <w:spacing w:after="0" w:line="23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6"/>
        </w:trPr>
        <w:tc>
          <w:tcPr>
            <w:tcW w:w="1800" w:type="dxa"/>
            <w:vAlign w:val="bottom"/>
            <w:tcBorders>
              <w:left w:val="single" w:sz="8" w:color="auto"/>
            </w:tcBorders>
            <w:vMerge w:val="restart"/>
          </w:tcPr>
          <w:p>
            <w:pPr>
              <w:ind w:left="780"/>
              <w:spacing w:after="0"/>
              <w:rPr>
                <w:sz w:val="20"/>
                <w:szCs w:val="20"/>
                <w:color w:val="auto"/>
              </w:rPr>
            </w:pPr>
            <w:r>
              <w:rPr>
                <w:rFonts w:ascii="Times New Roman" w:cs="Times New Roman" w:eastAsia="Times New Roman" w:hAnsi="Times New Roman"/>
                <w:sz w:val="19"/>
                <w:szCs w:val="19"/>
                <w:b w:val="1"/>
                <w:bCs w:val="1"/>
                <w:color w:val="auto"/>
              </w:rPr>
              <w:t>Index Debt</w:t>
            </w:r>
          </w:p>
        </w:tc>
        <w:tc>
          <w:tcPr>
            <w:tcW w:w="20" w:type="dxa"/>
            <w:vAlign w:val="bottom"/>
          </w:tcPr>
          <w:p>
            <w:pPr>
              <w:spacing w:after="0"/>
              <w:rPr>
                <w:sz w:val="2"/>
                <w:szCs w:val="2"/>
                <w:color w:val="auto"/>
              </w:rPr>
            </w:pPr>
          </w:p>
        </w:tc>
        <w:tc>
          <w:tcPr>
            <w:tcW w:w="1820" w:type="dxa"/>
            <w:vAlign w:val="bottom"/>
            <w:vMerge w:val="restart"/>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Applicable</w:t>
            </w:r>
          </w:p>
        </w:tc>
        <w:tc>
          <w:tcPr>
            <w:tcW w:w="20" w:type="dxa"/>
            <w:vAlign w:val="bottom"/>
          </w:tcPr>
          <w:p>
            <w:pPr>
              <w:spacing w:after="0"/>
              <w:rPr>
                <w:sz w:val="2"/>
                <w:szCs w:val="2"/>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Applicable</w:t>
            </w:r>
          </w:p>
        </w:tc>
        <w:tc>
          <w:tcPr>
            <w:tcW w:w="20" w:type="dxa"/>
            <w:vAlign w:val="bottom"/>
          </w:tcPr>
          <w:p>
            <w:pPr>
              <w:spacing w:after="0"/>
              <w:rPr>
                <w:sz w:val="2"/>
                <w:szCs w:val="2"/>
                <w:color w:val="auto"/>
              </w:rPr>
            </w:pPr>
          </w:p>
        </w:tc>
        <w:tc>
          <w:tcPr>
            <w:tcW w:w="2300" w:type="dxa"/>
            <w:vAlign w:val="bottom"/>
            <w:tcBorders>
              <w:right w:val="single" w:sz="8" w:color="auto"/>
            </w:tcBorders>
            <w:vMerge w:val="restart"/>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Applicable</w:t>
            </w:r>
          </w:p>
        </w:tc>
        <w:tc>
          <w:tcPr>
            <w:tcW w:w="0" w:type="dxa"/>
            <w:vAlign w:val="bottom"/>
          </w:tcPr>
          <w:p>
            <w:pPr>
              <w:spacing w:after="0" w:line="20" w:lineRule="exact"/>
              <w:rPr>
                <w:sz w:val="1"/>
                <w:szCs w:val="1"/>
                <w:color w:val="auto"/>
              </w:rPr>
            </w:pPr>
          </w:p>
        </w:tc>
      </w:tr>
      <w:tr>
        <w:trPr>
          <w:trHeight w:val="198"/>
        </w:trPr>
        <w:tc>
          <w:tcPr>
            <w:tcW w:w="1800" w:type="dxa"/>
            <w:vAlign w:val="bottom"/>
            <w:tcBorders>
              <w:left w:val="single" w:sz="8" w:color="auto"/>
            </w:tcBorders>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82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58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00" w:type="dxa"/>
            <w:vAlign w:val="bottom"/>
            <w:tcBorders>
              <w:left w:val="single" w:sz="8" w:color="auto"/>
            </w:tcBorders>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820" w:type="dxa"/>
            <w:vAlign w:val="bottom"/>
          </w:tcPr>
          <w:p>
            <w:pPr>
              <w:jc w:val="right"/>
              <w:ind w:right="103"/>
              <w:spacing w:after="0" w:line="198" w:lineRule="exact"/>
              <w:rPr>
                <w:sz w:val="20"/>
                <w:szCs w:val="20"/>
                <w:color w:val="auto"/>
              </w:rPr>
            </w:pPr>
            <w:r>
              <w:rPr>
                <w:rFonts w:ascii="Times New Roman" w:cs="Times New Roman" w:eastAsia="Times New Roman" w:hAnsi="Times New Roman"/>
                <w:sz w:val="19"/>
                <w:szCs w:val="19"/>
                <w:b w:val="1"/>
                <w:bCs w:val="1"/>
                <w:color w:val="auto"/>
              </w:rPr>
              <w:t>Margin for Term</w:t>
            </w:r>
          </w:p>
        </w:tc>
        <w:tc>
          <w:tcPr>
            <w:tcW w:w="20" w:type="dxa"/>
            <w:vAlign w:val="bottom"/>
            <w:shd w:val="clear" w:color="auto" w:fill="000000"/>
          </w:tcPr>
          <w:p>
            <w:pPr>
              <w:spacing w:after="0"/>
              <w:rPr>
                <w:sz w:val="17"/>
                <w:szCs w:val="17"/>
                <w:color w:val="auto"/>
              </w:rPr>
            </w:pPr>
          </w:p>
        </w:tc>
        <w:tc>
          <w:tcPr>
            <w:tcW w:w="1580" w:type="dxa"/>
            <w:vAlign w:val="bottom"/>
          </w:tcPr>
          <w:p>
            <w:pPr>
              <w:jc w:val="right"/>
              <w:ind w:right="23"/>
              <w:spacing w:after="0" w:line="198" w:lineRule="exact"/>
              <w:rPr>
                <w:sz w:val="20"/>
                <w:szCs w:val="20"/>
                <w:color w:val="auto"/>
              </w:rPr>
            </w:pPr>
            <w:r>
              <w:rPr>
                <w:rFonts w:ascii="Times New Roman" w:cs="Times New Roman" w:eastAsia="Times New Roman" w:hAnsi="Times New Roman"/>
                <w:sz w:val="19"/>
                <w:szCs w:val="19"/>
                <w:b w:val="1"/>
                <w:bCs w:val="1"/>
                <w:color w:val="auto"/>
              </w:rPr>
              <w:t>Margin for Base</w:t>
            </w:r>
          </w:p>
        </w:tc>
        <w:tc>
          <w:tcPr>
            <w:tcW w:w="20" w:type="dxa"/>
            <w:vAlign w:val="bottom"/>
            <w:shd w:val="clear" w:color="auto" w:fill="000000"/>
          </w:tcPr>
          <w:p>
            <w:pPr>
              <w:spacing w:after="0"/>
              <w:rPr>
                <w:sz w:val="17"/>
                <w:szCs w:val="17"/>
                <w:color w:val="auto"/>
              </w:rPr>
            </w:pPr>
          </w:p>
        </w:tc>
        <w:tc>
          <w:tcPr>
            <w:tcW w:w="2300" w:type="dxa"/>
            <w:vAlign w:val="bottom"/>
            <w:tcBorders>
              <w:right w:val="single" w:sz="8" w:color="auto"/>
            </w:tcBorders>
          </w:tcPr>
          <w:p>
            <w:pPr>
              <w:jc w:val="right"/>
              <w:ind w:right="83"/>
              <w:spacing w:after="0" w:line="198" w:lineRule="exact"/>
              <w:rPr>
                <w:sz w:val="20"/>
                <w:szCs w:val="20"/>
                <w:color w:val="auto"/>
              </w:rPr>
            </w:pPr>
            <w:r>
              <w:rPr>
                <w:rFonts w:ascii="Times New Roman" w:cs="Times New Roman" w:eastAsia="Times New Roman" w:hAnsi="Times New Roman"/>
                <w:sz w:val="19"/>
                <w:szCs w:val="19"/>
                <w:b w:val="1"/>
                <w:bCs w:val="1"/>
                <w:color w:val="auto"/>
              </w:rPr>
              <w:t>Revolving Commitment</w:t>
            </w:r>
          </w:p>
        </w:tc>
        <w:tc>
          <w:tcPr>
            <w:tcW w:w="0" w:type="dxa"/>
            <w:vAlign w:val="bottom"/>
          </w:tcPr>
          <w:p>
            <w:pPr>
              <w:spacing w:after="0"/>
              <w:rPr>
                <w:sz w:val="1"/>
                <w:szCs w:val="1"/>
                <w:color w:val="auto"/>
              </w:rPr>
            </w:pPr>
          </w:p>
        </w:tc>
      </w:tr>
      <w:tr>
        <w:trPr>
          <w:trHeight w:val="251"/>
        </w:trPr>
        <w:tc>
          <w:tcPr>
            <w:tcW w:w="180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S&amp;P/Fitch/ Moody’s</w:t>
            </w:r>
          </w:p>
        </w:tc>
        <w:tc>
          <w:tcPr>
            <w:tcW w:w="20" w:type="dxa"/>
            <w:vAlign w:val="bottom"/>
            <w:tcBorders>
              <w:bottom w:val="single" w:sz="8" w:color="auto"/>
            </w:tcBorders>
            <w:shd w:val="clear" w:color="auto" w:fill="000000"/>
          </w:tcPr>
          <w:p>
            <w:pPr>
              <w:spacing w:after="0"/>
              <w:rPr>
                <w:sz w:val="21"/>
                <w:szCs w:val="21"/>
                <w:color w:val="auto"/>
              </w:rPr>
            </w:pPr>
          </w:p>
        </w:tc>
        <w:tc>
          <w:tcPr>
            <w:tcW w:w="1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Benchmark Loans</w:t>
            </w:r>
          </w:p>
        </w:tc>
        <w:tc>
          <w:tcPr>
            <w:tcW w:w="20" w:type="dxa"/>
            <w:vAlign w:val="bottom"/>
            <w:tcBorders>
              <w:bottom w:val="single" w:sz="8" w:color="auto"/>
            </w:tcBorders>
            <w:shd w:val="clear" w:color="auto" w:fill="000000"/>
          </w:tcPr>
          <w:p>
            <w:pPr>
              <w:spacing w:after="0"/>
              <w:rPr>
                <w:sz w:val="21"/>
                <w:szCs w:val="21"/>
                <w:color w:val="auto"/>
              </w:rPr>
            </w:pPr>
          </w:p>
        </w:tc>
        <w:tc>
          <w:tcPr>
            <w:tcW w:w="15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Rate Loans</w:t>
            </w:r>
          </w:p>
        </w:tc>
        <w:tc>
          <w:tcPr>
            <w:tcW w:w="20" w:type="dxa"/>
            <w:vAlign w:val="bottom"/>
            <w:tcBorders>
              <w:bottom w:val="single" w:sz="8" w:color="auto"/>
            </w:tcBorders>
            <w:shd w:val="clear" w:color="auto" w:fill="000000"/>
          </w:tcPr>
          <w:p>
            <w:pPr>
              <w:spacing w:after="0"/>
              <w:rPr>
                <w:sz w:val="21"/>
                <w:szCs w:val="21"/>
                <w:color w:val="auto"/>
              </w:rPr>
            </w:pPr>
          </w:p>
        </w:tc>
        <w:tc>
          <w:tcPr>
            <w:tcW w:w="2300" w:type="dxa"/>
            <w:vAlign w:val="bottom"/>
            <w:tcBorders>
              <w:bottom w:val="single" w:sz="8" w:color="auto"/>
              <w:right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Fee Percentage</w:t>
            </w:r>
          </w:p>
        </w:tc>
        <w:tc>
          <w:tcPr>
            <w:tcW w:w="0" w:type="dxa"/>
            <w:vAlign w:val="bottom"/>
          </w:tcPr>
          <w:p>
            <w:pPr>
              <w:spacing w:after="0"/>
              <w:rPr>
                <w:sz w:val="1"/>
                <w:szCs w:val="1"/>
                <w:color w:val="auto"/>
              </w:rPr>
            </w:pPr>
          </w:p>
        </w:tc>
      </w:tr>
      <w:tr>
        <w:trPr>
          <w:trHeight w:val="234"/>
        </w:trPr>
        <w:tc>
          <w:tcPr>
            <w:tcW w:w="18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Greater than or equal</w:t>
            </w:r>
          </w:p>
        </w:tc>
        <w:tc>
          <w:tcPr>
            <w:tcW w:w="20" w:type="dxa"/>
            <w:vAlign w:val="bottom"/>
            <w:shd w:val="clear" w:color="auto" w:fill="000000"/>
          </w:tcPr>
          <w:p>
            <w:pPr>
              <w:spacing w:after="0"/>
              <w:rPr>
                <w:sz w:val="20"/>
                <w:szCs w:val="20"/>
                <w:color w:val="auto"/>
              </w:rPr>
            </w:pPr>
          </w:p>
        </w:tc>
        <w:tc>
          <w:tcPr>
            <w:tcW w:w="1820" w:type="dxa"/>
            <w:vAlign w:val="bottom"/>
          </w:tcPr>
          <w:p>
            <w:pPr>
              <w:jc w:val="right"/>
              <w:ind w:right="1043"/>
              <w:spacing w:after="0"/>
              <w:rPr>
                <w:sz w:val="20"/>
                <w:szCs w:val="20"/>
                <w:color w:val="auto"/>
              </w:rPr>
            </w:pPr>
            <w:r>
              <w:rPr>
                <w:rFonts w:ascii="Times New Roman" w:cs="Times New Roman" w:eastAsia="Times New Roman" w:hAnsi="Times New Roman"/>
                <w:sz w:val="19"/>
                <w:szCs w:val="19"/>
                <w:color w:val="auto"/>
              </w:rPr>
              <w:t>1.375%</w:t>
            </w:r>
          </w:p>
        </w:tc>
        <w:tc>
          <w:tcPr>
            <w:tcW w:w="20" w:type="dxa"/>
            <w:vAlign w:val="bottom"/>
            <w:shd w:val="clear" w:color="auto" w:fill="000000"/>
          </w:tcPr>
          <w:p>
            <w:pPr>
              <w:spacing w:after="0"/>
              <w:rPr>
                <w:sz w:val="20"/>
                <w:szCs w:val="20"/>
                <w:color w:val="auto"/>
              </w:rPr>
            </w:pPr>
          </w:p>
        </w:tc>
        <w:tc>
          <w:tcPr>
            <w:tcW w:w="1580" w:type="dxa"/>
            <w:vAlign w:val="bottom"/>
          </w:tcPr>
          <w:p>
            <w:pPr>
              <w:jc w:val="right"/>
              <w:ind w:right="823"/>
              <w:spacing w:after="0"/>
              <w:rPr>
                <w:sz w:val="20"/>
                <w:szCs w:val="20"/>
                <w:color w:val="auto"/>
              </w:rPr>
            </w:pPr>
            <w:r>
              <w:rPr>
                <w:rFonts w:ascii="Times New Roman" w:cs="Times New Roman" w:eastAsia="Times New Roman" w:hAnsi="Times New Roman"/>
                <w:sz w:val="19"/>
                <w:szCs w:val="19"/>
                <w:color w:val="auto"/>
              </w:rPr>
              <w:t>0.375%</w:t>
            </w:r>
          </w:p>
        </w:tc>
        <w:tc>
          <w:tcPr>
            <w:tcW w:w="20" w:type="dxa"/>
            <w:vAlign w:val="bottom"/>
            <w:shd w:val="clear" w:color="auto" w:fill="000000"/>
          </w:tcPr>
          <w:p>
            <w:pPr>
              <w:spacing w:after="0"/>
              <w:rPr>
                <w:sz w:val="20"/>
                <w:szCs w:val="20"/>
                <w:color w:val="auto"/>
              </w:rPr>
            </w:pPr>
          </w:p>
        </w:tc>
        <w:tc>
          <w:tcPr>
            <w:tcW w:w="2300" w:type="dxa"/>
            <w:vAlign w:val="bottom"/>
            <w:tcBorders>
              <w:right w:val="single" w:sz="8" w:color="auto"/>
            </w:tcBorders>
          </w:tcPr>
          <w:p>
            <w:pPr>
              <w:jc w:val="right"/>
              <w:ind w:right="1543"/>
              <w:spacing w:after="0"/>
              <w:rPr>
                <w:sz w:val="20"/>
                <w:szCs w:val="20"/>
                <w:color w:val="auto"/>
              </w:rPr>
            </w:pPr>
            <w:r>
              <w:rPr>
                <w:rFonts w:ascii="Times New Roman" w:cs="Times New Roman" w:eastAsia="Times New Roman" w:hAnsi="Times New Roman"/>
                <w:sz w:val="19"/>
                <w:szCs w:val="19"/>
                <w:color w:val="auto"/>
              </w:rPr>
              <w:t>0.175%</w:t>
            </w:r>
          </w:p>
        </w:tc>
        <w:tc>
          <w:tcPr>
            <w:tcW w:w="0" w:type="dxa"/>
            <w:vAlign w:val="bottom"/>
          </w:tcPr>
          <w:p>
            <w:pPr>
              <w:spacing w:after="0"/>
              <w:rPr>
                <w:sz w:val="1"/>
                <w:szCs w:val="1"/>
                <w:color w:val="auto"/>
              </w:rPr>
            </w:pPr>
          </w:p>
        </w:tc>
      </w:tr>
      <w:tr>
        <w:trPr>
          <w:trHeight w:val="252"/>
        </w:trPr>
        <w:tc>
          <w:tcPr>
            <w:tcW w:w="18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to BBB/BBB/Baa2</w:t>
            </w:r>
          </w:p>
        </w:tc>
        <w:tc>
          <w:tcPr>
            <w:tcW w:w="20" w:type="dxa"/>
            <w:vAlign w:val="bottom"/>
            <w:shd w:val="clear" w:color="auto" w:fill="000000"/>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80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800" w:type="dxa"/>
            <w:vAlign w:val="bottom"/>
            <w:tcBorders>
              <w:left w:val="single" w:sz="8" w:color="auto"/>
            </w:tcBorders>
          </w:tcPr>
          <w:p>
            <w:pPr>
              <w:ind w:left="720"/>
              <w:spacing w:after="0" w:line="182" w:lineRule="exact"/>
              <w:rPr>
                <w:sz w:val="20"/>
                <w:szCs w:val="20"/>
                <w:color w:val="auto"/>
              </w:rPr>
            </w:pPr>
            <w:r>
              <w:rPr>
                <w:rFonts w:ascii="Times New Roman" w:cs="Times New Roman" w:eastAsia="Times New Roman" w:hAnsi="Times New Roman"/>
                <w:sz w:val="19"/>
                <w:szCs w:val="19"/>
                <w:color w:val="auto"/>
              </w:rPr>
              <w:t>BBB- /BBB-/</w:t>
            </w:r>
          </w:p>
        </w:tc>
        <w:tc>
          <w:tcPr>
            <w:tcW w:w="20" w:type="dxa"/>
            <w:vAlign w:val="bottom"/>
            <w:shd w:val="clear" w:color="auto" w:fill="000000"/>
          </w:tcPr>
          <w:p>
            <w:pPr>
              <w:spacing w:after="0"/>
              <w:rPr>
                <w:sz w:val="15"/>
                <w:szCs w:val="15"/>
                <w:color w:val="auto"/>
              </w:rPr>
            </w:pPr>
          </w:p>
        </w:tc>
        <w:tc>
          <w:tcPr>
            <w:tcW w:w="1820" w:type="dxa"/>
            <w:vAlign w:val="bottom"/>
          </w:tcPr>
          <w:p>
            <w:pPr>
              <w:jc w:val="right"/>
              <w:ind w:right="1043"/>
              <w:spacing w:after="0" w:line="182" w:lineRule="exact"/>
              <w:rPr>
                <w:sz w:val="20"/>
                <w:szCs w:val="20"/>
                <w:color w:val="auto"/>
              </w:rPr>
            </w:pPr>
            <w:r>
              <w:rPr>
                <w:rFonts w:ascii="Times New Roman" w:cs="Times New Roman" w:eastAsia="Times New Roman" w:hAnsi="Times New Roman"/>
                <w:sz w:val="19"/>
                <w:szCs w:val="19"/>
                <w:color w:val="auto"/>
              </w:rPr>
              <w:t>1.500%</w:t>
            </w:r>
          </w:p>
        </w:tc>
        <w:tc>
          <w:tcPr>
            <w:tcW w:w="20" w:type="dxa"/>
            <w:vAlign w:val="bottom"/>
            <w:shd w:val="clear" w:color="auto" w:fill="000000"/>
          </w:tcPr>
          <w:p>
            <w:pPr>
              <w:spacing w:after="0"/>
              <w:rPr>
                <w:sz w:val="15"/>
                <w:szCs w:val="15"/>
                <w:color w:val="auto"/>
              </w:rPr>
            </w:pPr>
          </w:p>
        </w:tc>
        <w:tc>
          <w:tcPr>
            <w:tcW w:w="1580" w:type="dxa"/>
            <w:vAlign w:val="bottom"/>
          </w:tcPr>
          <w:p>
            <w:pPr>
              <w:jc w:val="right"/>
              <w:ind w:right="823"/>
              <w:spacing w:after="0" w:line="182" w:lineRule="exact"/>
              <w:rPr>
                <w:sz w:val="20"/>
                <w:szCs w:val="20"/>
                <w:color w:val="auto"/>
              </w:rPr>
            </w:pPr>
            <w:r>
              <w:rPr>
                <w:rFonts w:ascii="Times New Roman" w:cs="Times New Roman" w:eastAsia="Times New Roman" w:hAnsi="Times New Roman"/>
                <w:sz w:val="19"/>
                <w:szCs w:val="19"/>
                <w:color w:val="auto"/>
              </w:rPr>
              <w:t>0.500%</w:t>
            </w:r>
          </w:p>
        </w:tc>
        <w:tc>
          <w:tcPr>
            <w:tcW w:w="20" w:type="dxa"/>
            <w:vAlign w:val="bottom"/>
            <w:shd w:val="clear" w:color="auto" w:fill="000000"/>
          </w:tcPr>
          <w:p>
            <w:pPr>
              <w:spacing w:after="0"/>
              <w:rPr>
                <w:sz w:val="15"/>
                <w:szCs w:val="15"/>
                <w:color w:val="auto"/>
              </w:rPr>
            </w:pPr>
          </w:p>
        </w:tc>
        <w:tc>
          <w:tcPr>
            <w:tcW w:w="2300" w:type="dxa"/>
            <w:vAlign w:val="bottom"/>
            <w:tcBorders>
              <w:right w:val="single" w:sz="8" w:color="auto"/>
            </w:tcBorders>
          </w:tcPr>
          <w:p>
            <w:pPr>
              <w:jc w:val="right"/>
              <w:ind w:right="1543"/>
              <w:spacing w:after="0" w:line="182" w:lineRule="exact"/>
              <w:rPr>
                <w:sz w:val="20"/>
                <w:szCs w:val="20"/>
                <w:color w:val="auto"/>
              </w:rPr>
            </w:pPr>
            <w:r>
              <w:rPr>
                <w:rFonts w:ascii="Times New Roman" w:cs="Times New Roman" w:eastAsia="Times New Roman" w:hAnsi="Times New Roman"/>
                <w:sz w:val="19"/>
                <w:szCs w:val="19"/>
                <w:color w:val="auto"/>
              </w:rPr>
              <w:t>0.225%</w:t>
            </w:r>
          </w:p>
        </w:tc>
        <w:tc>
          <w:tcPr>
            <w:tcW w:w="0" w:type="dxa"/>
            <w:vAlign w:val="bottom"/>
          </w:tcPr>
          <w:p>
            <w:pPr>
              <w:spacing w:after="0"/>
              <w:rPr>
                <w:sz w:val="1"/>
                <w:szCs w:val="1"/>
                <w:color w:val="auto"/>
              </w:rPr>
            </w:pPr>
          </w:p>
        </w:tc>
      </w:tr>
      <w:tr>
        <w:trPr>
          <w:trHeight w:val="247"/>
        </w:trPr>
        <w:tc>
          <w:tcPr>
            <w:tcW w:w="18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Baa3</w:t>
            </w:r>
          </w:p>
        </w:tc>
        <w:tc>
          <w:tcPr>
            <w:tcW w:w="20" w:type="dxa"/>
            <w:vAlign w:val="bottom"/>
            <w:tcBorders>
              <w:bottom w:val="single" w:sz="8" w:color="auto"/>
            </w:tcBorders>
            <w:shd w:val="clear" w:color="auto" w:fill="000000"/>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1800" w:type="dxa"/>
            <w:vAlign w:val="bottom"/>
            <w:tcBorders>
              <w:left w:val="single" w:sz="8" w:color="auto"/>
            </w:tcBorders>
          </w:tcPr>
          <w:p>
            <w:pPr>
              <w:ind w:left="720"/>
              <w:spacing w:after="0" w:line="182" w:lineRule="exact"/>
              <w:rPr>
                <w:sz w:val="20"/>
                <w:szCs w:val="20"/>
                <w:color w:val="auto"/>
              </w:rPr>
            </w:pPr>
            <w:r>
              <w:rPr>
                <w:rFonts w:ascii="Times New Roman" w:cs="Times New Roman" w:eastAsia="Times New Roman" w:hAnsi="Times New Roman"/>
                <w:sz w:val="19"/>
                <w:szCs w:val="19"/>
                <w:color w:val="auto"/>
              </w:rPr>
              <w:t>BB+ /BB+/</w:t>
            </w:r>
          </w:p>
        </w:tc>
        <w:tc>
          <w:tcPr>
            <w:tcW w:w="20" w:type="dxa"/>
            <w:vAlign w:val="bottom"/>
            <w:shd w:val="clear" w:color="auto" w:fill="000000"/>
          </w:tcPr>
          <w:p>
            <w:pPr>
              <w:spacing w:after="0"/>
              <w:rPr>
                <w:sz w:val="15"/>
                <w:szCs w:val="15"/>
                <w:color w:val="auto"/>
              </w:rPr>
            </w:pPr>
          </w:p>
        </w:tc>
        <w:tc>
          <w:tcPr>
            <w:tcW w:w="1820" w:type="dxa"/>
            <w:vAlign w:val="bottom"/>
          </w:tcPr>
          <w:p>
            <w:pPr>
              <w:jc w:val="right"/>
              <w:ind w:right="1043"/>
              <w:spacing w:after="0" w:line="182" w:lineRule="exact"/>
              <w:rPr>
                <w:sz w:val="20"/>
                <w:szCs w:val="20"/>
                <w:color w:val="auto"/>
              </w:rPr>
            </w:pPr>
            <w:r>
              <w:rPr>
                <w:rFonts w:ascii="Times New Roman" w:cs="Times New Roman" w:eastAsia="Times New Roman" w:hAnsi="Times New Roman"/>
                <w:sz w:val="19"/>
                <w:szCs w:val="19"/>
                <w:color w:val="auto"/>
              </w:rPr>
              <w:t>1.750%</w:t>
            </w:r>
          </w:p>
        </w:tc>
        <w:tc>
          <w:tcPr>
            <w:tcW w:w="20" w:type="dxa"/>
            <w:vAlign w:val="bottom"/>
            <w:shd w:val="clear" w:color="auto" w:fill="000000"/>
          </w:tcPr>
          <w:p>
            <w:pPr>
              <w:spacing w:after="0"/>
              <w:rPr>
                <w:sz w:val="15"/>
                <w:szCs w:val="15"/>
                <w:color w:val="auto"/>
              </w:rPr>
            </w:pPr>
          </w:p>
        </w:tc>
        <w:tc>
          <w:tcPr>
            <w:tcW w:w="1580" w:type="dxa"/>
            <w:vAlign w:val="bottom"/>
          </w:tcPr>
          <w:p>
            <w:pPr>
              <w:jc w:val="right"/>
              <w:ind w:right="823"/>
              <w:spacing w:after="0" w:line="182" w:lineRule="exact"/>
              <w:rPr>
                <w:sz w:val="20"/>
                <w:szCs w:val="20"/>
                <w:color w:val="auto"/>
              </w:rPr>
            </w:pPr>
            <w:r>
              <w:rPr>
                <w:rFonts w:ascii="Times New Roman" w:cs="Times New Roman" w:eastAsia="Times New Roman" w:hAnsi="Times New Roman"/>
                <w:sz w:val="19"/>
                <w:szCs w:val="19"/>
                <w:color w:val="auto"/>
              </w:rPr>
              <w:t>0.750%</w:t>
            </w:r>
          </w:p>
        </w:tc>
        <w:tc>
          <w:tcPr>
            <w:tcW w:w="20" w:type="dxa"/>
            <w:vAlign w:val="bottom"/>
            <w:shd w:val="clear" w:color="auto" w:fill="000000"/>
          </w:tcPr>
          <w:p>
            <w:pPr>
              <w:spacing w:after="0"/>
              <w:rPr>
                <w:sz w:val="15"/>
                <w:szCs w:val="15"/>
                <w:color w:val="auto"/>
              </w:rPr>
            </w:pPr>
          </w:p>
        </w:tc>
        <w:tc>
          <w:tcPr>
            <w:tcW w:w="2300" w:type="dxa"/>
            <w:vAlign w:val="bottom"/>
            <w:tcBorders>
              <w:right w:val="single" w:sz="8" w:color="auto"/>
            </w:tcBorders>
          </w:tcPr>
          <w:p>
            <w:pPr>
              <w:jc w:val="right"/>
              <w:ind w:right="1543"/>
              <w:spacing w:after="0" w:line="182" w:lineRule="exact"/>
              <w:rPr>
                <w:sz w:val="20"/>
                <w:szCs w:val="20"/>
                <w:color w:val="auto"/>
              </w:rPr>
            </w:pPr>
            <w:r>
              <w:rPr>
                <w:rFonts w:ascii="Times New Roman" w:cs="Times New Roman" w:eastAsia="Times New Roman" w:hAnsi="Times New Roman"/>
                <w:sz w:val="19"/>
                <w:szCs w:val="19"/>
                <w:color w:val="auto"/>
              </w:rPr>
              <w:t>0.300%</w:t>
            </w:r>
          </w:p>
        </w:tc>
        <w:tc>
          <w:tcPr>
            <w:tcW w:w="0" w:type="dxa"/>
            <w:vAlign w:val="bottom"/>
          </w:tcPr>
          <w:p>
            <w:pPr>
              <w:spacing w:after="0"/>
              <w:rPr>
                <w:sz w:val="1"/>
                <w:szCs w:val="1"/>
                <w:color w:val="auto"/>
              </w:rPr>
            </w:pPr>
          </w:p>
        </w:tc>
      </w:tr>
      <w:tr>
        <w:trPr>
          <w:trHeight w:val="247"/>
        </w:trPr>
        <w:tc>
          <w:tcPr>
            <w:tcW w:w="18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Ba1</w:t>
            </w:r>
          </w:p>
        </w:tc>
        <w:tc>
          <w:tcPr>
            <w:tcW w:w="20" w:type="dxa"/>
            <w:vAlign w:val="bottom"/>
            <w:tcBorders>
              <w:bottom w:val="single" w:sz="8" w:color="auto"/>
            </w:tcBorders>
            <w:shd w:val="clear" w:color="auto" w:fill="000000"/>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800" w:type="dxa"/>
            <w:vAlign w:val="bottom"/>
            <w:tcBorders>
              <w:left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9"/>
                <w:szCs w:val="19"/>
                <w:color w:val="auto"/>
              </w:rPr>
              <w:t>BB / BB/Ba2</w:t>
            </w:r>
          </w:p>
        </w:tc>
        <w:tc>
          <w:tcPr>
            <w:tcW w:w="20" w:type="dxa"/>
            <w:vAlign w:val="bottom"/>
            <w:tcBorders>
              <w:bottom w:val="single" w:sz="8" w:color="auto"/>
            </w:tcBorders>
            <w:shd w:val="clear" w:color="auto" w:fill="000000"/>
          </w:tcPr>
          <w:p>
            <w:pPr>
              <w:spacing w:after="0"/>
              <w:rPr>
                <w:sz w:val="21"/>
                <w:szCs w:val="21"/>
                <w:color w:val="auto"/>
              </w:rPr>
            </w:pPr>
          </w:p>
        </w:tc>
        <w:tc>
          <w:tcPr>
            <w:tcW w:w="1820" w:type="dxa"/>
            <w:vAlign w:val="bottom"/>
            <w:tcBorders>
              <w:bottom w:val="single" w:sz="8" w:color="auto"/>
            </w:tcBorders>
          </w:tcPr>
          <w:p>
            <w:pPr>
              <w:jc w:val="right"/>
              <w:ind w:right="1043"/>
              <w:spacing w:after="0"/>
              <w:rPr>
                <w:sz w:val="20"/>
                <w:szCs w:val="20"/>
                <w:color w:val="auto"/>
              </w:rPr>
            </w:pPr>
            <w:r>
              <w:rPr>
                <w:rFonts w:ascii="Times New Roman" w:cs="Times New Roman" w:eastAsia="Times New Roman" w:hAnsi="Times New Roman"/>
                <w:sz w:val="19"/>
                <w:szCs w:val="19"/>
                <w:color w:val="auto"/>
              </w:rPr>
              <w:t>2.000%</w:t>
            </w:r>
          </w:p>
        </w:tc>
        <w:tc>
          <w:tcPr>
            <w:tcW w:w="20" w:type="dxa"/>
            <w:vAlign w:val="bottom"/>
            <w:tcBorders>
              <w:bottom w:val="single" w:sz="8" w:color="auto"/>
            </w:tcBorders>
            <w:shd w:val="clear" w:color="auto" w:fill="000000"/>
          </w:tcPr>
          <w:p>
            <w:pPr>
              <w:spacing w:after="0"/>
              <w:rPr>
                <w:sz w:val="21"/>
                <w:szCs w:val="21"/>
                <w:color w:val="auto"/>
              </w:rPr>
            </w:pPr>
          </w:p>
        </w:tc>
        <w:tc>
          <w:tcPr>
            <w:tcW w:w="158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9"/>
                <w:szCs w:val="19"/>
                <w:color w:val="auto"/>
              </w:rPr>
              <w:t>1.000%</w:t>
            </w:r>
          </w:p>
        </w:tc>
        <w:tc>
          <w:tcPr>
            <w:tcW w:w="20" w:type="dxa"/>
            <w:vAlign w:val="bottom"/>
            <w:tcBorders>
              <w:bottom w:val="single" w:sz="8" w:color="auto"/>
            </w:tcBorders>
            <w:shd w:val="clear" w:color="auto" w:fill="000000"/>
          </w:tcPr>
          <w:p>
            <w:pPr>
              <w:spacing w:after="0"/>
              <w:rPr>
                <w:sz w:val="21"/>
                <w:szCs w:val="21"/>
                <w:color w:val="auto"/>
              </w:rPr>
            </w:pPr>
          </w:p>
        </w:tc>
        <w:tc>
          <w:tcPr>
            <w:tcW w:w="2300" w:type="dxa"/>
            <w:vAlign w:val="bottom"/>
            <w:tcBorders>
              <w:bottom w:val="single" w:sz="8" w:color="auto"/>
              <w:right w:val="single" w:sz="8" w:color="auto"/>
            </w:tcBorders>
          </w:tcPr>
          <w:p>
            <w:pPr>
              <w:jc w:val="right"/>
              <w:ind w:right="1543"/>
              <w:spacing w:after="0"/>
              <w:rPr>
                <w:sz w:val="20"/>
                <w:szCs w:val="20"/>
                <w:color w:val="auto"/>
              </w:rPr>
            </w:pPr>
            <w:r>
              <w:rPr>
                <w:rFonts w:ascii="Times New Roman" w:cs="Times New Roman" w:eastAsia="Times New Roman" w:hAnsi="Times New Roman"/>
                <w:sz w:val="19"/>
                <w:szCs w:val="19"/>
                <w:color w:val="auto"/>
              </w:rPr>
              <w:t>0.350%</w:t>
            </w:r>
          </w:p>
        </w:tc>
        <w:tc>
          <w:tcPr>
            <w:tcW w:w="0" w:type="dxa"/>
            <w:vAlign w:val="bottom"/>
          </w:tcPr>
          <w:p>
            <w:pPr>
              <w:spacing w:after="0"/>
              <w:rPr>
                <w:sz w:val="1"/>
                <w:szCs w:val="1"/>
                <w:color w:val="auto"/>
              </w:rPr>
            </w:pPr>
          </w:p>
        </w:tc>
      </w:tr>
      <w:tr>
        <w:trPr>
          <w:trHeight w:val="181"/>
        </w:trPr>
        <w:tc>
          <w:tcPr>
            <w:tcW w:w="1800" w:type="dxa"/>
            <w:vAlign w:val="bottom"/>
            <w:tcBorders>
              <w:left w:val="single" w:sz="8" w:color="auto"/>
            </w:tcBorders>
          </w:tcPr>
          <w:p>
            <w:pPr>
              <w:ind w:left="720"/>
              <w:spacing w:after="0" w:line="182" w:lineRule="exact"/>
              <w:rPr>
                <w:sz w:val="20"/>
                <w:szCs w:val="20"/>
                <w:color w:val="auto"/>
              </w:rPr>
            </w:pPr>
            <w:r>
              <w:rPr>
                <w:rFonts w:ascii="Times New Roman" w:cs="Times New Roman" w:eastAsia="Times New Roman" w:hAnsi="Times New Roman"/>
                <w:sz w:val="19"/>
                <w:szCs w:val="19"/>
                <w:color w:val="auto"/>
              </w:rPr>
              <w:t>BB- /</w:t>
            </w:r>
          </w:p>
        </w:tc>
        <w:tc>
          <w:tcPr>
            <w:tcW w:w="20" w:type="dxa"/>
            <w:vAlign w:val="bottom"/>
            <w:shd w:val="clear" w:color="auto" w:fill="000000"/>
          </w:tcPr>
          <w:p>
            <w:pPr>
              <w:spacing w:after="0"/>
              <w:rPr>
                <w:sz w:val="15"/>
                <w:szCs w:val="15"/>
                <w:color w:val="auto"/>
              </w:rPr>
            </w:pPr>
          </w:p>
        </w:tc>
        <w:tc>
          <w:tcPr>
            <w:tcW w:w="1820" w:type="dxa"/>
            <w:vAlign w:val="bottom"/>
          </w:tcPr>
          <w:p>
            <w:pPr>
              <w:jc w:val="right"/>
              <w:ind w:right="1043"/>
              <w:spacing w:after="0" w:line="182" w:lineRule="exact"/>
              <w:rPr>
                <w:sz w:val="20"/>
                <w:szCs w:val="20"/>
                <w:color w:val="auto"/>
              </w:rPr>
            </w:pPr>
            <w:r>
              <w:rPr>
                <w:rFonts w:ascii="Times New Roman" w:cs="Times New Roman" w:eastAsia="Times New Roman" w:hAnsi="Times New Roman"/>
                <w:sz w:val="19"/>
                <w:szCs w:val="19"/>
                <w:color w:val="auto"/>
              </w:rPr>
              <w:t>2.500%</w:t>
            </w:r>
          </w:p>
        </w:tc>
        <w:tc>
          <w:tcPr>
            <w:tcW w:w="20" w:type="dxa"/>
            <w:vAlign w:val="bottom"/>
            <w:shd w:val="clear" w:color="auto" w:fill="000000"/>
          </w:tcPr>
          <w:p>
            <w:pPr>
              <w:spacing w:after="0"/>
              <w:rPr>
                <w:sz w:val="15"/>
                <w:szCs w:val="15"/>
                <w:color w:val="auto"/>
              </w:rPr>
            </w:pPr>
          </w:p>
        </w:tc>
        <w:tc>
          <w:tcPr>
            <w:tcW w:w="1580" w:type="dxa"/>
            <w:vAlign w:val="bottom"/>
          </w:tcPr>
          <w:p>
            <w:pPr>
              <w:jc w:val="right"/>
              <w:ind w:right="823"/>
              <w:spacing w:after="0" w:line="182" w:lineRule="exact"/>
              <w:rPr>
                <w:sz w:val="20"/>
                <w:szCs w:val="20"/>
                <w:color w:val="auto"/>
              </w:rPr>
            </w:pPr>
            <w:r>
              <w:rPr>
                <w:rFonts w:ascii="Times New Roman" w:cs="Times New Roman" w:eastAsia="Times New Roman" w:hAnsi="Times New Roman"/>
                <w:sz w:val="19"/>
                <w:szCs w:val="19"/>
                <w:color w:val="auto"/>
              </w:rPr>
              <w:t>1.500%</w:t>
            </w:r>
          </w:p>
        </w:tc>
        <w:tc>
          <w:tcPr>
            <w:tcW w:w="20" w:type="dxa"/>
            <w:vAlign w:val="bottom"/>
            <w:shd w:val="clear" w:color="auto" w:fill="000000"/>
          </w:tcPr>
          <w:p>
            <w:pPr>
              <w:spacing w:after="0"/>
              <w:rPr>
                <w:sz w:val="15"/>
                <w:szCs w:val="15"/>
                <w:color w:val="auto"/>
              </w:rPr>
            </w:pPr>
          </w:p>
        </w:tc>
        <w:tc>
          <w:tcPr>
            <w:tcW w:w="2300" w:type="dxa"/>
            <w:vAlign w:val="bottom"/>
            <w:tcBorders>
              <w:right w:val="single" w:sz="8" w:color="auto"/>
            </w:tcBorders>
          </w:tcPr>
          <w:p>
            <w:pPr>
              <w:jc w:val="right"/>
              <w:ind w:right="1543"/>
              <w:spacing w:after="0" w:line="182" w:lineRule="exact"/>
              <w:rPr>
                <w:sz w:val="20"/>
                <w:szCs w:val="20"/>
                <w:color w:val="auto"/>
              </w:rPr>
            </w:pPr>
            <w:r>
              <w:rPr>
                <w:rFonts w:ascii="Times New Roman" w:cs="Times New Roman" w:eastAsia="Times New Roman" w:hAnsi="Times New Roman"/>
                <w:sz w:val="19"/>
                <w:szCs w:val="19"/>
                <w:color w:val="auto"/>
              </w:rPr>
              <w:t>0.450%</w:t>
            </w:r>
          </w:p>
        </w:tc>
        <w:tc>
          <w:tcPr>
            <w:tcW w:w="0" w:type="dxa"/>
            <w:vAlign w:val="bottom"/>
          </w:tcPr>
          <w:p>
            <w:pPr>
              <w:spacing w:after="0"/>
              <w:rPr>
                <w:sz w:val="1"/>
                <w:szCs w:val="1"/>
                <w:color w:val="auto"/>
              </w:rPr>
            </w:pPr>
          </w:p>
        </w:tc>
      </w:tr>
      <w:tr>
        <w:trPr>
          <w:trHeight w:val="247"/>
        </w:trPr>
        <w:tc>
          <w:tcPr>
            <w:tcW w:w="18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BB-/Ba3</w:t>
            </w:r>
          </w:p>
        </w:tc>
        <w:tc>
          <w:tcPr>
            <w:tcW w:w="20" w:type="dxa"/>
            <w:vAlign w:val="bottom"/>
            <w:tcBorders>
              <w:bottom w:val="single" w:sz="8" w:color="auto"/>
            </w:tcBorders>
            <w:shd w:val="clear" w:color="auto" w:fill="000000"/>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8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Less than or equal to</w:t>
            </w:r>
          </w:p>
        </w:tc>
        <w:tc>
          <w:tcPr>
            <w:tcW w:w="20" w:type="dxa"/>
            <w:vAlign w:val="bottom"/>
            <w:shd w:val="clear" w:color="auto" w:fill="000000"/>
          </w:tcPr>
          <w:p>
            <w:pPr>
              <w:spacing w:after="0"/>
              <w:rPr>
                <w:sz w:val="20"/>
                <w:szCs w:val="20"/>
                <w:color w:val="auto"/>
              </w:rPr>
            </w:pPr>
          </w:p>
        </w:tc>
        <w:tc>
          <w:tcPr>
            <w:tcW w:w="1820" w:type="dxa"/>
            <w:vAlign w:val="bottom"/>
          </w:tcPr>
          <w:p>
            <w:pPr>
              <w:jc w:val="right"/>
              <w:ind w:right="1043"/>
              <w:spacing w:after="0"/>
              <w:rPr>
                <w:sz w:val="20"/>
                <w:szCs w:val="20"/>
                <w:color w:val="auto"/>
              </w:rPr>
            </w:pPr>
            <w:r>
              <w:rPr>
                <w:rFonts w:ascii="Times New Roman" w:cs="Times New Roman" w:eastAsia="Times New Roman" w:hAnsi="Times New Roman"/>
                <w:sz w:val="19"/>
                <w:szCs w:val="19"/>
                <w:color w:val="auto"/>
              </w:rPr>
              <w:t>2.875%</w:t>
            </w:r>
          </w:p>
        </w:tc>
        <w:tc>
          <w:tcPr>
            <w:tcW w:w="20" w:type="dxa"/>
            <w:vAlign w:val="bottom"/>
            <w:shd w:val="clear" w:color="auto" w:fill="000000"/>
          </w:tcPr>
          <w:p>
            <w:pPr>
              <w:spacing w:after="0"/>
              <w:rPr>
                <w:sz w:val="20"/>
                <w:szCs w:val="20"/>
                <w:color w:val="auto"/>
              </w:rPr>
            </w:pPr>
          </w:p>
        </w:tc>
        <w:tc>
          <w:tcPr>
            <w:tcW w:w="1580" w:type="dxa"/>
            <w:vAlign w:val="bottom"/>
          </w:tcPr>
          <w:p>
            <w:pPr>
              <w:jc w:val="right"/>
              <w:ind w:right="823"/>
              <w:spacing w:after="0"/>
              <w:rPr>
                <w:sz w:val="20"/>
                <w:szCs w:val="20"/>
                <w:color w:val="auto"/>
              </w:rPr>
            </w:pPr>
            <w:r>
              <w:rPr>
                <w:rFonts w:ascii="Times New Roman" w:cs="Times New Roman" w:eastAsia="Times New Roman" w:hAnsi="Times New Roman"/>
                <w:sz w:val="19"/>
                <w:szCs w:val="19"/>
                <w:color w:val="auto"/>
              </w:rPr>
              <w:t>1.875%</w:t>
            </w:r>
          </w:p>
        </w:tc>
        <w:tc>
          <w:tcPr>
            <w:tcW w:w="20" w:type="dxa"/>
            <w:vAlign w:val="bottom"/>
            <w:shd w:val="clear" w:color="auto" w:fill="000000"/>
          </w:tcPr>
          <w:p>
            <w:pPr>
              <w:spacing w:after="0"/>
              <w:rPr>
                <w:sz w:val="20"/>
                <w:szCs w:val="20"/>
                <w:color w:val="auto"/>
              </w:rPr>
            </w:pPr>
          </w:p>
        </w:tc>
        <w:tc>
          <w:tcPr>
            <w:tcW w:w="2300" w:type="dxa"/>
            <w:vAlign w:val="bottom"/>
            <w:tcBorders>
              <w:right w:val="single" w:sz="8" w:color="auto"/>
            </w:tcBorders>
          </w:tcPr>
          <w:p>
            <w:pPr>
              <w:jc w:val="right"/>
              <w:ind w:right="1543"/>
              <w:spacing w:after="0"/>
              <w:rPr>
                <w:sz w:val="20"/>
                <w:szCs w:val="20"/>
                <w:color w:val="auto"/>
              </w:rPr>
            </w:pPr>
            <w:r>
              <w:rPr>
                <w:rFonts w:ascii="Times New Roman" w:cs="Times New Roman" w:eastAsia="Times New Roman" w:hAnsi="Times New Roman"/>
                <w:sz w:val="19"/>
                <w:szCs w:val="19"/>
                <w:color w:val="auto"/>
              </w:rPr>
              <w:t>0.525%</w:t>
            </w:r>
          </w:p>
        </w:tc>
        <w:tc>
          <w:tcPr>
            <w:tcW w:w="0" w:type="dxa"/>
            <w:vAlign w:val="bottom"/>
          </w:tcPr>
          <w:p>
            <w:pPr>
              <w:spacing w:after="0"/>
              <w:rPr>
                <w:sz w:val="1"/>
                <w:szCs w:val="1"/>
                <w:color w:val="auto"/>
              </w:rPr>
            </w:pPr>
          </w:p>
        </w:tc>
      </w:tr>
      <w:tr>
        <w:trPr>
          <w:trHeight w:val="252"/>
        </w:trPr>
        <w:tc>
          <w:tcPr>
            <w:tcW w:w="18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B+ /B+/ B1</w:t>
            </w:r>
          </w:p>
        </w:tc>
        <w:tc>
          <w:tcPr>
            <w:tcW w:w="20" w:type="dxa"/>
            <w:vAlign w:val="bottom"/>
            <w:shd w:val="clear" w:color="auto" w:fill="000000"/>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800" w:type="dxa"/>
            <w:vAlign w:val="bottom"/>
            <w:tcBorders>
              <w:left w:val="single" w:sz="8" w:color="auto"/>
            </w:tcBorders>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3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-2126615</wp:posOffset>
            </wp:positionV>
            <wp:extent cx="5728335" cy="21272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5728335" cy="2127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100"/>
            <w:col w:w="9180"/>
          </w:cols>
          <w:pgMar w:left="320" w:top="1432" w:right="35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firstLine="639"/>
        <w:spacing w:after="0" w:line="258" w:lineRule="auto"/>
        <w:tabs>
          <w:tab w:leader="none" w:pos="735"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(w) each Rating Agency shall have in effect a rating for the Index Debt and (i) the ratings for the Index Debt provided by at least two Rating Agencies fall within the same level, such level will apply and (ii) no two ratings from the Rating Agencies are within the same level, the second highest of the three ratings will apply, (x) two Rating Agencies shall have in effect a rating for the Index Debt and (i) the ratings by such Rating Agencies fall within the same level, such level will apply, (ii) the ratings by such Rating Agencies are split by one level, then the higher of the two ratings shall apply, (iii) the ratings by such Rating Agencies are split by more than one level, then one level below the higher of the two ratings shall apply, (y) only one Rating Agency shall have in effect a rating for the Index Debt, such rating by such Rating Agency shall apply and (z) no ratings of the Index Debt has been obtained from any Rating Agency, the Index Debt shall deemed to have the lowest ratings set forth above and (iv) if any rating for the Index Debt shall be changed, such change shall be effective as of the date on which it is first announced by the applicable Rating Agency. Each change in the Applicable Margin or the Applicable Revolving Commitment Fee Percentage shall apply during the period commencing on the effective date of such change and ending on the date immediately preceding the effective date of the next such change.</w:t>
      </w:r>
    </w:p>
    <w:p>
      <w:pPr>
        <w:spacing w:after="0" w:line="169" w:lineRule="exact"/>
        <w:rPr>
          <w:sz w:val="20"/>
          <w:szCs w:val="20"/>
          <w:color w:val="auto"/>
        </w:rPr>
      </w:pPr>
    </w:p>
    <w:p>
      <w:pPr>
        <w:jc w:val="both"/>
        <w:ind w:right="28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Approved Electronic Communications</w:t>
      </w:r>
      <w:r>
        <w:rPr>
          <w:rFonts w:ascii="Times New Roman" w:cs="Times New Roman" w:eastAsia="Times New Roman" w:hAnsi="Times New Roman"/>
          <w:sz w:val="19"/>
          <w:szCs w:val="19"/>
          <w:color w:val="auto"/>
        </w:rPr>
        <w:t xml:space="preserve">” means any notice, demand, communication, information, document or other material that any of the Company or any of its Subsidiaries provides to the Agent pursuant to any Loan Document or the transactions contemplated therein which is distributed to the Agent or Lenders by means of electronic communications pursuant to </w:t>
      </w:r>
      <w:r>
        <w:rPr>
          <w:rFonts w:ascii="Times New Roman" w:cs="Times New Roman" w:eastAsia="Times New Roman" w:hAnsi="Times New Roman"/>
          <w:sz w:val="19"/>
          <w:szCs w:val="19"/>
          <w:u w:val="single" w:color="auto"/>
          <w:color w:val="auto"/>
        </w:rPr>
        <w:t>Section 10.02(b)</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right="22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Approved Fund</w:t>
      </w:r>
      <w:r>
        <w:rPr>
          <w:rFonts w:ascii="Times New Roman" w:cs="Times New Roman" w:eastAsia="Times New Roman" w:hAnsi="Times New Roman"/>
          <w:sz w:val="19"/>
          <w:szCs w:val="19"/>
          <w:color w:val="auto"/>
        </w:rPr>
        <w:t>” means any Fund that is administered or managed by (a) a Lender, (b) an Affiliate of a Lender or (c) an entity or an Affiliate of an entity that administers or manages a Lender.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432" w:right="359" w:bottom="1440" w:gutter="0" w:footer="0" w:header="0"/>
          <w:type w:val="continuous"/>
        </w:sectPr>
      </w:pPr>
    </w:p>
    <w:bookmarkStart w:id="79" w:name="page80"/>
    <w:bookmarkEnd w:id="79"/>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Asset Sale</w:t>
      </w:r>
      <w:r>
        <w:rPr>
          <w:rFonts w:ascii="Times New Roman" w:cs="Times New Roman" w:eastAsia="Times New Roman" w:hAnsi="Times New Roman"/>
          <w:sz w:val="19"/>
          <w:szCs w:val="19"/>
          <w:color w:val="auto"/>
        </w:rPr>
        <w:t xml:space="preserve">” means any Disposition of property or series of related Dispositions of property pursuant to </w:t>
      </w:r>
      <w:r>
        <w:rPr>
          <w:rFonts w:ascii="Times New Roman" w:cs="Times New Roman" w:eastAsia="Times New Roman" w:hAnsi="Times New Roman"/>
          <w:sz w:val="19"/>
          <w:szCs w:val="19"/>
          <w:u w:val="single" w:color="auto"/>
          <w:color w:val="auto"/>
        </w:rPr>
        <w:t>Section 7.03(n)</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16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Assignment and Assumption</w:t>
      </w:r>
      <w:r>
        <w:rPr>
          <w:rFonts w:ascii="Times New Roman" w:cs="Times New Roman" w:eastAsia="Times New Roman" w:hAnsi="Times New Roman"/>
          <w:sz w:val="19"/>
          <w:szCs w:val="19"/>
          <w:color w:val="auto"/>
        </w:rPr>
        <w:t xml:space="preserve">” means an assignment and assumption entered into by a Lender and an Eligible Assignee substantially in the form of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or in another form reasonably acceptable to the Agent.</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Attorney Costs</w:t>
      </w:r>
      <w:r>
        <w:rPr>
          <w:rFonts w:ascii="Times New Roman" w:cs="Times New Roman" w:eastAsia="Times New Roman" w:hAnsi="Times New Roman"/>
          <w:sz w:val="19"/>
          <w:szCs w:val="19"/>
          <w:color w:val="auto"/>
        </w:rPr>
        <w:t>” means and includes all reasonable fees, expenses and disbursements of any law firm or other external legal counsel.</w:t>
      </w:r>
    </w:p>
    <w:p>
      <w:pPr>
        <w:spacing w:after="0" w:line="217" w:lineRule="exact"/>
        <w:rPr>
          <w:sz w:val="20"/>
          <w:szCs w:val="20"/>
          <w:color w:val="auto"/>
        </w:rPr>
      </w:pPr>
    </w:p>
    <w:p>
      <w:pPr>
        <w:ind w:right="24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Availability Period</w:t>
      </w:r>
      <w:r>
        <w:rPr>
          <w:rFonts w:ascii="Times New Roman" w:cs="Times New Roman" w:eastAsia="Times New Roman" w:hAnsi="Times New Roman"/>
          <w:sz w:val="19"/>
          <w:szCs w:val="19"/>
          <w:color w:val="auto"/>
        </w:rPr>
        <w:t>” means the period from and including the Closing Date to but excluding the earlier of the Maturity Date and the date of termination of the Commitments.</w:t>
      </w:r>
    </w:p>
    <w:p>
      <w:pPr>
        <w:spacing w:after="0" w:line="136" w:lineRule="exact"/>
        <w:rPr>
          <w:sz w:val="20"/>
          <w:szCs w:val="20"/>
          <w:color w:val="auto"/>
        </w:rPr>
      </w:pPr>
    </w:p>
    <w:p>
      <w:pPr>
        <w:ind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Available Tenor</w:t>
      </w:r>
      <w:r>
        <w:rPr>
          <w:rFonts w:ascii="Times New Roman" w:cs="Times New Roman" w:eastAsia="Times New Roman" w:hAnsi="Times New Roman"/>
          <w:sz w:val="19"/>
          <w:szCs w:val="19"/>
          <w:color w:val="auto"/>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right="22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Bail-In Action</w:t>
      </w:r>
      <w:r>
        <w:rPr>
          <w:rFonts w:ascii="Times New Roman" w:cs="Times New Roman" w:eastAsia="Times New Roman" w:hAnsi="Times New Roman"/>
          <w:sz w:val="19"/>
          <w:szCs w:val="19"/>
          <w:color w:val="auto"/>
        </w:rPr>
        <w:t>” means the exercise of any Write-Down and Conversion Powers by the applicable Resolution Authority in respect of any liability of an Affected Financial Institution.</w:t>
      </w:r>
    </w:p>
    <w:p>
      <w:pPr>
        <w:spacing w:after="0" w:line="150" w:lineRule="exact"/>
        <w:rPr>
          <w:sz w:val="20"/>
          <w:szCs w:val="20"/>
          <w:color w:val="auto"/>
        </w:rPr>
      </w:pPr>
    </w:p>
    <w:p>
      <w:pPr>
        <w:ind w:right="180"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9" w:lineRule="exact"/>
        <w:rPr>
          <w:sz w:val="20"/>
          <w:szCs w:val="20"/>
          <w:color w:val="auto"/>
        </w:rPr>
      </w:pPr>
    </w:p>
    <w:p>
      <w:pPr>
        <w:ind w:firstLine="633"/>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Base Rate</w:t>
      </w:r>
      <w:r>
        <w:rPr>
          <w:rFonts w:ascii="Times New Roman" w:cs="Times New Roman" w:eastAsia="Times New Roman" w:hAnsi="Times New Roman"/>
          <w:sz w:val="19"/>
          <w:szCs w:val="19"/>
          <w:color w:val="auto"/>
        </w:rPr>
        <w:t xml:space="preserve">” means, for any day, a rate </w:t>
      </w:r>
      <w:r>
        <w:rPr>
          <w:rFonts w:ascii="Times New Roman" w:cs="Times New Roman" w:eastAsia="Times New Roman" w:hAnsi="Times New Roman"/>
          <w:sz w:val="19"/>
          <w:szCs w:val="19"/>
          <w:i w:val="1"/>
          <w:iCs w:val="1"/>
          <w:color w:val="auto"/>
        </w:rPr>
        <w:t>per annum</w:t>
      </w:r>
      <w:r>
        <w:rPr>
          <w:rFonts w:ascii="Times New Roman" w:cs="Times New Roman" w:eastAsia="Times New Roman" w:hAnsi="Times New Roman"/>
          <w:sz w:val="19"/>
          <w:szCs w:val="19"/>
          <w:color w:val="auto"/>
        </w:rPr>
        <w:t xml:space="preserve"> equal to the highest of (a) the NYFRB Rate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1/2 of 1%, (b) the Prime Rate, (c) the Adjusted Term SOFR Rate for a one month Interest Period as published two U.S. Government Securities Business Days prior to such day (or if such day is not a Business Day, the immediately preceding Business Day) plus 1%;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Adjusted Term SOFR Rate shall be effective from and including the effective date of such change in the Prime Rate, the NYFRB Rate or the Adjusted Term SOFR Rate, respectively. If the Base Rate is being used as an alternate rate of interest pursuant to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xml:space="preserve"> hereof (for the avoidance of doubt, only until the Benchmark Replacement has been determined pursuant to </w:t>
      </w:r>
      <w:r>
        <w:rPr>
          <w:rFonts w:ascii="Times New Roman" w:cs="Times New Roman" w:eastAsia="Times New Roman" w:hAnsi="Times New Roman"/>
          <w:sz w:val="19"/>
          <w:szCs w:val="19"/>
          <w:u w:val="single" w:color="auto"/>
          <w:color w:val="auto"/>
        </w:rPr>
        <w:t>Section 3.05(b</w:t>
      </w:r>
      <w:r>
        <w:rPr>
          <w:rFonts w:ascii="Times New Roman" w:cs="Times New Roman" w:eastAsia="Times New Roman" w:hAnsi="Times New Roman"/>
          <w:sz w:val="19"/>
          <w:szCs w:val="19"/>
          <w:color w:val="auto"/>
        </w:rPr>
        <w:t xml:space="preserve">)), then the Base Rate shall be the greater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and shall be determined without reference to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above. For the avoidance of doubt, if the Base Rate as determined pursuant to the foregoing would be less than 1.00%, such rate shall be deemed to be 1.00% for purposes of this Agreement.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Base Rate Loan</w:t>
      </w:r>
      <w:r>
        <w:rPr>
          <w:rFonts w:ascii="Times New Roman" w:cs="Times New Roman" w:eastAsia="Times New Roman" w:hAnsi="Times New Roman"/>
          <w:sz w:val="19"/>
          <w:szCs w:val="19"/>
          <w:color w:val="auto"/>
        </w:rPr>
        <w:t>” means a Loan that bears interest based on the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79" w:right="359" w:bottom="1440" w:gutter="0" w:footer="0" w:header="0"/>
        </w:sectPr>
      </w:pPr>
    </w:p>
    <w:bookmarkStart w:id="80" w:name="page81"/>
    <w:bookmarkEnd w:id="80"/>
    <w:p>
      <w:pPr>
        <w:ind w:right="14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w:t>
      </w:r>
      <w:r>
        <w:rPr>
          <w:rFonts w:ascii="Times New Roman" w:cs="Times New Roman" w:eastAsia="Times New Roman" w:hAnsi="Times New Roman"/>
          <w:sz w:val="19"/>
          <w:szCs w:val="19"/>
          <w:color w:val="auto"/>
        </w:rPr>
        <w:t xml:space="preserve">” means, initially, the Term SOFR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right="12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Replacement</w:t>
      </w:r>
      <w:r>
        <w:rPr>
          <w:rFonts w:ascii="Times New Roman" w:cs="Times New Roman" w:eastAsia="Times New Roman" w:hAnsi="Times New Roman"/>
          <w:sz w:val="19"/>
          <w:szCs w:val="19"/>
          <w:color w:val="auto"/>
        </w:rPr>
        <w:t>” means, for any Available Tenor, the first alternative set forth in the order below that can be determined by the Agent for the applicable Benchmark Replacement Date:</w:t>
      </w:r>
    </w:p>
    <w:p>
      <w:pPr>
        <w:spacing w:after="0" w:line="140" w:lineRule="exact"/>
        <w:rPr>
          <w:sz w:val="20"/>
          <w:szCs w:val="20"/>
          <w:color w:val="auto"/>
        </w:rPr>
      </w:pPr>
    </w:p>
    <w:p>
      <w:pPr>
        <w:ind w:left="1060" w:hanging="421"/>
        <w:spacing w:after="0"/>
        <w:tabs>
          <w:tab w:leader="none" w:pos="106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Adjusted Daily Simple SOFR;</w:t>
      </w:r>
    </w:p>
    <w:p>
      <w:pPr>
        <w:spacing w:after="0" w:line="216" w:lineRule="exact"/>
        <w:rPr>
          <w:rFonts w:ascii="Times New Roman" w:cs="Times New Roman" w:eastAsia="Times New Roman" w:hAnsi="Times New Roman"/>
          <w:sz w:val="19"/>
          <w:szCs w:val="19"/>
          <w:color w:val="auto"/>
        </w:rPr>
      </w:pPr>
    </w:p>
    <w:p>
      <w:pPr>
        <w:ind w:firstLine="639"/>
        <w:spacing w:after="0" w:line="266" w:lineRule="auto"/>
        <w:tabs>
          <w:tab w:leader="none" w:pos="1052"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(a) the alternate Benchmark rate that has been selected by the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61" w:lineRule="exact"/>
        <w:rPr>
          <w:sz w:val="20"/>
          <w:szCs w:val="20"/>
          <w:color w:val="auto"/>
        </w:rPr>
      </w:pPr>
    </w:p>
    <w:p>
      <w:pPr>
        <w:ind w:right="860" w:firstLine="633"/>
        <w:spacing w:after="0" w:line="297" w:lineRule="auto"/>
        <w:rPr>
          <w:sz w:val="20"/>
          <w:szCs w:val="20"/>
          <w:color w:val="auto"/>
        </w:rPr>
      </w:pPr>
      <w:r>
        <w:rPr>
          <w:rFonts w:ascii="Times New Roman" w:cs="Times New Roman" w:eastAsia="Times New Roman" w:hAnsi="Times New Roman"/>
          <w:sz w:val="19"/>
          <w:szCs w:val="19"/>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28" w:lineRule="exact"/>
        <w:rPr>
          <w:sz w:val="20"/>
          <w:szCs w:val="20"/>
          <w:color w:val="auto"/>
        </w:rPr>
      </w:pPr>
    </w:p>
    <w:p>
      <w:pPr>
        <w:ind w:right="20" w:firstLine="633"/>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78" w:lineRule="exact"/>
        <w:rPr>
          <w:sz w:val="20"/>
          <w:szCs w:val="20"/>
          <w:color w:val="auto"/>
        </w:rPr>
      </w:pPr>
    </w:p>
    <w:p>
      <w:pPr>
        <w:ind w:right="60" w:firstLine="633"/>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Replacement Conforming Changes</w:t>
      </w:r>
      <w:r>
        <w:rPr>
          <w:rFonts w:ascii="Times New Roman" w:cs="Times New Roman" w:eastAsia="Times New Roman" w:hAnsi="Times New Roman"/>
          <w:sz w:val="19"/>
          <w:szCs w:val="19"/>
          <w:color w:val="auto"/>
        </w:rPr>
        <w:t>” means, with respect to any Benchmark Replacement and/or any Term Benchmark Loan,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Agent in its reasonable discretion decides, after consultation with the Company, may be appropriate to reflect the adoption and implementation of such Benchmark and to permit the administration thereof by the Agent in a manner substantially consistent with market practice (or, if the Agent decides in its reasonable discretion that adoption of any portion of such market practice is not administratively feasible or if the Agent determines that no market practice for the administration of such Benchmark exists, in such other manner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79" w:right="339" w:bottom="1440" w:gutter="0" w:footer="0" w:header="0"/>
        </w:sectPr>
      </w:pPr>
    </w:p>
    <w:bookmarkStart w:id="81" w:name="page82"/>
    <w:bookmarkEnd w:id="81"/>
    <w:p>
      <w:pPr>
        <w:ind w:right="720"/>
        <w:spacing w:after="0" w:line="297" w:lineRule="auto"/>
        <w:rPr>
          <w:sz w:val="20"/>
          <w:szCs w:val="20"/>
          <w:color w:val="auto"/>
        </w:rPr>
      </w:pPr>
      <w:r>
        <w:rPr>
          <w:rFonts w:ascii="Times New Roman" w:cs="Times New Roman" w:eastAsia="Times New Roman" w:hAnsi="Times New Roman"/>
          <w:sz w:val="19"/>
          <w:szCs w:val="19"/>
          <w:color w:val="auto"/>
        </w:rPr>
        <w:t>administration as the Agent decides is reasonably necessary in connection with the administration of this Agreement and the other Loan Documents).</w:t>
      </w:r>
    </w:p>
    <w:p>
      <w:pPr>
        <w:spacing w:after="0" w:line="128" w:lineRule="exact"/>
        <w:rPr>
          <w:sz w:val="20"/>
          <w:szCs w:val="20"/>
          <w:color w:val="auto"/>
        </w:rPr>
      </w:pPr>
    </w:p>
    <w:p>
      <w:pPr>
        <w:ind w:right="22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Replacement Date</w:t>
      </w:r>
      <w:r>
        <w:rPr>
          <w:rFonts w:ascii="Times New Roman" w:cs="Times New Roman" w:eastAsia="Times New Roman" w:hAnsi="Times New Roman"/>
          <w:sz w:val="19"/>
          <w:szCs w:val="19"/>
          <w:color w:val="auto"/>
        </w:rPr>
        <w:t>” means, with respect to any Benchmark, the earliest to occur of the following events with respect to such then-current Benchmark:</w:t>
      </w:r>
    </w:p>
    <w:p>
      <w:pPr>
        <w:spacing w:after="0" w:line="127" w:lineRule="exact"/>
        <w:rPr>
          <w:sz w:val="20"/>
          <w:szCs w:val="20"/>
          <w:color w:val="auto"/>
        </w:rPr>
      </w:pPr>
    </w:p>
    <w:p>
      <w:pPr>
        <w:ind w:left="640" w:right="420" w:firstLine="632"/>
        <w:spacing w:after="0" w:line="268" w:lineRule="auto"/>
        <w:tabs>
          <w:tab w:leader="none" w:pos="1692"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1" w:lineRule="exact"/>
        <w:rPr>
          <w:rFonts w:ascii="Times New Roman" w:cs="Times New Roman" w:eastAsia="Times New Roman" w:hAnsi="Times New Roman"/>
          <w:sz w:val="19"/>
          <w:szCs w:val="19"/>
          <w:color w:val="auto"/>
        </w:rPr>
      </w:pPr>
    </w:p>
    <w:p>
      <w:pPr>
        <w:ind w:left="640" w:right="20" w:firstLine="632"/>
        <w:spacing w:after="0" w:line="262" w:lineRule="auto"/>
        <w:tabs>
          <w:tab w:leader="none" w:pos="1692"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79" w:lineRule="exact"/>
        <w:rPr>
          <w:sz w:val="20"/>
          <w:szCs w:val="20"/>
          <w:color w:val="auto"/>
        </w:rPr>
      </w:pPr>
    </w:p>
    <w:p>
      <w:pPr>
        <w:ind w:firstLine="633"/>
        <w:spacing w:after="0" w:line="262" w:lineRule="auto"/>
        <w:rPr>
          <w:sz w:val="20"/>
          <w:szCs w:val="20"/>
          <w:color w:val="auto"/>
        </w:rPr>
      </w:pPr>
      <w:r>
        <w:rPr>
          <w:rFonts w:ascii="Times New Roman" w:cs="Times New Roman" w:eastAsia="Times New Roman" w:hAnsi="Times New Roman"/>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5" w:lineRule="exact"/>
        <w:rPr>
          <w:sz w:val="20"/>
          <w:szCs w:val="20"/>
          <w:color w:val="auto"/>
        </w:rPr>
      </w:pPr>
    </w:p>
    <w:p>
      <w:pPr>
        <w:ind w:right="34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Transition Event</w:t>
      </w:r>
      <w:r>
        <w:rPr>
          <w:rFonts w:ascii="Times New Roman" w:cs="Times New Roman" w:eastAsia="Times New Roman" w:hAnsi="Times New Roman"/>
          <w:sz w:val="19"/>
          <w:szCs w:val="19"/>
          <w:color w:val="auto"/>
        </w:rPr>
        <w:t>” means, with respect to any Benchmark, the occurrence of one or more of the following events with respect to such then-current Benchmark:</w:t>
      </w:r>
    </w:p>
    <w:p>
      <w:pPr>
        <w:spacing w:after="0" w:line="154" w:lineRule="exact"/>
        <w:rPr>
          <w:sz w:val="20"/>
          <w:szCs w:val="20"/>
          <w:color w:val="auto"/>
        </w:rPr>
      </w:pPr>
    </w:p>
    <w:p>
      <w:pPr>
        <w:ind w:left="640" w:right="20" w:firstLine="632"/>
        <w:spacing w:after="0" w:line="268" w:lineRule="auto"/>
        <w:tabs>
          <w:tab w:leader="none" w:pos="1547"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w:t>
      </w:r>
    </w:p>
    <w:p>
      <w:pPr>
        <w:spacing w:after="0" w:line="158" w:lineRule="exact"/>
        <w:rPr>
          <w:rFonts w:ascii="Times New Roman" w:cs="Times New Roman" w:eastAsia="Times New Roman" w:hAnsi="Times New Roman"/>
          <w:sz w:val="19"/>
          <w:szCs w:val="19"/>
          <w:color w:val="auto"/>
        </w:rPr>
      </w:pPr>
    </w:p>
    <w:p>
      <w:pPr>
        <w:ind w:left="640" w:right="20" w:firstLine="632"/>
        <w:spacing w:after="0" w:line="259" w:lineRule="auto"/>
        <w:tabs>
          <w:tab w:leader="none" w:pos="1547"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82" w:name="page83"/>
    <w:bookmarkEnd w:id="82"/>
    <w:p>
      <w:pPr>
        <w:ind w:left="640" w:firstLine="632"/>
        <w:spacing w:after="0" w:line="272" w:lineRule="auto"/>
        <w:tabs>
          <w:tab w:leader="none" w:pos="1547"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67" w:lineRule="exact"/>
        <w:rPr>
          <w:sz w:val="20"/>
          <w:szCs w:val="20"/>
          <w:color w:val="auto"/>
        </w:rPr>
      </w:pPr>
    </w:p>
    <w:p>
      <w:pPr>
        <w:ind w:right="20" w:firstLine="633"/>
        <w:spacing w:after="0" w:line="272"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3" w:lineRule="exact"/>
        <w:rPr>
          <w:sz w:val="20"/>
          <w:szCs w:val="20"/>
          <w:color w:val="auto"/>
        </w:rPr>
      </w:pPr>
    </w:p>
    <w:p>
      <w:pPr>
        <w:ind w:right="20"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Unavailability Period</w:t>
      </w:r>
      <w:r>
        <w:rPr>
          <w:rFonts w:ascii="Times New Roman" w:cs="Times New Roman" w:eastAsia="Times New Roman" w:hAnsi="Times New Roman"/>
          <w:sz w:val="19"/>
          <w:szCs w:val="19"/>
          <w:color w:val="auto"/>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xml:space="preserve"> and (y)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right="18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Benefit Plan</w:t>
      </w:r>
      <w:r>
        <w:rPr>
          <w:rFonts w:ascii="Times New Roman" w:cs="Times New Roman" w:eastAsia="Times New Roman" w:hAnsi="Times New Roman"/>
          <w:sz w:val="19"/>
          <w:szCs w:val="19"/>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BHC Act Affiliate</w:t>
      </w:r>
      <w:r>
        <w:rPr>
          <w:rFonts w:ascii="Times New Roman" w:cs="Times New Roman" w:eastAsia="Times New Roman" w:hAnsi="Times New Roman"/>
          <w:sz w:val="19"/>
          <w:szCs w:val="19"/>
          <w:color w:val="auto"/>
        </w:rPr>
        <w:t>” of a party means an “affiliate’ (as such term is defined under, and interpreted in accordance with, 12 U.S.C.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1841(k)) of such party.</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Borrowing</w:t>
      </w:r>
      <w:r>
        <w:rPr>
          <w:rFonts w:ascii="Times New Roman" w:cs="Times New Roman" w:eastAsia="Times New Roman" w:hAnsi="Times New Roman"/>
          <w:sz w:val="19"/>
          <w:szCs w:val="19"/>
          <w:color w:val="auto"/>
        </w:rPr>
        <w:t>” means a Revolving Borrowing.</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Borrowing Date</w:t>
      </w:r>
      <w:r>
        <w:rPr>
          <w:rFonts w:ascii="Times New Roman" w:cs="Times New Roman" w:eastAsia="Times New Roman" w:hAnsi="Times New Roman"/>
          <w:sz w:val="19"/>
          <w:szCs w:val="19"/>
          <w:color w:val="auto"/>
        </w:rPr>
        <w:t>” means the date of a Credit Extension.</w:t>
      </w:r>
    </w:p>
    <w:p>
      <w:pPr>
        <w:spacing w:after="0" w:line="230" w:lineRule="exact"/>
        <w:rPr>
          <w:sz w:val="20"/>
          <w:szCs w:val="20"/>
          <w:color w:val="auto"/>
        </w:rPr>
      </w:pPr>
    </w:p>
    <w:p>
      <w:pPr>
        <w:ind w:right="70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means, any day (other than a Saturday or a Sunday) on which banks are open for business in New York City or Chicago.</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Calculation Period</w:t>
      </w:r>
      <w:r>
        <w:rPr>
          <w:rFonts w:ascii="Times New Roman" w:cs="Times New Roman" w:eastAsia="Times New Roman" w:hAnsi="Times New Roman"/>
          <w:sz w:val="19"/>
          <w:szCs w:val="19"/>
          <w:color w:val="auto"/>
        </w:rPr>
        <w:t>” means, with respect to any ratio or calculation, the period for which such ratio or calculation is being calculated.</w:t>
      </w:r>
    </w:p>
    <w:p>
      <w:pPr>
        <w:spacing w:after="0" w:line="217" w:lineRule="exact"/>
        <w:rPr>
          <w:sz w:val="20"/>
          <w:szCs w:val="20"/>
          <w:color w:val="auto"/>
        </w:rPr>
      </w:pPr>
    </w:p>
    <w:p>
      <w:pPr>
        <w:ind w:right="20" w:firstLine="633"/>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Capital Adequacy Regulation</w:t>
      </w:r>
      <w:r>
        <w:rPr>
          <w:rFonts w:ascii="Times New Roman" w:cs="Times New Roman" w:eastAsia="Times New Roman" w:hAnsi="Times New Roman"/>
          <w:sz w:val="19"/>
          <w:szCs w:val="19"/>
          <w:color w:val="auto"/>
        </w:rPr>
        <w:t>” means any guideline, request or directive of any central bank or other Governmental Authority, or any other law, rule or regulation, whether or not having the force of law, in each case, regarding capital adequacy or liquidity of any bank or of any corporation controlling a bank.</w:t>
      </w:r>
    </w:p>
    <w:p>
      <w:pPr>
        <w:spacing w:after="0" w:line="143"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Capital and Surplus</w:t>
      </w:r>
      <w:r>
        <w:rPr>
          <w:rFonts w:ascii="Times New Roman" w:cs="Times New Roman" w:eastAsia="Times New Roman" w:hAnsi="Times New Roman"/>
          <w:sz w:val="19"/>
          <w:szCs w:val="19"/>
          <w:color w:val="auto"/>
        </w:rPr>
        <w:t>” means, as to any Insurance Subsidiary, as of any date, the total amount reported as “Surplus as Regards Policyholders” shown on line 37, page 3, column 1 (or such other line on which the equivalent information is provided on any other such Annual Statement) of the Annual Statement of such Insurance Subsidiary as of such date, or an amount determined in a consistent manner in accordance with SAP for any date other than one as of which an Annual Statement is prepared.</w:t>
      </w:r>
    </w:p>
    <w:p>
      <w:pPr>
        <w:spacing w:after="0" w:line="168" w:lineRule="exact"/>
        <w:rPr>
          <w:sz w:val="20"/>
          <w:szCs w:val="20"/>
          <w:color w:val="auto"/>
        </w:rPr>
      </w:pPr>
    </w:p>
    <w:p>
      <w:pPr>
        <w:ind w:right="28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Capital Stock</w:t>
      </w:r>
      <w:r>
        <w:rPr>
          <w:rFonts w:ascii="Times New Roman" w:cs="Times New Roman" w:eastAsia="Times New Roman" w:hAnsi="Times New Roman"/>
          <w:sz w:val="19"/>
          <w:szCs w:val="19"/>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83" w:name="page84"/>
    <w:bookmarkEnd w:id="83"/>
    <w:p>
      <w:pPr>
        <w:ind w:right="220"/>
        <w:spacing w:after="0" w:line="297" w:lineRule="auto"/>
        <w:rPr>
          <w:sz w:val="20"/>
          <w:szCs w:val="20"/>
          <w:color w:val="auto"/>
        </w:rPr>
      </w:pPr>
      <w:r>
        <w:rPr>
          <w:rFonts w:ascii="Times New Roman" w:cs="Times New Roman" w:eastAsia="Times New Roman" w:hAnsi="Times New Roman"/>
          <w:sz w:val="19"/>
          <w:szCs w:val="19"/>
          <w:color w:val="auto"/>
        </w:rPr>
        <w:t xml:space="preserve">rights or options to purchase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Capital Stock shall not be deemed to include debt convertible or exchangeable for any of the foregoing.</w:t>
      </w:r>
    </w:p>
    <w:p>
      <w:pPr>
        <w:spacing w:after="0" w:line="128" w:lineRule="exact"/>
        <w:rPr>
          <w:sz w:val="20"/>
          <w:szCs w:val="20"/>
          <w:color w:val="auto"/>
        </w:rPr>
      </w:pPr>
    </w:p>
    <w:p>
      <w:pPr>
        <w:ind w:right="40"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Capitalized Lease Liabilities</w:t>
      </w:r>
      <w:r>
        <w:rPr>
          <w:rFonts w:ascii="Times New Roman" w:cs="Times New Roman" w:eastAsia="Times New Roman" w:hAnsi="Times New Roman"/>
          <w:sz w:val="19"/>
          <w:szCs w:val="19"/>
          <w:color w:val="auto"/>
        </w:rPr>
        <w:t>” means, with respect to any Person, all monetary obligations of such Person under any leasing or similar arrangement that, in accordance with GAAP, would be classified as a capitalized lease, and, for purposes of this Agreement, the amount of such obligations shall be the capitalized amount thereof, determined in accordance with GAAP, and the stated maturity thereof shall be the date of the last payment of rent or any other amount due under such lease prior to the first date upon which such lease may be terminated by the lessee without payment of a penalty. For purposes of this definition, whenever in this Agreement is it necessary to determine whether a lease is a capital lease or an operating lease, such determination shall be made on the basis of GAAP as in effect on December 31, 2017.</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Cash Equivalents</w:t>
      </w:r>
      <w:r>
        <w:rPr>
          <w:rFonts w:ascii="Times New Roman" w:cs="Times New Roman" w:eastAsia="Times New Roman" w:hAnsi="Times New Roman"/>
          <w:sz w:val="19"/>
          <w:szCs w:val="19"/>
          <w:color w:val="auto"/>
        </w:rPr>
        <w:t>” means:</w:t>
      </w:r>
    </w:p>
    <w:p>
      <w:pPr>
        <w:spacing w:after="0" w:line="221" w:lineRule="exact"/>
        <w:rPr>
          <w:sz w:val="20"/>
          <w:szCs w:val="20"/>
          <w:color w:val="auto"/>
        </w:rPr>
      </w:pPr>
    </w:p>
    <w:p>
      <w:pPr>
        <w:ind w:left="640" w:right="200" w:firstLine="632"/>
        <w:spacing w:after="0" w:line="279" w:lineRule="auto"/>
        <w:tabs>
          <w:tab w:leader="none" w:pos="1681"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marketable direct obligations issued by, or unconditionally guaranteed by, the United States government or issued by any agency thereof and backed by the full faith and credit of the United States, in each case maturing within one year from the date of acquisition;</w:t>
      </w:r>
    </w:p>
    <w:p>
      <w:pPr>
        <w:spacing w:after="0" w:line="148" w:lineRule="exact"/>
        <w:rPr>
          <w:rFonts w:ascii="Times New Roman" w:cs="Times New Roman" w:eastAsia="Times New Roman" w:hAnsi="Times New Roman"/>
          <w:sz w:val="19"/>
          <w:szCs w:val="19"/>
          <w:color w:val="auto"/>
        </w:rPr>
      </w:pPr>
    </w:p>
    <w:p>
      <w:pPr>
        <w:ind w:left="640" w:right="20" w:firstLine="632"/>
        <w:spacing w:after="0" w:line="266" w:lineRule="auto"/>
        <w:tabs>
          <w:tab w:leader="none" w:pos="1692"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certificates of deposit, time deposits, eurodollar time deposits or overnight bank deposits having maturities of twelve months or less from the date of acquisition issued by any commercial bank organized under the laws of the United States or any state thereof having combined capital and surplus of not less than $500,000,000 and a short term deposit rating of at least A-1 by S&amp;P and P-l by Moody’s, or carrying an equivalent rating by a nationally recognized rating agency, if both of the two named rating agencies cease publishing ratings of commercial paper issuers generally;</w:t>
      </w:r>
    </w:p>
    <w:p>
      <w:pPr>
        <w:spacing w:after="0" w:line="160" w:lineRule="exact"/>
        <w:rPr>
          <w:rFonts w:ascii="Times New Roman" w:cs="Times New Roman" w:eastAsia="Times New Roman" w:hAnsi="Times New Roman"/>
          <w:sz w:val="19"/>
          <w:szCs w:val="19"/>
          <w:color w:val="auto"/>
        </w:rPr>
      </w:pPr>
    </w:p>
    <w:p>
      <w:pPr>
        <w:ind w:left="640" w:right="60" w:firstLine="632"/>
        <w:spacing w:after="0" w:line="272" w:lineRule="auto"/>
        <w:tabs>
          <w:tab w:leader="none" w:pos="1681"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commercial paper of an issuer rated at least A-1 by S&amp;P and P-1 by Moody’s at the time of acquisition thereof, or carrying an equivalent rating by a nationally recognized rating agency, if both of the two named rating agencies cease publishing ratings of commercial paper issuers generally, and maturing within nine months from the date of acquisition;</w:t>
      </w:r>
    </w:p>
    <w:p>
      <w:pPr>
        <w:spacing w:after="0" w:line="167" w:lineRule="exact"/>
        <w:rPr>
          <w:rFonts w:ascii="Times New Roman" w:cs="Times New Roman" w:eastAsia="Times New Roman" w:hAnsi="Times New Roman"/>
          <w:sz w:val="19"/>
          <w:szCs w:val="19"/>
          <w:color w:val="auto"/>
        </w:rPr>
      </w:pPr>
    </w:p>
    <w:p>
      <w:pPr>
        <w:jc w:val="both"/>
        <w:ind w:left="640" w:firstLine="632"/>
        <w:spacing w:after="0" w:line="283" w:lineRule="auto"/>
        <w:tabs>
          <w:tab w:leader="none" w:pos="1692"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repurchase obligations of any Lender or of any commercial bank satisfying the requirements of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this definition, having a term of not more than 30 days, with respect to securities issued or fully guaranteed or insured by the United States government;</w:t>
      </w:r>
    </w:p>
    <w:p>
      <w:pPr>
        <w:spacing w:after="0" w:line="157" w:lineRule="exact"/>
        <w:rPr>
          <w:rFonts w:ascii="Times New Roman" w:cs="Times New Roman" w:eastAsia="Times New Roman" w:hAnsi="Times New Roman"/>
          <w:sz w:val="19"/>
          <w:szCs w:val="19"/>
          <w:color w:val="auto"/>
        </w:rPr>
      </w:pPr>
    </w:p>
    <w:p>
      <w:pPr>
        <w:ind w:left="640" w:right="160" w:firstLine="632"/>
        <w:spacing w:after="0" w:line="268" w:lineRule="auto"/>
        <w:tabs>
          <w:tab w:leader="none" w:pos="1681"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and A2 by Moody’s;</w:t>
      </w:r>
    </w:p>
    <w:p>
      <w:pPr>
        <w:spacing w:after="0" w:line="158" w:lineRule="exact"/>
        <w:rPr>
          <w:rFonts w:ascii="Times New Roman" w:cs="Times New Roman" w:eastAsia="Times New Roman" w:hAnsi="Times New Roman"/>
          <w:sz w:val="19"/>
          <w:szCs w:val="19"/>
          <w:color w:val="auto"/>
        </w:rPr>
      </w:pPr>
    </w:p>
    <w:p>
      <w:pPr>
        <w:ind w:left="640" w:right="180" w:firstLine="632"/>
        <w:spacing w:after="0" w:line="297" w:lineRule="auto"/>
        <w:tabs>
          <w:tab w:leader="none" w:pos="1659"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securities with maturities of one year or less from the date of acquisition backed by standby letters of credit issued by any Lender or any commercial bank satisfying the requirements of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this definition; and</w:t>
      </w:r>
    </w:p>
    <w:p>
      <w:pPr>
        <w:spacing w:after="0" w:line="145" w:lineRule="exact"/>
        <w:rPr>
          <w:rFonts w:ascii="Times New Roman" w:cs="Times New Roman" w:eastAsia="Times New Roman" w:hAnsi="Times New Roman"/>
          <w:sz w:val="19"/>
          <w:szCs w:val="19"/>
          <w:color w:val="auto"/>
        </w:rPr>
      </w:pPr>
    </w:p>
    <w:p>
      <w:pPr>
        <w:ind w:left="640" w:right="140" w:firstLine="632"/>
        <w:spacing w:after="0" w:line="283" w:lineRule="auto"/>
        <w:tabs>
          <w:tab w:leader="none" w:pos="1692"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shares of money market mutual or similar funds that invest exclusively in assets satisfying the requirements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of this definition.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84" w:name="page85"/>
    <w:bookmarkEnd w:id="84"/>
    <w:p>
      <w:pPr>
        <w:ind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Cash Management Obligations</w:t>
      </w:r>
      <w:r>
        <w:rPr>
          <w:rFonts w:ascii="Times New Roman" w:cs="Times New Roman" w:eastAsia="Times New Roman" w:hAnsi="Times New Roman"/>
          <w:sz w:val="19"/>
          <w:szCs w:val="19"/>
          <w:color w:val="auto"/>
        </w:rPr>
        <w:t>” means obligations owed by the Company or any Subsidiary in respect of any overdraft and related liabilities arising from treasury, depository and cash management services or any automated clearing house transfers of funds or in respect of any credit card or similar services.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CERCLA</w:t>
      </w:r>
      <w:r>
        <w:rPr>
          <w:rFonts w:ascii="Times New Roman" w:cs="Times New Roman" w:eastAsia="Times New Roman" w:hAnsi="Times New Roman"/>
          <w:sz w:val="19"/>
          <w:szCs w:val="19"/>
          <w:color w:val="auto"/>
        </w:rPr>
        <w:t>” means the Comprehensive Environmental Response, Compensation, and Liability Act of 1980.</w:t>
      </w:r>
    </w:p>
    <w:p>
      <w:pPr>
        <w:spacing w:after="0" w:line="217" w:lineRule="exact"/>
        <w:rPr>
          <w:sz w:val="20"/>
          <w:szCs w:val="20"/>
          <w:color w:val="auto"/>
        </w:rPr>
      </w:pPr>
    </w:p>
    <w:p>
      <w:pPr>
        <w:jc w:val="both"/>
        <w:ind w:right="20" w:firstLine="633"/>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means any acquisition, directly or indirectly, by any person or group (as such terms are used in Sections 13(d) and 14(d) of the Exchange Act), of beneficial ownership (within the meaning of Rule 13d-3 of the SEC under the Exchange Act) of 50% or more of the outstanding shares of Voting Stock of the Company.</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 Date</w:t>
      </w:r>
      <w:r>
        <w:rPr>
          <w:rFonts w:ascii="Times New Roman" w:cs="Times New Roman" w:eastAsia="Times New Roman" w:hAnsi="Times New Roman"/>
          <w:sz w:val="19"/>
          <w:szCs w:val="19"/>
          <w:color w:val="auto"/>
        </w:rPr>
        <w:t xml:space="preserve">” shall mean the first date on which each of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shall have been satisfied or waived.</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 Date Refinancing</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4.02(c)</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20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CME Term SOFR Administrator</w:t>
      </w:r>
      <w:r>
        <w:rPr>
          <w:rFonts w:ascii="Times New Roman" w:cs="Times New Roman" w:eastAsia="Times New Roman" w:hAnsi="Times New Roman"/>
          <w:sz w:val="19"/>
          <w:szCs w:val="19"/>
          <w:color w:val="auto"/>
        </w:rPr>
        <w:t>” means CME Group Benchmark Administration Limited as administrator of the forward-looking term Secured Overnight Financing Rate (SOFR) (or a successor administrator).</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Co-Documentation Agents</w:t>
      </w:r>
      <w:r>
        <w:rPr>
          <w:rFonts w:ascii="Times New Roman" w:cs="Times New Roman" w:eastAsia="Times New Roman" w:hAnsi="Times New Roman"/>
          <w:sz w:val="19"/>
          <w:szCs w:val="19"/>
          <w:color w:val="auto"/>
        </w:rPr>
        <w:t>” means Goldman Sachs Bank USA, Huntington National Bank and U.S. Bank National Association.</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Code</w:t>
      </w:r>
      <w:r>
        <w:rPr>
          <w:rFonts w:ascii="Times New Roman" w:cs="Times New Roman" w:eastAsia="Times New Roman" w:hAnsi="Times New Roman"/>
          <w:sz w:val="19"/>
          <w:szCs w:val="19"/>
          <w:color w:val="auto"/>
        </w:rPr>
        <w:t>” means the Internal Revenue Code of 1986, as amended.</w:t>
      </w:r>
    </w:p>
    <w:p>
      <w:pPr>
        <w:spacing w:after="0" w:line="230" w:lineRule="exact"/>
        <w:rPr>
          <w:sz w:val="20"/>
          <w:szCs w:val="20"/>
          <w:color w:val="auto"/>
        </w:rPr>
      </w:pPr>
    </w:p>
    <w:p>
      <w:pPr>
        <w:ind w:right="36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Commitment</w:t>
      </w:r>
      <w:r>
        <w:rPr>
          <w:rFonts w:ascii="Times New Roman" w:cs="Times New Roman" w:eastAsia="Times New Roman" w:hAnsi="Times New Roman"/>
          <w:sz w:val="19"/>
          <w:szCs w:val="19"/>
          <w:color w:val="auto"/>
        </w:rPr>
        <w:t xml:space="preserve">” means any Revolving Commitment. The amount of each Lender’s Commitment as of the date hereof is set forth on </w:t>
      </w:r>
      <w:r>
        <w:rPr>
          <w:rFonts w:ascii="Times New Roman" w:cs="Times New Roman" w:eastAsia="Times New Roman" w:hAnsi="Times New Roman"/>
          <w:sz w:val="19"/>
          <w:szCs w:val="19"/>
          <w:u w:val="single" w:color="auto"/>
          <w:color w:val="auto"/>
        </w:rPr>
        <w:t>Schedule 1.01(A)</w:t>
      </w:r>
      <w:r>
        <w:rPr>
          <w:rFonts w:ascii="Times New Roman" w:cs="Times New Roman" w:eastAsia="Times New Roman" w:hAnsi="Times New Roman"/>
          <w:sz w:val="19"/>
          <w:szCs w:val="19"/>
          <w:color w:val="auto"/>
        </w:rPr>
        <w:t xml:space="preserve"> hereto.</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Commitment Letter</w:t>
      </w:r>
      <w:r>
        <w:rPr>
          <w:rFonts w:ascii="Times New Roman" w:cs="Times New Roman" w:eastAsia="Times New Roman" w:hAnsi="Times New Roman"/>
          <w:sz w:val="19"/>
          <w:szCs w:val="19"/>
          <w:color w:val="auto"/>
        </w:rPr>
        <w:t>” means that certain commitment letter dated as of March 27, 2024 between RBC and the Company.</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the meaning specified in the introduction to this Agreement.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Compensation Period</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2.14(c)(ii)</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Compliance Certificate</w:t>
      </w:r>
      <w:r>
        <w:rPr>
          <w:rFonts w:ascii="Times New Roman" w:cs="Times New Roman" w:eastAsia="Times New Roman" w:hAnsi="Times New Roman"/>
          <w:sz w:val="19"/>
          <w:szCs w:val="19"/>
          <w:color w:val="auto"/>
        </w:rPr>
        <w:t xml:space="preserve">” means a certificate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100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Net Income</w:t>
      </w:r>
      <w:r>
        <w:rPr>
          <w:rFonts w:ascii="Times New Roman" w:cs="Times New Roman" w:eastAsia="Times New Roman" w:hAnsi="Times New Roman"/>
          <w:sz w:val="19"/>
          <w:szCs w:val="19"/>
          <w:color w:val="auto"/>
        </w:rPr>
        <w:t>” means for any period, the consolidated net income (or loss) of the Company and its Restricted Subsidiaries, determined on a consolidated basis in accordance with GAAP.</w:t>
      </w:r>
    </w:p>
    <w:p>
      <w:pPr>
        <w:spacing w:after="0" w:line="123" w:lineRule="exact"/>
        <w:rPr>
          <w:sz w:val="20"/>
          <w:szCs w:val="20"/>
          <w:color w:val="auto"/>
        </w:rPr>
      </w:pPr>
    </w:p>
    <w:p>
      <w:pPr>
        <w:ind w:right="80"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Net Worth</w:t>
      </w:r>
      <w:r>
        <w:rPr>
          <w:rFonts w:ascii="Times New Roman" w:cs="Times New Roman" w:eastAsia="Times New Roman" w:hAnsi="Times New Roman"/>
          <w:sz w:val="19"/>
          <w:szCs w:val="19"/>
          <w:color w:val="auto"/>
        </w:rPr>
        <w:t xml:space="preserve">” means, as of any date of determination with respect to the Company, all amounts included, in conformity with GAAP, under shareholders’ equity on the consolidated balance sheet of the Company as of the last day of the most recently ended Fiscal Quarter of the Company for which financial statements have been (or were required to have been) delivered pursuant to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excluding the effect thereon of any accumulated other comprehensive income (or loss) or adjustments required under FASB ASC 320 and related taxes under FASB ASC 740, after appropriate deduction for any minority interests in Subsidiaries (to the extent minority interests are included in consolidated shareholders’ equity). Consolidated Net Worth shall be calculated on a Pro Forma Basis;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79" w:right="359" w:bottom="1440" w:gutter="0" w:footer="0" w:header="0"/>
        </w:sectPr>
      </w:pPr>
    </w:p>
    <w:bookmarkStart w:id="85" w:name="page86"/>
    <w:bookmarkEnd w:id="85"/>
    <w:p>
      <w:pPr>
        <w:ind w:right="1040"/>
        <w:spacing w:after="0" w:line="297" w:lineRule="auto"/>
        <w:rPr>
          <w:sz w:val="20"/>
          <w:szCs w:val="20"/>
          <w:color w:val="auto"/>
        </w:rPr>
      </w:pPr>
      <w:r>
        <w:rPr>
          <w:rFonts w:ascii="Times New Roman" w:cs="Times New Roman" w:eastAsia="Times New Roman" w:hAnsi="Times New Roman"/>
          <w:sz w:val="19"/>
          <w:szCs w:val="19"/>
          <w:color w:val="auto"/>
        </w:rPr>
        <w:t xml:space="preserve">for purposes of compliance with </w:t>
      </w:r>
      <w:r>
        <w:rPr>
          <w:rFonts w:ascii="Times New Roman" w:cs="Times New Roman" w:eastAsia="Times New Roman" w:hAnsi="Times New Roman"/>
          <w:sz w:val="19"/>
          <w:szCs w:val="19"/>
          <w:u w:val="single" w:color="auto"/>
          <w:color w:val="auto"/>
        </w:rPr>
        <w:t>Section 7.14</w:t>
      </w:r>
      <w:r>
        <w:rPr>
          <w:rFonts w:ascii="Times New Roman" w:cs="Times New Roman" w:eastAsia="Times New Roman" w:hAnsi="Times New Roman"/>
          <w:sz w:val="19"/>
          <w:szCs w:val="19"/>
          <w:color w:val="auto"/>
        </w:rPr>
        <w:t>, unless such compliance is expressly required to be determined on a Pro Forma Basis, Consolidated Net Worth shall not be determined on a Pro Forma Basis.</w:t>
      </w:r>
    </w:p>
    <w:p>
      <w:pPr>
        <w:spacing w:after="0" w:line="128" w:lineRule="exact"/>
        <w:rPr>
          <w:sz w:val="20"/>
          <w:szCs w:val="20"/>
          <w:color w:val="auto"/>
        </w:rPr>
      </w:pPr>
    </w:p>
    <w:p>
      <w:pPr>
        <w:ind w:right="4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Total Assets</w:t>
      </w:r>
      <w:r>
        <w:rPr>
          <w:rFonts w:ascii="Times New Roman" w:cs="Times New Roman" w:eastAsia="Times New Roman" w:hAnsi="Times New Roman"/>
          <w:sz w:val="19"/>
          <w:szCs w:val="19"/>
          <w:color w:val="auto"/>
        </w:rPr>
        <w:t xml:space="preserve">” means, as of any date of determination, the total assets of the Company and its Subsidiaries, determined in accordance with GAAP, as set forth on the consolidated balance sheet of the Company as of the last day of the most recently ended Fiscal Quarter of the Company for which financial statements have been delivered pursuant to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right="24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Total Revenues</w:t>
      </w:r>
      <w:r>
        <w:rPr>
          <w:rFonts w:ascii="Times New Roman" w:cs="Times New Roman" w:eastAsia="Times New Roman" w:hAnsi="Times New Roman"/>
          <w:sz w:val="19"/>
          <w:szCs w:val="19"/>
          <w:color w:val="auto"/>
        </w:rPr>
        <w:t xml:space="preserve">” means, as of any date of determination, the total revenues of the Company and its Subsidiaries, determined in accordance with GAAP, as set forth on the consolidated statement or statements of operations of the Company for the four most recently ended Fiscal Quarters of the Company for which financial statements have been delivered pursuant to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right="140" w:firstLine="633"/>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Contingent Obligation</w:t>
      </w:r>
      <w:r>
        <w:rPr>
          <w:rFonts w:ascii="Times New Roman" w:cs="Times New Roman" w:eastAsia="Times New Roman" w:hAnsi="Times New Roman"/>
          <w:sz w:val="19"/>
          <w:szCs w:val="19"/>
          <w:color w:val="auto"/>
        </w:rPr>
        <w:t xml:space="preserve">” means, without duplication,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and indemnities under contracts entered into in the ordinary course of business or in connection with any Acquisition or Disposition of property permitted under this Agreement and not in respect of Indebtedness), or guarantees the payment of dividends or other distributions upon the shares of any other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obligations of any Person under Reinsurance Agreements or in connection with Investments of Insurance Subsidiaries or Subsidiaries of Insurance Subsidiaries permitted by the applicable Department shall not be deemed Contingent Obligations of such Person. The amount of any Contingent Obligation of any Person shall (subject to any limitation set forth therein) be deemed to be an amount equal to the stated or determinable amount of the related primary obligation, or portion thereof, in respect of which such Contingent Obligation is made or, if not stated or determinable, the maximum reasonably anticipated liability in respect thereof as determined by such Person in good faith.</w:t>
      </w:r>
    </w:p>
    <w:p>
      <w:pPr>
        <w:spacing w:after="0" w:line="163" w:lineRule="exact"/>
        <w:rPr>
          <w:sz w:val="20"/>
          <w:szCs w:val="20"/>
          <w:color w:val="auto"/>
        </w:rPr>
      </w:pPr>
    </w:p>
    <w:p>
      <w:pPr>
        <w:ind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Contractual Obligation</w:t>
      </w:r>
      <w:r>
        <w:rPr>
          <w:rFonts w:ascii="Times New Roman" w:cs="Times New Roman" w:eastAsia="Times New Roman" w:hAnsi="Times New Roman"/>
          <w:sz w:val="19"/>
          <w:szCs w:val="19"/>
          <w:color w:val="auto"/>
        </w:rPr>
        <w:t>” means, as to any Person, any provision of any security issued by such Person or of any agreement, undertaking, contract, indenture, mortgage, deed of trust or other instrument, document or agreement to which such Person is a party or by which it or any of its property is bound.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Conversion/Continuation Notice</w:t>
      </w:r>
      <w:r>
        <w:rPr>
          <w:rFonts w:ascii="Times New Roman" w:cs="Times New Roman" w:eastAsia="Times New Roman" w:hAnsi="Times New Roman"/>
          <w:sz w:val="19"/>
          <w:szCs w:val="19"/>
          <w:color w:val="auto"/>
        </w:rPr>
        <w:t xml:space="preserve">” means a Conversion/Continuation Notice substantially in the form of </w:t>
      </w:r>
      <w:r>
        <w:rPr>
          <w:rFonts w:ascii="Times New Roman" w:cs="Times New Roman" w:eastAsia="Times New Roman" w:hAnsi="Times New Roman"/>
          <w:sz w:val="19"/>
          <w:szCs w:val="19"/>
          <w:u w:val="single" w:color="auto"/>
          <w:color w:val="auto"/>
        </w:rPr>
        <w:t>Exhibit C-2</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34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Corresponding Tenor</w:t>
      </w:r>
      <w:r>
        <w:rPr>
          <w:rFonts w:ascii="Times New Roman" w:cs="Times New Roman" w:eastAsia="Times New Roman" w:hAnsi="Times New Roman"/>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Covered Entity</w:t>
      </w:r>
      <w:r>
        <w:rPr>
          <w:rFonts w:ascii="Times New Roman" w:cs="Times New Roman" w:eastAsia="Times New Roman" w:hAnsi="Times New Roman"/>
          <w:sz w:val="19"/>
          <w:szCs w:val="19"/>
          <w:color w:val="auto"/>
        </w:rPr>
        <w:t>” means any of the following:</w:t>
      </w:r>
    </w:p>
    <w:p>
      <w:pPr>
        <w:spacing w:after="0" w:line="221" w:lineRule="exact"/>
        <w:rPr>
          <w:sz w:val="20"/>
          <w:szCs w:val="20"/>
          <w:color w:val="auto"/>
        </w:rPr>
      </w:pPr>
    </w:p>
    <w:p>
      <w:pPr>
        <w:ind w:left="1020" w:hanging="381"/>
        <w:spacing w:after="0"/>
        <w:tabs>
          <w:tab w:leader="none" w:pos="102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entity” as that term is defined in, and interpreted in accordance with, 12 C.F.R. § 252.82(b);</w:t>
      </w:r>
    </w:p>
    <w:p>
      <w:pPr>
        <w:spacing w:after="0" w:line="229"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bank” as that term is defined in, and interpreted in accordance with, 12 C.F.R. § 47.3(b); or</w:t>
      </w:r>
    </w:p>
    <w:p>
      <w:pPr>
        <w:spacing w:after="0" w:line="229" w:lineRule="exact"/>
        <w:rPr>
          <w:rFonts w:ascii="Times New Roman" w:cs="Times New Roman" w:eastAsia="Times New Roman" w:hAnsi="Times New Roman"/>
          <w:sz w:val="19"/>
          <w:szCs w:val="19"/>
          <w:color w:val="auto"/>
        </w:rPr>
      </w:pPr>
    </w:p>
    <w:p>
      <w:pPr>
        <w:ind w:left="1120" w:hanging="481"/>
        <w:spacing w:after="0"/>
        <w:tabs>
          <w:tab w:leader="none" w:pos="112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FSI” as that term is defined in, and interpreted in accordance with, 12 C.F.R. § 382.2(b).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86" w:name="page87"/>
    <w:bookmarkEnd w:id="86"/>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Covered Party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10.18</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Credit Extension</w:t>
      </w:r>
      <w:r>
        <w:rPr>
          <w:rFonts w:ascii="Times New Roman" w:cs="Times New Roman" w:eastAsia="Times New Roman" w:hAnsi="Times New Roman"/>
          <w:sz w:val="19"/>
          <w:szCs w:val="19"/>
          <w:color w:val="auto"/>
        </w:rPr>
        <w:t>” means the making, conversion or continuation of a Loan.</w:t>
      </w:r>
    </w:p>
    <w:p>
      <w:pPr>
        <w:spacing w:after="0" w:line="217" w:lineRule="exact"/>
        <w:rPr>
          <w:sz w:val="20"/>
          <w:szCs w:val="20"/>
          <w:color w:val="auto"/>
        </w:rPr>
      </w:pPr>
    </w:p>
    <w:p>
      <w:pPr>
        <w:ind w:right="160"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b w:val="1"/>
          <w:bCs w:val="1"/>
          <w:color w:val="auto"/>
        </w:rPr>
        <w:t>SOFR Rate Day</w:t>
      </w:r>
      <w:r>
        <w:rPr>
          <w:rFonts w:ascii="Times New Roman" w:cs="Times New Roman" w:eastAsia="Times New Roman" w:hAnsi="Times New Roman"/>
          <w:sz w:val="19"/>
          <w:szCs w:val="19"/>
          <w:color w:val="auto"/>
        </w:rPr>
        <w:t>”), a rate per annum equal SOFR for the day (such day “</w:t>
      </w:r>
      <w:r>
        <w:rPr>
          <w:rFonts w:ascii="Times New Roman" w:cs="Times New Roman" w:eastAsia="Times New Roman" w:hAnsi="Times New Roman"/>
          <w:sz w:val="19"/>
          <w:szCs w:val="19"/>
          <w:b w:val="1"/>
          <w:bCs w:val="1"/>
          <w:color w:val="auto"/>
        </w:rPr>
        <w:t>SOFR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Determination Date</w:t>
      </w:r>
      <w:r>
        <w:rPr>
          <w:rFonts w:ascii="Times New Roman" w:cs="Times New Roman" w:eastAsia="Times New Roman" w:hAnsi="Times New Roman"/>
          <w:sz w:val="19"/>
          <w:szCs w:val="19"/>
          <w:color w:val="auto"/>
        </w:rPr>
        <w:t>”) that is five (5) U.S. Government Securities Business Day prior to (i) if such SOFR Rate Day is a U.S. Government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w:t>
      </w:r>
    </w:p>
    <w:p>
      <w:pPr>
        <w:spacing w:after="0" w:line="173" w:lineRule="exact"/>
        <w:rPr>
          <w:sz w:val="20"/>
          <w:szCs w:val="20"/>
          <w:color w:val="auto"/>
        </w:rPr>
      </w:pPr>
    </w:p>
    <w:p>
      <w:pPr>
        <w:jc w:val="both"/>
        <w:ind w:right="8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Debt to Total Capitalization Ratio</w:t>
      </w:r>
      <w:r>
        <w:rPr>
          <w:rFonts w:ascii="Times New Roman" w:cs="Times New Roman" w:eastAsia="Times New Roman" w:hAnsi="Times New Roman"/>
          <w:sz w:val="19"/>
          <w:szCs w:val="19"/>
          <w:color w:val="auto"/>
        </w:rPr>
        <w:t xml:space="preserve">” means, as of any date of determination, without duplication, the ratio of (a) the principal amount of all Indebtedness of the Company and its Restricted Subsidiaries outstanding on such date, other than (i) Indebtedness owing to the Company or any of its Restricted Subsidiaries and (ii) Indebtedness of the kinds referred to in </w:t>
      </w:r>
      <w:r>
        <w:rPr>
          <w:rFonts w:ascii="Times New Roman" w:cs="Times New Roman" w:eastAsia="Times New Roman" w:hAnsi="Times New Roman"/>
          <w:sz w:val="19"/>
          <w:szCs w:val="19"/>
          <w:u w:val="single" w:color="auto"/>
          <w:color w:val="auto"/>
        </w:rPr>
        <w:t>clauses (d)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of the definition of “Indebtedness” and, for the avoidance of doubt, Securitization Indebtedness, to (b) Total Capitalization on such date.</w:t>
      </w:r>
    </w:p>
    <w:p>
      <w:pPr>
        <w:spacing w:after="0" w:line="155" w:lineRule="exact"/>
        <w:rPr>
          <w:sz w:val="20"/>
          <w:szCs w:val="20"/>
          <w:color w:val="auto"/>
        </w:rPr>
      </w:pPr>
    </w:p>
    <w:p>
      <w:pPr>
        <w:ind w:right="10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Debtor Relief Laws</w:t>
      </w:r>
      <w:r>
        <w:rPr>
          <w:rFonts w:ascii="Times New Roman" w:cs="Times New Roman" w:eastAsia="Times New Roman" w:hAnsi="Times New Roman"/>
          <w:sz w:val="19"/>
          <w:szCs w:val="19"/>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62" w:lineRule="exact"/>
        <w:rPr>
          <w:sz w:val="20"/>
          <w:szCs w:val="20"/>
          <w:color w:val="auto"/>
        </w:rPr>
      </w:pPr>
    </w:p>
    <w:p>
      <w:pPr>
        <w:ind w:right="18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Default</w:t>
      </w:r>
      <w:r>
        <w:rPr>
          <w:rFonts w:ascii="Times New Roman" w:cs="Times New Roman" w:eastAsia="Times New Roman" w:hAnsi="Times New Roman"/>
          <w:sz w:val="19"/>
          <w:szCs w:val="19"/>
          <w:color w:val="auto"/>
        </w:rPr>
        <w:t>” means any event or circumstance that constitutes an Event of Default or that, with the giving of notice, the lapse of time, or both, would (if not cured or otherwise remedied during such time) constitute an Event of Default.</w:t>
      </w:r>
    </w:p>
    <w:p>
      <w:pPr>
        <w:spacing w:after="0" w:line="123" w:lineRule="exact"/>
        <w:rPr>
          <w:sz w:val="20"/>
          <w:szCs w:val="20"/>
          <w:color w:val="auto"/>
        </w:rPr>
      </w:pPr>
    </w:p>
    <w:p>
      <w:pPr>
        <w:ind w:right="80" w:firstLine="19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Default Right</w:t>
      </w:r>
      <w:r>
        <w:rPr>
          <w:rFonts w:ascii="Times New Roman" w:cs="Times New Roman" w:eastAsia="Times New Roman" w:hAnsi="Times New Roman"/>
          <w:sz w:val="19"/>
          <w:szCs w:val="19"/>
          <w:color w:val="auto"/>
        </w:rPr>
        <w:t>” has the meaning assigned to that term in, and shall be interpreted in accordance with, 12 C.F.R. §§ 252.81, 47.2 or 382.1, as applicable.</w:t>
      </w:r>
    </w:p>
    <w:p>
      <w:pPr>
        <w:spacing w:after="0" w:line="149" w:lineRule="exact"/>
        <w:rPr>
          <w:sz w:val="20"/>
          <w:szCs w:val="20"/>
          <w:color w:val="auto"/>
        </w:rPr>
      </w:pPr>
    </w:p>
    <w:p>
      <w:pPr>
        <w:ind w:firstLine="633"/>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2.16(b)</w:t>
      </w:r>
      <w:r>
        <w:rPr>
          <w:rFonts w:ascii="Times New Roman" w:cs="Times New Roman" w:eastAsia="Times New Roman" w:hAnsi="Times New Roman"/>
          <w:sz w:val="19"/>
          <w:szCs w:val="19"/>
          <w:color w:val="auto"/>
        </w:rPr>
        <w:t>, any Lender that (a) has failed to (i) fund all or any portion of its Loans within two Business Days of the date such Loans were required to be funded hereunder unless such Lender notifies the Agent and the Company in writing that such failure is the result of such Lender’s determination that one or more conditions precedent to funding (which conditions precedent, together with the applicable Default, if any, shall be specifically identified in such writing) has not been satisfied, or (ii) pay to the Agent or any other Lender any other amount required to be paid by it hereunder within two Business Days of the date when due, (b) has notified the Company or the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 (c) has failed, within three Business Days after written request by the Agent or the Company, to confirm in writing to the Agent or the Company that it will comply with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upon receipt of such written confirmation by the Agent), or (d) the Agent has received notification that such Lender or any direct or indirect parent company thereof (i) is the subject of a Bail-In Action, (ii) is insolvent, or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-11-</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180"/>
          </w:cols>
          <w:pgMar w:left="320" w:top="1379" w:right="399" w:bottom="1440" w:gutter="0" w:footer="0" w:header="0"/>
        </w:sectPr>
      </w:pPr>
    </w:p>
    <w:bookmarkStart w:id="87" w:name="page88"/>
    <w:bookmarkEnd w:id="87"/>
    <w:p>
      <w:pPr>
        <w:ind w:right="60"/>
        <w:spacing w:after="0" w:line="259" w:lineRule="auto"/>
        <w:rPr>
          <w:sz w:val="20"/>
          <w:szCs w:val="20"/>
          <w:color w:val="auto"/>
        </w:rPr>
      </w:pPr>
      <w:r>
        <w:rPr>
          <w:rFonts w:ascii="Times New Roman" w:cs="Times New Roman" w:eastAsia="Times New Roman" w:hAnsi="Times New Roman"/>
          <w:sz w:val="19"/>
          <w:szCs w:val="19"/>
          <w:color w:val="auto"/>
        </w:rPr>
        <w:t xml:space="preserve">generally unable to pay its debts as they become due, or has admitted in writing its inability to pay its debts as they become due, or has made a general assignment for the benefit of its creditors or (iii)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169" w:lineRule="exact"/>
        <w:rPr>
          <w:sz w:val="20"/>
          <w:szCs w:val="20"/>
          <w:color w:val="auto"/>
        </w:rPr>
      </w:pPr>
    </w:p>
    <w:p>
      <w:pPr>
        <w:ind w:right="32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Department</w:t>
      </w:r>
      <w:r>
        <w:rPr>
          <w:rFonts w:ascii="Times New Roman" w:cs="Times New Roman" w:eastAsia="Times New Roman" w:hAnsi="Times New Roman"/>
          <w:sz w:val="19"/>
          <w:szCs w:val="19"/>
          <w:color w:val="auto"/>
        </w:rPr>
        <w:t>” means, with respect to any Insurance Subsidiary, the Governmental Authority of such Insurance Subsidiary’s state of domicile with which such Insurance Subsidiary is required to file its Annual Statement.</w:t>
      </w:r>
    </w:p>
    <w:p>
      <w:pPr>
        <w:spacing w:after="0" w:line="136" w:lineRule="exact"/>
        <w:rPr>
          <w:sz w:val="20"/>
          <w:szCs w:val="20"/>
          <w:color w:val="auto"/>
        </w:rPr>
      </w:pPr>
    </w:p>
    <w:p>
      <w:pPr>
        <w:ind w:right="140" w:firstLine="63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Disposition</w:t>
      </w:r>
      <w:r>
        <w:rPr>
          <w:rFonts w:ascii="Times New Roman" w:cs="Times New Roman" w:eastAsia="Times New Roman" w:hAnsi="Times New Roman"/>
          <w:sz w:val="19"/>
          <w:szCs w:val="19"/>
          <w:color w:val="auto"/>
        </w:rPr>
        <w:t>” means the sale, assignment, leasing as lessor (other than in the ordinary course), transfer, contribution, conveyance, issuance or other disposal of, or granting of options, warrants or other rights with respect to, any of a Person’s assets (including any transaction pursuant to a sale and leaseback transaction and, in the case of any Restricted Subsidiary, the issuance or sale of its Capital Stock). The terms “</w:t>
      </w:r>
      <w:r>
        <w:rPr>
          <w:rFonts w:ascii="Times New Roman" w:cs="Times New Roman" w:eastAsia="Times New Roman" w:hAnsi="Times New Roman"/>
          <w:sz w:val="19"/>
          <w:szCs w:val="19"/>
          <w:b w:val="1"/>
          <w:bCs w:val="1"/>
          <w:color w:val="auto"/>
        </w:rPr>
        <w:t>Dispose of</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Disposing of</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Disposed of</w:t>
      </w:r>
      <w:r>
        <w:rPr>
          <w:rFonts w:ascii="Times New Roman" w:cs="Times New Roman" w:eastAsia="Times New Roman" w:hAnsi="Times New Roman"/>
          <w:sz w:val="19"/>
          <w:szCs w:val="19"/>
          <w:color w:val="auto"/>
        </w:rPr>
        <w:t>” shall have correlative meaning.</w:t>
      </w:r>
    </w:p>
    <w:p>
      <w:pPr>
        <w:spacing w:after="0" w:line="173" w:lineRule="exact"/>
        <w:rPr>
          <w:sz w:val="20"/>
          <w:szCs w:val="20"/>
          <w:color w:val="auto"/>
        </w:rPr>
      </w:pPr>
    </w:p>
    <w:p>
      <w:pPr>
        <w:ind w:firstLine="633"/>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Disqualified Capital Stock</w:t>
      </w:r>
      <w:r>
        <w:rPr>
          <w:rFonts w:ascii="Times New Roman" w:cs="Times New Roman" w:eastAsia="Times New Roman" w:hAnsi="Times New Roman"/>
          <w:sz w:val="19"/>
          <w:szCs w:val="19"/>
          <w:color w:val="auto"/>
        </w:rPr>
        <w:t xml:space="preserve">”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on or prior to the date that is 91 days after the Latest Maturity Date, (b) is convertible into or exchangeable (unless at the sole option of the issuer thereof) for (i) debt securities or (ii) any Capital Stock referred to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in each case at any time on or prior to date that is 91 days after the Latest Maturity Date, or (c) contains any repurchase obligation which may come into effect prior to payment in full of all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(x) any Capital Stock that would not constitute Disqualified Capital Stock but for provisions thereof giving holders thereof (or the holders of any security into or for which such Capital Stock is convertible, exchangeable or exercisable) the right to require the issuer thereof to redeem such Capital Stock upon the occurrence of a change in control or an asset sale occurring prior to the date that is 91 days after the Latest Maturity Date shall not constitute Disqualified Capital Stock if such Capital Stock provides that the issuer thereof will not redeem any such Capital Stock pursuant to such provisions prior to the repayment in full of the Obligations, and (y) if such Capital Stock is issued to any employee or to any Plan for the benefit of employees of the Company or the Subsidiaries or by any such Plan to such employees, such Capital Stock shall not constitute Disqualified Capital Stock solely because it may be required to be repurchased by the Company or any Subsidiary in order to satisfy applicable compulsory statutory or regulatory obligations or as a result of such employee’s termination, death or disability.</w:t>
      </w:r>
    </w:p>
    <w:p>
      <w:pPr>
        <w:spacing w:after="0" w:line="184" w:lineRule="exact"/>
        <w:rPr>
          <w:sz w:val="20"/>
          <w:szCs w:val="20"/>
          <w:color w:val="auto"/>
        </w:rPr>
      </w:pPr>
    </w:p>
    <w:p>
      <w:pPr>
        <w:ind w:right="6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Disqualified Lender</w:t>
      </w:r>
      <w:r>
        <w:rPr>
          <w:rFonts w:ascii="Times New Roman" w:cs="Times New Roman" w:eastAsia="Times New Roman" w:hAnsi="Times New Roman"/>
          <w:sz w:val="19"/>
          <w:szCs w:val="19"/>
          <w:color w:val="auto"/>
        </w:rPr>
        <w:t xml:space="preserve">” means (i) any insurance company or any other Person identified by the Company by written notice to the Agent prior to the Effective Date, (ii) any competitor of the Company and its subsidiaries identified by the Company from time to time by written notice to the Agent, and (iii) any Affiliate of any such identified person described in the foregoing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that is clearly identifiable as an Affiliate solely on the basis of its name or that the Agent knows is an Affiliate of 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-12-</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20" w:top="1383" w:right="379" w:bottom="1440" w:gutter="0" w:footer="0" w:header="0"/>
        </w:sectPr>
      </w:pPr>
    </w:p>
    <w:bookmarkStart w:id="88" w:name="page89"/>
    <w:bookmarkEnd w:id="88"/>
    <w:p>
      <w:pPr>
        <w:ind w:right="220"/>
        <w:spacing w:after="0" w:line="297" w:lineRule="auto"/>
        <w:rPr>
          <w:sz w:val="20"/>
          <w:szCs w:val="20"/>
          <w:color w:val="auto"/>
        </w:rPr>
      </w:pPr>
      <w:r>
        <w:rPr>
          <w:rFonts w:ascii="Times New Roman" w:cs="Times New Roman" w:eastAsia="Times New Roman" w:hAnsi="Times New Roman"/>
          <w:sz w:val="19"/>
          <w:szCs w:val="19"/>
          <w:color w:val="auto"/>
        </w:rPr>
        <w:t xml:space="preserve">such identified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Agent shall be permitted to disclose such list of Disqualified Lenders to any Lender on a confidential basis subject to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 xml:space="preserve"> upon the request of such Lender.</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Dollars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dollars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each means lawful money of the United States.</w:t>
      </w:r>
    </w:p>
    <w:p>
      <w:pPr>
        <w:spacing w:after="0" w:line="230" w:lineRule="exact"/>
        <w:rPr>
          <w:sz w:val="20"/>
          <w:szCs w:val="20"/>
          <w:color w:val="auto"/>
        </w:rPr>
      </w:pPr>
    </w:p>
    <w:p>
      <w:pPr>
        <w:ind w:right="4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Domestic Subsidiary</w:t>
      </w:r>
      <w:r>
        <w:rPr>
          <w:rFonts w:ascii="Times New Roman" w:cs="Times New Roman" w:eastAsia="Times New Roman" w:hAnsi="Times New Roman"/>
          <w:sz w:val="19"/>
          <w:szCs w:val="19"/>
          <w:color w:val="auto"/>
        </w:rPr>
        <w:t>” means a Subsidiary that is (a) organized or incorporated in the United States, any state thereof or the District of Columbia, and (b) not a Foreign Subsidiary.</w:t>
      </w:r>
    </w:p>
    <w:p>
      <w:pPr>
        <w:spacing w:after="0" w:line="150" w:lineRule="exact"/>
        <w:rPr>
          <w:sz w:val="20"/>
          <w:szCs w:val="20"/>
          <w:color w:val="auto"/>
        </w:rPr>
      </w:pPr>
    </w:p>
    <w:p>
      <w:pPr>
        <w:ind w:right="6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EEA Financial Institution</w:t>
      </w:r>
      <w:r>
        <w:rPr>
          <w:rFonts w:ascii="Times New Roman" w:cs="Times New Roman" w:eastAsia="Times New Roman" w:hAnsi="Times New Roman"/>
          <w:sz w:val="19"/>
          <w:szCs w:val="19"/>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definition and is subject to consolidated supervision with its parent.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EEA Member Country</w:t>
      </w:r>
      <w:r>
        <w:rPr>
          <w:rFonts w:ascii="Times New Roman" w:cs="Times New Roman" w:eastAsia="Times New Roman" w:hAnsi="Times New Roman"/>
          <w:sz w:val="19"/>
          <w:szCs w:val="19"/>
          <w:color w:val="auto"/>
        </w:rPr>
        <w:t>” means any of the member states of the European Union, Iceland, Liechtenstein, and Norway.</w:t>
      </w:r>
    </w:p>
    <w:p>
      <w:pPr>
        <w:spacing w:after="0" w:line="230" w:lineRule="exact"/>
        <w:rPr>
          <w:sz w:val="20"/>
          <w:szCs w:val="20"/>
          <w:color w:val="auto"/>
        </w:rPr>
      </w:pPr>
    </w:p>
    <w:p>
      <w:pPr>
        <w:ind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means April 29, 2024.</w:t>
      </w:r>
    </w:p>
    <w:p>
      <w:pPr>
        <w:spacing w:after="0" w:line="230" w:lineRule="exact"/>
        <w:rPr>
          <w:sz w:val="20"/>
          <w:szCs w:val="20"/>
          <w:color w:val="auto"/>
        </w:rPr>
      </w:pPr>
    </w:p>
    <w:p>
      <w:pPr>
        <w:ind w:right="28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Electronic Signature</w:t>
      </w:r>
      <w:r>
        <w:rPr>
          <w:rFonts w:ascii="Times New Roman" w:cs="Times New Roman" w:eastAsia="Times New Roman" w:hAnsi="Times New Roman"/>
          <w:sz w:val="19"/>
          <w:szCs w:val="19"/>
          <w:color w:val="auto"/>
        </w:rPr>
        <w:t>” means an electronic sound, symbol, or process attached to, or associated with, a contract or other record and adopted by a Person with the intent to sign, authenticate or accept such contract or record.</w:t>
      </w:r>
    </w:p>
    <w:p>
      <w:pPr>
        <w:spacing w:after="0" w:line="150" w:lineRule="exact"/>
        <w:rPr>
          <w:sz w:val="20"/>
          <w:szCs w:val="20"/>
          <w:color w:val="auto"/>
        </w:rPr>
      </w:pPr>
    </w:p>
    <w:p>
      <w:pPr>
        <w:ind w:right="100" w:firstLine="633"/>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Eligible Assignee</w:t>
      </w:r>
      <w:r>
        <w:rPr>
          <w:rFonts w:ascii="Times New Roman" w:cs="Times New Roman" w:eastAsia="Times New Roman" w:hAnsi="Times New Roman"/>
          <w:sz w:val="19"/>
          <w:szCs w:val="19"/>
          <w:color w:val="auto"/>
        </w:rPr>
        <w:t>” means (a) a Lender; (b) an Affiliate of a Lender; (c) an Approved Fund; and (d) any other Person (other than a natural person (or a holding company, investment vehicle or trust for, or owned and operated for the primary benefit of, a natural person) or a Disqualified Lender or Person who, upon becoming a Lender hereunder, would constitute a Disqualified Lender) approved by (i) the Agent and</w:t>
      </w:r>
    </w:p>
    <w:p>
      <w:pPr>
        <w:spacing w:after="0" w:line="2" w:lineRule="exact"/>
        <w:rPr>
          <w:sz w:val="20"/>
          <w:szCs w:val="20"/>
          <w:color w:val="auto"/>
        </w:rPr>
      </w:pPr>
    </w:p>
    <w:p>
      <w:pPr>
        <w:ind w:firstLine="6"/>
        <w:spacing w:after="0" w:line="258" w:lineRule="auto"/>
        <w:tabs>
          <w:tab w:leader="none" w:pos="284"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an Event of Default has occurred and is continuing, the Company (each such approval not to be unreasonably withheld or delayed);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notwithstanding the foregoing, “Eligible Assignee” shall not include any of the Company’s Subsidiaries or any Defaulting Lender, (y) the Company shall be deemed to have approved an assignee unless it shall object thereto by written notice to the Agent within ten (10) Business Days after having received notice thereof and (z) any assignment to the Company shall be subject to the terms of </w:t>
      </w:r>
      <w:r>
        <w:rPr>
          <w:rFonts w:ascii="Times New Roman" w:cs="Times New Roman" w:eastAsia="Times New Roman" w:hAnsi="Times New Roman"/>
          <w:sz w:val="19"/>
          <w:szCs w:val="19"/>
          <w:u w:val="single" w:color="auto"/>
          <w:color w:val="auto"/>
        </w:rPr>
        <w:t>Section 10.07(c)</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ind w:right="50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Environment</w:t>
      </w:r>
      <w:r>
        <w:rPr>
          <w:rFonts w:ascii="Times New Roman" w:cs="Times New Roman" w:eastAsia="Times New Roman" w:hAnsi="Times New Roman"/>
          <w:sz w:val="19"/>
          <w:szCs w:val="19"/>
          <w:color w:val="auto"/>
        </w:rPr>
        <w:t>” means ambient air, indoor air, surface water, groundwater, drinking water, soil, surface and subsurface strata, and natural resources such as wetlands, flora and fauna.</w:t>
      </w:r>
    </w:p>
    <w:p>
      <w:pPr>
        <w:spacing w:after="0" w:line="123" w:lineRule="exact"/>
        <w:rPr>
          <w:sz w:val="20"/>
          <w:szCs w:val="20"/>
          <w:color w:val="auto"/>
        </w:rPr>
      </w:pPr>
    </w:p>
    <w:p>
      <w:pPr>
        <w:ind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Environmental Claims</w:t>
      </w:r>
      <w:r>
        <w:rPr>
          <w:rFonts w:ascii="Times New Roman" w:cs="Times New Roman" w:eastAsia="Times New Roman" w:hAnsi="Times New Roman"/>
          <w:sz w:val="19"/>
          <w:szCs w:val="19"/>
          <w:color w:val="auto"/>
        </w:rPr>
        <w:t>” means all written claims, complaints, notices or inquiries, by any Governmental Authority or other Person alleging potential liability or responsibility for violation of any Environmental Law, or for release or injury to the environment or threat to public health, personal injury (including sickness, disease or death), property damage, natural resources damage, or otherwise alleging liability or responsibility for damages (punitive or otherwise), cleanup, removal, remedial or response costs, restitution, civil or criminal penalties, injunctive relief or other type of relief, resulting from or based upon the presence, placement, or Release (including intentional or unintentional, negligent or non-negligent, sudden or non-sudden or accidental or non-accidental placement, spills, leaks, discharges,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-13-</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20" w:top="1383" w:right="379" w:bottom="1440" w:gutter="0" w:footer="0" w:header="0"/>
        </w:sectPr>
      </w:pPr>
    </w:p>
    <w:bookmarkStart w:id="89" w:name="page90"/>
    <w:bookmarkEnd w:id="89"/>
    <w:p>
      <w:pPr>
        <w:ind w:right="280"/>
        <w:spacing w:after="0" w:line="272" w:lineRule="auto"/>
        <w:rPr>
          <w:sz w:val="20"/>
          <w:szCs w:val="20"/>
          <w:color w:val="auto"/>
        </w:rPr>
      </w:pPr>
      <w:r>
        <w:rPr>
          <w:rFonts w:ascii="Times New Roman" w:cs="Times New Roman" w:eastAsia="Times New Roman" w:hAnsi="Times New Roman"/>
          <w:sz w:val="19"/>
          <w:szCs w:val="19"/>
          <w:color w:val="auto"/>
        </w:rPr>
        <w:t>emissions or releases) of any Hazardous Material at, in, under or from property, whether or not owned by the Company or any of its Subsidiaries, excluding, in any case, liabilities or claims arising under any insurance contract or policy, reinsurance agreement or retrocession agreement relating to any of the foregoing where the Company or any of its Subsidiaries is the insurer.</w:t>
      </w:r>
    </w:p>
    <w:p>
      <w:pPr>
        <w:spacing w:after="0" w:line="163" w:lineRule="exact"/>
        <w:rPr>
          <w:sz w:val="20"/>
          <w:szCs w:val="20"/>
          <w:color w:val="auto"/>
        </w:rPr>
      </w:pPr>
    </w:p>
    <w:p>
      <w:pPr>
        <w:ind w:right="40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Environmental Laws</w:t>
      </w:r>
      <w:r>
        <w:rPr>
          <w:rFonts w:ascii="Times New Roman" w:cs="Times New Roman" w:eastAsia="Times New Roman" w:hAnsi="Times New Roman"/>
          <w:sz w:val="19"/>
          <w:szCs w:val="19"/>
          <w:color w:val="auto"/>
        </w:rPr>
        <w:t>” means all Requirements of Law relating to pollution or protection of the Environment or the release of any materials into the Environment, including those related to hazardous substances or wastes, air emissions and discharges to waste or public systems.</w:t>
      </w:r>
    </w:p>
    <w:p>
      <w:pPr>
        <w:spacing w:after="0" w:line="162" w:lineRule="exact"/>
        <w:rPr>
          <w:sz w:val="20"/>
          <w:szCs w:val="20"/>
          <w:color w:val="auto"/>
        </w:rPr>
      </w:pPr>
    </w:p>
    <w:p>
      <w:pPr>
        <w:ind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Environmental Liability</w:t>
      </w:r>
      <w:r>
        <w:rPr>
          <w:rFonts w:ascii="Times New Roman" w:cs="Times New Roman" w:eastAsia="Times New Roman" w:hAnsi="Times New Roman"/>
          <w:sz w:val="19"/>
          <w:szCs w:val="19"/>
          <w:color w:val="auto"/>
        </w:rPr>
        <w:t>” means any liability, contingent or otherwise (including any liability for damages, costs of remediation, fines, penalties or indemnities), of the Company or any of its Subsidiaries directly or indirectly resulting from or based upon (a) violation of any Environmental Law, (b) the generation, use, handling, transportation, storage or treatment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75" w:lineRule="exact"/>
        <w:rPr>
          <w:sz w:val="20"/>
          <w:szCs w:val="20"/>
          <w:color w:val="auto"/>
        </w:rPr>
      </w:pPr>
    </w:p>
    <w:p>
      <w:pPr>
        <w:ind w:right="64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ERISA</w:t>
      </w:r>
      <w:r>
        <w:rPr>
          <w:rFonts w:ascii="Times New Roman" w:cs="Times New Roman" w:eastAsia="Times New Roman" w:hAnsi="Times New Roman"/>
          <w:sz w:val="19"/>
          <w:szCs w:val="19"/>
          <w:color w:val="auto"/>
        </w:rPr>
        <w:t>” means the Employee Retirement Income Security Act of 1974, as amended, and the rules and regulations promulgated thereunder.</w:t>
      </w:r>
    </w:p>
    <w:p>
      <w:pPr>
        <w:spacing w:after="0" w:line="150" w:lineRule="exact"/>
        <w:rPr>
          <w:sz w:val="20"/>
          <w:szCs w:val="20"/>
          <w:color w:val="auto"/>
        </w:rPr>
      </w:pPr>
    </w:p>
    <w:p>
      <w:pPr>
        <w:ind w:right="30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ERISA Affiliate</w:t>
      </w:r>
      <w:r>
        <w:rPr>
          <w:rFonts w:ascii="Times New Roman" w:cs="Times New Roman" w:eastAsia="Times New Roman" w:hAnsi="Times New Roman"/>
          <w:sz w:val="19"/>
          <w:szCs w:val="19"/>
          <w:color w:val="auto"/>
        </w:rPr>
        <w:t>” means any trade or business (whether or not incorporated) under common control with the Company or any of its Subsidiaries within the meaning of Section 414(b) or (c) of the Code (and Sections 414(m) and (o) of the Code for purposes of provisions relating to Section 412 of the Code).</w:t>
      </w:r>
    </w:p>
    <w:p>
      <w:pPr>
        <w:spacing w:after="0" w:line="162" w:lineRule="exact"/>
        <w:rPr>
          <w:sz w:val="20"/>
          <w:szCs w:val="20"/>
          <w:color w:val="auto"/>
        </w:rPr>
      </w:pPr>
    </w:p>
    <w:p>
      <w:pPr>
        <w:ind w:right="120" w:firstLine="633"/>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ERISA Event</w:t>
      </w:r>
      <w:r>
        <w:rPr>
          <w:rFonts w:ascii="Times New Roman" w:cs="Times New Roman" w:eastAsia="Times New Roman" w:hAnsi="Times New Roman"/>
          <w:sz w:val="19"/>
          <w:szCs w:val="19"/>
          <w:color w:val="auto"/>
        </w:rPr>
        <w:t>” means (a) a Reportable Event with respect to a Single Employer Pension Plan; (b)(i) with respect to any Single Employer Pension Plan, the failure to satisfy the minimum funding standard under Sections 412 or 430 of the Code and Sections 302 or 303 of ERISA, whether or not waived, (ii) the failure to make by its due date a required installment under Section 430(j) of the Code or Section 303 of ERISA with respect to any Single Employer Pension Plan or (iii) the failure to make a required contribution to a Multiemployer Plan; (c) a withdrawal by the Company, any of its Subsidiaries or any ERISA Affiliate from a Single Employer Pension Plan subject to Section 4063 of ERISA during a plan year in which it was a substantial employer (as defined in Section 4001(a)(2) of ERISA) or the imposition of liability on the Company, any of its Subsidiaries or any ERISA Affiliate due to the cessation of operations which is treated as such a withdrawal under Section 4062(e) of ERISA; (d) a complete or partial withdrawal by the Company, any of its Subsidiaries or any ERISA Affiliate from a Multiemployer Plan or the reorganization or insolvency of a Multiemployer Plan under Section 4241 or 4245 of ERISA; (e) the termination under Section 4041(c) or 4041A of ERISA of a Single Employer Pension Plan or Multiemployer Plan; (f) an event or condition that would reasonably be expected to constitute grounds under Section 4042 of ERISA for the termination of, or the appointment of a trustee to administer, any Single Employer Pension Plan or Multiemployer Plan; (g) the imposition of any liability under Title IV of ERISA, other than required plan contributions and PBGC premiums due but not delinquent under Sections 4006 and 4007 of ERISA, upon the Company, any of its Subsidiaries or any ERISA Affiliate; or (h) a Multiemployer Plan is determined to be in “critical” or “endangered” status under Section 432 of the Code or Section 305 of ERISA, or, with respect to any Single Employer Pension Plan, a determination that it is “at risk” under Section 430 of the Code or Section 303 of ERISA or (i) the imposition of a Lien under Section 430(k) of the Code or Section 303(k) or 4068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90" w:name="page91"/>
    <w:bookmarkEnd w:id="90"/>
    <w:p>
      <w:pPr>
        <w:ind w:right="38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EU Bail-In Legislation Schedule</w:t>
      </w:r>
      <w:r>
        <w:rPr>
          <w:rFonts w:ascii="Times New Roman" w:cs="Times New Roman" w:eastAsia="Times New Roman" w:hAnsi="Times New Roman"/>
          <w:sz w:val="19"/>
          <w:szCs w:val="19"/>
          <w:color w:val="auto"/>
        </w:rPr>
        <w:t>” means the EU Bail-In Legislation Schedule published by the Loan Market Association (or any successor Person), as in effect from time to time.</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Event of Default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8.01</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means the Securities Exchange Act of 1934 and the regulations promulgated thereunder.</w:t>
      </w:r>
    </w:p>
    <w:p>
      <w:pPr>
        <w:spacing w:after="0" w:line="217" w:lineRule="exact"/>
        <w:rPr>
          <w:sz w:val="20"/>
          <w:szCs w:val="20"/>
          <w:color w:val="auto"/>
        </w:rPr>
      </w:pPr>
    </w:p>
    <w:p>
      <w:pPr>
        <w:ind w:right="40" w:firstLine="633"/>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Excluded Taxes</w:t>
      </w:r>
      <w:r>
        <w:rPr>
          <w:rFonts w:ascii="Times New Roman" w:cs="Times New Roman" w:eastAsia="Times New Roman" w:hAnsi="Times New Roman"/>
          <w:sz w:val="19"/>
          <w:szCs w:val="19"/>
          <w:color w:val="auto"/>
        </w:rPr>
        <w:t xml:space="preserve">” means, with respect to the Agent, any Lender or any other recipient of any payment to be made by or on account of any obligation of the Company under any Loan Document, (a) Taxes imposed on or measured by net income (however denominated), franchise Taxes and branch profits Taxes, in each case, (i) imposed as a result of the recipient being organized under the laws of, or having its principal office or, in the case of any Lender, its applicable lending office located in, the jurisdiction imposing such Tax (or any political subdivision thereof) or (ii) that are imposed as a result of a present or former connection between the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(b) in the case of a Lender other than an assignee pursuant to a request by the Company under </w:t>
      </w:r>
      <w:r>
        <w:rPr>
          <w:rFonts w:ascii="Times New Roman" w:cs="Times New Roman" w:eastAsia="Times New Roman" w:hAnsi="Times New Roman"/>
          <w:sz w:val="19"/>
          <w:szCs w:val="19"/>
          <w:u w:val="single" w:color="auto"/>
          <w:color w:val="auto"/>
        </w:rPr>
        <w:t>Section 10.14</w:t>
      </w:r>
      <w:r>
        <w:rPr>
          <w:rFonts w:ascii="Times New Roman" w:cs="Times New Roman" w:eastAsia="Times New Roman" w:hAnsi="Times New Roman"/>
          <w:sz w:val="19"/>
          <w:szCs w:val="19"/>
          <w:color w:val="auto"/>
        </w:rPr>
        <w:t xml:space="preserve">, any United States federal withholding Tax imposed on amounts payable to or for the account of such Lender pursuant to any law in effect at the time such Lender becomes a party hereto, acquires the applicable interest in the Loan or designates a new lending office, except to the extent that such Lender (or its assignor, if any) was entitled, immediately prior to the time of designation of a new lending office (or assignment), to receive additional amounts from the Company with respect to such withholding Tax pursuant to </w:t>
      </w:r>
      <w:r>
        <w:rPr>
          <w:rFonts w:ascii="Times New Roman" w:cs="Times New Roman" w:eastAsia="Times New Roman" w:hAnsi="Times New Roman"/>
          <w:sz w:val="19"/>
          <w:szCs w:val="19"/>
          <w:u w:val="single" w:color="auto"/>
          <w:color w:val="auto"/>
        </w:rPr>
        <w:t>Section 3.01(a)</w:t>
      </w:r>
      <w:r>
        <w:rPr>
          <w:rFonts w:ascii="Times New Roman" w:cs="Times New Roman" w:eastAsia="Times New Roman" w:hAnsi="Times New Roman"/>
          <w:sz w:val="19"/>
          <w:szCs w:val="19"/>
          <w:color w:val="auto"/>
        </w:rPr>
        <w:t xml:space="preserve">, (c) any Tax that is attributable to such Lender’s failure to comply with </w:t>
      </w:r>
      <w:r>
        <w:rPr>
          <w:rFonts w:ascii="Times New Roman" w:cs="Times New Roman" w:eastAsia="Times New Roman" w:hAnsi="Times New Roman"/>
          <w:sz w:val="19"/>
          <w:szCs w:val="19"/>
          <w:u w:val="single" w:color="auto"/>
          <w:color w:val="auto"/>
        </w:rPr>
        <w:t>Section 3.01(f)</w:t>
      </w:r>
      <w:r>
        <w:rPr>
          <w:rFonts w:ascii="Times New Roman" w:cs="Times New Roman" w:eastAsia="Times New Roman" w:hAnsi="Times New Roman"/>
          <w:sz w:val="19"/>
          <w:szCs w:val="19"/>
          <w:color w:val="auto"/>
        </w:rPr>
        <w:t xml:space="preserve"> and (d) any United States federal withholding Tax that is imposed pursuant to FATCA.</w:t>
      </w:r>
    </w:p>
    <w:p>
      <w:pPr>
        <w:spacing w:after="0" w:line="181" w:lineRule="exact"/>
        <w:rPr>
          <w:sz w:val="20"/>
          <w:szCs w:val="20"/>
          <w:color w:val="auto"/>
        </w:rPr>
      </w:pPr>
    </w:p>
    <w:p>
      <w:pPr>
        <w:ind w:right="42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Existing Credit Agreement</w:t>
      </w:r>
      <w:r>
        <w:rPr>
          <w:rFonts w:ascii="Times New Roman" w:cs="Times New Roman" w:eastAsia="Times New Roman" w:hAnsi="Times New Roman"/>
          <w:sz w:val="19"/>
          <w:szCs w:val="19"/>
          <w:color w:val="auto"/>
        </w:rPr>
        <w:t>” means that certain Credit Agreement, dated as of November 29, 2021, by and among the Company, JPMorgan Chase Bank, N.A., as administrative agent and the other parties thereto, as the same may have been amended, supplemented or otherwise modified from time to time prior to the Closing Date.</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Existing Facility</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2.17(a)</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Existing Lender</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2.17(a)</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“Existing Secured Notes</w:t>
      </w:r>
      <w:r>
        <w:rPr>
          <w:rFonts w:ascii="Times New Roman" w:cs="Times New Roman" w:eastAsia="Times New Roman" w:hAnsi="Times New Roman"/>
          <w:sz w:val="19"/>
          <w:szCs w:val="19"/>
          <w:color w:val="auto"/>
        </w:rPr>
        <w:t>” means the Company’s 7.375% senior secured notes due 2025.</w:t>
      </w:r>
    </w:p>
    <w:p>
      <w:pPr>
        <w:spacing w:after="0" w:line="217" w:lineRule="exact"/>
        <w:rPr>
          <w:sz w:val="20"/>
          <w:szCs w:val="20"/>
          <w:color w:val="auto"/>
        </w:rPr>
      </w:pPr>
    </w:p>
    <w:p>
      <w:pPr>
        <w:ind w:right="60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Existing Secured Notes Collateral Agent”</w:t>
      </w:r>
      <w:r>
        <w:rPr>
          <w:rFonts w:ascii="Times New Roman" w:cs="Times New Roman" w:eastAsia="Times New Roman" w:hAnsi="Times New Roman"/>
          <w:sz w:val="19"/>
          <w:szCs w:val="19"/>
          <w:color w:val="auto"/>
        </w:rPr>
        <w:t xml:space="preserve"> means the Bank of New York Mellon Trust Company, in its capacity as trustee and collateral agent under the Existing Secured Notes.</w:t>
      </w:r>
    </w:p>
    <w:p>
      <w:pPr>
        <w:spacing w:after="0" w:line="123" w:lineRule="exact"/>
        <w:rPr>
          <w:sz w:val="20"/>
          <w:szCs w:val="20"/>
          <w:color w:val="auto"/>
        </w:rPr>
      </w:pPr>
    </w:p>
    <w:p>
      <w:pPr>
        <w:ind w:right="120" w:firstLine="633"/>
        <w:spacing w:after="0" w:line="302" w:lineRule="auto"/>
        <w:rPr>
          <w:sz w:val="20"/>
          <w:szCs w:val="20"/>
          <w:color w:val="auto"/>
        </w:rPr>
      </w:pPr>
      <w:r>
        <w:rPr>
          <w:rFonts w:ascii="Times New Roman" w:cs="Times New Roman" w:eastAsia="Times New Roman" w:hAnsi="Times New Roman"/>
          <w:sz w:val="19"/>
          <w:szCs w:val="19"/>
          <w:b w:val="1"/>
          <w:bCs w:val="1"/>
          <w:color w:val="auto"/>
        </w:rPr>
        <w:t>“Existing Secured Notes Indenture</w:t>
      </w:r>
      <w:r>
        <w:rPr>
          <w:rFonts w:ascii="Times New Roman" w:cs="Times New Roman" w:eastAsia="Times New Roman" w:hAnsi="Times New Roman"/>
          <w:sz w:val="19"/>
          <w:szCs w:val="19"/>
          <w:color w:val="auto"/>
        </w:rPr>
        <w:t>” means the indenture dated as of June 19, 2020 by and among the Company, the guarantors party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thereto and the Existing Secured Notes Collateral Agent.</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“Existing Secured Notes Obligations</w:t>
      </w:r>
      <w:r>
        <w:rPr>
          <w:rFonts w:ascii="Times New Roman" w:cs="Times New Roman" w:eastAsia="Times New Roman" w:hAnsi="Times New Roman"/>
          <w:sz w:val="19"/>
          <w:szCs w:val="19"/>
          <w:color w:val="auto"/>
        </w:rPr>
        <w:t>” means the “Notes Obligations” as such term is defined in the Existing Secured Notes Indenture.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Extended Facility</w:t>
      </w:r>
      <w:r>
        <w:rPr>
          <w:rFonts w:ascii="Times New Roman" w:cs="Times New Roman" w:eastAsia="Times New Roman" w:hAnsi="Times New Roman"/>
          <w:sz w:val="19"/>
          <w:szCs w:val="19"/>
          <w:color w:val="auto"/>
        </w:rPr>
        <w:t>” means any Extended Revolving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-15-</w:t>
      </w: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180"/>
          </w:cols>
          <w:pgMar w:left="320" w:top="1379" w:right="399" w:bottom="1440" w:gutter="0" w:footer="0" w:header="0"/>
        </w:sectPr>
      </w:pPr>
    </w:p>
    <w:bookmarkStart w:id="91" w:name="page92"/>
    <w:bookmarkEnd w:id="91"/>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Extended Loan</w:t>
      </w:r>
      <w:r>
        <w:rPr>
          <w:rFonts w:ascii="Times New Roman" w:cs="Times New Roman" w:eastAsia="Times New Roman" w:hAnsi="Times New Roman"/>
          <w:sz w:val="19"/>
          <w:szCs w:val="19"/>
          <w:color w:val="auto"/>
        </w:rPr>
        <w:t>” means any Extended Revolving Loan.</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Extended Maturity Date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2.17(a)</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Extended Revolving Commitment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2.17(a)</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16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Extended Revolving Facility</w:t>
      </w:r>
      <w:r>
        <w:rPr>
          <w:rFonts w:ascii="Times New Roman" w:cs="Times New Roman" w:eastAsia="Times New Roman" w:hAnsi="Times New Roman"/>
          <w:sz w:val="19"/>
          <w:szCs w:val="19"/>
          <w:color w:val="auto"/>
        </w:rPr>
        <w:t>” means the Extended Revolving Commitments and Extended Revolving Loans established pursuant to an Extension.</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Extended Revolving Loan</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2.17(a)</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Extension</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2.17(a)</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Extension Amendment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2.17(f)</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Extension Offer</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2.17(a)</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Facility</w:t>
      </w:r>
      <w:r>
        <w:rPr>
          <w:rFonts w:ascii="Times New Roman" w:cs="Times New Roman" w:eastAsia="Times New Roman" w:hAnsi="Times New Roman"/>
          <w:sz w:val="19"/>
          <w:szCs w:val="19"/>
          <w:color w:val="auto"/>
        </w:rPr>
        <w:t>” means any Revolving Facility.</w:t>
      </w:r>
    </w:p>
    <w:p>
      <w:pPr>
        <w:spacing w:after="0" w:line="230" w:lineRule="exact"/>
        <w:rPr>
          <w:sz w:val="20"/>
          <w:szCs w:val="20"/>
          <w:color w:val="auto"/>
        </w:rPr>
      </w:pPr>
    </w:p>
    <w:p>
      <w:pPr>
        <w:ind w:right="54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FATCA</w:t>
      </w:r>
      <w:r>
        <w:rPr>
          <w:rFonts w:ascii="Times New Roman" w:cs="Times New Roman" w:eastAsia="Times New Roman" w:hAnsi="Times New Roman"/>
          <w:sz w:val="19"/>
          <w:szCs w:val="19"/>
          <w:color w:val="auto"/>
        </w:rPr>
        <w:t>” means current Sections 1471 through 1474 of the Code and any amended or successor version that is substantively comparable and not materially more onerous to comply with (including any Treasury regulations or other official administrative guidance promulgated thereunder).</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Federal Funds Rate</w:t>
      </w:r>
      <w:r>
        <w:rPr>
          <w:rFonts w:ascii="Times New Roman" w:cs="Times New Roman" w:eastAsia="Times New Roman" w:hAnsi="Times New Roman"/>
          <w:sz w:val="19"/>
          <w:szCs w:val="19"/>
          <w:color w:val="auto"/>
        </w:rPr>
        <w:t>” means, for any day, the rate calculated by the NYFRB based on such day’s federal funds transactions by</w:t>
      </w:r>
    </w:p>
    <w:p>
      <w:pPr>
        <w:spacing w:after="0" w:line="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depositary institutions (as determined in such manner as the NYFRB shall set forth on its public website from time to time) and published on the next succeeding Business Day by the NYFRB as the federal funds effective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the Federal Funds Rate shall be less than zero, such rate shall be deemed to be zero for purposes of this Agreement.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Federal Home Loan Bank</w:t>
      </w:r>
      <w:r>
        <w:rPr>
          <w:rFonts w:ascii="Times New Roman" w:cs="Times New Roman" w:eastAsia="Times New Roman" w:hAnsi="Times New Roman"/>
          <w:sz w:val="19"/>
          <w:szCs w:val="19"/>
          <w:color w:val="auto"/>
        </w:rPr>
        <w:t>” means the FHLBank System created by the Federal Home Loan Bank Act of 1932.</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Fee Letter</w:t>
      </w:r>
      <w:r>
        <w:rPr>
          <w:rFonts w:ascii="Times New Roman" w:cs="Times New Roman" w:eastAsia="Times New Roman" w:hAnsi="Times New Roman"/>
          <w:sz w:val="19"/>
          <w:szCs w:val="19"/>
          <w:color w:val="auto"/>
        </w:rPr>
        <w:t>” means that certain fee letter dated as of March 27, 2024 between RBC and the Company.</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Financial Covenants</w:t>
      </w:r>
      <w:r>
        <w:rPr>
          <w:rFonts w:ascii="Times New Roman" w:cs="Times New Roman" w:eastAsia="Times New Roman" w:hAnsi="Times New Roman"/>
          <w:sz w:val="19"/>
          <w:szCs w:val="19"/>
          <w:color w:val="auto"/>
        </w:rPr>
        <w:t xml:space="preserve">” means the covenants set forth in </w:t>
      </w:r>
      <w:r>
        <w:rPr>
          <w:rFonts w:ascii="Times New Roman" w:cs="Times New Roman" w:eastAsia="Times New Roman" w:hAnsi="Times New Roman"/>
          <w:sz w:val="19"/>
          <w:szCs w:val="19"/>
          <w:u w:val="single" w:color="auto"/>
          <w:color w:val="auto"/>
        </w:rPr>
        <w:t>Sections 7.11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7.14.</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Fiscal Quarter</w:t>
      </w:r>
      <w:r>
        <w:rPr>
          <w:rFonts w:ascii="Times New Roman" w:cs="Times New Roman" w:eastAsia="Times New Roman" w:hAnsi="Times New Roman"/>
          <w:sz w:val="19"/>
          <w:szCs w:val="19"/>
          <w:color w:val="auto"/>
        </w:rPr>
        <w:t>” means any fiscal quarter of a Fiscal Year.</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Fiscal Year</w:t>
      </w:r>
      <w:r>
        <w:rPr>
          <w:rFonts w:ascii="Times New Roman" w:cs="Times New Roman" w:eastAsia="Times New Roman" w:hAnsi="Times New Roman"/>
          <w:sz w:val="19"/>
          <w:szCs w:val="19"/>
          <w:color w:val="auto"/>
        </w:rPr>
        <w:t>” means any period of twelve consecutive calendar months ending on December 31.</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Fitch</w:t>
      </w:r>
      <w:r>
        <w:rPr>
          <w:rFonts w:ascii="Times New Roman" w:cs="Times New Roman" w:eastAsia="Times New Roman" w:hAnsi="Times New Roman"/>
          <w:sz w:val="19"/>
          <w:szCs w:val="19"/>
          <w:color w:val="auto"/>
        </w:rPr>
        <w:t>” means Fitch Ratings, Inc.</w:t>
      </w:r>
    </w:p>
    <w:p>
      <w:pPr>
        <w:spacing w:after="0" w:line="230" w:lineRule="exact"/>
        <w:rPr>
          <w:sz w:val="20"/>
          <w:szCs w:val="20"/>
          <w:color w:val="auto"/>
        </w:rPr>
      </w:pPr>
    </w:p>
    <w:p>
      <w:pPr>
        <w:ind w:right="260" w:firstLine="63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Floor</w:t>
      </w:r>
      <w:r>
        <w:rPr>
          <w:rFonts w:ascii="Times New Roman" w:cs="Times New Roman" w:eastAsia="Times New Roman" w:hAnsi="Times New Roman"/>
          <w:sz w:val="19"/>
          <w:szCs w:val="19"/>
          <w:color w:val="auto"/>
        </w:rPr>
        <w:t>”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Adjusted Term SOFR Rate or the Adjusted Daily Simple SOFR shall be 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-16-</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20" w:top="1379" w:right="379" w:bottom="1440" w:gutter="0" w:footer="0" w:header="0"/>
        </w:sectPr>
      </w:pPr>
    </w:p>
    <w:bookmarkStart w:id="92" w:name="page93"/>
    <w:bookmarkEnd w:id="92"/>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Foreign Lender</w:t>
      </w:r>
      <w:r>
        <w:rPr>
          <w:rFonts w:ascii="Times New Roman" w:cs="Times New Roman" w:eastAsia="Times New Roman" w:hAnsi="Times New Roman"/>
          <w:sz w:val="19"/>
          <w:szCs w:val="19"/>
          <w:color w:val="auto"/>
        </w:rPr>
        <w:t>” means any Lender that is not a U.S. Person within the meaning of Section 7701(a)(30) of the Code.</w:t>
      </w:r>
    </w:p>
    <w:p>
      <w:pPr>
        <w:spacing w:after="0" w:line="230" w:lineRule="exact"/>
        <w:rPr>
          <w:sz w:val="20"/>
          <w:szCs w:val="20"/>
          <w:color w:val="auto"/>
        </w:rPr>
      </w:pPr>
    </w:p>
    <w:p>
      <w:pPr>
        <w:ind w:right="8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Foreign Subsidiary</w:t>
      </w:r>
      <w:r>
        <w:rPr>
          <w:rFonts w:ascii="Times New Roman" w:cs="Times New Roman" w:eastAsia="Times New Roman" w:hAnsi="Times New Roman"/>
          <w:sz w:val="19"/>
          <w:szCs w:val="19"/>
          <w:color w:val="auto"/>
        </w:rPr>
        <w:t xml:space="preserve">” means any Subsidiary that (a) is not organized or incorporated in the United States, any State thereof or the District of Columbia, (b) directly or indirectly, holds no material assets other than equity interests of one or more entities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of this definition or (c) is a Subsidiary of an entity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definition.</w:t>
      </w:r>
    </w:p>
    <w:p>
      <w:pPr>
        <w:spacing w:after="0" w:line="149" w:lineRule="exact"/>
        <w:rPr>
          <w:sz w:val="20"/>
          <w:szCs w:val="20"/>
          <w:color w:val="auto"/>
        </w:rPr>
      </w:pPr>
    </w:p>
    <w:p>
      <w:pPr>
        <w:ind w:right="68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FRB</w:t>
      </w:r>
      <w:r>
        <w:rPr>
          <w:rFonts w:ascii="Times New Roman" w:cs="Times New Roman" w:eastAsia="Times New Roman" w:hAnsi="Times New Roman"/>
          <w:sz w:val="19"/>
          <w:szCs w:val="19"/>
          <w:color w:val="auto"/>
        </w:rPr>
        <w:t>” means the Board of Governors of the Federal Reserve System and any Governmental Authority succeeding to any of its principal functions.</w:t>
      </w:r>
    </w:p>
    <w:p>
      <w:pPr>
        <w:spacing w:after="0" w:line="136" w:lineRule="exact"/>
        <w:rPr>
          <w:sz w:val="20"/>
          <w:szCs w:val="20"/>
          <w:color w:val="auto"/>
        </w:rPr>
      </w:pPr>
    </w:p>
    <w:p>
      <w:pPr>
        <w:ind w:right="68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Fund</w:t>
      </w:r>
      <w:r>
        <w:rPr>
          <w:rFonts w:ascii="Times New Roman" w:cs="Times New Roman" w:eastAsia="Times New Roman" w:hAnsi="Times New Roman"/>
          <w:sz w:val="19"/>
          <w:szCs w:val="19"/>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50" w:lineRule="exact"/>
        <w:rPr>
          <w:sz w:val="20"/>
          <w:szCs w:val="20"/>
          <w:color w:val="auto"/>
        </w:rPr>
      </w:pPr>
    </w:p>
    <w:p>
      <w:pPr>
        <w:ind w:right="2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GAAP</w:t>
      </w:r>
      <w:r>
        <w:rPr>
          <w:rFonts w:ascii="Times New Roman" w:cs="Times New Roman" w:eastAsia="Times New Roman" w:hAnsi="Times New Roman"/>
          <w:sz w:val="19"/>
          <w:szCs w:val="19"/>
          <w:color w:val="auto"/>
        </w:rPr>
        <w:t>”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that are applicable to the circumstances as of the date of determination.</w:t>
      </w:r>
    </w:p>
    <w:p>
      <w:pPr>
        <w:spacing w:after="0" w:line="155" w:lineRule="exact"/>
        <w:rPr>
          <w:sz w:val="20"/>
          <w:szCs w:val="20"/>
          <w:color w:val="auto"/>
        </w:rPr>
      </w:pPr>
    </w:p>
    <w:p>
      <w:pPr>
        <w:ind w:right="54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Government-Sponsored Enterprise</w:t>
      </w:r>
      <w:r>
        <w:rPr>
          <w:rFonts w:ascii="Times New Roman" w:cs="Times New Roman" w:eastAsia="Times New Roman" w:hAnsi="Times New Roman"/>
          <w:sz w:val="19"/>
          <w:szCs w:val="19"/>
          <w:color w:val="auto"/>
        </w:rPr>
        <w:t>” means the Federal Home Loan Mortgage Corporation, the Federal National Mortgage Association, the Federal Housing Finance Agency, and any other financial services entity established by any Governmental Authority and engaged in the purchase of mortgage loans.</w:t>
      </w:r>
    </w:p>
    <w:p>
      <w:pPr>
        <w:spacing w:after="0" w:line="162" w:lineRule="exact"/>
        <w:rPr>
          <w:sz w:val="20"/>
          <w:szCs w:val="20"/>
          <w:color w:val="auto"/>
        </w:rPr>
      </w:pPr>
    </w:p>
    <w:p>
      <w:pPr>
        <w:ind w:right="20"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Governmental Authority</w:t>
      </w:r>
      <w:r>
        <w:rPr>
          <w:rFonts w:ascii="Times New Roman" w:cs="Times New Roman" w:eastAsia="Times New Roman" w:hAnsi="Times New Roman"/>
          <w:sz w:val="19"/>
          <w:szCs w:val="19"/>
          <w:color w:val="auto"/>
        </w:rPr>
        <w:t>” means any nation or government, any state or other political subdivision thereof, any central bank (or similar monetary or regulatory authority) thereof, any entity exercising executive, legislative, judicial, taxing or regulatory functions of or pertaining to government (including any supra-national body exercising such powers or functions, such as the European Union or the European Central Bank) and any corporation or other entity owned or controlled, through stock or capital ownership or otherwise, by any of the foregoing, including any board of insurance, insurance department or insurance commissioner.</w:t>
      </w:r>
    </w:p>
    <w:p>
      <w:pPr>
        <w:spacing w:after="0" w:line="175"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Hazardous Material</w:t>
      </w:r>
      <w:r>
        <w:rPr>
          <w:rFonts w:ascii="Times New Roman" w:cs="Times New Roman" w:eastAsia="Times New Roman" w:hAnsi="Times New Roman"/>
          <w:sz w:val="19"/>
          <w:szCs w:val="19"/>
          <w:color w:val="auto"/>
        </w:rPr>
        <w:t>” means: (a) any “hazardous substance,” as defined by CERCLA; (b) any “hazardous waste,” as defined by the Resource Conservation and Recovery Act; (c) petroleum and any petroleum product; or (d) any other pollutant, contaminant, chemical, material, waste or substance in any form that is subject to regulation or, as to which, liability or standards of conduct can be imposed under any Environmental Law.</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Historical Statutory Statements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5.11(b)</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12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Immaterial Subsidiary</w:t>
      </w:r>
      <w:r>
        <w:rPr>
          <w:rFonts w:ascii="Times New Roman" w:cs="Times New Roman" w:eastAsia="Times New Roman" w:hAnsi="Times New Roman"/>
          <w:sz w:val="19"/>
          <w:szCs w:val="19"/>
          <w:color w:val="auto"/>
        </w:rPr>
        <w:t>” means any Non-Insurance Subsidiary that (a) has assets with an aggregate fair market value less than 2.50% of Consolidated Total Assets, (b) has aggregate revenues (disregarding, for the avoidance of doubt, revenue from Affiliates) less than 2.50% of Consolidated Total Revenues, (c) is not integral to the business or operations of the Company or its Subsidiaries (other than Immaterial Subsidiaries), and (d) has no Subsidiaries (other than Immaterial Subsidiaries).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Increased Amount Date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2.15(a)</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-17-</w:t>
      </w: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20" w:top="1379" w:right="379" w:bottom="1440" w:gutter="0" w:footer="0" w:header="0"/>
        </w:sectPr>
      </w:pPr>
    </w:p>
    <w:bookmarkStart w:id="93" w:name="page94"/>
    <w:bookmarkEnd w:id="93"/>
    <w:p>
      <w:pPr>
        <w:ind w:firstLine="633"/>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Indebtedness</w:t>
      </w:r>
      <w:r>
        <w:rPr>
          <w:rFonts w:ascii="Times New Roman" w:cs="Times New Roman" w:eastAsia="Times New Roman" w:hAnsi="Times New Roman"/>
          <w:sz w:val="19"/>
          <w:szCs w:val="19"/>
          <w:color w:val="auto"/>
        </w:rPr>
        <w:t xml:space="preserve">” means, with respect to any Person, without duplication: (a) all indebtedness of such Person for borrowed money or in respect of loans or advances; (b) all indebtedness of such Person evidenced by bonds, debentures, notes or other similar instruments; (c) all indebtedness in respect of letters of credit, whether or not drawn, and bankers’ acceptances and letters of guaranty issued for the account or upon the application or request of such Person; (d) all Capitalized Lease Liabilities of such Person; (e) the liabilities (if any) of such Person in respect of Swap Contracts as determined by reference to the Swap Termination Value thereof; (f) all obligations of such Person to pay the deferred purchase price of property or services that are included as liabilities in accordance with GAAP (other than accrued expenses incurred and trade accounts payable in each case in the ordinary course of business) and all obligations secured by a Lien on property owned or being purchased by such Person, but only to the extent of the lesser of the obligations secured or the value of the property to which such Lien is attached (including obligations arising under conditional sales or other title retention agreements); (g) all Disqualified Capital Stock of such Person, valued, as of the date of determination, at the greater of the maximum aggregate amount that would be payable upon maturity, redemption, repayment or mandatory repurchase thereof (or of Disqualified Capital Stock or Indebtedness into which such Disqualified Capital Stock is convertible or exchangeable); (h) any obligations of a partnership of the kind referred to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above or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below in which such Person is a general partner unless such obligations are expressly made non-recourse to such Person; and (i) all Contingent Obligations of such Person with respect to Indebtedness or obligations of others of the kinds referred to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 xml:space="preserve"> above. Notwithstanding anything to the contrary, “Indebtedness” shall not include (1) liabilities in respect of unearned premium on insurance policies written by the Company or any of its Subsidiaries, and (2) obligations in an aggregate amount not to exceed $8,000,000 at any time outstanding owed to payroll service providers in respect of advances made to or on behalf of the Company or its Restricted Subsidiaries or to employees of the Company or Restricted Subsidiaries in the ordinary course of business.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Indemnified Liabilities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10.05</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Indemnified Person</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10.05</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18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Indemnified Taxes</w:t>
      </w:r>
      <w:r>
        <w:rPr>
          <w:rFonts w:ascii="Times New Roman" w:cs="Times New Roman" w:eastAsia="Times New Roman" w:hAnsi="Times New Roman"/>
          <w:sz w:val="19"/>
          <w:szCs w:val="19"/>
          <w:color w:val="auto"/>
        </w:rPr>
        <w:t>” means (a) Taxes, other than Excluded Taxes, imposed on or with respect to a payment made by or on account of any obligation of any the Company under any Loan Document and (b) to the extent not otherwise described in (a), Other Taxes.</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Independent Auditor</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Index Debt</w:t>
      </w:r>
      <w:r>
        <w:rPr>
          <w:rFonts w:ascii="Times New Roman" w:cs="Times New Roman" w:eastAsia="Times New Roman" w:hAnsi="Times New Roman"/>
          <w:sz w:val="19"/>
          <w:szCs w:val="19"/>
          <w:color w:val="auto"/>
        </w:rPr>
        <w:t>” means senior, unsecured, long-term indebtedness for borrowed money of the Company that is not guaranteed by any other person or subject to any other credit enhancement.</w:t>
      </w:r>
    </w:p>
    <w:p>
      <w:pPr>
        <w:spacing w:after="0" w:line="150" w:lineRule="exact"/>
        <w:rPr>
          <w:sz w:val="20"/>
          <w:szCs w:val="20"/>
          <w:color w:val="auto"/>
        </w:rPr>
      </w:pPr>
    </w:p>
    <w:p>
      <w:pPr>
        <w:ind w:right="100"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Insolvency Proceeding</w:t>
      </w:r>
      <w:r>
        <w:rPr>
          <w:rFonts w:ascii="Times New Roman" w:cs="Times New Roman" w:eastAsia="Times New Roman" w:hAnsi="Times New Roman"/>
          <w:sz w:val="19"/>
          <w:szCs w:val="19"/>
          <w:color w:val="auto"/>
        </w:rPr>
        <w:t>” means, with respect to any Person, (a) any case, action or proceeding with respect to such Person before any court or other Governmental Authority relating to bankruptcy, reorganization, insolvency, liquidation, conservation, rehabilitation, receivership, dissolution, winding-up or relief of debtors or (b) any general assignment for the benefit of creditors, composition, marshalling of assets for creditors or other similar arrangement in respect of its creditors generally or any substantial portion of its creditors, in any case, undertaken under U.S. Federal, state or foreign law, including title 11 of the United States Code.</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Insurance Business</w:t>
      </w:r>
      <w:r>
        <w:rPr>
          <w:rFonts w:ascii="Times New Roman" w:cs="Times New Roman" w:eastAsia="Times New Roman" w:hAnsi="Times New Roman"/>
          <w:sz w:val="19"/>
          <w:szCs w:val="19"/>
          <w:color w:val="auto"/>
        </w:rPr>
        <w:t>” means one or more aspects of the business of (a) selling or underwriting insurance or (b)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-18-</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79" w:right="359" w:bottom="1440" w:gutter="0" w:footer="0" w:header="0"/>
        </w:sectPr>
      </w:pPr>
    </w:p>
    <w:bookmarkStart w:id="94" w:name="page95"/>
    <w:bookmarkEnd w:id="94"/>
    <w:p>
      <w:pPr>
        <w:ind w:right="78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Insurance Subsidiary</w:t>
      </w:r>
      <w:r>
        <w:rPr>
          <w:rFonts w:ascii="Times New Roman" w:cs="Times New Roman" w:eastAsia="Times New Roman" w:hAnsi="Times New Roman"/>
          <w:sz w:val="19"/>
          <w:szCs w:val="19"/>
          <w:color w:val="auto"/>
        </w:rPr>
        <w:t>” means any Subsidiary that is authorized or admitted to carry on or transact Insurance Business in any jurisdiction and is regulated by the insurance department or similar regulatory authority of such jurisdiction.</w:t>
      </w:r>
    </w:p>
    <w:p>
      <w:pPr>
        <w:spacing w:after="0" w:line="123" w:lineRule="exact"/>
        <w:rPr>
          <w:sz w:val="20"/>
          <w:szCs w:val="20"/>
          <w:color w:val="auto"/>
        </w:rPr>
      </w:pPr>
    </w:p>
    <w:p>
      <w:pPr>
        <w:ind w:right="58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Interest Election Request</w:t>
      </w:r>
      <w:r>
        <w:rPr>
          <w:rFonts w:ascii="Times New Roman" w:cs="Times New Roman" w:eastAsia="Times New Roman" w:hAnsi="Times New Roman"/>
          <w:sz w:val="19"/>
          <w:szCs w:val="19"/>
          <w:color w:val="auto"/>
        </w:rPr>
        <w:t xml:space="preserve">” means a request by the Company to convert or continue a Revolving Borrowing in accordance with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which shall be substantially in the form of </w:t>
      </w:r>
      <w:r>
        <w:rPr>
          <w:rFonts w:ascii="Times New Roman" w:cs="Times New Roman" w:eastAsia="Times New Roman" w:hAnsi="Times New Roman"/>
          <w:sz w:val="19"/>
          <w:szCs w:val="19"/>
          <w:u w:val="single" w:color="auto"/>
          <w:color w:val="auto"/>
        </w:rPr>
        <w:t>Exhibit C-2</w:t>
      </w:r>
      <w:r>
        <w:rPr>
          <w:rFonts w:ascii="Times New Roman" w:cs="Times New Roman" w:eastAsia="Times New Roman" w:hAnsi="Times New Roman"/>
          <w:sz w:val="19"/>
          <w:szCs w:val="19"/>
          <w:color w:val="auto"/>
        </w:rPr>
        <w:t xml:space="preserve"> or any other form approved by the Agent.</w:t>
      </w:r>
    </w:p>
    <w:p>
      <w:pPr>
        <w:spacing w:after="0" w:line="123" w:lineRule="exact"/>
        <w:rPr>
          <w:sz w:val="20"/>
          <w:szCs w:val="20"/>
          <w:color w:val="auto"/>
        </w:rPr>
      </w:pPr>
    </w:p>
    <w:p>
      <w:pPr>
        <w:ind w:right="4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Interest Payment Date</w:t>
      </w:r>
      <w:r>
        <w:rPr>
          <w:rFonts w:ascii="Times New Roman" w:cs="Times New Roman" w:eastAsia="Times New Roman" w:hAnsi="Times New Roman"/>
          <w:sz w:val="19"/>
          <w:szCs w:val="19"/>
          <w:color w:val="auto"/>
        </w:rPr>
        <w:t>” means (a) with respect to any Base Rate Loan, the last Business Day of each calendar quarter and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68" w:lineRule="exact"/>
        <w:rPr>
          <w:sz w:val="20"/>
          <w:szCs w:val="20"/>
          <w:color w:val="auto"/>
        </w:rPr>
      </w:pPr>
    </w:p>
    <w:p>
      <w:pPr>
        <w:ind w:firstLine="633"/>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Interest Period</w:t>
      </w:r>
      <w:r>
        <w:rPr>
          <w:rFonts w:ascii="Times New Roman" w:cs="Times New Roman" w:eastAsia="Times New Roman" w:hAnsi="Times New Roman"/>
          <w:sz w:val="19"/>
          <w:szCs w:val="19"/>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Company may elect;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cs="Times New Roman" w:eastAsia="Times New Roman" w:hAnsi="Times New Roman"/>
          <w:sz w:val="19"/>
          <w:szCs w:val="19"/>
          <w:u w:val="single" w:color="auto"/>
          <w:color w:val="auto"/>
        </w:rPr>
        <w:t>Section 3.05(e)</w:t>
      </w:r>
      <w:r>
        <w:rPr>
          <w:rFonts w:ascii="Times New Roman" w:cs="Times New Roman" w:eastAsia="Times New Roman" w:hAnsi="Times New Roman"/>
          <w:sz w:val="19"/>
          <w:szCs w:val="19"/>
          <w:color w:val="auto"/>
        </w:rPr>
        <w:t xml:space="preserve"> shall be available for specification in such Loan Notice or Interest Election Request.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399" w:lineRule="exact"/>
        <w:rPr>
          <w:sz w:val="20"/>
          <w:szCs w:val="20"/>
          <w:color w:val="auto"/>
        </w:rPr>
      </w:pPr>
    </w:p>
    <w:p>
      <w:pPr>
        <w:ind w:right="6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Interest Type</w:t>
      </w:r>
      <w:r>
        <w:rPr>
          <w:rFonts w:ascii="Times New Roman" w:cs="Times New Roman" w:eastAsia="Times New Roman" w:hAnsi="Times New Roman"/>
          <w:sz w:val="19"/>
          <w:szCs w:val="19"/>
          <w:color w:val="auto"/>
        </w:rPr>
        <w:t>” means, when used with respect to any Loan, whether the rate of interest on such Loan is determined by reference to the Base Rate or the Adjusted Term SOFR Rate.</w:t>
      </w:r>
    </w:p>
    <w:p>
      <w:pPr>
        <w:spacing w:after="0" w:line="123" w:lineRule="exact"/>
        <w:rPr>
          <w:sz w:val="20"/>
          <w:szCs w:val="20"/>
          <w:color w:val="auto"/>
        </w:rPr>
      </w:pPr>
    </w:p>
    <w:p>
      <w:pPr>
        <w:ind w:right="20"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Investment</w:t>
      </w:r>
      <w:r>
        <w:rPr>
          <w:rFonts w:ascii="Times New Roman" w:cs="Times New Roman" w:eastAsia="Times New Roman" w:hAnsi="Times New Roman"/>
          <w:sz w:val="19"/>
          <w:szCs w:val="19"/>
          <w:color w:val="auto"/>
        </w:rPr>
        <w:t>” means any advance, loan, extension of credit (by way of guaranty or otherwise) or capital contribution to, or purchase (including purchases financed with equity) of any Capital Stock, bonds, notes, obligations, debentures or other debt securities of, or any other investment in, any Person, in each case excluding, for the avoidance of doubt, transactions pursuant to Reinsurance Agreements. For purposes of covenant compliance, the amount of any Investment shall be the amount actually invested, without adjustment for subsequent increases or decreases in the value of such Investment, but shall be reduced by the amount equal to any returns in respect of such Investment received by the investor thereof in the same form as the original Investment (or in cash).</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IRS</w:t>
      </w:r>
      <w:r>
        <w:rPr>
          <w:rFonts w:ascii="Times New Roman" w:cs="Times New Roman" w:eastAsia="Times New Roman" w:hAnsi="Times New Roman"/>
          <w:sz w:val="19"/>
          <w:szCs w:val="19"/>
          <w:color w:val="auto"/>
        </w:rPr>
        <w:t>” means the Internal Revenue Service or any Governmental Authority succeeding to any of its principal functions under the Code.</w:t>
      </w:r>
    </w:p>
    <w:p>
      <w:pPr>
        <w:spacing w:after="0" w:line="230" w:lineRule="exact"/>
        <w:rPr>
          <w:sz w:val="20"/>
          <w:szCs w:val="20"/>
          <w:color w:val="auto"/>
        </w:rPr>
      </w:pPr>
    </w:p>
    <w:p>
      <w:pPr>
        <w:ind w:right="44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Joinder Agreement</w:t>
      </w:r>
      <w:r>
        <w:rPr>
          <w:rFonts w:ascii="Times New Roman" w:cs="Times New Roman" w:eastAsia="Times New Roman" w:hAnsi="Times New Roman"/>
          <w:sz w:val="19"/>
          <w:szCs w:val="19"/>
          <w:color w:val="auto"/>
        </w:rPr>
        <w:t xml:space="preserve">” means an agreement among the Company, the Agent, and one or more lenders, establishing New Revolving Commitments and effecting such other amendments hereto and to the other Loan Documents as are contemplated by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-19-</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79" w:right="359" w:bottom="1440" w:gutter="0" w:footer="0" w:header="0"/>
        </w:sectPr>
      </w:pPr>
    </w:p>
    <w:bookmarkStart w:id="95" w:name="page96"/>
    <w:bookmarkEnd w:id="95"/>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Joint Bookrunners</w:t>
      </w:r>
      <w:r>
        <w:rPr>
          <w:rFonts w:ascii="Times New Roman" w:cs="Times New Roman" w:eastAsia="Times New Roman" w:hAnsi="Times New Roman"/>
          <w:sz w:val="19"/>
          <w:szCs w:val="19"/>
          <w:color w:val="auto"/>
        </w:rPr>
        <w:t>” means RBCCM, Bank of Montreal, Citibank, N.A. and Truist Securities, Inc..</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Joint Lead Arrangers</w:t>
      </w:r>
      <w:r>
        <w:rPr>
          <w:rFonts w:ascii="Times New Roman" w:cs="Times New Roman" w:eastAsia="Times New Roman" w:hAnsi="Times New Roman"/>
          <w:sz w:val="19"/>
          <w:szCs w:val="19"/>
          <w:color w:val="auto"/>
        </w:rPr>
        <w:t>” means RBCCM, Bank of Montreal, Citibank, N.A. and Truist Securities, Inc..</w:t>
      </w:r>
    </w:p>
    <w:p>
      <w:pPr>
        <w:spacing w:after="0" w:line="217" w:lineRule="exact"/>
        <w:rPr>
          <w:sz w:val="20"/>
          <w:szCs w:val="20"/>
          <w:color w:val="auto"/>
        </w:rPr>
      </w:pPr>
    </w:p>
    <w:p>
      <w:pPr>
        <w:ind w:right="72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Latest Maturity Date</w:t>
      </w:r>
      <w:r>
        <w:rPr>
          <w:rFonts w:ascii="Times New Roman" w:cs="Times New Roman" w:eastAsia="Times New Roman" w:hAnsi="Times New Roman"/>
          <w:sz w:val="19"/>
          <w:szCs w:val="19"/>
          <w:color w:val="auto"/>
        </w:rPr>
        <w:t>” means, at any date of determination, the latest maturity or expiration date applicable to any Facility or Extended Revolving Facility at such time under this Agreement.</w:t>
      </w:r>
    </w:p>
    <w:p>
      <w:pPr>
        <w:spacing w:after="0" w:line="123" w:lineRule="exact"/>
        <w:rPr>
          <w:sz w:val="20"/>
          <w:szCs w:val="20"/>
          <w:color w:val="auto"/>
        </w:rPr>
      </w:pPr>
    </w:p>
    <w:p>
      <w:pPr>
        <w:jc w:val="both"/>
        <w:ind w:firstLine="633"/>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xml:space="preserve">” has the meaning specified in the introduction to this Agreement and includes any other Person that shall have become a party hereto pursuant to an Assignment and Assumption in accordance with </w:t>
      </w:r>
      <w:r>
        <w:rPr>
          <w:rFonts w:ascii="Times New Roman" w:cs="Times New Roman" w:eastAsia="Times New Roman" w:hAnsi="Times New Roman"/>
          <w:sz w:val="19"/>
          <w:szCs w:val="19"/>
          <w:u w:val="single" w:color="auto"/>
          <w:color w:val="auto"/>
        </w:rPr>
        <w:t>Section 10.07</w:t>
      </w:r>
      <w:r>
        <w:rPr>
          <w:rFonts w:ascii="Times New Roman" w:cs="Times New Roman" w:eastAsia="Times New Roman" w:hAnsi="Times New Roman"/>
          <w:sz w:val="19"/>
          <w:szCs w:val="19"/>
          <w:color w:val="auto"/>
        </w:rPr>
        <w:t>, other than any such Person that ceases to be a party hereto pursuant to an Assignment and Assumption.</w:t>
      </w:r>
    </w:p>
    <w:p>
      <w:pPr>
        <w:spacing w:after="0" w:line="143" w:lineRule="exact"/>
        <w:rPr>
          <w:sz w:val="20"/>
          <w:szCs w:val="20"/>
          <w:color w:val="auto"/>
        </w:rPr>
      </w:pPr>
    </w:p>
    <w:p>
      <w:pPr>
        <w:ind w:right="6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Lending Office</w:t>
      </w:r>
      <w:r>
        <w:rPr>
          <w:rFonts w:ascii="Times New Roman" w:cs="Times New Roman" w:eastAsia="Times New Roman" w:hAnsi="Times New Roman"/>
          <w:sz w:val="19"/>
          <w:szCs w:val="19"/>
          <w:color w:val="auto"/>
        </w:rPr>
        <w:t xml:space="preserve">” means, as to any Lender, the office or offices of such Lender specified as its “Lending Office” or “Domestic Lending Office”, as the case may be, on </w:t>
      </w:r>
      <w:r>
        <w:rPr>
          <w:rFonts w:ascii="Times New Roman" w:cs="Times New Roman" w:eastAsia="Times New Roman" w:hAnsi="Times New Roman"/>
          <w:sz w:val="19"/>
          <w:szCs w:val="19"/>
          <w:u w:val="single" w:color="auto"/>
          <w:color w:val="auto"/>
        </w:rPr>
        <w:t>Schedule 10.02</w:t>
      </w:r>
      <w:r>
        <w:rPr>
          <w:rFonts w:ascii="Times New Roman" w:cs="Times New Roman" w:eastAsia="Times New Roman" w:hAnsi="Times New Roman"/>
          <w:sz w:val="19"/>
          <w:szCs w:val="19"/>
          <w:color w:val="auto"/>
        </w:rPr>
        <w:t xml:space="preserve"> or in its administrative questionnaire delivered to the Agent, or such other office or offices or office of a third party or sub-agent, as appropriate, as such Lender may from time to time notify the Company and the Agent.</w:t>
      </w:r>
    </w:p>
    <w:p>
      <w:pPr>
        <w:spacing w:after="0" w:line="162" w:lineRule="exact"/>
        <w:rPr>
          <w:sz w:val="20"/>
          <w:szCs w:val="20"/>
          <w:color w:val="auto"/>
        </w:rPr>
      </w:pPr>
    </w:p>
    <w:p>
      <w:pPr>
        <w:ind w:right="48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w:t>
      </w:r>
      <w:r>
        <w:rPr>
          <w:rFonts w:ascii="Times New Roman" w:cs="Times New Roman" w:eastAsia="Times New Roman" w:hAnsi="Times New Roman"/>
          <w:sz w:val="19"/>
          <w:szCs w:val="19"/>
          <w:color w:val="auto"/>
        </w:rPr>
        <w:t>” means any license, certificate of authority, permit or other authorization that is required to be obtained from any Governmental Authority in connection with the operation, ownership or transaction of the Insurance Business of the Company’s Insurance Subsidiaries.</w:t>
      </w:r>
    </w:p>
    <w:p>
      <w:pPr>
        <w:spacing w:after="0" w:line="162" w:lineRule="exact"/>
        <w:rPr>
          <w:sz w:val="20"/>
          <w:szCs w:val="20"/>
          <w:color w:val="auto"/>
        </w:rPr>
      </w:pPr>
    </w:p>
    <w:p>
      <w:pPr>
        <w:ind w:right="100"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Lien</w:t>
      </w:r>
      <w:r>
        <w:rPr>
          <w:rFonts w:ascii="Times New Roman" w:cs="Times New Roman" w:eastAsia="Times New Roman" w:hAnsi="Times New Roman"/>
          <w:sz w:val="19"/>
          <w:szCs w:val="19"/>
          <w:color w:val="auto"/>
        </w:rPr>
        <w:t>” means any security interest, mortgage, deed of trust, pledge, hypothecation, assignment, charge or deposit arrangement, encumbrance, lien (statutory or other) or preferential arrangement of any kind or nature whatsoever in respect of any property (including those created by, arising under or evidenced by, any conditional sale or other title retention agreement and the interest of a lessor under a capital lease or any financing lease having substantially the same economic effect as any of the foregoing), but not including the interest of a lessor under an operating lease or a licensor under a license that does not otherwise secure an obligation.</w:t>
      </w:r>
    </w:p>
    <w:p>
      <w:pPr>
        <w:spacing w:after="0" w:line="175" w:lineRule="exact"/>
        <w:rPr>
          <w:sz w:val="20"/>
          <w:szCs w:val="20"/>
          <w:color w:val="auto"/>
        </w:rPr>
      </w:pPr>
    </w:p>
    <w:p>
      <w:pPr>
        <w:ind w:right="22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Limited Condition Transaction</w:t>
      </w:r>
      <w:r>
        <w:rPr>
          <w:rFonts w:ascii="Times New Roman" w:cs="Times New Roman" w:eastAsia="Times New Roman" w:hAnsi="Times New Roman"/>
          <w:sz w:val="19"/>
          <w:szCs w:val="19"/>
          <w:color w:val="auto"/>
        </w:rPr>
        <w:t>” means any Acquisition, Investment, Asset Sale or other transaction the consummation of which is not conditioned on the availability of, or on obtaining, third party financing.</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Loan</w:t>
      </w:r>
      <w:r>
        <w:rPr>
          <w:rFonts w:ascii="Times New Roman" w:cs="Times New Roman" w:eastAsia="Times New Roman" w:hAnsi="Times New Roman"/>
          <w:sz w:val="19"/>
          <w:szCs w:val="19"/>
          <w:color w:val="auto"/>
        </w:rPr>
        <w:t>” means any Revolving Loan.</w:t>
      </w:r>
    </w:p>
    <w:p>
      <w:pPr>
        <w:spacing w:after="0" w:line="217" w:lineRule="exact"/>
        <w:rPr>
          <w:sz w:val="20"/>
          <w:szCs w:val="20"/>
          <w:color w:val="auto"/>
        </w:rPr>
      </w:pPr>
    </w:p>
    <w:p>
      <w:pPr>
        <w:ind w:right="16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Loan Documents</w:t>
      </w:r>
      <w:r>
        <w:rPr>
          <w:rFonts w:ascii="Times New Roman" w:cs="Times New Roman" w:eastAsia="Times New Roman" w:hAnsi="Times New Roman"/>
          <w:sz w:val="19"/>
          <w:szCs w:val="19"/>
          <w:color w:val="auto"/>
        </w:rPr>
        <w:t>” means this Agreement and amendments of and joinders to this Agreement that are deemed pursuant to their terms to be Loan Documents for purposes hereof, all Notes, the Commitment Letter and the Fee Letter.</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Loan Notice</w:t>
      </w:r>
      <w:r>
        <w:rPr>
          <w:rFonts w:ascii="Times New Roman" w:cs="Times New Roman" w:eastAsia="Times New Roman" w:hAnsi="Times New Roman"/>
          <w:sz w:val="19"/>
          <w:szCs w:val="19"/>
          <w:color w:val="auto"/>
        </w:rPr>
        <w:t xml:space="preserve">” means a notice of Credit Extension substantially in the form of </w:t>
      </w:r>
      <w:r>
        <w:rPr>
          <w:rFonts w:ascii="Times New Roman" w:cs="Times New Roman" w:eastAsia="Times New Roman" w:hAnsi="Times New Roman"/>
          <w:sz w:val="19"/>
          <w:szCs w:val="19"/>
          <w:u w:val="single" w:color="auto"/>
          <w:color w:val="auto"/>
        </w:rPr>
        <w:t>Exhibit C-1</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Margin Stock</w:t>
      </w:r>
      <w:r>
        <w:rPr>
          <w:rFonts w:ascii="Times New Roman" w:cs="Times New Roman" w:eastAsia="Times New Roman" w:hAnsi="Times New Roman"/>
          <w:sz w:val="19"/>
          <w:szCs w:val="19"/>
          <w:color w:val="auto"/>
        </w:rPr>
        <w:t>” means “margin stock” as such term is defined in Regulation T, U or X of the FRB.</w:t>
      </w:r>
    </w:p>
    <w:p>
      <w:pPr>
        <w:spacing w:after="0" w:line="230" w:lineRule="exact"/>
        <w:rPr>
          <w:sz w:val="20"/>
          <w:szCs w:val="20"/>
          <w:color w:val="auto"/>
        </w:rPr>
      </w:pPr>
    </w:p>
    <w:p>
      <w:pPr>
        <w:ind w:right="56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Acquisition</w:t>
      </w:r>
      <w:r>
        <w:rPr>
          <w:rFonts w:ascii="Times New Roman" w:cs="Times New Roman" w:eastAsia="Times New Roman" w:hAnsi="Times New Roman"/>
          <w:sz w:val="19"/>
          <w:szCs w:val="19"/>
          <w:color w:val="auto"/>
        </w:rPr>
        <w:t>” means any Acquisition by the Company or its Restricted Subsidiaries in a transaction or series of related transactions for consideration exceeding $25,000,000.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-20-</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20" w:top="1379" w:right="379" w:bottom="1440" w:gutter="0" w:footer="0" w:header="0"/>
        </w:sectPr>
      </w:pPr>
    </w:p>
    <w:bookmarkStart w:id="96" w:name="page97"/>
    <w:bookmarkEnd w:id="96"/>
    <w:p>
      <w:pPr>
        <w:ind w:right="4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Adverse Effect</w:t>
      </w:r>
      <w:r>
        <w:rPr>
          <w:rFonts w:ascii="Times New Roman" w:cs="Times New Roman" w:eastAsia="Times New Roman" w:hAnsi="Times New Roman"/>
          <w:sz w:val="19"/>
          <w:szCs w:val="19"/>
          <w:color w:val="auto"/>
        </w:rPr>
        <w:t>” means (a) a material adverse change in, or a material adverse effect upon, the business, properties, results of operations or financial condition of the Company and its Subsidiaries taken as a whole; (b) a material impairment of the ability of the Company to perform under any Loan Document; or (c) a material adverse effect upon the legality, validity, binding effect or enforceability against the Company of any Loan Document.</w:t>
      </w:r>
    </w:p>
    <w:p>
      <w:pPr>
        <w:spacing w:after="0" w:line="155" w:lineRule="exact"/>
        <w:rPr>
          <w:sz w:val="20"/>
          <w:szCs w:val="20"/>
          <w:color w:val="auto"/>
        </w:rPr>
      </w:pPr>
    </w:p>
    <w:p>
      <w:pPr>
        <w:ind w:right="50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Disposition</w:t>
      </w:r>
      <w:r>
        <w:rPr>
          <w:rFonts w:ascii="Times New Roman" w:cs="Times New Roman" w:eastAsia="Times New Roman" w:hAnsi="Times New Roman"/>
          <w:sz w:val="19"/>
          <w:szCs w:val="19"/>
          <w:color w:val="auto"/>
        </w:rPr>
        <w:t>” means any disposition of assets by the Company or its Subsidiaries in a transaction or series of related transactions for consideration exceeding $25,000,000, other than any such disposition by any Insurance Subsidiary or any Subsidiary of an Insurance Subsidiary in the ordinary course of business consistent with the investment policy approved by the board of directors of such Subsidiary.</w:t>
      </w:r>
    </w:p>
    <w:p>
      <w:pPr>
        <w:spacing w:after="0" w:line="168" w:lineRule="exact"/>
        <w:rPr>
          <w:sz w:val="20"/>
          <w:szCs w:val="20"/>
          <w:color w:val="auto"/>
        </w:rPr>
      </w:pPr>
    </w:p>
    <w:p>
      <w:pPr>
        <w:ind w:right="28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Maturity Date</w:t>
      </w:r>
      <w:r>
        <w:rPr>
          <w:rFonts w:ascii="Times New Roman" w:cs="Times New Roman" w:eastAsia="Times New Roman" w:hAnsi="Times New Roman"/>
          <w:sz w:val="19"/>
          <w:szCs w:val="19"/>
          <w:color w:val="auto"/>
        </w:rPr>
        <w:t xml:space="preserve">” means, except to the extent extended pursuant to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(i) with respect to Revolving Loans (other than Extended Revolving Loans), the fifth anniversary of the Closing Date and (ii) with respect to Extended Revolving Loans, the maturity date of such Extended Revolving Loans, as specified in the applicable Joinder Agreement or Extension Amendment.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Minimum Extension Condition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2.18(c)(iv)</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Moody’s</w:t>
      </w:r>
      <w:r>
        <w:rPr>
          <w:rFonts w:ascii="Times New Roman" w:cs="Times New Roman" w:eastAsia="Times New Roman" w:hAnsi="Times New Roman"/>
          <w:sz w:val="19"/>
          <w:szCs w:val="19"/>
          <w:color w:val="auto"/>
        </w:rPr>
        <w:t>” means Moody’s Investors Service, Inc., and any Person succeeding to its rating agency business.</w:t>
      </w:r>
    </w:p>
    <w:p>
      <w:pPr>
        <w:spacing w:after="0" w:line="230" w:lineRule="exact"/>
        <w:rPr>
          <w:sz w:val="20"/>
          <w:szCs w:val="20"/>
          <w:color w:val="auto"/>
        </w:rPr>
      </w:pPr>
    </w:p>
    <w:p>
      <w:pPr>
        <w:jc w:val="both"/>
        <w:ind w:right="2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Multiemployer Plan</w:t>
      </w:r>
      <w:r>
        <w:rPr>
          <w:rFonts w:ascii="Times New Roman" w:cs="Times New Roman" w:eastAsia="Times New Roman" w:hAnsi="Times New Roman"/>
          <w:sz w:val="19"/>
          <w:szCs w:val="19"/>
          <w:color w:val="auto"/>
        </w:rPr>
        <w:t>” means a “multiemployer plan,” within the meaning of Section 4001(a)(3) of ERISA, to which the Company, any of its Subsidiaries or any ERISA Affiliate makes, is making or is obligated to make contributions or, during the preceding six calendar years, has made, or been obligated to make, contributions.</w:t>
      </w:r>
    </w:p>
    <w:p>
      <w:pPr>
        <w:spacing w:after="0" w:line="162" w:lineRule="exact"/>
        <w:rPr>
          <w:sz w:val="20"/>
          <w:szCs w:val="20"/>
          <w:color w:val="auto"/>
        </w:rPr>
      </w:pPr>
    </w:p>
    <w:p>
      <w:pPr>
        <w:ind w:firstLine="63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NAIC</w:t>
      </w:r>
      <w:r>
        <w:rPr>
          <w:rFonts w:ascii="Times New Roman" w:cs="Times New Roman" w:eastAsia="Times New Roman" w:hAnsi="Times New Roman"/>
          <w:sz w:val="19"/>
          <w:szCs w:val="19"/>
          <w:color w:val="auto"/>
        </w:rPr>
        <w:t>” means the National Association of Insurance Commissioners or any successor thereto, or in the absence of the National Association of Insurance Commissioners or such successor, any other association, agency or other organization performing advisory, coordination or other like functions among insurance departments, insurance commissioners and similar Governmental Authorities of the various states of the United States toward the promotion of uniformity in the practices of such Governmental Authorities.</w:t>
      </w:r>
    </w:p>
    <w:p>
      <w:pPr>
        <w:spacing w:after="0" w:line="173" w:lineRule="exact"/>
        <w:rPr>
          <w:sz w:val="20"/>
          <w:szCs w:val="20"/>
          <w:color w:val="auto"/>
        </w:rPr>
      </w:pPr>
    </w:p>
    <w:p>
      <w:pPr>
        <w:ind w:right="16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Net Income</w:t>
      </w:r>
      <w:r>
        <w:rPr>
          <w:rFonts w:ascii="Times New Roman" w:cs="Times New Roman" w:eastAsia="Times New Roman" w:hAnsi="Times New Roman"/>
          <w:sz w:val="19"/>
          <w:szCs w:val="19"/>
          <w:color w:val="auto"/>
        </w:rPr>
        <w:t>” means, for any Person for any Calculation Period, the net income (or loss) of such Person for such period as determined in accordance with GAAP.</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New Revolving Commitments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2.16(a)</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New Revolving Loan Lender</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2.16(a)</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New Revolving Loans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2.16(a)</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NMIC</w:t>
      </w:r>
      <w:r>
        <w:rPr>
          <w:rFonts w:ascii="Times New Roman" w:cs="Times New Roman" w:eastAsia="Times New Roman" w:hAnsi="Times New Roman"/>
          <w:sz w:val="19"/>
          <w:szCs w:val="19"/>
          <w:color w:val="auto"/>
        </w:rPr>
        <w:t>” means National Mortgage Insurance Corporation, a Wisconsin corporation.</w:t>
      </w:r>
    </w:p>
    <w:p>
      <w:pPr>
        <w:spacing w:after="0" w:line="217" w:lineRule="exact"/>
        <w:rPr>
          <w:sz w:val="20"/>
          <w:szCs w:val="20"/>
          <w:color w:val="auto"/>
        </w:rPr>
      </w:pPr>
    </w:p>
    <w:p>
      <w:pPr>
        <w:ind w:right="2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Non-Consenting Lender</w:t>
      </w:r>
      <w:r>
        <w:rPr>
          <w:rFonts w:ascii="Times New Roman" w:cs="Times New Roman" w:eastAsia="Times New Roman" w:hAnsi="Times New Roman"/>
          <w:sz w:val="19"/>
          <w:szCs w:val="19"/>
          <w:color w:val="auto"/>
        </w:rPr>
        <w:t xml:space="preserve">” means a Lender that does not consent to an amendment or waiver pursuant to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that requires the consent of all or all affected Lenders, or of all or all affected Lenders with respect to a Facility, as applicable, in order to become effective and as to which Lenders holding more than 50% of the aggregate Revolving Exposure of all Lenders, or more than 50% of the Revolving Exposure of all Lenders in respect of such Facility have consented.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79" w:right="339" w:bottom="1440" w:gutter="0" w:footer="0" w:header="0"/>
        </w:sectPr>
      </w:pPr>
    </w:p>
    <w:bookmarkStart w:id="97" w:name="page98"/>
    <w:bookmarkEnd w:id="97"/>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Non-Defaulting Lender</w:t>
      </w:r>
      <w:r>
        <w:rPr>
          <w:rFonts w:ascii="Times New Roman" w:cs="Times New Roman" w:eastAsia="Times New Roman" w:hAnsi="Times New Roman"/>
          <w:sz w:val="19"/>
          <w:szCs w:val="19"/>
          <w:color w:val="auto"/>
        </w:rPr>
        <w:t>” means, at any time, each Lender that is not a Defaulting Lender at such time.</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Non-Insurance Subsidiary</w:t>
      </w:r>
      <w:r>
        <w:rPr>
          <w:rFonts w:ascii="Times New Roman" w:cs="Times New Roman" w:eastAsia="Times New Roman" w:hAnsi="Times New Roman"/>
          <w:sz w:val="19"/>
          <w:szCs w:val="19"/>
          <w:color w:val="auto"/>
        </w:rPr>
        <w:t>” means any Subsidiary that is not an Insurance Subsidiary.</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Note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2.08(b)</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NYFRB</w:t>
      </w:r>
      <w:r>
        <w:rPr>
          <w:rFonts w:ascii="Times New Roman" w:cs="Times New Roman" w:eastAsia="Times New Roman" w:hAnsi="Times New Roman"/>
          <w:sz w:val="19"/>
          <w:szCs w:val="19"/>
          <w:color w:val="auto"/>
        </w:rPr>
        <w:t>” means the Federal Reserve Bank of New York.</w:t>
      </w:r>
    </w:p>
    <w:p>
      <w:pPr>
        <w:spacing w:after="0" w:line="217" w:lineRule="exact"/>
        <w:rPr>
          <w:sz w:val="20"/>
          <w:szCs w:val="20"/>
          <w:color w:val="auto"/>
        </w:rPr>
      </w:pPr>
    </w:p>
    <w:p>
      <w:pPr>
        <w:ind w:firstLine="633"/>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NYFRB Rate</w:t>
      </w:r>
      <w:r>
        <w:rPr>
          <w:rFonts w:ascii="Times New Roman" w:cs="Times New Roman" w:eastAsia="Times New Roman" w:hAnsi="Times New Roman"/>
          <w:sz w:val="19"/>
          <w:szCs w:val="19"/>
          <w:color w:val="auto"/>
        </w:rPr>
        <w:t xml:space="preserve">” means, for any day, the greater of (a) the Federal Funds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none of such rates are published for any day that is a Business Day, the term “NYFRB Rate” shall mean the rate for a federal funds transaction quoted at 11:00 a.m., on such day received by the Agent from a federal funds broker of recognized standing selected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any of the aforesaid rates shall be less than zero, such rate shall be deemed to be zero for purposes of this Agreement.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NYFRB’s Website</w:t>
      </w:r>
      <w:r>
        <w:rPr>
          <w:rFonts w:ascii="Times New Roman" w:cs="Times New Roman" w:eastAsia="Times New Roman" w:hAnsi="Times New Roman"/>
          <w:sz w:val="19"/>
          <w:szCs w:val="19"/>
          <w:color w:val="auto"/>
        </w:rPr>
        <w:t>” means the website of the NYFRB at http://www.newyorkfed.org, or any successor source.</w:t>
      </w:r>
    </w:p>
    <w:p>
      <w:pPr>
        <w:spacing w:after="0" w:line="230" w:lineRule="exact"/>
        <w:rPr>
          <w:sz w:val="20"/>
          <w:szCs w:val="20"/>
          <w:color w:val="auto"/>
        </w:rPr>
      </w:pPr>
    </w:p>
    <w:p>
      <w:pPr>
        <w:ind w:right="80" w:firstLine="633"/>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Obligations</w:t>
      </w:r>
      <w:r>
        <w:rPr>
          <w:rFonts w:ascii="Times New Roman" w:cs="Times New Roman" w:eastAsia="Times New Roman" w:hAnsi="Times New Roman"/>
          <w:sz w:val="19"/>
          <w:szCs w:val="19"/>
          <w:color w:val="auto"/>
        </w:rPr>
        <w:t>” means all advances to, and debts, liabilities, obligations, covenants and duties of, the Company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the Company of any proceeding under any Debtor Relief Laws naming such Person as the debtor in such proceeding, regardless of whether such interest and fees are allowed claims in such proceeding. Without limiting the generality of the foregoing, the Obligations of the Company under the Loan Documents include (a) the obligation to pay principal, interest, charges, expenses, fees, Attorney Costs, indemnities and other amounts payable by the Company under any Loan Document and (b) the obligation of the Company to reimburse any amount in respect of any of the foregoing that any Lender in its sole discretion, may elect to pay or advance on behalf of the Company.</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OCI</w:t>
      </w:r>
      <w:r>
        <w:rPr>
          <w:rFonts w:ascii="Times New Roman" w:cs="Times New Roman" w:eastAsia="Times New Roman" w:hAnsi="Times New Roman"/>
          <w:sz w:val="19"/>
          <w:szCs w:val="19"/>
          <w:color w:val="auto"/>
        </w:rPr>
        <w:t>” means the Office of the Commissioner of Insurance of the State of Wisconsin.</w:t>
      </w:r>
    </w:p>
    <w:p>
      <w:pPr>
        <w:spacing w:after="0" w:line="217" w:lineRule="exact"/>
        <w:rPr>
          <w:sz w:val="20"/>
          <w:szCs w:val="20"/>
          <w:color w:val="auto"/>
        </w:rPr>
      </w:pPr>
    </w:p>
    <w:p>
      <w:pPr>
        <w:ind w:firstLine="633"/>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Organization Documents</w:t>
      </w:r>
      <w:r>
        <w:rPr>
          <w:rFonts w:ascii="Times New Roman" w:cs="Times New Roman" w:eastAsia="Times New Roman" w:hAnsi="Times New Roman"/>
          <w:sz w:val="19"/>
          <w:szCs w:val="19"/>
          <w:color w:val="auto"/>
        </w:rPr>
        <w:t xml:space="preserve">” means (i) with respect to any corporation, the certificate or articles of incorporation and the bylaws of such corporation, (ii) with respect to any limited liability company, the certificate or articles of formation or organization and operating agreement, and (iii)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or (iv) in the case of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as they may relate to any Foreign Subsidiary, the equivalent or comparable constituent documents with respect to such Foreign Subsidiary.</w:t>
      </w:r>
    </w:p>
    <w:p>
      <w:pPr>
        <w:spacing w:after="0" w:line="164" w:lineRule="exact"/>
        <w:rPr>
          <w:sz w:val="20"/>
          <w:szCs w:val="20"/>
          <w:color w:val="auto"/>
        </w:rPr>
      </w:pPr>
    </w:p>
    <w:p>
      <w:pPr>
        <w:ind w:right="4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Other Taxes</w:t>
      </w:r>
      <w:r>
        <w:rPr>
          <w:rFonts w:ascii="Times New Roman" w:cs="Times New Roman" w:eastAsia="Times New Roman" w:hAnsi="Times New Roman"/>
          <w:sz w:val="19"/>
          <w:szCs w:val="19"/>
          <w:color w:val="auto"/>
        </w:rPr>
        <w:t>” means any present or future recording, stamp, court or documentary, intangible or filing Taxes or similar Taxes that arise from any payment made under this Agreement or any other Loan Document or from the execution, delivery, performance, enforcement or registration of, or otherwise with respect to, this Agreement or any other Loan Document, except any such Taxes that are, with respect to any recipient, Taxes imposed as a result of a present or former connection between such recipient and the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79" w:right="339" w:bottom="1440" w:gutter="0" w:footer="0" w:header="0"/>
        </w:sectPr>
      </w:pPr>
    </w:p>
    <w:bookmarkStart w:id="98" w:name="page99"/>
    <w:bookmarkEnd w:id="98"/>
    <w:p>
      <w:pPr>
        <w:ind w:right="20"/>
        <w:spacing w:after="0" w:line="272" w:lineRule="auto"/>
        <w:rPr>
          <w:sz w:val="20"/>
          <w:szCs w:val="20"/>
          <w:color w:val="auto"/>
        </w:rPr>
      </w:pPr>
      <w:r>
        <w:rPr>
          <w:rFonts w:ascii="Times New Roman" w:cs="Times New Roman" w:eastAsia="Times New Roman" w:hAnsi="Times New Roman"/>
          <w:sz w:val="19"/>
          <w:szCs w:val="19"/>
          <w:color w:val="auto"/>
        </w:rPr>
        <w:t>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imposed with respect to an assignment.</w:t>
      </w:r>
    </w:p>
    <w:p>
      <w:pPr>
        <w:spacing w:after="0" w:line="163" w:lineRule="exact"/>
        <w:rPr>
          <w:sz w:val="20"/>
          <w:szCs w:val="20"/>
          <w:color w:val="auto"/>
        </w:rPr>
      </w:pPr>
    </w:p>
    <w:p>
      <w:pPr>
        <w:ind w:right="8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Overnight Bank Funding Rate</w:t>
      </w:r>
      <w:r>
        <w:rPr>
          <w:rFonts w:ascii="Times New Roman" w:cs="Times New Roman" w:eastAsia="Times New Roman" w:hAnsi="Times New Roman"/>
          <w:sz w:val="19"/>
          <w:szCs w:val="19"/>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Participant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10.07(C)</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Participant Register</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10.07(C)</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Patriot Act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10.17</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Payment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9.14</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Payment Notice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9.14</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jc w:val="both"/>
        <w:ind w:right="8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PBGC</w:t>
      </w:r>
      <w:r>
        <w:rPr>
          <w:rFonts w:ascii="Times New Roman" w:cs="Times New Roman" w:eastAsia="Times New Roman" w:hAnsi="Times New Roman"/>
          <w:sz w:val="19"/>
          <w:szCs w:val="19"/>
          <w:color w:val="auto"/>
        </w:rPr>
        <w:t>” means the Pension Benefit Guaranty Corporation or any Governmental Authority succeeding to any of its principal functions under ERISA.</w:t>
      </w:r>
    </w:p>
    <w:p>
      <w:pPr>
        <w:spacing w:after="0" w:line="123" w:lineRule="exact"/>
        <w:rPr>
          <w:sz w:val="20"/>
          <w:szCs w:val="20"/>
          <w:color w:val="auto"/>
        </w:rPr>
      </w:pPr>
    </w:p>
    <w:p>
      <w:pPr>
        <w:jc w:val="both"/>
        <w:ind w:right="8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Pension Plan</w:t>
      </w:r>
      <w:r>
        <w:rPr>
          <w:rFonts w:ascii="Times New Roman" w:cs="Times New Roman" w:eastAsia="Times New Roman" w:hAnsi="Times New Roman"/>
          <w:sz w:val="19"/>
          <w:szCs w:val="19"/>
          <w:color w:val="auto"/>
        </w:rPr>
        <w:t>” means a pension plan (as defined in Section 3(2) of ERISA) subject to Title IV of ERISA that the Company, any of its Subsidiaries or any ERISA Affiliate sponsors or maintains, or to which it makes, is making or is obligated to make contributions, or in the case of a multiple employer plan (as described in Section 4064(a) of ERISA) has made contributions at any time during the immediately preceding five plan years.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Permitted Acquisition</w:t>
      </w:r>
      <w:r>
        <w:rPr>
          <w:rFonts w:ascii="Times New Roman" w:cs="Times New Roman" w:eastAsia="Times New Roman" w:hAnsi="Times New Roman"/>
          <w:sz w:val="19"/>
          <w:szCs w:val="19"/>
          <w:color w:val="auto"/>
        </w:rPr>
        <w:t>” means any Acquisition by the Company or any of its Subsidiaries, if each of the following conditions is met:</w:t>
      </w:r>
    </w:p>
    <w:p>
      <w:pPr>
        <w:spacing w:after="0" w:line="221" w:lineRule="exact"/>
        <w:rPr>
          <w:sz w:val="20"/>
          <w:szCs w:val="20"/>
          <w:color w:val="auto"/>
        </w:rPr>
      </w:pPr>
    </w:p>
    <w:p>
      <w:pPr>
        <w:ind w:left="1680" w:hanging="408"/>
        <w:spacing w:after="0"/>
        <w:tabs>
          <w:tab w:leader="none" w:pos="168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then exists or would result therefrom;</w:t>
      </w:r>
    </w:p>
    <w:p>
      <w:pPr>
        <w:spacing w:after="0" w:line="229" w:lineRule="exact"/>
        <w:rPr>
          <w:rFonts w:ascii="Times New Roman" w:cs="Times New Roman" w:eastAsia="Times New Roman" w:hAnsi="Times New Roman"/>
          <w:sz w:val="19"/>
          <w:szCs w:val="19"/>
          <w:color w:val="auto"/>
        </w:rPr>
      </w:pPr>
    </w:p>
    <w:p>
      <w:pPr>
        <w:ind w:left="640" w:firstLine="632"/>
        <w:spacing w:after="0" w:line="283" w:lineRule="auto"/>
        <w:tabs>
          <w:tab w:leader="none" w:pos="1692"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such acquisition on a Pro Forma Basis, the Company and its Subsidiaries shall be in compliance with the Financial Covenants;</w:t>
      </w:r>
    </w:p>
    <w:p>
      <w:pPr>
        <w:spacing w:after="0" w:line="157" w:lineRule="exact"/>
        <w:rPr>
          <w:rFonts w:ascii="Times New Roman" w:cs="Times New Roman" w:eastAsia="Times New Roman" w:hAnsi="Times New Roman"/>
          <w:sz w:val="19"/>
          <w:szCs w:val="19"/>
          <w:color w:val="auto"/>
        </w:rPr>
      </w:pPr>
    </w:p>
    <w:p>
      <w:pPr>
        <w:ind w:left="640" w:right="200" w:firstLine="632"/>
        <w:spacing w:after="0" w:line="272" w:lineRule="auto"/>
        <w:tabs>
          <w:tab w:leader="none" w:pos="1681"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Person or business to be acquired shall be, or shall be engaged in, primarily a business of the type that the Company and its Subsidiaries are permitted to be engaged in under </w:t>
      </w:r>
      <w:r>
        <w:rPr>
          <w:rFonts w:ascii="Times New Roman" w:cs="Times New Roman" w:eastAsia="Times New Roman" w:hAnsi="Times New Roman"/>
          <w:sz w:val="19"/>
          <w:szCs w:val="19"/>
          <w:u w:val="single" w:color="auto"/>
          <w:color w:val="auto"/>
        </w:rPr>
        <w:t>Section 7.06</w:t>
      </w:r>
      <w:r>
        <w:rPr>
          <w:rFonts w:ascii="Times New Roman" w:cs="Times New Roman" w:eastAsia="Times New Roman" w:hAnsi="Times New Roman"/>
          <w:sz w:val="19"/>
          <w:szCs w:val="19"/>
          <w:color w:val="auto"/>
        </w:rPr>
        <w:t xml:space="preserve"> and the property to be acquired is to be used in a business primarily of the type that the Company and its Subsidiaries are permitted to be engaged in under </w:t>
      </w:r>
      <w:r>
        <w:rPr>
          <w:rFonts w:ascii="Times New Roman" w:cs="Times New Roman" w:eastAsia="Times New Roman" w:hAnsi="Times New Roman"/>
          <w:sz w:val="19"/>
          <w:szCs w:val="19"/>
          <w:u w:val="single" w:color="auto"/>
          <w:color w:val="auto"/>
        </w:rPr>
        <w:t>Section 7.06</w:t>
      </w:r>
      <w:r>
        <w:rPr>
          <w:rFonts w:ascii="Times New Roman" w:cs="Times New Roman" w:eastAsia="Times New Roman" w:hAnsi="Times New Roman"/>
          <w:sz w:val="19"/>
          <w:szCs w:val="19"/>
          <w:color w:val="auto"/>
        </w:rPr>
        <w:t>; and</w:t>
      </w:r>
    </w:p>
    <w:p>
      <w:pPr>
        <w:spacing w:after="0" w:line="167" w:lineRule="exact"/>
        <w:rPr>
          <w:rFonts w:ascii="Times New Roman" w:cs="Times New Roman" w:eastAsia="Times New Roman" w:hAnsi="Times New Roman"/>
          <w:sz w:val="19"/>
          <w:szCs w:val="19"/>
          <w:color w:val="auto"/>
        </w:rPr>
      </w:pPr>
    </w:p>
    <w:p>
      <w:pPr>
        <w:ind w:left="640" w:right="100" w:firstLine="632"/>
        <w:spacing w:after="0" w:line="272" w:lineRule="auto"/>
        <w:tabs>
          <w:tab w:leader="none" w:pos="1692"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date that the Company or any of its Subsidiaries enters into a definitive agreement with respect to such Acquisition, the board of directors of the Person to be acquired shall not have indicated publicly its opposition to the consummation of such acquisition (which opposition has not been publicly withdrawn);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-23-</w:t>
      </w: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140"/>
          </w:cols>
          <w:pgMar w:left="320" w:top="1383" w:right="439" w:bottom="1440" w:gutter="0" w:footer="0" w:header="0"/>
        </w:sectPr>
      </w:pPr>
    </w:p>
    <w:bookmarkStart w:id="99" w:name="page100"/>
    <w:bookmarkEnd w:id="99"/>
    <w:p>
      <w:pPr>
        <w:ind w:right="400"/>
        <w:spacing w:after="0" w:line="297"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any Limited Condition Transaction, compliance with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shall be determined in accordance with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w:t>
      </w:r>
    </w:p>
    <w:p>
      <w:pPr>
        <w:spacing w:after="0" w:line="128" w:lineRule="exact"/>
        <w:rPr>
          <w:sz w:val="20"/>
          <w:szCs w:val="20"/>
          <w:color w:val="auto"/>
        </w:rPr>
      </w:pPr>
    </w:p>
    <w:p>
      <w:pPr>
        <w:ind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Permitted Swap Obligations</w:t>
      </w:r>
      <w:r>
        <w:rPr>
          <w:rFonts w:ascii="Times New Roman" w:cs="Times New Roman" w:eastAsia="Times New Roman" w:hAnsi="Times New Roman"/>
          <w:sz w:val="19"/>
          <w:szCs w:val="19"/>
          <w:color w:val="auto"/>
        </w:rPr>
        <w:t xml:space="preserve">” means all obligations (contingent or otherwise) of the Company or any Restricted Subsidiary existing or arising under Swap Contracts;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of the following criteria is satisfied: (a) such obligations are (or were) entered into by such Person in the ordinary course of business for the purpose of directly mitigating risks associated with liabilities, commitments or assets held by such Person, or changes in the value of securities issued by such Person in conjunction with a securities repurchase program not otherwise prohibited hereunder, and not for purposes of speculation or taking a “market view” and (b) such Swap Contracts do not contain any provision (“walk-away” provision) exonerating the non-defaulting party from its obligation to make payments on outstanding transactions to the defaulting party.</w:t>
      </w:r>
    </w:p>
    <w:p>
      <w:pPr>
        <w:spacing w:after="0" w:line="397" w:lineRule="exact"/>
        <w:rPr>
          <w:sz w:val="20"/>
          <w:szCs w:val="20"/>
          <w:color w:val="auto"/>
        </w:rPr>
      </w:pPr>
    </w:p>
    <w:p>
      <w:pPr>
        <w:ind w:right="98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 individual, partnership, corporation, limited liability company, business trust, joint stock company, trust, unincorporated association, joint venture or Governmental Authority or other entity of whatever nature.</w:t>
      </w:r>
    </w:p>
    <w:p>
      <w:pPr>
        <w:spacing w:after="0" w:line="136" w:lineRule="exact"/>
        <w:rPr>
          <w:sz w:val="20"/>
          <w:szCs w:val="20"/>
          <w:color w:val="auto"/>
        </w:rPr>
      </w:pPr>
    </w:p>
    <w:p>
      <w:pPr>
        <w:jc w:val="both"/>
        <w:ind w:right="16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means an employee benefit plan (as defined in Section 3(3) of ERISA) that the Company or any of its Subsidiaries sponsors or maintains or to which the Company or any of its Subsidiaries makes, is making or is obligated to make, contributions and includes any Pension Plan.</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Plan Asset Regulations</w:t>
      </w:r>
      <w:r>
        <w:rPr>
          <w:rFonts w:ascii="Times New Roman" w:cs="Times New Roman" w:eastAsia="Times New Roman" w:hAnsi="Times New Roman"/>
          <w:sz w:val="19"/>
          <w:szCs w:val="19"/>
          <w:color w:val="auto"/>
        </w:rPr>
        <w:t>” means 29 CFR § 2510.3-101 et seq., as modified by Section 3(42) of ERISA, as amended from time to time.</w:t>
      </w:r>
    </w:p>
    <w:p>
      <w:pPr>
        <w:spacing w:after="0" w:line="230" w:lineRule="exact"/>
        <w:rPr>
          <w:sz w:val="20"/>
          <w:szCs w:val="20"/>
          <w:color w:val="auto"/>
        </w:rPr>
      </w:pPr>
    </w:p>
    <w:p>
      <w:pPr>
        <w:ind w:right="24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PMIERs</w:t>
      </w:r>
      <w:r>
        <w:rPr>
          <w:rFonts w:ascii="Times New Roman" w:cs="Times New Roman" w:eastAsia="Times New Roman" w:hAnsi="Times New Roman"/>
          <w:sz w:val="19"/>
          <w:szCs w:val="19"/>
          <w:color w:val="auto"/>
        </w:rPr>
        <w:t>” means the Private Mortgage Insurer Eligibility Requirements published by the Federal Home Loan Mortgage Corporation and the Federal National Mortgage Association, as may be amended from time to time.</w:t>
      </w:r>
    </w:p>
    <w:p>
      <w:pPr>
        <w:spacing w:after="0" w:line="123" w:lineRule="exact"/>
        <w:rPr>
          <w:sz w:val="20"/>
          <w:szCs w:val="20"/>
          <w:color w:val="auto"/>
        </w:rPr>
      </w:pPr>
    </w:p>
    <w:p>
      <w:pPr>
        <w:ind w:right="340"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Prime Rate</w:t>
      </w:r>
      <w:r>
        <w:rPr>
          <w:rFonts w:ascii="Times New Roman" w:cs="Times New Roman" w:eastAsia="Times New Roman" w:hAnsi="Times New Roman"/>
          <w:sz w:val="19"/>
          <w:szCs w:val="19"/>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Agent) or any similar release by the Federal Reserve Board (as determined by the Agent). Each change in the Prime Rate shall be effective from and including the date such change is publicly announced or quoted as being effective.</w:t>
      </w:r>
    </w:p>
    <w:p>
      <w:pPr>
        <w:spacing w:after="0" w:line="175" w:lineRule="exact"/>
        <w:rPr>
          <w:sz w:val="20"/>
          <w:szCs w:val="20"/>
          <w:color w:val="auto"/>
        </w:rPr>
      </w:pPr>
    </w:p>
    <w:p>
      <w:pPr>
        <w:ind w:firstLine="633"/>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 Forma Basis</w:t>
      </w:r>
      <w:r>
        <w:rPr>
          <w:rFonts w:ascii="Times New Roman" w:cs="Times New Roman" w:eastAsia="Times New Roman" w:hAnsi="Times New Roman"/>
          <w:sz w:val="19"/>
          <w:szCs w:val="19"/>
          <w:color w:val="auto"/>
        </w:rPr>
        <w:t>” means, with respect to compliance with any test or covenant hereunder, that such test or covenant hereunder shall be calculated in connection with any event or transaction as follows: (i) in the case of any Material Acquisition or Material Disposition, including pro forma adjustments only to the extent consistent with Article 11 of Regulation S-X under the Securities Act and using for purposes of determining such compliance (x) in the case of any Material Acquisition, the historical financial statements of all entities or assets so acquired or to be acquired (subject to adjustments on a Pro Forma Basis for applicable events of such entities or with respect to such assets during the applicable period, in accordance with this definition) and (y) the consolidated financial statements of the Company and its Subsidiaries, which shall be reformulated as if such Material Acquisition or Material Disposition, and any other Material Acquisitions or Material Dispositions that have been consummated during such period, had been consummated on the first day of such period; (ii) in the case of any incurrence or prepayment or repayment of Indebtedness (other than under revolving credit facilities in the ordinary course of business), assuming such Indebtedness was incurred, prepaid or repaid on the first day of such period and assuming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00" w:name="page101"/>
    <w:bookmarkEnd w:id="100"/>
    <w:p>
      <w:pPr>
        <w:ind w:right="160"/>
        <w:spacing w:after="0" w:line="259" w:lineRule="auto"/>
        <w:rPr>
          <w:sz w:val="20"/>
          <w:szCs w:val="20"/>
          <w:color w:val="auto"/>
        </w:rPr>
      </w:pPr>
      <w:r>
        <w:rPr>
          <w:rFonts w:ascii="Times New Roman" w:cs="Times New Roman" w:eastAsia="Times New Roman" w:hAnsi="Times New Roman"/>
          <w:sz w:val="19"/>
          <w:szCs w:val="19"/>
          <w:color w:val="auto"/>
        </w:rPr>
        <w:t xml:space="preserve">that such Indebtedness bears interest during the portion of such period prior to the date of incurrence at, in the case of Indebtedness bearing interest at a floating rate, the weighted average of the interest rates applicable to outstanding Loans during such period and, in the case of Indebtedness bearing interest at a fixed rate, such fixed rate; (iii) in the case of the declaration or payment of any dividend or any issuance of equity or capital contribution, assuming such dividend had been declared and paid or such equity had been issued or such capital contribution made on the first day of such period; and (iv) making such other pro forma adjustments as would be permitted or required by Regulation S-X under the Securities Act;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such compliance calculation shall take into account other cost savings measures identified by the Company which the Agent, in its reasonable business judgment, deems reasonably identifiable and factually supportable, and which cost savings measures have been certified by a Responsible Officer.</w:t>
      </w:r>
    </w:p>
    <w:p>
      <w:pPr>
        <w:spacing w:after="0" w:line="180" w:lineRule="exact"/>
        <w:rPr>
          <w:sz w:val="20"/>
          <w:szCs w:val="20"/>
          <w:color w:val="auto"/>
        </w:rPr>
      </w:pPr>
    </w:p>
    <w:p>
      <w:pPr>
        <w:ind w:right="140" w:firstLine="633"/>
        <w:spacing w:after="0" w:line="263" w:lineRule="auto"/>
        <w:rPr>
          <w:sz w:val="20"/>
          <w:szCs w:val="20"/>
          <w:color w:val="auto"/>
        </w:rPr>
      </w:pPr>
      <w:r>
        <w:rPr>
          <w:rFonts w:ascii="Times New Roman" w:cs="Times New Roman" w:eastAsia="Times New Roman" w:hAnsi="Times New Roman"/>
          <w:sz w:val="19"/>
          <w:szCs w:val="19"/>
          <w:b w:val="1"/>
          <w:bCs w:val="1"/>
          <w:color w:val="auto"/>
        </w:rPr>
        <w:t>“Pro Rata Share</w:t>
      </w:r>
      <w:r>
        <w:rPr>
          <w:rFonts w:ascii="Times New Roman" w:cs="Times New Roman" w:eastAsia="Times New Roman" w:hAnsi="Times New Roman"/>
          <w:sz w:val="19"/>
          <w:szCs w:val="19"/>
          <w:color w:val="auto"/>
        </w:rPr>
        <w:t>” means (i) with respect to all payments, computations and other matters relating solely with respect to a particular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Facility and a Lender, the percentage obtained by dividing (a) the Revolving Exposure of that Lender with respect to the Revolving Facility, by</w:t>
      </w:r>
    </w:p>
    <w:p>
      <w:pPr>
        <w:spacing w:after="0" w:line="2" w:lineRule="exact"/>
        <w:rPr>
          <w:sz w:val="20"/>
          <w:szCs w:val="20"/>
          <w:color w:val="auto"/>
        </w:rPr>
      </w:pPr>
    </w:p>
    <w:p>
      <w:pPr>
        <w:jc w:val="both"/>
        <w:ind w:right="240" w:firstLine="6"/>
        <w:spacing w:after="0" w:line="257" w:lineRule="auto"/>
        <w:tabs>
          <w:tab w:leader="none" w:pos="274"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Revolving Exposure of all Lenders with respect to the Revolving Facility; and (ii) for all other purposes with respect to each Lender, the percentage obtained by dividing (A) an amount equal to the sum of the Revolving Exposure of that Lender under all Facilities, by</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 an amount equal to the sum of the aggregate Revolving Exposure of all Lenders under all Facilities.</w:t>
      </w:r>
    </w:p>
    <w:p>
      <w:pPr>
        <w:spacing w:after="0" w:line="204" w:lineRule="exact"/>
        <w:rPr>
          <w:sz w:val="20"/>
          <w:szCs w:val="20"/>
          <w:color w:val="auto"/>
        </w:rPr>
      </w:pPr>
    </w:p>
    <w:p>
      <w:pPr>
        <w:ind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PTE</w:t>
      </w:r>
      <w:r>
        <w:rPr>
          <w:rFonts w:ascii="Times New Roman" w:cs="Times New Roman" w:eastAsia="Times New Roman" w:hAnsi="Times New Roman"/>
          <w:sz w:val="19"/>
          <w:szCs w:val="19"/>
          <w:color w:val="auto"/>
        </w:rPr>
        <w:t>” means a prohibited transaction class exemption issued by the U.S. Department of Labor, as any such exemption may be amended from time to time.</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5390(c)(8)(D).</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QFC Credit Support</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 10.23</w:t>
      </w:r>
    </w:p>
    <w:p>
      <w:pPr>
        <w:spacing w:after="0" w:line="230" w:lineRule="exact"/>
        <w:rPr>
          <w:sz w:val="20"/>
          <w:szCs w:val="20"/>
          <w:color w:val="auto"/>
        </w:rPr>
      </w:pPr>
    </w:p>
    <w:p>
      <w:pPr>
        <w:ind w:firstLine="633"/>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Quarterly Statement</w:t>
      </w:r>
      <w:r>
        <w:rPr>
          <w:rFonts w:ascii="Times New Roman" w:cs="Times New Roman" w:eastAsia="Times New Roman" w:hAnsi="Times New Roman"/>
          <w:sz w:val="19"/>
          <w:szCs w:val="19"/>
          <w:color w:val="auto"/>
        </w:rPr>
        <w:t>” means the quarterly statutory financial statement of any Insurance Subsidiary required to be filed with such Insurance Subsidiary’s domiciliary insurance commissioner or, if no specific form is so required, in the form of financial statements permitted by such domiciliary insurance commissioner to be used for filing quarterly statutory financial statements and shall contain the type of financial information permitted by such domiciliary insurance commissioner to be disclosed therein, together with all exhibits or schedules filed therewith.</w:t>
      </w: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Rating Agency</w:t>
      </w:r>
      <w:r>
        <w:rPr>
          <w:rFonts w:ascii="Times New Roman" w:cs="Times New Roman" w:eastAsia="Times New Roman" w:hAnsi="Times New Roman"/>
          <w:sz w:val="19"/>
          <w:szCs w:val="19"/>
          <w:color w:val="auto"/>
        </w:rPr>
        <w:t>” means each of Fitch, Moody’s and S&amp;P.</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RBC</w:t>
      </w:r>
      <w:r>
        <w:rPr>
          <w:rFonts w:ascii="Times New Roman" w:cs="Times New Roman" w:eastAsia="Times New Roman" w:hAnsi="Times New Roman"/>
          <w:sz w:val="19"/>
          <w:szCs w:val="19"/>
          <w:color w:val="auto"/>
        </w:rPr>
        <w:t>” means Royal Bank of Canada.</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RBCCM</w:t>
      </w:r>
      <w:r>
        <w:rPr>
          <w:rFonts w:ascii="Times New Roman" w:cs="Times New Roman" w:eastAsia="Times New Roman" w:hAnsi="Times New Roman"/>
          <w:sz w:val="19"/>
          <w:szCs w:val="19"/>
          <w:color w:val="auto"/>
        </w:rPr>
        <w:t>” means RBC Capital Markets</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9"/>
          <w:szCs w:val="19"/>
          <w:color w:val="auto"/>
        </w:rPr>
        <w:t>.</w:t>
      </w:r>
    </w:p>
    <w:p>
      <w:pPr>
        <w:spacing w:after="0" w:line="148"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Reference Time</w:t>
      </w:r>
      <w:r>
        <w:rPr>
          <w:rFonts w:ascii="Times New Roman" w:cs="Times New Roman" w:eastAsia="Times New Roman" w:hAnsi="Times New Roman"/>
          <w:sz w:val="19"/>
          <w:szCs w:val="19"/>
          <w:color w:val="auto"/>
        </w:rPr>
        <w:t>” with respect to any setting of the then-current Benchmark means (1) if such Benchmark is the Term SOFR Rate, 5:00 a.m. (Chicago time) on the day that is two Business Days preceding the date of such setting, (2) if such Benchmark is Daily Simple SOFR, then four Business Days prior to such setting or (3) if such Benchmark is none of the Term SOFR Rate or Daily Simple SOFR, the time determined by the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16751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26" w:lineRule="exact"/>
        <w:rPr>
          <w:sz w:val="20"/>
          <w:szCs w:val="20"/>
          <w:color w:val="auto"/>
        </w:rPr>
      </w:pPr>
    </w:p>
    <w:p>
      <w:pPr>
        <w:ind w:left="100" w:hanging="94"/>
        <w:spacing w:after="0"/>
        <w:tabs>
          <w:tab w:leader="none" w:pos="100" w:val="left"/>
        </w:tabs>
        <w:numPr>
          <w:ilvl w:val="0"/>
          <w:numId w:val="8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RBC Capital Markets is a brand name for the capital markets business of Royal Bank of Canada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-25-</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01" w:name="page102"/>
    <w:bookmarkEnd w:id="101"/>
    <w:p>
      <w:pPr>
        <w:ind w:right="16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Refinance</w:t>
      </w:r>
      <w:r>
        <w:rPr>
          <w:rFonts w:ascii="Times New Roman" w:cs="Times New Roman" w:eastAsia="Times New Roman" w:hAnsi="Times New Roman"/>
          <w:sz w:val="19"/>
          <w:szCs w:val="19"/>
          <w:color w:val="auto"/>
        </w:rPr>
        <w:t>” means, with respect to any Indebtedness, to refinance, refund, renew, replace, exchange or extend such Indebtedness. The term “</w:t>
      </w:r>
      <w:r>
        <w:rPr>
          <w:rFonts w:ascii="Times New Roman" w:cs="Times New Roman" w:eastAsia="Times New Roman" w:hAnsi="Times New Roman"/>
          <w:sz w:val="19"/>
          <w:szCs w:val="19"/>
          <w:b w:val="1"/>
          <w:bCs w:val="1"/>
          <w:color w:val="auto"/>
        </w:rPr>
        <w:t>Refinancing</w:t>
      </w:r>
      <w:r>
        <w:rPr>
          <w:rFonts w:ascii="Times New Roman" w:cs="Times New Roman" w:eastAsia="Times New Roman" w:hAnsi="Times New Roman"/>
          <w:sz w:val="19"/>
          <w:szCs w:val="19"/>
          <w:color w:val="auto"/>
        </w:rPr>
        <w:t>” shall have a correlative meaning.</w:t>
      </w:r>
    </w:p>
    <w:p>
      <w:pPr>
        <w:spacing w:after="0" w:line="123" w:lineRule="exact"/>
        <w:rPr>
          <w:sz w:val="20"/>
          <w:szCs w:val="20"/>
          <w:color w:val="auto"/>
        </w:rPr>
      </w:pPr>
    </w:p>
    <w:p>
      <w:pPr>
        <w:ind w:firstLine="633"/>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Refinancing Indebtedness</w:t>
      </w:r>
      <w:r>
        <w:rPr>
          <w:rFonts w:ascii="Times New Roman" w:cs="Times New Roman" w:eastAsia="Times New Roman" w:hAnsi="Times New Roman"/>
          <w:sz w:val="19"/>
          <w:szCs w:val="19"/>
          <w:color w:val="auto"/>
        </w:rPr>
        <w:t>” means with respect to any Indebtedness (“</w:t>
      </w:r>
      <w:r>
        <w:rPr>
          <w:rFonts w:ascii="Times New Roman" w:cs="Times New Roman" w:eastAsia="Times New Roman" w:hAnsi="Times New Roman"/>
          <w:sz w:val="19"/>
          <w:szCs w:val="19"/>
          <w:b w:val="1"/>
          <w:bCs w:val="1"/>
          <w:color w:val="auto"/>
        </w:rPr>
        <w:t>Refinanced Debt</w:t>
      </w:r>
      <w:r>
        <w:rPr>
          <w:rFonts w:ascii="Times New Roman" w:cs="Times New Roman" w:eastAsia="Times New Roman" w:hAnsi="Times New Roman"/>
          <w:sz w:val="19"/>
          <w:szCs w:val="19"/>
          <w:color w:val="auto"/>
        </w:rPr>
        <w:t xml:space="preserve">”), any Refinancing of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principal amount (or accreted value, if applicable) thereof does not exceed the principal amount (or accreted value, if applicable) of the Refinanced Debt except by an amount equal to unpaid accrued interest and premium thereon (including any make-whole or other prepayment premium)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other reasonable amounts paid, and fees and expenses incurred, in connection with such Refinancing and as otherwise permitted to be incurred pursuant to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xml:space="preserve"> (it being understood that any such Indebtedness otherwise permitted to be incurred shall constitute Indebtedness under the relevant provision of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xml:space="preserve"> pursuant to which it shall be incurred and not Refinancing Indebtedness), (b) such Refinancing Indebtedness shall have a final maturity date equal to or later than the final maturity date of, and, if applicable, a Weighted Average Life to Maturity equal to or greater than the Weighted Average Life to Maturity of, the Refinanced Debt, (c) such Refinancing Indebtedness shall be incurred by the Person or Persons who are the obligors on the Refinanced Debt or would otherwise be permitted to incur such Indebtedness pursuant to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xml:space="preserve">, and (d) such Refinanced Debt shall be repaid, defeased or satisfied and discharged or terminated, as applicable, and all accrued interest, fees and premiums (if any) in connection therewith shall be paid, substantially concurrently with the incurrence of such Refinancing Indebtedness in accordance with the provisions of </w:t>
      </w:r>
      <w:r>
        <w:rPr>
          <w:rFonts w:ascii="Times New Roman" w:cs="Times New Roman" w:eastAsia="Times New Roman" w:hAnsi="Times New Roman"/>
          <w:sz w:val="19"/>
          <w:szCs w:val="19"/>
          <w:u w:val="single" w:color="auto"/>
          <w:color w:val="auto"/>
        </w:rPr>
        <w:t>Section 2.09</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Register</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10.07(c).</w:t>
      </w:r>
    </w:p>
    <w:p>
      <w:pPr>
        <w:spacing w:after="0" w:line="230" w:lineRule="exact"/>
        <w:rPr>
          <w:sz w:val="20"/>
          <w:szCs w:val="20"/>
          <w:color w:val="auto"/>
        </w:rPr>
      </w:pPr>
    </w:p>
    <w:p>
      <w:pPr>
        <w:ind w:right="14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Reinsurance Agreement</w:t>
      </w:r>
      <w:r>
        <w:rPr>
          <w:rFonts w:ascii="Times New Roman" w:cs="Times New Roman" w:eastAsia="Times New Roman" w:hAnsi="Times New Roman"/>
          <w:sz w:val="19"/>
          <w:szCs w:val="19"/>
          <w:color w:val="auto"/>
        </w:rPr>
        <w:t>” means any agreement, contract, treaty, certificate or other arrangement by which any Insurance Subsidiary agrees to cede to, or assume from, another insurer all or part of the liability assumed or assets held by it under one or more insurance, annuity, reinsurance or retrocession policies, agreements, contracts, treaties, certificates or similar arrangements. Reinsurance Agreements shall include, but not be limited to, any agreement, contract, treaty, certificate or other arrangement that is treated as such by the applicable Department.</w:t>
      </w:r>
    </w:p>
    <w:p>
      <w:pPr>
        <w:spacing w:after="0" w:line="155" w:lineRule="exact"/>
        <w:rPr>
          <w:sz w:val="20"/>
          <w:szCs w:val="20"/>
          <w:color w:val="auto"/>
        </w:rPr>
      </w:pPr>
    </w:p>
    <w:p>
      <w:pPr>
        <w:ind w:right="4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Related Parties</w:t>
      </w:r>
      <w:r>
        <w:rPr>
          <w:rFonts w:ascii="Times New Roman" w:cs="Times New Roman" w:eastAsia="Times New Roman" w:hAnsi="Times New Roman"/>
          <w:sz w:val="19"/>
          <w:szCs w:val="19"/>
          <w:color w:val="auto"/>
        </w:rPr>
        <w:t>” means, with respect to any Person, such Person’s Affiliates and the partners, directors, officers, employees, members, representatives, agents and advisors of such Person and of such Person’s Affiliates.</w:t>
      </w:r>
    </w:p>
    <w:p>
      <w:pPr>
        <w:spacing w:after="0" w:line="123" w:lineRule="exact"/>
        <w:rPr>
          <w:sz w:val="20"/>
          <w:szCs w:val="20"/>
          <w:color w:val="auto"/>
        </w:rPr>
      </w:pPr>
    </w:p>
    <w:p>
      <w:pPr>
        <w:ind w:right="34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Release</w:t>
      </w:r>
      <w:r>
        <w:rPr>
          <w:rFonts w:ascii="Times New Roman" w:cs="Times New Roman" w:eastAsia="Times New Roman" w:hAnsi="Times New Roman"/>
          <w:sz w:val="19"/>
          <w:szCs w:val="19"/>
          <w:color w:val="auto"/>
        </w:rPr>
        <w:t>” means any release, spill, emission, discharge, deposit, disposal, leaking, pumping, pouring, dumping, emptying, injection, migration or leaching into or through the Environment.</w:t>
      </w:r>
    </w:p>
    <w:p>
      <w:pPr>
        <w:spacing w:after="0" w:line="136" w:lineRule="exact"/>
        <w:rPr>
          <w:sz w:val="20"/>
          <w:szCs w:val="20"/>
          <w:color w:val="auto"/>
        </w:rPr>
      </w:pPr>
    </w:p>
    <w:p>
      <w:pPr>
        <w:ind w:right="42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Relevant Governmental Body</w:t>
      </w:r>
      <w:r>
        <w:rPr>
          <w:rFonts w:ascii="Times New Roman" w:cs="Times New Roman" w:eastAsia="Times New Roman" w:hAnsi="Times New Roman"/>
          <w:sz w:val="19"/>
          <w:szCs w:val="19"/>
          <w:color w:val="auto"/>
        </w:rPr>
        <w:t>” means, the Federal Reserve Board and/or the NYFRB, the CME Term SOFR Administrator, as applicable, or a committee officially endorsed or convened by the Federal Reserve Board and/or the NYFRB or, in each case, any successor thereto.</w:t>
      </w:r>
    </w:p>
    <w:p>
      <w:pPr>
        <w:spacing w:after="0" w:line="149" w:lineRule="exact"/>
        <w:rPr>
          <w:sz w:val="20"/>
          <w:szCs w:val="20"/>
          <w:color w:val="auto"/>
        </w:rPr>
      </w:pPr>
    </w:p>
    <w:p>
      <w:pPr>
        <w:ind w:right="22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Reportable Event</w:t>
      </w:r>
      <w:r>
        <w:rPr>
          <w:rFonts w:ascii="Times New Roman" w:cs="Times New Roman" w:eastAsia="Times New Roman" w:hAnsi="Times New Roman"/>
          <w:sz w:val="19"/>
          <w:szCs w:val="19"/>
          <w:color w:val="auto"/>
        </w:rPr>
        <w:t>” means any of the events set forth in Section 4043(c) of ERISA or the regulations thereunder, other than any such event for which the 30-day notice requirement under ERISA has been waived in regulations issued by the PBGC.</w:t>
      </w:r>
    </w:p>
    <w:p>
      <w:pPr>
        <w:spacing w:after="0" w:line="136" w:lineRule="exact"/>
        <w:rPr>
          <w:sz w:val="20"/>
          <w:szCs w:val="20"/>
          <w:color w:val="auto"/>
        </w:rPr>
      </w:pPr>
    </w:p>
    <w:p>
      <w:pPr>
        <w:ind w:right="18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Required Lenders</w:t>
      </w:r>
      <w:r>
        <w:rPr>
          <w:rFonts w:ascii="Times New Roman" w:cs="Times New Roman" w:eastAsia="Times New Roman" w:hAnsi="Times New Roman"/>
          <w:sz w:val="19"/>
          <w:szCs w:val="19"/>
          <w:color w:val="auto"/>
        </w:rPr>
        <w:t xml:space="preserve">” means, as of any date of determination, one or more Lenders having or holding Revolving Exposure constituting in the aggregate more than 50% of the aggregate Revolving Exposure of all Lenders outstanding as of such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Revolving Exposure of any Defaulting Lender will be disregarded for purposes of such determination.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79" w:right="339" w:bottom="1440" w:gutter="0" w:footer="0" w:header="0"/>
        </w:sectPr>
      </w:pPr>
    </w:p>
    <w:bookmarkStart w:id="102" w:name="page103"/>
    <w:bookmarkEnd w:id="102"/>
    <w:p>
      <w:pPr>
        <w:ind w:right="26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Requirement of Law</w:t>
      </w:r>
      <w:r>
        <w:rPr>
          <w:rFonts w:ascii="Times New Roman" w:cs="Times New Roman" w:eastAsia="Times New Roman" w:hAnsi="Times New Roman"/>
          <w:sz w:val="19"/>
          <w:szCs w:val="19"/>
          <w:color w:val="auto"/>
        </w:rPr>
        <w:t>” means, as to any Person, any law (statutory or common), treaty, rule or regulation or determination of an arbitrator or of a Governmental Authority, in each case applicable to or legally binding upon the Person or any of its property or to which the Person or any of its property is subject.</w:t>
      </w:r>
    </w:p>
    <w:p>
      <w:pPr>
        <w:spacing w:after="0" w:line="162" w:lineRule="exact"/>
        <w:rPr>
          <w:sz w:val="20"/>
          <w:szCs w:val="20"/>
          <w:color w:val="auto"/>
        </w:rPr>
      </w:pPr>
    </w:p>
    <w:p>
      <w:pPr>
        <w:ind w:right="62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Resolution Authority</w:t>
      </w:r>
      <w:r>
        <w:rPr>
          <w:rFonts w:ascii="Times New Roman" w:cs="Times New Roman" w:eastAsia="Times New Roman" w:hAnsi="Times New Roman"/>
          <w:sz w:val="19"/>
          <w:szCs w:val="19"/>
          <w:color w:val="auto"/>
        </w:rPr>
        <w:t>” means an EEA Resolution Authority or, with respect to any UK Financial Institution, a UK Resolution Authority.</w:t>
      </w:r>
    </w:p>
    <w:p>
      <w:pPr>
        <w:spacing w:after="0" w:line="150" w:lineRule="exact"/>
        <w:rPr>
          <w:sz w:val="20"/>
          <w:szCs w:val="20"/>
          <w:color w:val="auto"/>
        </w:rPr>
      </w:pPr>
    </w:p>
    <w:p>
      <w:pPr>
        <w:ind w:right="8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Responsible Officer</w:t>
      </w:r>
      <w:r>
        <w:rPr>
          <w:rFonts w:ascii="Times New Roman" w:cs="Times New Roman" w:eastAsia="Times New Roman" w:hAnsi="Times New Roman"/>
          <w:sz w:val="19"/>
          <w:szCs w:val="19"/>
          <w:color w:val="auto"/>
        </w:rPr>
        <w:t>” means the chief executive officer, president, chief financial officer, treasurer, secretary or controller of the Company. Any document delivered under any Loan Document that is signed by a Responsible Officer of the Company shall be conclusively presumed to have been authorized by all necessary corporate, partnership and/or other action on the part of the Company and such Responsible Officer shall be conclusively presumed to have acted on behalf the Company.</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Restricted Payments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7.08</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12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Restricted Subsidiary</w:t>
      </w:r>
      <w:r>
        <w:rPr>
          <w:rFonts w:ascii="Times New Roman" w:cs="Times New Roman" w:eastAsia="Times New Roman" w:hAnsi="Times New Roman"/>
          <w:sz w:val="19"/>
          <w:szCs w:val="19"/>
          <w:color w:val="auto"/>
        </w:rPr>
        <w:t xml:space="preserve">” means any subsidiary other than an Unrestricted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the occurrence of any Unrestricted Subsidiary ceasing to be an Unrestricted Subsidiary, such subsidiary shall be included in the definition of “Restricted Subsidiary.”</w:t>
      </w:r>
    </w:p>
    <w:p>
      <w:pPr>
        <w:spacing w:after="0" w:line="123" w:lineRule="exact"/>
        <w:rPr>
          <w:sz w:val="20"/>
          <w:szCs w:val="20"/>
          <w:color w:val="auto"/>
        </w:rPr>
      </w:pPr>
    </w:p>
    <w:p>
      <w:pPr>
        <w:ind w:right="8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Revolving Borrowing</w:t>
      </w:r>
      <w:r>
        <w:rPr>
          <w:rFonts w:ascii="Times New Roman" w:cs="Times New Roman" w:eastAsia="Times New Roman" w:hAnsi="Times New Roman"/>
          <w:sz w:val="19"/>
          <w:szCs w:val="19"/>
          <w:color w:val="auto"/>
        </w:rPr>
        <w:t>” means Revolving Loans of the same Interest Type, made, converted or continued on the same date and, in the case of Term Benchmark Loans, as to which a single Interest Period is in effect.</w:t>
      </w:r>
    </w:p>
    <w:p>
      <w:pPr>
        <w:spacing w:after="0" w:line="123" w:lineRule="exact"/>
        <w:rPr>
          <w:sz w:val="20"/>
          <w:szCs w:val="20"/>
          <w:color w:val="auto"/>
        </w:rPr>
      </w:pPr>
    </w:p>
    <w:p>
      <w:pPr>
        <w:ind w:right="8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Revolving Commitment</w:t>
      </w:r>
      <w:r>
        <w:rPr>
          <w:rFonts w:ascii="Times New Roman" w:cs="Times New Roman" w:eastAsia="Times New Roman" w:hAnsi="Times New Roman"/>
          <w:sz w:val="19"/>
          <w:szCs w:val="19"/>
          <w:color w:val="auto"/>
        </w:rPr>
        <w:t xml:space="preserve">” means the commitment of a Lender to make Revolving Loans hereunder in an aggregate principal amount not to exceed the amount set forth opposite such Lender’s name on </w:t>
      </w:r>
      <w:r>
        <w:rPr>
          <w:rFonts w:ascii="Times New Roman" w:cs="Times New Roman" w:eastAsia="Times New Roman" w:hAnsi="Times New Roman"/>
          <w:sz w:val="19"/>
          <w:szCs w:val="19"/>
          <w:u w:val="single" w:color="auto"/>
          <w:color w:val="auto"/>
        </w:rPr>
        <w:t>Schedule 1.01(A)</w:t>
      </w:r>
      <w:r>
        <w:rPr>
          <w:rFonts w:ascii="Times New Roman" w:cs="Times New Roman" w:eastAsia="Times New Roman" w:hAnsi="Times New Roman"/>
          <w:sz w:val="19"/>
          <w:szCs w:val="19"/>
          <w:color w:val="auto"/>
        </w:rPr>
        <w:t xml:space="preserve"> or in the applicable Assignment and Assumption, Joinder Agreement, or Extension Amendment, as applicable, subject to any adjustment or reduction pursuant to the terms and conditions hereof. The aggregate amount of the Revolving Commitments as of the Effective Date is $250,000,000.</w:t>
      </w:r>
    </w:p>
    <w:p>
      <w:pPr>
        <w:spacing w:after="0" w:line="168" w:lineRule="exact"/>
        <w:rPr>
          <w:sz w:val="20"/>
          <w:szCs w:val="20"/>
          <w:color w:val="auto"/>
        </w:rPr>
      </w:pPr>
    </w:p>
    <w:p>
      <w:pPr>
        <w:ind w:right="62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Revolving Commitment Period</w:t>
      </w:r>
      <w:r>
        <w:rPr>
          <w:rFonts w:ascii="Times New Roman" w:cs="Times New Roman" w:eastAsia="Times New Roman" w:hAnsi="Times New Roman"/>
          <w:sz w:val="19"/>
          <w:szCs w:val="19"/>
          <w:color w:val="auto"/>
        </w:rPr>
        <w:t>” means the period from after the Effective Date to but excluding the Revolving Commitment Termination Date.</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Revolving Commitment Termination Date</w:t>
      </w:r>
      <w:r>
        <w:rPr>
          <w:rFonts w:ascii="Times New Roman" w:cs="Times New Roman" w:eastAsia="Times New Roman" w:hAnsi="Times New Roman"/>
          <w:sz w:val="19"/>
          <w:szCs w:val="19"/>
          <w:color w:val="auto"/>
        </w:rPr>
        <w:t>” means the earliest to occur of (i) the Maturity Date with respect to the Revolving Loans,</w:t>
      </w:r>
    </w:p>
    <w:p>
      <w:pPr>
        <w:spacing w:after="0" w:line="32" w:lineRule="exact"/>
        <w:rPr>
          <w:sz w:val="20"/>
          <w:szCs w:val="20"/>
          <w:color w:val="auto"/>
        </w:rPr>
      </w:pPr>
    </w:p>
    <w:p>
      <w:pPr>
        <w:ind w:right="220" w:firstLine="6"/>
        <w:spacing w:after="0" w:line="273" w:lineRule="auto"/>
        <w:tabs>
          <w:tab w:leader="none" w:pos="284"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date the Revolving Commitments are permanently reduced to zero pursuant to </w:t>
      </w:r>
      <w:r>
        <w:rPr>
          <w:rFonts w:ascii="Times New Roman" w:cs="Times New Roman" w:eastAsia="Times New Roman" w:hAnsi="Times New Roman"/>
          <w:sz w:val="19"/>
          <w:szCs w:val="19"/>
          <w:u w:val="single" w:color="auto"/>
          <w:color w:val="auto"/>
        </w:rPr>
        <w:t>Section 2.09</w:t>
      </w:r>
      <w:r>
        <w:rPr>
          <w:rFonts w:ascii="Times New Roman" w:cs="Times New Roman" w:eastAsia="Times New Roman" w:hAnsi="Times New Roman"/>
          <w:sz w:val="19"/>
          <w:szCs w:val="19"/>
          <w:color w:val="auto"/>
        </w:rPr>
        <w:t xml:space="preserve">, and (iii) the date of the termination of the Revolving Commitments pursuant to </w:t>
      </w:r>
      <w:r>
        <w:rPr>
          <w:rFonts w:ascii="Times New Roman" w:cs="Times New Roman" w:eastAsia="Times New Roman" w:hAnsi="Times New Roman"/>
          <w:sz w:val="19"/>
          <w:szCs w:val="19"/>
          <w:u w:val="single" w:color="auto"/>
          <w:color w:val="auto"/>
        </w:rPr>
        <w:t>Section 8.02</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both"/>
        <w:ind w:right="8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Revolving Exposure</w:t>
      </w:r>
      <w:r>
        <w:rPr>
          <w:rFonts w:ascii="Times New Roman" w:cs="Times New Roman" w:eastAsia="Times New Roman" w:hAnsi="Times New Roman"/>
          <w:sz w:val="19"/>
          <w:szCs w:val="19"/>
          <w:color w:val="auto"/>
        </w:rPr>
        <w:t>” means, with respect to any Lender as of any date of determination, (i) prior to the termination of the Revolving Commitments, that Lender’s Revolving Commitment; and (ii) after the termination of the Revolving Commitments, the aggregate outstanding principal amount of the Revolving Loans of that Lender.</w:t>
      </w:r>
    </w:p>
    <w:p>
      <w:pPr>
        <w:spacing w:after="0" w:line="149" w:lineRule="exact"/>
        <w:rPr>
          <w:sz w:val="20"/>
          <w:szCs w:val="20"/>
          <w:color w:val="auto"/>
        </w:rPr>
      </w:pPr>
    </w:p>
    <w:p>
      <w:pPr>
        <w:ind w:right="260" w:firstLine="633"/>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Revolving Facility</w:t>
      </w:r>
      <w:r>
        <w:rPr>
          <w:rFonts w:ascii="Times New Roman" w:cs="Times New Roman" w:eastAsia="Times New Roman" w:hAnsi="Times New Roman"/>
          <w:sz w:val="19"/>
          <w:szCs w:val="19"/>
          <w:color w:val="auto"/>
        </w:rPr>
        <w:t>” means the Revolving Loans and the Revolving Commitments therefor. Following the establishment of any Extended Revolving Facility, the Revolving Loans and Revolving Commitments thereunder will be considered a separate Revolving Facility hereunder.</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Revolving Lender</w:t>
      </w:r>
      <w:r>
        <w:rPr>
          <w:rFonts w:ascii="Times New Roman" w:cs="Times New Roman" w:eastAsia="Times New Roman" w:hAnsi="Times New Roman"/>
          <w:sz w:val="19"/>
          <w:szCs w:val="19"/>
          <w:color w:val="auto"/>
        </w:rPr>
        <w:t>” means a Lender having a Revolving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-27-</w:t>
      </w: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160"/>
          </w:cols>
          <w:pgMar w:left="320" w:top="1379" w:right="419" w:bottom="1440" w:gutter="0" w:footer="0" w:header="0"/>
        </w:sectPr>
      </w:pPr>
    </w:p>
    <w:bookmarkStart w:id="103" w:name="page104"/>
    <w:bookmarkEnd w:id="103"/>
    <w:p>
      <w:pPr>
        <w:ind w:right="8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Revolving Loan</w:t>
      </w:r>
      <w:r>
        <w:rPr>
          <w:rFonts w:ascii="Times New Roman" w:cs="Times New Roman" w:eastAsia="Times New Roman" w:hAnsi="Times New Roman"/>
          <w:sz w:val="19"/>
          <w:szCs w:val="19"/>
          <w:color w:val="auto"/>
        </w:rPr>
        <w:t xml:space="preserve">” means any loan made by a Lender to the Company pursuant to </w:t>
      </w:r>
      <w:r>
        <w:rPr>
          <w:rFonts w:ascii="Times New Roman" w:cs="Times New Roman" w:eastAsia="Times New Roman" w:hAnsi="Times New Roman"/>
          <w:sz w:val="19"/>
          <w:szCs w:val="19"/>
          <w:u w:val="single" w:color="auto"/>
          <w:color w:val="auto"/>
        </w:rPr>
        <w:t>Section 2.02(a)</w:t>
      </w:r>
      <w:r>
        <w:rPr>
          <w:rFonts w:ascii="Times New Roman" w:cs="Times New Roman" w:eastAsia="Times New Roman" w:hAnsi="Times New Roman"/>
          <w:sz w:val="19"/>
          <w:szCs w:val="19"/>
          <w:color w:val="auto"/>
        </w:rPr>
        <w:t xml:space="preserve"> (including any New Revolving Loan, or any Extended Revolving Loan, as applicable).</w:t>
      </w:r>
    </w:p>
    <w:p>
      <w:pPr>
        <w:spacing w:after="0" w:line="123" w:lineRule="exact"/>
        <w:rPr>
          <w:sz w:val="20"/>
          <w:szCs w:val="20"/>
          <w:color w:val="auto"/>
        </w:rPr>
      </w:pPr>
    </w:p>
    <w:p>
      <w:pPr>
        <w:ind w:right="16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Revolving Loan Note</w:t>
      </w:r>
      <w:r>
        <w:rPr>
          <w:rFonts w:ascii="Times New Roman" w:cs="Times New Roman" w:eastAsia="Times New Roman" w:hAnsi="Times New Roman"/>
          <w:sz w:val="19"/>
          <w:szCs w:val="19"/>
          <w:color w:val="auto"/>
        </w:rPr>
        <w:t xml:space="preserve">” means a promissory note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as it may be amended, restated, supplemented or otherwise modified from time to time.</w:t>
      </w:r>
    </w:p>
    <w:p>
      <w:pPr>
        <w:spacing w:after="0" w:line="123" w:lineRule="exact"/>
        <w:rPr>
          <w:sz w:val="20"/>
          <w:szCs w:val="20"/>
          <w:color w:val="auto"/>
        </w:rPr>
      </w:pPr>
    </w:p>
    <w:p>
      <w:pPr>
        <w:ind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S&amp;P</w:t>
      </w:r>
      <w:r>
        <w:rPr>
          <w:rFonts w:ascii="Times New Roman" w:cs="Times New Roman" w:eastAsia="Times New Roman" w:hAnsi="Times New Roman"/>
          <w:sz w:val="19"/>
          <w:szCs w:val="19"/>
          <w:color w:val="auto"/>
        </w:rPr>
        <w:t>” means S&amp;P Global Ratings, a division of S&amp;P Global Inc., together with any Person succeeding thereto by merger, consolidation or acquisition of all or substantially all of its assets, including substantially all of its business of rating securities.</w:t>
      </w:r>
    </w:p>
    <w:p>
      <w:pPr>
        <w:spacing w:after="0" w:line="136" w:lineRule="exact"/>
        <w:rPr>
          <w:sz w:val="20"/>
          <w:szCs w:val="20"/>
          <w:color w:val="auto"/>
        </w:rPr>
      </w:pPr>
    </w:p>
    <w:p>
      <w:pPr>
        <w:ind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Sanctioned Country</w:t>
      </w:r>
      <w:r>
        <w:rPr>
          <w:rFonts w:ascii="Times New Roman" w:cs="Times New Roman" w:eastAsia="Times New Roman" w:hAnsi="Times New Roman"/>
          <w:sz w:val="19"/>
          <w:szCs w:val="19"/>
          <w:color w:val="auto"/>
        </w:rPr>
        <w:t>” means, at any time, a country, region or territory which is itself the subject or target of any Sanctions (at the time of this Agreement, the so-called Donetsk People’s Republic, the so-called Luhansk People’s Republic, Crimea, Zaporizhzhia and Kherson Regions of Ukraine, Cuba, Iran, North Korea, Sudan and Syria).</w:t>
      </w:r>
    </w:p>
    <w:p>
      <w:pPr>
        <w:spacing w:after="0" w:line="149" w:lineRule="exact"/>
        <w:rPr>
          <w:sz w:val="20"/>
          <w:szCs w:val="20"/>
          <w:color w:val="auto"/>
        </w:rPr>
      </w:pPr>
    </w:p>
    <w:p>
      <w:pPr>
        <w:ind w:right="160" w:firstLine="633"/>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Sanctioned Person</w:t>
      </w:r>
      <w:r>
        <w:rPr>
          <w:rFonts w:ascii="Times New Roman" w:cs="Times New Roman" w:eastAsia="Times New Roman" w:hAnsi="Times New Roman"/>
          <w:sz w:val="19"/>
          <w:szCs w:val="19"/>
          <w:color w:val="auto"/>
        </w:rPr>
        <w:t xml:space="preserve">” means, at any time, (a) any Person listed in any Sanctions-related list of designated Persons maintained by the Office of Foreign Assets Control of the U.S. Department of the Treasury, the U.S. Department of State, or by the United Nations Security Council, the European Union, His Majesty’s Treasury, any European Union member state, or the Government of Canada, (b) any Person operating, organized, or resident in a Sanctioned Country or (c) any Person owned or controlled by any such Person or Persons described in the foregoing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Sanctions</w:t>
      </w:r>
      <w:r>
        <w:rPr>
          <w:rFonts w:ascii="Times New Roman" w:cs="Times New Roman" w:eastAsia="Times New Roman" w:hAnsi="Times New Roman"/>
          <w:sz w:val="19"/>
          <w:szCs w:val="19"/>
          <w:color w:val="auto"/>
        </w:rPr>
        <w:t>” means all economic or financial sanctions or trade embargoes imposed, administered or enforced from time to time by the U.S. government, including those administered by the Office of Foreign Assets Control of the U.S. Department of the Treasury or the U.S. Department of State or by the United Nations Security Council, the European Union, any European Union member state, His Majesty’s Treasury, or the Government of Canada.</w:t>
      </w:r>
    </w:p>
    <w:p>
      <w:pPr>
        <w:spacing w:after="0" w:line="168" w:lineRule="exact"/>
        <w:rPr>
          <w:sz w:val="20"/>
          <w:szCs w:val="20"/>
          <w:color w:val="auto"/>
        </w:rPr>
      </w:pPr>
    </w:p>
    <w:p>
      <w:pPr>
        <w:ind w:right="80" w:firstLine="63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SAP</w:t>
      </w:r>
      <w:r>
        <w:rPr>
          <w:rFonts w:ascii="Times New Roman" w:cs="Times New Roman" w:eastAsia="Times New Roman" w:hAnsi="Times New Roman"/>
          <w:sz w:val="19"/>
          <w:szCs w:val="19"/>
          <w:color w:val="auto"/>
        </w:rPr>
        <w:t>” means, with respect to any Insurance Subsidiary, the statutory accounting practices prescribed or permitted by the insurance commissioner (or other similar authority) in the jurisdiction of such Insurance Subsidiary for the preparation of annual statements and other financial reports by insurance companies of the same type as such Insurance Subsidiary that are applicable to the circumstances as of the date of filing of such statement or report.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means the Securities and Exchange Commission or any Governmental Authority succeeding to any of its principal functions.</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means the Securities Act of 1933 and the regulations promulgated thereunder.</w:t>
      </w:r>
    </w:p>
    <w:p>
      <w:pPr>
        <w:spacing w:after="0" w:line="217" w:lineRule="exact"/>
        <w:rPr>
          <w:sz w:val="20"/>
          <w:szCs w:val="20"/>
          <w:color w:val="auto"/>
        </w:rPr>
      </w:pPr>
    </w:p>
    <w:p>
      <w:pPr>
        <w:ind w:right="20" w:firstLine="633"/>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Securitization Indebtedness</w:t>
      </w:r>
      <w:r>
        <w:rPr>
          <w:rFonts w:ascii="Times New Roman" w:cs="Times New Roman" w:eastAsia="Times New Roman" w:hAnsi="Times New Roman"/>
          <w:sz w:val="19"/>
          <w:szCs w:val="19"/>
          <w:color w:val="auto"/>
        </w:rPr>
        <w:t>” means Indebtedness of an entity or Subsidiary formed for the primary purpose of reinsuring or insuring, or purchasing or otherwise acquiring mortgage loans, receivables, insurance policies or other similar financial assets from the Company, one of the Subsidiaries of the Company and/or third parties, financing such purchases or otherwise facilitating the financing thereof (including by securitization) and conducting activities related thereto so long as (x) the principal and interest on such Indebtedness is not guaranteed by the Company or any of the other Subsidiaries of the Company and such Indebtedness is without recourse to the Company or any of the other Subsidiaries of the Company (other than: (i) for breaches of representations, warranties, covenants and related indemnities that are customary for securitization financings and similar transactions; or (ii) in connection with any mortgage insurance, other insurance products, or similar credit enhancements), (y) the Company and its applicable Subsidiaries have received all applicable regulatory approvals required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79" w:right="339" w:bottom="1440" w:gutter="0" w:footer="0" w:header="0"/>
        </w:sectPr>
      </w:pPr>
    </w:p>
    <w:bookmarkStart w:id="104" w:name="page105"/>
    <w:bookmarkEnd w:id="104"/>
    <w:p>
      <w:pPr>
        <w:jc w:val="both"/>
        <w:ind w:right="300"/>
        <w:spacing w:after="0" w:line="272" w:lineRule="auto"/>
        <w:rPr>
          <w:sz w:val="20"/>
          <w:szCs w:val="20"/>
          <w:color w:val="auto"/>
        </w:rPr>
      </w:pPr>
      <w:r>
        <w:rPr>
          <w:rFonts w:ascii="Times New Roman" w:cs="Times New Roman" w:eastAsia="Times New Roman" w:hAnsi="Times New Roman"/>
          <w:sz w:val="19"/>
          <w:szCs w:val="19"/>
          <w:color w:val="auto"/>
        </w:rPr>
        <w:t>transaction, and (z) such transaction is permitted by the investment policy approved by the board of directors (or a committee thereof) of the Company or such Subsidiary, as applicable, or otherwise approved by the board of directors (or a committee thereof) of the Company or such Subsidiary, as applicable.</w:t>
      </w:r>
    </w:p>
    <w:p>
      <w:pPr>
        <w:spacing w:after="0" w:line="163" w:lineRule="exact"/>
        <w:rPr>
          <w:sz w:val="20"/>
          <w:szCs w:val="20"/>
          <w:color w:val="auto"/>
        </w:rPr>
      </w:pPr>
    </w:p>
    <w:p>
      <w:pPr>
        <w:ind w:right="6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Similar Line of Business</w:t>
      </w:r>
      <w:r>
        <w:rPr>
          <w:rFonts w:ascii="Times New Roman" w:cs="Times New Roman" w:eastAsia="Times New Roman" w:hAnsi="Times New Roman"/>
          <w:sz w:val="19"/>
          <w:szCs w:val="19"/>
          <w:color w:val="auto"/>
        </w:rPr>
        <w:t>” means any business conducted or proposed to be conducted by the Company and its Restricted Subsidiaries on the Effective Date or any business that is similar, related, complementary, incidental or ancillary thereto or a reasonable extension, development or expansion thereof.</w:t>
      </w:r>
    </w:p>
    <w:p>
      <w:pPr>
        <w:spacing w:after="0" w:line="162" w:lineRule="exact"/>
        <w:rPr>
          <w:sz w:val="20"/>
          <w:szCs w:val="20"/>
          <w:color w:val="auto"/>
        </w:rPr>
      </w:pPr>
    </w:p>
    <w:p>
      <w:pPr>
        <w:ind w:right="60"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Single Employer Pension Plan</w:t>
      </w:r>
      <w:r>
        <w:rPr>
          <w:rFonts w:ascii="Times New Roman" w:cs="Times New Roman" w:eastAsia="Times New Roman" w:hAnsi="Times New Roman"/>
          <w:sz w:val="19"/>
          <w:szCs w:val="19"/>
          <w:color w:val="auto"/>
        </w:rPr>
        <w:t>” means a pension plan (as defined in Section 3(2) of ERISA) subject to Title IV of ERISA, other than a Multiemployer Plan, that the Company, any of its Subsidiaries or any ERISA Affiliate sponsors or maintains, or to which the Company, any of its Subsidiaries or any ERISA Affiliate makes or is obligated to make contributions or would reasonably be expected to have liability, including any liability by reason of having been a substantial employer within the meaning of Section 4063 of ERISA at any time during the preceding five years or by reason of being deemed to be a contributing sponsor under Section 4069 of ERISA.</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SOFR</w:t>
      </w:r>
      <w:r>
        <w:rPr>
          <w:rFonts w:ascii="Times New Roman" w:cs="Times New Roman" w:eastAsia="Times New Roman" w:hAnsi="Times New Roman"/>
          <w:sz w:val="19"/>
          <w:szCs w:val="19"/>
          <w:color w:val="auto"/>
        </w:rPr>
        <w:t>” means a rate equal to the secured overnight financing rate as administered by the SOFR Administrator.</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SOFR Administrator</w:t>
      </w:r>
      <w:r>
        <w:rPr>
          <w:rFonts w:ascii="Times New Roman" w:cs="Times New Roman" w:eastAsia="Times New Roman" w:hAnsi="Times New Roman"/>
          <w:sz w:val="19"/>
          <w:szCs w:val="19"/>
          <w:color w:val="auto"/>
        </w:rPr>
        <w:t>” means the NYFRB (or a successor administrator of the secured overnight financing rate).</w:t>
      </w:r>
    </w:p>
    <w:p>
      <w:pPr>
        <w:spacing w:after="0" w:line="230" w:lineRule="exact"/>
        <w:rPr>
          <w:sz w:val="20"/>
          <w:szCs w:val="20"/>
          <w:color w:val="auto"/>
        </w:rPr>
      </w:pPr>
    </w:p>
    <w:p>
      <w:pPr>
        <w:ind w:right="18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SOFR Administrator’s Website</w:t>
      </w:r>
      <w:r>
        <w:rPr>
          <w:rFonts w:ascii="Times New Roman" w:cs="Times New Roman" w:eastAsia="Times New Roman" w:hAnsi="Times New Roman"/>
          <w:sz w:val="19"/>
          <w:szCs w:val="19"/>
          <w:color w:val="auto"/>
        </w:rPr>
        <w:t>” means the NYFRB’s website, currently at http://www.newyorkfed.org, or any successor source for the secured overnight financing rate identified as such by the SOFR Administrator from time to time.</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SOFR Determination Date</w:t>
      </w:r>
      <w:r>
        <w:rPr>
          <w:rFonts w:ascii="Times New Roman" w:cs="Times New Roman" w:eastAsia="Times New Roman" w:hAnsi="Times New Roman"/>
          <w:sz w:val="19"/>
          <w:szCs w:val="19"/>
          <w:color w:val="auto"/>
        </w:rPr>
        <w:t>” has the meaning specified in the definition of “Daily Simple SOFR”.</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SOFR Rate Day</w:t>
      </w:r>
      <w:r>
        <w:rPr>
          <w:rFonts w:ascii="Times New Roman" w:cs="Times New Roman" w:eastAsia="Times New Roman" w:hAnsi="Times New Roman"/>
          <w:sz w:val="19"/>
          <w:szCs w:val="19"/>
          <w:color w:val="auto"/>
        </w:rPr>
        <w:t>” has the meaning specified in the definition of “Daily Simple SOFR”.</w:t>
      </w:r>
    </w:p>
    <w:p>
      <w:pPr>
        <w:spacing w:after="0" w:line="217" w:lineRule="exact"/>
        <w:rPr>
          <w:sz w:val="20"/>
          <w:szCs w:val="20"/>
          <w:color w:val="auto"/>
        </w:rPr>
      </w:pPr>
    </w:p>
    <w:p>
      <w:pPr>
        <w:ind w:firstLine="633"/>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Solvent</w:t>
      </w:r>
      <w:r>
        <w:rPr>
          <w:rFonts w:ascii="Times New Roman" w:cs="Times New Roman" w:eastAsia="Times New Roman" w:hAnsi="Times New Roman"/>
          <w:sz w:val="19"/>
          <w:szCs w:val="19"/>
          <w:color w:val="auto"/>
        </w:rPr>
        <w:t>” means, with respect to any Person on any date of determination, that on such date (a) the fair value of the assets of such Person is greater than the total amount of liabilities, including contingent liabilities, of such Person; (b) the present fair salable value of the assets of such Person is greater than or equal to the total amount that will be required to pay the probable liabilities, including contingent liabilities, of such Person as they become absolute and matured, (c) the capital of such Person is not unreasonably small in relation to its business as contemplated on such date, and (d) such Person has not and does not intend to, and does not believe that it will, incur debts or other obligations, including current obligations, beyond its ability to pay such debts and liabilities as they become due (whether at maturity or otherwise).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177" w:lineRule="exact"/>
        <w:rPr>
          <w:sz w:val="20"/>
          <w:szCs w:val="20"/>
          <w:color w:val="auto"/>
        </w:rPr>
      </w:pPr>
    </w:p>
    <w:p>
      <w:pPr>
        <w:ind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Springing Covenant End Date</w:t>
      </w:r>
      <w:r>
        <w:rPr>
          <w:rFonts w:ascii="Times New Roman" w:cs="Times New Roman" w:eastAsia="Times New Roman" w:hAnsi="Times New Roman"/>
          <w:sz w:val="19"/>
          <w:szCs w:val="19"/>
          <w:color w:val="auto"/>
        </w:rPr>
        <w:t>” shall mean the date that is twenty-four (24) months after the Closing Date so long as the Index Debt is rated at least BBB- or Baa3 (as applicable) from at least two of the Rating Agencies at all times during the period commencing on the Closing Date and ending on such date.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05" w:name="page106"/>
    <w:bookmarkEnd w:id="105"/>
    <w:p>
      <w:pPr>
        <w:jc w:val="both"/>
        <w:ind w:right="34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Statutory Surplus</w:t>
      </w:r>
      <w:r>
        <w:rPr>
          <w:rFonts w:ascii="Times New Roman" w:cs="Times New Roman" w:eastAsia="Times New Roman" w:hAnsi="Times New Roman"/>
          <w:sz w:val="19"/>
          <w:szCs w:val="19"/>
          <w:color w:val="auto"/>
        </w:rPr>
        <w:t>” means, as to any Insurance Subsidiary, as of any date, “surplus as regards policyholders,” which is the amount corresponding to the amount shown on page 3, line 37, column 1 (or such other line on which the equivalent information is provided on any other such Annual Statement) of the Annual Statement of such Insurance Subsidiary as of such date, or an amount determined in a consistent manner in accordance with SAP for any date other than the one as of which an Annual Statement is prepared.</w:t>
      </w:r>
    </w:p>
    <w:p>
      <w:pPr>
        <w:spacing w:after="0" w:line="155" w:lineRule="exact"/>
        <w:rPr>
          <w:sz w:val="20"/>
          <w:szCs w:val="20"/>
          <w:color w:val="auto"/>
        </w:rPr>
      </w:pPr>
    </w:p>
    <w:p>
      <w:pPr>
        <w:ind w:right="20"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of a Person means any corporation, partnership, limited liability company, limited liability partnership, joint venture, trust, association or other unincorporated organization of which or in which such Person and such Person’s Subsidiaries own directly or indirectly more than 50% of (a) the combined voting power of all classes of stock having general voting power under ordinary circumstances to elect a majority of the board of directors, if it is a corporation, (b) the voting or managing interests (which shall mean the general partner in the case of a partnership), if it is a partnership, joint venture or similar entity, (c) the beneficial interest, if it is a trust, association or other unincorporated organization or (d) the membership interest, if it is a limited liability company. Unless otherwise specified, “Subsidiary” means a Subsidiary of the Company.</w:t>
      </w: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Supported QFC</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10.23</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6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Surplus Debentures</w:t>
      </w:r>
      <w:r>
        <w:rPr>
          <w:rFonts w:ascii="Times New Roman" w:cs="Times New Roman" w:eastAsia="Times New Roman" w:hAnsi="Times New Roman"/>
          <w:sz w:val="19"/>
          <w:szCs w:val="19"/>
          <w:color w:val="auto"/>
        </w:rPr>
        <w:t>” means, as to any Insurance Subsidiary or Subsidiary of an Insurance Subsidiary, debt securities of such Subsidiary issued to the Company or any other Subsidiary the proceeds of which are permitted to be included, in whole or in part, as Capital and Surplus of such issuing Subsidiary as approved and permitted by the applicable Department.</w:t>
      </w:r>
    </w:p>
    <w:p>
      <w:pPr>
        <w:spacing w:after="0" w:line="162" w:lineRule="exact"/>
        <w:rPr>
          <w:sz w:val="20"/>
          <w:szCs w:val="20"/>
          <w:color w:val="auto"/>
        </w:rPr>
      </w:pPr>
    </w:p>
    <w:p>
      <w:pPr>
        <w:ind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Swap Contract</w:t>
      </w:r>
      <w:r>
        <w:rPr>
          <w:rFonts w:ascii="Times New Roman" w:cs="Times New Roman" w:eastAsia="Times New Roman" w:hAnsi="Times New Roman"/>
          <w:sz w:val="19"/>
          <w:szCs w:val="19"/>
          <w:color w:val="auto"/>
        </w:rPr>
        <w:t>” means any agreement relating to any transaction (whether or not arising under a master agreement) that is a rate swap, basis swap, forward rate transaction, commodity swap, commodity option, equity or equity index swap or option, bond, note or bill option, interest rate option, futures contract, forward foreign exchange transaction, cap, collar or floor transaction, currency swap, cross-currency rate swap, swaption, currency option, credit derivative transaction or any other similar transaction (including any option to enter into any of the foregoing) or any combination of the foregoing, and any master agreement relating to or governing any or all of the foregoing.</w:t>
      </w:r>
    </w:p>
    <w:p>
      <w:pPr>
        <w:spacing w:after="0" w:line="175" w:lineRule="exact"/>
        <w:rPr>
          <w:sz w:val="20"/>
          <w:szCs w:val="20"/>
          <w:color w:val="auto"/>
        </w:rPr>
      </w:pPr>
    </w:p>
    <w:p>
      <w:pPr>
        <w:ind w:right="20" w:firstLine="633"/>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Swap Termination Value</w:t>
      </w:r>
      <w:r>
        <w:rPr>
          <w:rFonts w:ascii="Times New Roman" w:cs="Times New Roman" w:eastAsia="Times New Roman" w:hAnsi="Times New Roman"/>
          <w:sz w:val="19"/>
          <w:szCs w:val="19"/>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19"/>
          <w:szCs w:val="19"/>
          <w:u w:val="single" w:color="auto"/>
          <w:color w:val="auto"/>
        </w:rPr>
        <w:t>clause</w:t>
      </w:r>
    </w:p>
    <w:p>
      <w:pPr>
        <w:spacing w:after="0" w:line="2"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9"/>
          <w:szCs w:val="19"/>
          <w:color w:val="auto"/>
        </w:rPr>
        <w:t>, the amount(s) determined as the mark-to-market value(s) for such Swap Contracts, as determined by the Company based upon one or more mid-market or other readily available quotations provided by any recognized dealer in such Swap Contracts (which may include any Lender).</w:t>
      </w:r>
    </w:p>
    <w:p>
      <w:pPr>
        <w:spacing w:after="0" w:line="168" w:lineRule="exact"/>
        <w:rPr>
          <w:sz w:val="20"/>
          <w:szCs w:val="20"/>
          <w:color w:val="auto"/>
        </w:rPr>
      </w:pPr>
    </w:p>
    <w:p>
      <w:pPr>
        <w:ind w:right="54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Taxes</w:t>
      </w:r>
      <w:r>
        <w:rPr>
          <w:rFonts w:ascii="Times New Roman" w:cs="Times New Roman" w:eastAsia="Times New Roman" w:hAnsi="Times New Roman"/>
          <w:sz w:val="19"/>
          <w:szCs w:val="19"/>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right="44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 Benchmark</w:t>
      </w:r>
      <w:r>
        <w:rPr>
          <w:rFonts w:ascii="Times New Roman" w:cs="Times New Roman" w:eastAsia="Times New Roman" w:hAnsi="Times New Roman"/>
          <w:sz w:val="19"/>
          <w:szCs w:val="19"/>
          <w:color w:val="auto"/>
        </w:rPr>
        <w:t>” when used in reference to any Loan or Borrowing, refers to whether such Loan, or the Loans comprising such Borrowing, are bearing interest at a rate determined by reference to the Adjusted Term SOFR Rate.</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 SOFR Determination Day</w:t>
      </w:r>
      <w:r>
        <w:rPr>
          <w:rFonts w:ascii="Times New Roman" w:cs="Times New Roman" w:eastAsia="Times New Roman" w:hAnsi="Times New Roman"/>
          <w:sz w:val="19"/>
          <w:szCs w:val="19"/>
          <w:color w:val="auto"/>
        </w:rPr>
        <w:t>” has the meaning assigned to it under the definition of Term SOFR Reference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-30-</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79" w:right="339" w:bottom="1440" w:gutter="0" w:footer="0" w:header="0"/>
        </w:sectPr>
      </w:pPr>
    </w:p>
    <w:bookmarkStart w:id="106" w:name="page107"/>
    <w:bookmarkEnd w:id="106"/>
    <w:p>
      <w:pPr>
        <w:jc w:val="both"/>
        <w:ind w:right="22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 SOFR Rate</w:t>
      </w:r>
      <w:r>
        <w:rPr>
          <w:rFonts w:ascii="Times New Roman" w:cs="Times New Roman" w:eastAsia="Times New Roman" w:hAnsi="Times New Roman"/>
          <w:sz w:val="19"/>
          <w:szCs w:val="19"/>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62" w:lineRule="exact"/>
        <w:rPr>
          <w:sz w:val="20"/>
          <w:szCs w:val="20"/>
          <w:color w:val="auto"/>
        </w:rPr>
      </w:pPr>
    </w:p>
    <w:p>
      <w:pPr>
        <w:ind w:right="60" w:firstLine="633"/>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 SOFR Reference Rate</w:t>
      </w:r>
      <w:r>
        <w:rPr>
          <w:rFonts w:ascii="Times New Roman" w:cs="Times New Roman" w:eastAsia="Times New Roman" w:hAnsi="Times New Roman"/>
          <w:sz w:val="19"/>
          <w:szCs w:val="19"/>
          <w:color w:val="auto"/>
        </w:rPr>
        <w:t>” means, for any day and time (such day, the “</w:t>
      </w:r>
      <w:r>
        <w:rPr>
          <w:rFonts w:ascii="Times New Roman" w:cs="Times New Roman" w:eastAsia="Times New Roman" w:hAnsi="Times New Roman"/>
          <w:sz w:val="19"/>
          <w:szCs w:val="19"/>
          <w:b w:val="1"/>
          <w:bCs w:val="1"/>
          <w:color w:val="auto"/>
        </w:rPr>
        <w:t>Term SOFR Determination Day</w:t>
      </w:r>
      <w:r>
        <w:rPr>
          <w:rFonts w:ascii="Times New Roman" w:cs="Times New Roman" w:eastAsia="Times New Roman" w:hAnsi="Times New Roman"/>
          <w:sz w:val="19"/>
          <w:szCs w:val="19"/>
          <w:color w:val="auto"/>
        </w:rPr>
        <w:t>”), with respect to any Term Benchmark Borrowing denominated in Dollars and for any tenor comparable to the applicable Interest Period, the rate per annum determined by the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77" w:lineRule="exact"/>
        <w:rPr>
          <w:sz w:val="20"/>
          <w:szCs w:val="20"/>
          <w:color w:val="auto"/>
        </w:rPr>
      </w:pPr>
    </w:p>
    <w:p>
      <w:pPr>
        <w:ind w:right="98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 Capitalization</w:t>
      </w:r>
      <w:r>
        <w:rPr>
          <w:rFonts w:ascii="Times New Roman" w:cs="Times New Roman" w:eastAsia="Times New Roman" w:hAnsi="Times New Roman"/>
          <w:sz w:val="19"/>
          <w:szCs w:val="19"/>
          <w:color w:val="auto"/>
        </w:rPr>
        <w:t xml:space="preserve">” means, without duplication, (a) the amount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of the definition of “Debt to Total Capitalization Ratio”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Total Shareholders’ Equity.</w:t>
      </w:r>
    </w:p>
    <w:p>
      <w:pPr>
        <w:spacing w:after="0" w:line="150" w:lineRule="exact"/>
        <w:rPr>
          <w:sz w:val="20"/>
          <w:szCs w:val="20"/>
          <w:color w:val="auto"/>
        </w:rPr>
      </w:pPr>
    </w:p>
    <w:p>
      <w:pPr>
        <w:ind w:right="200"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 Shareholders’ Equity</w:t>
      </w:r>
      <w:r>
        <w:rPr>
          <w:rFonts w:ascii="Times New Roman" w:cs="Times New Roman" w:eastAsia="Times New Roman" w:hAnsi="Times New Roman"/>
          <w:sz w:val="19"/>
          <w:szCs w:val="19"/>
          <w:color w:val="auto"/>
        </w:rPr>
        <w:t>” means the total common and preferred shareholders’ equity of the Company and its Restricted Subsidiaries as determined in accordance with GAAP (calculated excluding (i) unrealized gains (losses) on securities as determined in accordance with FASB ASC 320 (Investments–Debt and Equity Securities) and related taxes under FASB ASC 740, (ii) any charges taken to write off any goodwill included on the Company’s balance sheet on March 31, 2024 to the extent such charges are required by FASB ASC 320 (Investments–Debt and Equity Securities) and ASC 350 (Intangibles–Goodwill and Others) and (iii) any changes in the value of warrants existing on the March 31, 2024 for the purchase of the Company’s Capital Stock).</w:t>
      </w:r>
    </w:p>
    <w:p>
      <w:pPr>
        <w:spacing w:after="0" w:line="159" w:lineRule="exact"/>
        <w:rPr>
          <w:sz w:val="20"/>
          <w:szCs w:val="20"/>
          <w:color w:val="auto"/>
        </w:rPr>
      </w:pPr>
    </w:p>
    <w:p>
      <w:pPr>
        <w:ind w:right="14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Transactions</w:t>
      </w:r>
      <w:r>
        <w:rPr>
          <w:rFonts w:ascii="Times New Roman" w:cs="Times New Roman" w:eastAsia="Times New Roman" w:hAnsi="Times New Roman"/>
          <w:sz w:val="19"/>
          <w:szCs w:val="19"/>
          <w:color w:val="auto"/>
        </w:rPr>
        <w:t>” means the (i) execution, delivery and performance by the Company of the Loan Documents to which it is to be a party, (ii) the consummation of the Closing Date Refinancing and (iii) payment of fees and expenses incurred in connection with the foregoing.</w:t>
      </w:r>
    </w:p>
    <w:p>
      <w:pPr>
        <w:spacing w:after="0" w:line="123" w:lineRule="exact"/>
        <w:rPr>
          <w:sz w:val="20"/>
          <w:szCs w:val="20"/>
          <w:color w:val="auto"/>
        </w:rPr>
      </w:pPr>
    </w:p>
    <w:p>
      <w:pPr>
        <w:ind w:right="80" w:firstLine="633"/>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UK Financial Institutions</w:t>
      </w:r>
      <w:r>
        <w:rPr>
          <w:rFonts w:ascii="Times New Roman" w:cs="Times New Roman" w:eastAsia="Times New Roman" w:hAnsi="Times New Roman"/>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8" w:lineRule="exact"/>
        <w:rPr>
          <w:sz w:val="20"/>
          <w:szCs w:val="20"/>
          <w:color w:val="auto"/>
        </w:rPr>
      </w:pPr>
    </w:p>
    <w:p>
      <w:pPr>
        <w:ind w:right="52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UK Resolution Authority</w:t>
      </w:r>
      <w:r>
        <w:rPr>
          <w:rFonts w:ascii="Times New Roman" w:cs="Times New Roman" w:eastAsia="Times New Roman" w:hAnsi="Times New Roman"/>
          <w:sz w:val="19"/>
          <w:szCs w:val="19"/>
          <w:color w:val="auto"/>
        </w:rPr>
        <w:t>” means the Bank of England or any other public administrative authority having responsibility for the resolution of any UK Financial Institution.</w:t>
      </w:r>
    </w:p>
    <w:p>
      <w:pPr>
        <w:spacing w:after="0" w:line="150" w:lineRule="exact"/>
        <w:rPr>
          <w:sz w:val="20"/>
          <w:szCs w:val="20"/>
          <w:color w:val="auto"/>
        </w:rPr>
      </w:pPr>
    </w:p>
    <w:p>
      <w:pPr>
        <w:ind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23" w:lineRule="exact"/>
        <w:rPr>
          <w:sz w:val="20"/>
          <w:szCs w:val="20"/>
          <w:color w:val="auto"/>
        </w:rPr>
      </w:pPr>
    </w:p>
    <w:p>
      <w:pPr>
        <w:ind w:right="320" w:firstLine="633"/>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Unfunded Pension Liability</w:t>
      </w:r>
      <w:r>
        <w:rPr>
          <w:rFonts w:ascii="Times New Roman" w:cs="Times New Roman" w:eastAsia="Times New Roman" w:hAnsi="Times New Roman"/>
          <w:sz w:val="19"/>
          <w:szCs w:val="19"/>
          <w:color w:val="auto"/>
        </w:rPr>
        <w:t>” means the excess of a Pension Plan’s benefit liabilities under Section 4001(a)(16) of ERISA over the current value of that Pension Plan’s assets, determined in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-31-</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7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9"/>
          <w:szCs w:val="19"/>
          <w:color w:val="auto"/>
        </w:rPr>
        <w:t>accordance with the assumptions used for funding the Pension Plan pursuant to Section 430 of the Code for the applicable plan year.</w:t>
      </w:r>
    </w:p>
    <w:p>
      <w:pPr>
        <w:spacing w:after="0" w:line="226" w:lineRule="exact"/>
        <w:rPr>
          <w:sz w:val="20"/>
          <w:szCs w:val="20"/>
          <w:color w:val="auto"/>
        </w:rPr>
      </w:pPr>
    </w:p>
    <w:p>
      <w:pPr>
        <w:ind w:right="3240" w:firstLine="633"/>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Uniform Commercial Code</w:t>
      </w:r>
      <w:r>
        <w:rPr>
          <w:rFonts w:ascii="Times New Roman" w:cs="Times New Roman" w:eastAsia="Times New Roman" w:hAnsi="Times New Roman"/>
          <w:sz w:val="19"/>
          <w:szCs w:val="19"/>
          <w:color w:val="auto"/>
        </w:rPr>
        <w:t>” means the Uniform Commercial Code as in effect from time to to time in the State of New York.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United States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each means the United States of America.</w:t>
      </w:r>
    </w:p>
    <w:p>
      <w:pPr>
        <w:spacing w:after="0" w:line="217" w:lineRule="exact"/>
        <w:rPr>
          <w:sz w:val="20"/>
          <w:szCs w:val="20"/>
          <w:color w:val="auto"/>
        </w:rPr>
      </w:pPr>
    </w:p>
    <w:p>
      <w:pPr>
        <w:ind w:firstLine="633"/>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Unrestricted Subsidiary</w:t>
      </w:r>
      <w:r>
        <w:rPr>
          <w:rFonts w:ascii="Times New Roman" w:cs="Times New Roman" w:eastAsia="Times New Roman" w:hAnsi="Times New Roman"/>
          <w:sz w:val="19"/>
          <w:szCs w:val="19"/>
          <w:color w:val="auto"/>
        </w:rPr>
        <w:t xml:space="preserve">” means any Subsidiary designated by the board of directors (or similar governing body) of the Company as an Unrestricted Subsidiary pursuant to </w:t>
      </w:r>
      <w:r>
        <w:rPr>
          <w:rFonts w:ascii="Times New Roman" w:cs="Times New Roman" w:eastAsia="Times New Roman" w:hAnsi="Times New Roman"/>
          <w:sz w:val="19"/>
          <w:szCs w:val="19"/>
          <w:u w:val="single" w:color="auto"/>
          <w:color w:val="auto"/>
        </w:rPr>
        <w:t>Section 6.15</w:t>
      </w:r>
      <w:r>
        <w:rPr>
          <w:rFonts w:ascii="Times New Roman" w:cs="Times New Roman" w:eastAsia="Times New Roman" w:hAnsi="Times New Roman"/>
          <w:sz w:val="19"/>
          <w:szCs w:val="19"/>
          <w:color w:val="auto"/>
        </w:rPr>
        <w:t xml:space="preserve"> subsequent to the date hereof. The Company may designate any Subsidiary (including any existing Subsidiary and any newly acquired or newly formed Subsidiary) to be an Unrestricted Subsidiary unless such Subsidiary or any of its subsidiaries owns any Capital Stock or Indebtedness of, or owns or holds any Lien on any property of, the Company or any Subsidiary (other than any subsidiary of the Subsidiary to be so designated or any other Unrestricted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each of (A) the Subsidiary to be so designated and (B) its subsidiaries has not at the time of designation, and does not thereafter, create, incur, issue, assume, guarantee or otherwise become directly or indirectly liable with respect to any Indebtedness pursuant to which the lender thereof has recourse to any of the assets of the Company or any Restricted Subsidiary (other than guarantees permitted pursuant to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(ii) the Company may not designate any Insurance Subsidiary to be an Unrestricted Subsidiary and (iii) for the avoidance of doubt, there shall be no Unrestricted Subsidiaries on the Closing Date.</w:t>
      </w:r>
    </w:p>
    <w:p>
      <w:pPr>
        <w:spacing w:after="0" w:line="165" w:lineRule="exact"/>
        <w:rPr>
          <w:sz w:val="20"/>
          <w:szCs w:val="20"/>
          <w:color w:val="auto"/>
        </w:rPr>
      </w:pPr>
    </w:p>
    <w:p>
      <w:pPr>
        <w:ind w:right="280" w:firstLine="633"/>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 Government Securities Business Day</w:t>
      </w:r>
      <w:r>
        <w:rPr>
          <w:rFonts w:ascii="Times New Roman" w:cs="Times New Roman" w:eastAsia="Times New Roman" w:hAnsi="Times New Roman"/>
          <w:sz w:val="19"/>
          <w:szCs w:val="19"/>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 Special Resolution Regime</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 10.23</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jc w:val="both"/>
        <w:ind w:right="16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Voting Stock</w:t>
      </w:r>
      <w:r>
        <w:rPr>
          <w:rFonts w:ascii="Times New Roman" w:cs="Times New Roman" w:eastAsia="Times New Roman" w:hAnsi="Times New Roman"/>
          <w:sz w:val="19"/>
          <w:szCs w:val="19"/>
          <w:color w:val="auto"/>
        </w:rPr>
        <w:t>” of any Person means Capital Stock of such Person entitling the holders thereof (whether at all times or only so long as no senior class of stock or other relevant equity interest has voting power by reason of any contingency) to vote in the election of the board of directors or similar governing body of such Person.</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Weighted Average Life to Maturity</w:t>
      </w:r>
      <w:r>
        <w:rPr>
          <w:rFonts w:ascii="Times New Roman" w:cs="Times New Roman" w:eastAsia="Times New Roman" w:hAnsi="Times New Roman"/>
          <w:sz w:val="19"/>
          <w:szCs w:val="19"/>
          <w:color w:val="auto"/>
        </w:rPr>
        <w:t>” means, when applied to any Indebtedness at any date, the number of years obtained by dividing:</w:t>
      </w:r>
    </w:p>
    <w:p>
      <w:pPr>
        <w:spacing w:after="0" w:line="38" w:lineRule="exact"/>
        <w:rPr>
          <w:sz w:val="20"/>
          <w:szCs w:val="20"/>
          <w:color w:val="auto"/>
        </w:rPr>
      </w:pPr>
    </w:p>
    <w:p>
      <w:pPr>
        <w:ind w:right="20" w:firstLine="6"/>
        <w:spacing w:after="0" w:line="263" w:lineRule="auto"/>
        <w:tabs>
          <w:tab w:leader="none" w:pos="263"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3" w:lineRule="exact"/>
        <w:rPr>
          <w:sz w:val="20"/>
          <w:szCs w:val="20"/>
          <w:color w:val="auto"/>
        </w:rPr>
      </w:pPr>
    </w:p>
    <w:p>
      <w:pPr>
        <w:jc w:val="both"/>
        <w:ind w:right="2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Wholly-Owned Subsidiary</w:t>
      </w:r>
      <w:r>
        <w:rPr>
          <w:rFonts w:ascii="Times New Roman" w:cs="Times New Roman" w:eastAsia="Times New Roman" w:hAnsi="Times New Roman"/>
          <w:sz w:val="19"/>
          <w:szCs w:val="19"/>
          <w:color w:val="auto"/>
        </w:rPr>
        <w:t xml:space="preserve">” means any Person in which all of the Capital Stock (other than directors’ and national citizen qualifying shares or similar </w:t>
      </w:r>
      <w:r>
        <w:rPr>
          <w:rFonts w:ascii="Times New Roman" w:cs="Times New Roman" w:eastAsia="Times New Roman" w:hAnsi="Times New Roman"/>
          <w:sz w:val="19"/>
          <w:szCs w:val="19"/>
          <w:i w:val="1"/>
          <w:iCs w:val="1"/>
          <w:color w:val="auto"/>
        </w:rPr>
        <w:t>de minimis</w:t>
      </w:r>
      <w:r>
        <w:rPr>
          <w:rFonts w:ascii="Times New Roman" w:cs="Times New Roman" w:eastAsia="Times New Roman" w:hAnsi="Times New Roman"/>
          <w:sz w:val="19"/>
          <w:szCs w:val="19"/>
          <w:color w:val="auto"/>
        </w:rPr>
        <w:t xml:space="preserve"> holdings by another Person, in each case, as required by law) is owned, beneficially and of record, by the Company, or by one or more of the other Wholly-Owned Subsidiaries, or both.</w:t>
      </w:r>
    </w:p>
    <w:p>
      <w:pPr>
        <w:spacing w:after="0" w:line="162" w:lineRule="exact"/>
        <w:rPr>
          <w:sz w:val="20"/>
          <w:szCs w:val="20"/>
          <w:color w:val="auto"/>
        </w:rPr>
      </w:pPr>
    </w:p>
    <w:p>
      <w:pPr>
        <w:jc w:val="both"/>
        <w:ind w:right="40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-32-</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20" w:top="1383" w:right="379" w:bottom="1440" w:gutter="0" w:footer="0" w:header="0"/>
        </w:sectPr>
      </w:pPr>
    </w:p>
    <w:bookmarkStart w:id="108" w:name="page109"/>
    <w:bookmarkEnd w:id="108"/>
    <w:p>
      <w:pPr>
        <w:spacing w:after="0" w:line="262" w:lineRule="auto"/>
        <w:rPr>
          <w:sz w:val="20"/>
          <w:szCs w:val="20"/>
          <w:color w:val="auto"/>
        </w:rPr>
      </w:pPr>
      <w:r>
        <w:rPr>
          <w:rFonts w:ascii="Times New Roman" w:cs="Times New Roman" w:eastAsia="Times New Roman" w:hAnsi="Times New Roman"/>
          <w:sz w:val="19"/>
          <w:szCs w:val="19"/>
          <w:color w:val="auto"/>
        </w:rPr>
        <w:t>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1.02</w:t>
      </w:r>
      <w:r>
        <w:rPr>
          <w:sz w:val="20"/>
          <w:szCs w:val="20"/>
          <w:color w:val="auto"/>
        </w:rPr>
        <w:tab/>
      </w:r>
      <w:r>
        <w:rPr>
          <w:rFonts w:ascii="Times New Roman" w:cs="Times New Roman" w:eastAsia="Times New Roman" w:hAnsi="Times New Roman"/>
          <w:sz w:val="19"/>
          <w:szCs w:val="19"/>
          <w:u w:val="single" w:color="auto"/>
          <w:color w:val="auto"/>
        </w:rPr>
        <w:t>Other Interpretive Provisions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1040" w:hanging="401"/>
        <w:spacing w:after="0"/>
        <w:tabs>
          <w:tab w:leader="none" w:pos="104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meanings of defined terms are equally applicable to the singular and plural forms of the defined terms.</w:t>
      </w:r>
    </w:p>
    <w:p>
      <w:pPr>
        <w:spacing w:after="0" w:line="212" w:lineRule="exact"/>
        <w:rPr>
          <w:rFonts w:ascii="Times New Roman" w:cs="Times New Roman" w:eastAsia="Times New Roman" w:hAnsi="Times New Roman"/>
          <w:sz w:val="19"/>
          <w:szCs w:val="19"/>
          <w:color w:val="auto"/>
        </w:rPr>
      </w:pPr>
    </w:p>
    <w:p>
      <w:pPr>
        <w:ind w:right="580" w:firstLine="639"/>
        <w:spacing w:after="0" w:line="302" w:lineRule="auto"/>
        <w:tabs>
          <w:tab w:leader="none" w:pos="1048"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words “</w:t>
      </w:r>
      <w:r>
        <w:rPr>
          <w:rFonts w:ascii="Times New Roman" w:cs="Times New Roman" w:eastAsia="Times New Roman" w:hAnsi="Times New Roman"/>
          <w:sz w:val="19"/>
          <w:szCs w:val="19"/>
          <w:b w:val="1"/>
          <w:bCs w:val="1"/>
          <w:color w:val="auto"/>
        </w:rPr>
        <w:t>hereof</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herein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hereunder</w:t>
      </w:r>
      <w:r>
        <w:rPr>
          <w:rFonts w:ascii="Times New Roman" w:cs="Times New Roman" w:eastAsia="Times New Roman" w:hAnsi="Times New Roman"/>
          <w:sz w:val="19"/>
          <w:szCs w:val="19"/>
          <w:color w:val="auto"/>
        </w:rPr>
        <w:t>” and similar words refer to this Agreement as a whole and not to any particular provision of this Agreement; and subsection, Section, Schedule and Exhibit references are to this Agreement unless otherwise specified.</w:t>
      </w:r>
    </w:p>
    <w:p>
      <w:pPr>
        <w:spacing w:after="0" w:line="122" w:lineRule="exact"/>
        <w:rPr>
          <w:rFonts w:ascii="Times New Roman" w:cs="Times New Roman" w:eastAsia="Times New Roman" w:hAnsi="Times New Roman"/>
          <w:sz w:val="19"/>
          <w:szCs w:val="19"/>
          <w:color w:val="auto"/>
        </w:rPr>
      </w:pPr>
    </w:p>
    <w:p>
      <w:pPr>
        <w:ind w:right="400" w:firstLine="639"/>
        <w:spacing w:after="0" w:line="302" w:lineRule="auto"/>
        <w:tabs>
          <w:tab w:leader="none" w:pos="1041"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term “</w:t>
      </w:r>
      <w:r>
        <w:rPr>
          <w:rFonts w:ascii="Times New Roman" w:cs="Times New Roman" w:eastAsia="Times New Roman" w:hAnsi="Times New Roman"/>
          <w:sz w:val="19"/>
          <w:szCs w:val="19"/>
          <w:b w:val="1"/>
          <w:bCs w:val="1"/>
          <w:color w:val="auto"/>
        </w:rPr>
        <w:t>documents</w:t>
      </w:r>
      <w:r>
        <w:rPr>
          <w:rFonts w:ascii="Times New Roman" w:cs="Times New Roman" w:eastAsia="Times New Roman" w:hAnsi="Times New Roman"/>
          <w:sz w:val="19"/>
          <w:szCs w:val="19"/>
          <w:color w:val="auto"/>
        </w:rPr>
        <w:t>” includes any and all instruments, documents, agreements, certificates, indentures, notices and other writings, however evidenced.</w:t>
      </w:r>
    </w:p>
    <w:p>
      <w:pPr>
        <w:spacing w:after="0" w:line="135" w:lineRule="exact"/>
        <w:rPr>
          <w:rFonts w:ascii="Times New Roman" w:cs="Times New Roman" w:eastAsia="Times New Roman" w:hAnsi="Times New Roman"/>
          <w:sz w:val="19"/>
          <w:szCs w:val="19"/>
          <w:color w:val="auto"/>
        </w:rPr>
      </w:pPr>
    </w:p>
    <w:p>
      <w:pPr>
        <w:ind w:left="1940" w:hanging="431"/>
        <w:spacing w:after="0"/>
        <w:tabs>
          <w:tab w:leader="none" w:pos="194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b w:val="1"/>
          <w:bCs w:val="1"/>
          <w:color w:val="auto"/>
        </w:rPr>
        <w:t>including</w:t>
      </w:r>
      <w:r>
        <w:rPr>
          <w:rFonts w:ascii="Times New Roman" w:cs="Times New Roman" w:eastAsia="Times New Roman" w:hAnsi="Times New Roman"/>
          <w:sz w:val="19"/>
          <w:szCs w:val="19"/>
          <w:color w:val="auto"/>
        </w:rPr>
        <w:t>” is not limiting and means “including without limitation.”</w:t>
      </w:r>
    </w:p>
    <w:p>
      <w:pPr>
        <w:spacing w:after="0" w:line="216" w:lineRule="exact"/>
        <w:rPr>
          <w:rFonts w:ascii="Times New Roman" w:cs="Times New Roman" w:eastAsia="Times New Roman" w:hAnsi="Times New Roman"/>
          <w:sz w:val="19"/>
          <w:szCs w:val="19"/>
          <w:color w:val="auto"/>
        </w:rPr>
      </w:pPr>
    </w:p>
    <w:p>
      <w:pPr>
        <w:ind w:left="620" w:right="20" w:firstLine="889"/>
        <w:spacing w:after="0" w:line="302" w:lineRule="auto"/>
        <w:tabs>
          <w:tab w:leader="none" w:pos="1989"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computation of periods of time from a specified date to a later specified date, the word “</w:t>
      </w:r>
      <w:r>
        <w:rPr>
          <w:rFonts w:ascii="Times New Roman" w:cs="Times New Roman" w:eastAsia="Times New Roman" w:hAnsi="Times New Roman"/>
          <w:sz w:val="19"/>
          <w:szCs w:val="19"/>
          <w:b w:val="1"/>
          <w:bCs w:val="1"/>
          <w:color w:val="auto"/>
        </w:rPr>
        <w:t>from</w:t>
      </w:r>
      <w:r>
        <w:rPr>
          <w:rFonts w:ascii="Times New Roman" w:cs="Times New Roman" w:eastAsia="Times New Roman" w:hAnsi="Times New Roman"/>
          <w:sz w:val="19"/>
          <w:szCs w:val="19"/>
          <w:color w:val="auto"/>
        </w:rPr>
        <w:t>” means “from and including,” the words “</w:t>
      </w:r>
      <w:r>
        <w:rPr>
          <w:rFonts w:ascii="Times New Roman" w:cs="Times New Roman" w:eastAsia="Times New Roman" w:hAnsi="Times New Roman"/>
          <w:sz w:val="19"/>
          <w:szCs w:val="19"/>
          <w:b w:val="1"/>
          <w:bCs w:val="1"/>
          <w:color w:val="auto"/>
        </w:rPr>
        <w:t>to</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until</w:t>
      </w:r>
      <w:r>
        <w:rPr>
          <w:rFonts w:ascii="Times New Roman" w:cs="Times New Roman" w:eastAsia="Times New Roman" w:hAnsi="Times New Roman"/>
          <w:sz w:val="19"/>
          <w:szCs w:val="19"/>
          <w:color w:val="auto"/>
        </w:rPr>
        <w:t>” each mean “to but excluding” and the word “</w:t>
      </w:r>
      <w:r>
        <w:rPr>
          <w:rFonts w:ascii="Times New Roman" w:cs="Times New Roman" w:eastAsia="Times New Roman" w:hAnsi="Times New Roman"/>
          <w:sz w:val="19"/>
          <w:szCs w:val="19"/>
          <w:b w:val="1"/>
          <w:bCs w:val="1"/>
          <w:color w:val="auto"/>
        </w:rPr>
        <w:t>through</w:t>
      </w:r>
      <w:r>
        <w:rPr>
          <w:rFonts w:ascii="Times New Roman" w:cs="Times New Roman" w:eastAsia="Times New Roman" w:hAnsi="Times New Roman"/>
          <w:sz w:val="19"/>
          <w:szCs w:val="19"/>
          <w:color w:val="auto"/>
        </w:rPr>
        <w:t>” means “to and including.”</w:t>
      </w:r>
    </w:p>
    <w:p>
      <w:pPr>
        <w:spacing w:after="0" w:line="126" w:lineRule="exact"/>
        <w:rPr>
          <w:rFonts w:ascii="Times New Roman" w:cs="Times New Roman" w:eastAsia="Times New Roman" w:hAnsi="Times New Roman"/>
          <w:sz w:val="19"/>
          <w:szCs w:val="19"/>
          <w:color w:val="auto"/>
        </w:rPr>
      </w:pPr>
    </w:p>
    <w:p>
      <w:pPr>
        <w:ind w:right="140" w:firstLine="639"/>
        <w:spacing w:after="0" w:line="262" w:lineRule="auto"/>
        <w:tabs>
          <w:tab w:leader="none" w:pos="1052"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expressly provided herein or the context requires otherwise, (i) references to agreements (including this Agreement) and other contractual instruments shall be deemed to include all subsequent amendments and other modifications thereto, but only to the extent such amendments and other modifications are not prohibited by the terms of any Loan Document, (ii) references to any statute or regulation are to be construed as including all statutory and regulatory provisions consolidating, amending, replacing, supplementing or interpreting the statute or regulation, (iii) any reference herein to a Person shall be construed to include such Person’s permitted successors and assigns and (iv) the word “</w:t>
      </w:r>
      <w:r>
        <w:rPr>
          <w:rFonts w:ascii="Times New Roman" w:cs="Times New Roman" w:eastAsia="Times New Roman" w:hAnsi="Times New Roman"/>
          <w:sz w:val="19"/>
          <w:szCs w:val="19"/>
          <w:b w:val="1"/>
          <w:bCs w:val="1"/>
          <w:color w:val="auto"/>
        </w:rPr>
        <w:t>property</w:t>
      </w:r>
      <w:r>
        <w:rPr>
          <w:rFonts w:ascii="Times New Roman" w:cs="Times New Roman" w:eastAsia="Times New Roman" w:hAnsi="Times New Roman"/>
          <w:sz w:val="19"/>
          <w:szCs w:val="19"/>
          <w:color w:val="auto"/>
        </w:rPr>
        <w:t>” shall be construed to refer to any and all tangible and intangible assets and properties, including cash, securities, accounts and contract rights.</w:t>
      </w:r>
    </w:p>
    <w:p>
      <w:pPr>
        <w:spacing w:after="0" w:line="163" w:lineRule="exact"/>
        <w:rPr>
          <w:rFonts w:ascii="Times New Roman" w:cs="Times New Roman" w:eastAsia="Times New Roman" w:hAnsi="Times New Roman"/>
          <w:sz w:val="19"/>
          <w:szCs w:val="19"/>
          <w:color w:val="auto"/>
        </w:rPr>
      </w:pPr>
    </w:p>
    <w:p>
      <w:pPr>
        <w:ind w:left="1040" w:hanging="401"/>
        <w:spacing w:after="0"/>
        <w:tabs>
          <w:tab w:leader="none" w:pos="104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captions and headings of this Agreement are for convenience of reference only and shall not affect the interpretation of this</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Agreement.</w:t>
      </w:r>
    </w:p>
    <w:p>
      <w:pPr>
        <w:spacing w:after="0" w:line="215" w:lineRule="exact"/>
        <w:rPr>
          <w:rFonts w:ascii="Times New Roman" w:cs="Times New Roman" w:eastAsia="Times New Roman" w:hAnsi="Times New Roman"/>
          <w:sz w:val="19"/>
          <w:szCs w:val="19"/>
          <w:color w:val="auto"/>
        </w:rPr>
      </w:pPr>
    </w:p>
    <w:p>
      <w:pPr>
        <w:ind w:right="300" w:firstLine="639"/>
        <w:spacing w:after="0" w:line="283" w:lineRule="auto"/>
        <w:tabs>
          <w:tab w:leader="none" w:pos="1016"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and other Loan Documents may use several different limitations, tests or measurements to regulate the same or similar matters. All such limitations, tests and measurements are cumulative and shall each be performed in accordance with their terms.</w:t>
      </w:r>
    </w:p>
    <w:p>
      <w:pPr>
        <w:spacing w:after="0" w:line="157" w:lineRule="exact"/>
        <w:rPr>
          <w:rFonts w:ascii="Times New Roman" w:cs="Times New Roman" w:eastAsia="Times New Roman" w:hAnsi="Times New Roman"/>
          <w:sz w:val="19"/>
          <w:szCs w:val="19"/>
          <w:color w:val="auto"/>
        </w:rPr>
      </w:pPr>
    </w:p>
    <w:p>
      <w:pPr>
        <w:ind w:right="120" w:firstLine="639"/>
        <w:spacing w:after="0" w:line="272" w:lineRule="auto"/>
        <w:tabs>
          <w:tab w:leader="none" w:pos="1048"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and the other Loan Documents are the result of negotiations among, and have been reviewed by counsel to, the Agent, the Company and the other parties, and are the products of all parties. Accordingly, they shall not be construed against any party merely because of such party’s involvement in their preparation.</w:t>
      </w:r>
    </w:p>
    <w:p>
      <w:pPr>
        <w:spacing w:after="0" w:line="167" w:lineRule="exact"/>
        <w:rPr>
          <w:sz w:val="20"/>
          <w:szCs w:val="20"/>
          <w:color w:val="auto"/>
        </w:rPr>
      </w:pPr>
    </w:p>
    <w:p>
      <w:pPr>
        <w:ind w:right="280" w:firstLine="633"/>
        <w:spacing w:after="0" w:line="272" w:lineRule="auto"/>
        <w:rPr>
          <w:sz w:val="20"/>
          <w:szCs w:val="20"/>
          <w:color w:val="auto"/>
        </w:rPr>
      </w:pPr>
      <w:r>
        <w:rPr>
          <w:rFonts w:ascii="Times New Roman" w:cs="Times New Roman" w:eastAsia="Times New Roman" w:hAnsi="Times New Roman"/>
          <w:sz w:val="19"/>
          <w:szCs w:val="19"/>
          <w:color w:val="auto"/>
        </w:rPr>
        <w:t xml:space="preserve">Section 1.03 </w:t>
      </w:r>
      <w:r>
        <w:rPr>
          <w:rFonts w:ascii="Times New Roman" w:cs="Times New Roman" w:eastAsia="Times New Roman" w:hAnsi="Times New Roman"/>
          <w:sz w:val="19"/>
          <w:szCs w:val="19"/>
          <w:u w:val="single" w:color="auto"/>
          <w:color w:val="auto"/>
        </w:rPr>
        <w:t>Classification of Loans</w:t>
      </w:r>
      <w:r>
        <w:rPr>
          <w:rFonts w:ascii="Times New Roman" w:cs="Times New Roman" w:eastAsia="Times New Roman" w:hAnsi="Times New Roman"/>
          <w:sz w:val="19"/>
          <w:szCs w:val="19"/>
          <w:color w:val="auto"/>
        </w:rPr>
        <w:t>. For purposes of this Agreement, Loans may be classified and referred to by class (e.g., a “Revolving Loan”) or by Interest Type (e.g., a “Term Benchmark Loan” or an “Base Rate Loan”) or by class and Interest Type (e.g., a “Term Benchmark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-33-</w:t>
      </w: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20" w:top="1383" w:right="379" w:bottom="1440" w:gutter="0" w:footer="0" w:header="0"/>
        </w:sectPr>
      </w:pPr>
    </w:p>
    <w:bookmarkStart w:id="109" w:name="page110"/>
    <w:bookmarkEnd w:id="109"/>
    <w:p>
      <w:pPr>
        <w:ind w:right="320"/>
        <w:spacing w:after="0" w:line="272" w:lineRule="auto"/>
        <w:rPr>
          <w:sz w:val="20"/>
          <w:szCs w:val="20"/>
          <w:color w:val="auto"/>
        </w:rPr>
      </w:pPr>
      <w:r>
        <w:rPr>
          <w:rFonts w:ascii="Times New Roman" w:cs="Times New Roman" w:eastAsia="Times New Roman" w:hAnsi="Times New Roman"/>
          <w:sz w:val="19"/>
          <w:szCs w:val="19"/>
          <w:color w:val="auto"/>
        </w:rPr>
        <w:t>Loan” or an “Base Rate Revolving Loan”). Borrowings also may be classified and referred to by class (e.g., a “Revolving Borrowing”) or by Interest Type (e.g., a “Term Benchmark Borrowing” or an “Base Rate Borrowing”) or by class and Interest Type (e.g., a “Term Benchmark Borrowing” or an “Base Rate Revolving Borrowing”).</w:t>
      </w:r>
    </w:p>
    <w:p>
      <w:pPr>
        <w:spacing w:after="0" w:line="16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1.04</w:t>
      </w:r>
      <w:r>
        <w:rPr>
          <w:sz w:val="20"/>
          <w:szCs w:val="20"/>
          <w:color w:val="auto"/>
        </w:rPr>
        <w:tab/>
      </w:r>
      <w:r>
        <w:rPr>
          <w:rFonts w:ascii="Times New Roman" w:cs="Times New Roman" w:eastAsia="Times New Roman" w:hAnsi="Times New Roman"/>
          <w:sz w:val="19"/>
          <w:szCs w:val="19"/>
          <w:u w:val="single" w:color="auto"/>
          <w:color w:val="auto"/>
        </w:rPr>
        <w:t>Accounting Principles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firstLine="639"/>
        <w:spacing w:after="0" w:line="266" w:lineRule="auto"/>
        <w:tabs>
          <w:tab w:leader="none" w:pos="1041"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context otherwise clearly requires, all accounting terms not expressly defined herein shall be construed, and all financial computations required under this Agreement shall be made, in accordance with GAAP as in effect from time to time, consistently applied. Notwithstanding the foregoing,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w:t>
      </w:r>
    </w:p>
    <w:p>
      <w:pPr>
        <w:spacing w:after="0" w:line="160" w:lineRule="exact"/>
        <w:rPr>
          <w:rFonts w:ascii="Times New Roman" w:cs="Times New Roman" w:eastAsia="Times New Roman" w:hAnsi="Times New Roman"/>
          <w:sz w:val="19"/>
          <w:szCs w:val="19"/>
          <w:color w:val="auto"/>
        </w:rPr>
      </w:pPr>
    </w:p>
    <w:p>
      <w:pPr>
        <w:ind w:right="20" w:firstLine="639"/>
        <w:spacing w:after="0" w:line="262" w:lineRule="auto"/>
        <w:tabs>
          <w:tab w:leader="none" w:pos="1052"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herein to particular columns, lines or sections of any Person’s Annual Statement shall be deemed, where appropriate, to be references to the corresponding column, line or section of such Person’s Quarterly Statement, or if no such corresponding column, line or section exists or if any report form changes, then to the corresponding item referenced thereby. In the event the columns, lines or sections of the Annual Statement or Quarterly Statement referenced herein are changed or renumbered from the columns, lines and sections applicable to the Annual Statement for the Fiscal Year ended December 31, 2023, or the Quarterly Statement for the Fiscal Quarter ended September 30, 2023, all such references shall be deemed references to such column, line or section as so renumbered or changed.</w:t>
      </w:r>
    </w:p>
    <w:p>
      <w:pPr>
        <w:spacing w:after="0" w:line="178" w:lineRule="exact"/>
        <w:rPr>
          <w:rFonts w:ascii="Times New Roman" w:cs="Times New Roman" w:eastAsia="Times New Roman" w:hAnsi="Times New Roman"/>
          <w:sz w:val="19"/>
          <w:szCs w:val="19"/>
          <w:color w:val="auto"/>
        </w:rPr>
      </w:pPr>
    </w:p>
    <w:p>
      <w:pPr>
        <w:ind w:right="600" w:firstLine="639"/>
        <w:spacing w:after="0" w:line="297" w:lineRule="auto"/>
        <w:tabs>
          <w:tab w:leader="none" w:pos="1041"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any Material Acquisition or Material Disposition, determinations of compliance with the financial covenants contained herein for any applicable Calculation Period shall be made on a Pro Forma Basis.</w:t>
      </w:r>
    </w:p>
    <w:p>
      <w:pPr>
        <w:spacing w:after="0" w:line="131" w:lineRule="exact"/>
        <w:rPr>
          <w:rFonts w:ascii="Times New Roman" w:cs="Times New Roman" w:eastAsia="Times New Roman" w:hAnsi="Times New Roman"/>
          <w:sz w:val="19"/>
          <w:szCs w:val="19"/>
          <w:color w:val="auto"/>
        </w:rPr>
      </w:pPr>
    </w:p>
    <w:p>
      <w:pPr>
        <w:ind w:firstLine="639"/>
        <w:spacing w:after="0" w:line="258" w:lineRule="auto"/>
        <w:tabs>
          <w:tab w:leader="none" w:pos="1052"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at any time after the date of this Agreement, any material change is made to GAAP (other than a change to GAAP governing the determination, for purposes of the definition of “Capitalized Lease Liabilities,” whether a lease is a lease is a capital lease or an operating lease, which determination shall be made on the basis of GAAP as in effect on December 31, 2017) or the Company’s accounting practices that would affect in any material respect the determination of compliance with the covenants set forth in this Agreement, the Company shall notify the Agent of the change and the Company and the Agent shall negotiate in good faith to amend such covenant, subject to the approval of the Required Lenders, to restore the Company and the Lenders to the position they occupied before the implementation of such material change in GAAP or accounting practices;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until so amended, (i) such determination shall continue to be made in accordance with GAAP prior to such change therein and (ii) the Company shall provide to the Agent and the Lenders financial statements and other documents required under this Agreement or as reasonably requested hereunder setting forth a reconciliation between calculations of any applicable ratio or requirement made before and after giving effect to such change in GAAP.</w:t>
      </w:r>
    </w:p>
    <w:p>
      <w:pPr>
        <w:spacing w:after="0" w:line="183" w:lineRule="exact"/>
        <w:rPr>
          <w:rFonts w:ascii="Times New Roman" w:cs="Times New Roman" w:eastAsia="Times New Roman" w:hAnsi="Times New Roman"/>
          <w:sz w:val="19"/>
          <w:szCs w:val="19"/>
          <w:color w:val="auto"/>
        </w:rPr>
      </w:pPr>
    </w:p>
    <w:p>
      <w:pPr>
        <w:ind w:firstLine="639"/>
        <w:spacing w:after="0" w:line="297" w:lineRule="auto"/>
        <w:tabs>
          <w:tab w:leader="none" w:pos="103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calculations of any financial ratios or Consolidated Net Worth hereunder shall exclude the results of operations, investments in and assets and liabilities of Unrestricted Subsidiaries during any period such Unrestricted Subsidiaries are Unrestricted Subsidiaries.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-34-</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10" w:name="page111"/>
    <w:bookmarkEnd w:id="110"/>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1.05</w:t>
      </w:r>
      <w:r>
        <w:rPr>
          <w:sz w:val="20"/>
          <w:szCs w:val="20"/>
          <w:color w:val="auto"/>
        </w:rPr>
        <w:tab/>
      </w:r>
      <w:r>
        <w:rPr>
          <w:rFonts w:ascii="Times New Roman" w:cs="Times New Roman" w:eastAsia="Times New Roman" w:hAnsi="Times New Roman"/>
          <w:sz w:val="19"/>
          <w:szCs w:val="19"/>
          <w:u w:val="single" w:color="auto"/>
          <w:color w:val="auto"/>
        </w:rPr>
        <w:t>Limited Condition Transactions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firstLine="633"/>
        <w:spacing w:after="0" w:line="258" w:lineRule="auto"/>
        <w:rPr>
          <w:sz w:val="20"/>
          <w:szCs w:val="20"/>
          <w:color w:val="auto"/>
        </w:rPr>
      </w:pPr>
      <w:r>
        <w:rPr>
          <w:rFonts w:ascii="Times New Roman" w:cs="Times New Roman" w:eastAsia="Times New Roman" w:hAnsi="Times New Roman"/>
          <w:sz w:val="19"/>
          <w:szCs w:val="19"/>
          <w:color w:val="auto"/>
        </w:rPr>
        <w:t xml:space="preserve">Notwithstanding anything to the contrary herein, in connection with any Limited Condition Transaction or any transaction (including incurrence of indebtedness) to be undertaken in connection therewith, at the option of the Company, the determination of whether each condition or requirement set forth in </w:t>
      </w:r>
      <w:r>
        <w:rPr>
          <w:rFonts w:ascii="Times New Roman" w:cs="Times New Roman" w:eastAsia="Times New Roman" w:hAnsi="Times New Roman"/>
          <w:sz w:val="19"/>
          <w:szCs w:val="19"/>
          <w:u w:val="single" w:color="auto"/>
          <w:color w:val="auto"/>
        </w:rPr>
        <w:t>Section 7.01(a)(vii)</w:t>
      </w:r>
      <w:r>
        <w:rPr>
          <w:rFonts w:ascii="Times New Roman" w:cs="Times New Roman" w:eastAsia="Times New Roman" w:hAnsi="Times New Roman"/>
          <w:sz w:val="19"/>
          <w:szCs w:val="19"/>
          <w:color w:val="auto"/>
        </w:rPr>
        <w:t xml:space="preserve"> and the definition of “Permitted Acquisition” with respect to (1) compliance with the Financial Covenants, shall be satisfied if at the time of the execution of the definitive agreement with respect to such Limited Condition Transaction, the Company is in compliance with such Financial Covenants (after giving effect to such Limited Condition Transaction and any related transactions on a Pro Forma Basis), (2) the absence of a Default or Event of Default (or any type of Default or Event of Default), shall be satisfied if at the time of the execution of the definitive agreement with respect to such Limited Condition Transaction, no Default or Event of Default (or Default or Event of Default of such type) has occurred and is continuing, and (3) the satisfaction of the condition set forth in </w:t>
      </w:r>
      <w:r>
        <w:rPr>
          <w:rFonts w:ascii="Times New Roman" w:cs="Times New Roman" w:eastAsia="Times New Roman" w:hAnsi="Times New Roman"/>
          <w:sz w:val="19"/>
          <w:szCs w:val="19"/>
          <w:u w:val="single" w:color="auto"/>
          <w:color w:val="auto"/>
        </w:rPr>
        <w:t>Section 4.03(b)</w:t>
      </w:r>
      <w:r>
        <w:rPr>
          <w:rFonts w:ascii="Times New Roman" w:cs="Times New Roman" w:eastAsia="Times New Roman" w:hAnsi="Times New Roman"/>
          <w:sz w:val="19"/>
          <w:szCs w:val="19"/>
          <w:color w:val="auto"/>
        </w:rPr>
        <w:t xml:space="preserve">, shall be satisfied if at the time of the execution of the definitive agreement with respect to such Limited Condition Transaction, the condition set forth in </w:t>
      </w:r>
      <w:r>
        <w:rPr>
          <w:rFonts w:ascii="Times New Roman" w:cs="Times New Roman" w:eastAsia="Times New Roman" w:hAnsi="Times New Roman"/>
          <w:sz w:val="19"/>
          <w:szCs w:val="19"/>
          <w:u w:val="single" w:color="auto"/>
          <w:color w:val="auto"/>
        </w:rPr>
        <w:t>Section 4.03(b)</w:t>
      </w:r>
      <w:r>
        <w:rPr>
          <w:rFonts w:ascii="Times New Roman" w:cs="Times New Roman" w:eastAsia="Times New Roman" w:hAnsi="Times New Roman"/>
          <w:sz w:val="19"/>
          <w:szCs w:val="19"/>
          <w:color w:val="auto"/>
        </w:rPr>
        <w:t xml:space="preserve"> is satisfied.</w:t>
      </w:r>
    </w:p>
    <w:p>
      <w:pPr>
        <w:spacing w:after="0" w:line="184"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1.06</w:t>
      </w:r>
      <w:r>
        <w:rPr>
          <w:sz w:val="20"/>
          <w:szCs w:val="20"/>
          <w:color w:val="auto"/>
        </w:rPr>
        <w:tab/>
      </w:r>
      <w:r>
        <w:rPr>
          <w:rFonts w:ascii="Times New Roman" w:cs="Times New Roman" w:eastAsia="Times New Roman" w:hAnsi="Times New Roman"/>
          <w:sz w:val="19"/>
          <w:szCs w:val="19"/>
          <w:u w:val="single" w:color="auto"/>
          <w:color w:val="auto"/>
        </w:rPr>
        <w:t>Divisions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40" w:firstLine="633"/>
        <w:spacing w:after="0" w:line="266" w:lineRule="auto"/>
        <w:rPr>
          <w:sz w:val="20"/>
          <w:szCs w:val="20"/>
          <w:color w:val="auto"/>
        </w:rPr>
      </w:pPr>
      <w:r>
        <w:rPr>
          <w:rFonts w:ascii="Times New Roman" w:cs="Times New Roman" w:eastAsia="Times New Roman" w:hAnsi="Times New Roman"/>
          <w:sz w:val="19"/>
          <w:szCs w:val="19"/>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ARTICLE 2</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THE CREDITS</w:t>
      </w:r>
    </w:p>
    <w:p>
      <w:pPr>
        <w:spacing w:after="0" w:line="202" w:lineRule="exact"/>
        <w:rPr>
          <w:sz w:val="20"/>
          <w:szCs w:val="20"/>
          <w:color w:val="auto"/>
        </w:rPr>
      </w:pPr>
    </w:p>
    <w:p>
      <w:pPr>
        <w:ind w:right="160" w:firstLine="633"/>
        <w:spacing w:after="0" w:line="266" w:lineRule="auto"/>
        <w:rPr>
          <w:sz w:val="20"/>
          <w:szCs w:val="20"/>
          <w:color w:val="auto"/>
        </w:rPr>
      </w:pPr>
      <w:r>
        <w:rPr>
          <w:rFonts w:ascii="Times New Roman" w:cs="Times New Roman" w:eastAsia="Times New Roman" w:hAnsi="Times New Roman"/>
          <w:sz w:val="19"/>
          <w:szCs w:val="19"/>
          <w:color w:val="auto"/>
        </w:rPr>
        <w:t xml:space="preserve">Section 2.01 </w:t>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 xml:space="preserve">. Subject to the terms and conditions set forth herein, each Lender agrees to make Revolving Loans to the Company from time to time during the Availability Period in an aggregate principal amount that will not result (after giving effect to any application of proceeds of such Borrowing pursuant to </w:t>
      </w:r>
      <w:r>
        <w:rPr>
          <w:rFonts w:ascii="Times New Roman" w:cs="Times New Roman" w:eastAsia="Times New Roman" w:hAnsi="Times New Roman"/>
          <w:sz w:val="19"/>
          <w:szCs w:val="19"/>
          <w:u w:val="single" w:color="auto"/>
          <w:color w:val="auto"/>
        </w:rPr>
        <w:t>Section 2.09</w:t>
      </w:r>
      <w:r>
        <w:rPr>
          <w:rFonts w:ascii="Times New Roman" w:cs="Times New Roman" w:eastAsia="Times New Roman" w:hAnsi="Times New Roman"/>
          <w:sz w:val="19"/>
          <w:szCs w:val="19"/>
          <w:color w:val="auto"/>
        </w:rPr>
        <w:t>) in such Lender’s Revolving Loans exceeding such Lender’s Commitment. Within the foregoing limits and subject to the terms and conditions set forth herein, the Company may borrow, prepay and reborrow Revolving Loans.</w:t>
      </w:r>
    </w:p>
    <w:p>
      <w:pPr>
        <w:spacing w:after="0" w:line="161"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2.02</w:t>
      </w:r>
      <w:r>
        <w:rPr>
          <w:sz w:val="20"/>
          <w:szCs w:val="20"/>
          <w:color w:val="auto"/>
        </w:rPr>
        <w:tab/>
      </w:r>
      <w:r>
        <w:rPr>
          <w:rFonts w:ascii="Times New Roman" w:cs="Times New Roman" w:eastAsia="Times New Roman" w:hAnsi="Times New Roman"/>
          <w:sz w:val="19"/>
          <w:szCs w:val="19"/>
          <w:u w:val="single" w:color="auto"/>
          <w:color w:val="auto"/>
        </w:rPr>
        <w:t>Loans and Borrowings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40" w:firstLine="639"/>
        <w:spacing w:after="0" w:line="268" w:lineRule="auto"/>
        <w:tabs>
          <w:tab w:leader="none" w:pos="1041"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spacing w:after="0" w:line="158" w:lineRule="exact"/>
        <w:rPr>
          <w:rFonts w:ascii="Times New Roman" w:cs="Times New Roman" w:eastAsia="Times New Roman" w:hAnsi="Times New Roman"/>
          <w:sz w:val="19"/>
          <w:szCs w:val="19"/>
          <w:color w:val="auto"/>
        </w:rPr>
      </w:pPr>
    </w:p>
    <w:p>
      <w:pPr>
        <w:jc w:val="both"/>
        <w:ind w:right="120" w:firstLine="639"/>
        <w:spacing w:after="0" w:line="268" w:lineRule="auto"/>
        <w:tabs>
          <w:tab w:leader="none" w:pos="1052"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each Revolving Borrowing shall be comprised entirely of Base Rate Loans or Term Benchmark Loans, as the Company may request in accordance herewith. Each Lender at its option may make any Loan by causing any domestic or foreign branch or Affiliate of such Lender to make such Loan; provided that any exercise of such option shall not affect the obligation of the Company to repay such Loan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-35-</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11" w:name="page112"/>
    <w:bookmarkEnd w:id="111"/>
    <w:p>
      <w:pPr>
        <w:ind w:right="80" w:firstLine="639"/>
        <w:spacing w:after="0" w:line="262" w:lineRule="auto"/>
        <w:tabs>
          <w:tab w:leader="none" w:pos="103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the commencement of each Interest Period for any Term Benchmark Borrowing, such Borrowing shall be in an aggregate amount that is an integral multiple of $500,000 and not less than $2,500,000. At the time that each Base Rate Revolving Borrowing is made, such Borrowing shall be in an aggregate amount that is an integral multiple of $500,000 and not less than $2,500,000;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Base Rate Revolving Borrowing may be in an aggregate amount that is equal to the entire unused balance of the total Commitments. Borrowings of more than one Interest Type may be outstanding at the same time; provided that there shall not at any time be more than a total of eight (8) Term Benchmark Borrowings outstanding.</w:t>
      </w:r>
    </w:p>
    <w:p>
      <w:pPr>
        <w:spacing w:after="0" w:line="178" w:lineRule="exact"/>
        <w:rPr>
          <w:rFonts w:ascii="Times New Roman" w:cs="Times New Roman" w:eastAsia="Times New Roman" w:hAnsi="Times New Roman"/>
          <w:sz w:val="19"/>
          <w:szCs w:val="19"/>
          <w:color w:val="auto"/>
        </w:rPr>
      </w:pPr>
    </w:p>
    <w:p>
      <w:pPr>
        <w:ind w:right="460" w:firstLine="639"/>
        <w:spacing w:after="0" w:line="283" w:lineRule="auto"/>
        <w:tabs>
          <w:tab w:leader="none" w:pos="105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this Agreement, the Company shall not be entitled to request, or to elect to convert or continue, any Borrowing if the Interest Period requested with respect thereto would end after the Maturity Date.</w:t>
      </w:r>
    </w:p>
    <w:p>
      <w:pPr>
        <w:spacing w:after="0" w:line="157" w:lineRule="exact"/>
        <w:rPr>
          <w:sz w:val="20"/>
          <w:szCs w:val="20"/>
          <w:color w:val="auto"/>
        </w:rPr>
      </w:pPr>
    </w:p>
    <w:p>
      <w:pPr>
        <w:ind w:right="100" w:firstLine="633"/>
        <w:spacing w:after="0" w:line="262" w:lineRule="auto"/>
        <w:rPr>
          <w:sz w:val="20"/>
          <w:szCs w:val="20"/>
          <w:color w:val="auto"/>
        </w:rPr>
      </w:pPr>
      <w:r>
        <w:rPr>
          <w:rFonts w:ascii="Times New Roman" w:cs="Times New Roman" w:eastAsia="Times New Roman" w:hAnsi="Times New Roman"/>
          <w:sz w:val="19"/>
          <w:szCs w:val="19"/>
          <w:color w:val="auto"/>
        </w:rPr>
        <w:t xml:space="preserve">Section 2.03 </w:t>
      </w:r>
      <w:r>
        <w:rPr>
          <w:rFonts w:ascii="Times New Roman" w:cs="Times New Roman" w:eastAsia="Times New Roman" w:hAnsi="Times New Roman"/>
          <w:sz w:val="19"/>
          <w:szCs w:val="19"/>
          <w:u w:val="single" w:color="auto"/>
          <w:color w:val="auto"/>
        </w:rPr>
        <w:t>Requests for Revolving Borrowings</w:t>
      </w:r>
      <w:r>
        <w:rPr>
          <w:rFonts w:ascii="Times New Roman" w:cs="Times New Roman" w:eastAsia="Times New Roman" w:hAnsi="Times New Roman"/>
          <w:sz w:val="19"/>
          <w:szCs w:val="19"/>
          <w:color w:val="auto"/>
        </w:rPr>
        <w:t>. To request a Revolving Borrowing, the Company shall notify the Agent of such request by submitting a Loan Notice (a) in the case of a Term Benchmark Borrowing, not later than 11:00 a.m., New York City time, three Business Days before the date of the proposed Borrowing or (b) in the case of a Base Rate Borrowing, not later than 11:00 a.m., New York City time, on the Business Day of the proposed Borrowing. Each such Loan Notice shall be irrevocable and shall be signed by a Responsible Officer of the Company. Each such Loan Notice shall specify the following information:</w:t>
      </w:r>
    </w:p>
    <w:p>
      <w:pPr>
        <w:spacing w:after="0" w:line="179" w:lineRule="exact"/>
        <w:rPr>
          <w:sz w:val="20"/>
          <w:szCs w:val="20"/>
          <w:color w:val="auto"/>
        </w:rPr>
      </w:pPr>
    </w:p>
    <w:p>
      <w:pPr>
        <w:ind w:left="1880" w:hanging="371"/>
        <w:spacing w:after="0"/>
        <w:tabs>
          <w:tab w:leader="none" w:pos="188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amount of the requested Borrowing;</w:t>
      </w:r>
    </w:p>
    <w:p>
      <w:pPr>
        <w:spacing w:after="0" w:line="216" w:lineRule="exact"/>
        <w:rPr>
          <w:rFonts w:ascii="Times New Roman" w:cs="Times New Roman" w:eastAsia="Times New Roman" w:hAnsi="Times New Roman"/>
          <w:sz w:val="19"/>
          <w:szCs w:val="19"/>
          <w:color w:val="auto"/>
        </w:rPr>
      </w:pPr>
    </w:p>
    <w:p>
      <w:pPr>
        <w:ind w:left="1940" w:hanging="431"/>
        <w:spacing w:after="0"/>
        <w:tabs>
          <w:tab w:leader="none" w:pos="194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of such Borrowing, which shall be a Business Day;</w:t>
      </w:r>
    </w:p>
    <w:p>
      <w:pPr>
        <w:spacing w:after="0" w:line="229" w:lineRule="exact"/>
        <w:rPr>
          <w:rFonts w:ascii="Times New Roman" w:cs="Times New Roman" w:eastAsia="Times New Roman" w:hAnsi="Times New Roman"/>
          <w:sz w:val="19"/>
          <w:szCs w:val="19"/>
          <w:color w:val="auto"/>
        </w:rPr>
      </w:pPr>
    </w:p>
    <w:p>
      <w:pPr>
        <w:ind w:left="2000" w:hanging="491"/>
        <w:spacing w:after="0"/>
        <w:tabs>
          <w:tab w:leader="none" w:pos="200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such Borrowing is to be a Base Rate Borrowing or a Term Benchmark Borrowing;</w:t>
      </w:r>
    </w:p>
    <w:p>
      <w:pPr>
        <w:spacing w:after="0" w:line="229" w:lineRule="exact"/>
        <w:rPr>
          <w:rFonts w:ascii="Times New Roman" w:cs="Times New Roman" w:eastAsia="Times New Roman" w:hAnsi="Times New Roman"/>
          <w:sz w:val="19"/>
          <w:szCs w:val="19"/>
          <w:color w:val="auto"/>
        </w:rPr>
      </w:pPr>
    </w:p>
    <w:p>
      <w:pPr>
        <w:ind w:left="620" w:right="40" w:firstLine="889"/>
        <w:spacing w:after="0" w:line="283" w:lineRule="auto"/>
        <w:tabs>
          <w:tab w:leader="none" w:pos="1978"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Term Benchmark Borrowing, the initial Interest Period to be applicable thereto, which shall be a period contemplated by the definition of the term “Interest Period”; and</w:t>
      </w:r>
    </w:p>
    <w:p>
      <w:pPr>
        <w:spacing w:after="0" w:line="157" w:lineRule="exact"/>
        <w:rPr>
          <w:rFonts w:ascii="Times New Roman" w:cs="Times New Roman" w:eastAsia="Times New Roman" w:hAnsi="Times New Roman"/>
          <w:sz w:val="19"/>
          <w:szCs w:val="19"/>
          <w:color w:val="auto"/>
        </w:rPr>
      </w:pPr>
    </w:p>
    <w:p>
      <w:pPr>
        <w:ind w:left="620" w:right="360" w:firstLine="889"/>
        <w:spacing w:after="0" w:line="283" w:lineRule="auto"/>
        <w:tabs>
          <w:tab w:leader="none" w:pos="1925"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location and number of the Company’s account to which funds are to be disbursed, which shall comply with the requirements of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If no election as to the Interest Type of Revolving Borrowing is specified, then the requested Revolving Borrowing shall be a Base Rate Borrowing. If no Interest Period is specified with respect to any requested Term Benchmark Borrowing, then the Company shall be deemed to have selected an Interest Period of one month’s duration. Promptly following receipt of a Loan Notice in accordance with this Section, the Agent shall advise each Lender of the details thereof and of the amount of such Lender’s Loan to be made as part of the requested Borrowing.</w:t>
      </w:r>
    </w:p>
    <w:p>
      <w:pPr>
        <w:spacing w:after="0" w:line="15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2.04</w:t>
      </w:r>
      <w:r>
        <w:rPr>
          <w:sz w:val="20"/>
          <w:szCs w:val="20"/>
          <w:color w:val="auto"/>
        </w:rPr>
        <w:tab/>
      </w:r>
      <w:r>
        <w:rPr>
          <w:rFonts w:ascii="Times New Roman" w:cs="Times New Roman" w:eastAsia="Times New Roman" w:hAnsi="Times New Roman"/>
          <w:sz w:val="19"/>
          <w:szCs w:val="19"/>
          <w:u w:val="single" w:color="auto"/>
          <w:color w:val="auto"/>
        </w:rPr>
        <w:t>Funding of Borrowings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20" w:firstLine="639"/>
        <w:spacing w:after="0" w:line="264" w:lineRule="auto"/>
        <w:tabs>
          <w:tab w:leader="none" w:pos="1041"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shall make each Loan to be made by it hereunder on the proposed date thereof solely by wire transfer of immediately available funds, by 12:00 noon, New York City time, to the account of the Agent most recently designated by it for such purpose by notice to the Lenders. The Agent will make such Loans available to the Company by promptly crediting the funds so received in the aforesaid account of the Agent to an account of the Company maintained with the Agent in New York City and designated by the Company in the applicable Loan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-36-</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12" w:name="page113"/>
    <w:bookmarkEnd w:id="112"/>
    <w:p>
      <w:pPr>
        <w:ind w:left="-6" w:right="120" w:firstLine="639"/>
        <w:spacing w:after="0" w:line="258" w:lineRule="auto"/>
        <w:tabs>
          <w:tab w:leader="none" w:pos="1046"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Agent shall have received notice from a Lender prior to the proposed date of any Borrowing that such Lender will not make available to the Agent such Lender’s share of such Borrowing, the Agent may assume that such Lender has made such share available on such date in accordance with paragraph (a) of this Section and may, in reliance upon such assumption, make available to the Company a corresponding amount. In such event, if a Lender has not in fact made its share of the applicable Borrowing available to the Agent, then the applicable Lender and the Company severally agree to pay to the Agent forthwith on demand such corresponding amount with interest thereon, for each day from and including the date such amount is made available to the Company to but excluding the date of payment to the Agent, at</w:t>
      </w:r>
    </w:p>
    <w:p>
      <w:pPr>
        <w:spacing w:after="0" w:line="3" w:lineRule="exact"/>
        <w:rPr>
          <w:rFonts w:ascii="Times New Roman" w:cs="Times New Roman" w:eastAsia="Times New Roman" w:hAnsi="Times New Roman"/>
          <w:sz w:val="19"/>
          <w:szCs w:val="19"/>
          <w:color w:val="auto"/>
        </w:rPr>
      </w:pPr>
    </w:p>
    <w:p>
      <w:pPr>
        <w:ind w:left="-6" w:right="120" w:firstLine="6"/>
        <w:spacing w:after="0" w:line="263" w:lineRule="auto"/>
        <w:tabs>
          <w:tab w:leader="none" w:pos="268"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such Lender, the greater of the NYFRB Rate and a rate determined by the Agent in accordance with banking industry rules on interbank compensation or (2) in the case of the Company, the interest rate applicable to Base Rate Loans. If such Lender pays such amount to the Agent, then such amount shall constitute such Lender’s Loan included in such Borrowing.</w:t>
      </w:r>
    </w:p>
    <w:p>
      <w:pPr>
        <w:spacing w:after="0" w:line="164" w:lineRule="exact"/>
        <w:rPr>
          <w:sz w:val="20"/>
          <w:szCs w:val="20"/>
          <w:color w:val="auto"/>
        </w:rPr>
      </w:pPr>
    </w:p>
    <w:p>
      <w:pPr>
        <w:ind w:left="634"/>
        <w:spacing w:after="0"/>
        <w:tabs>
          <w:tab w:leader="none" w:pos="1774" w:val="left"/>
        </w:tabs>
        <w:rPr>
          <w:sz w:val="20"/>
          <w:szCs w:val="20"/>
          <w:color w:val="auto"/>
        </w:rPr>
      </w:pPr>
      <w:r>
        <w:rPr>
          <w:rFonts w:ascii="Times New Roman" w:cs="Times New Roman" w:eastAsia="Times New Roman" w:hAnsi="Times New Roman"/>
          <w:sz w:val="19"/>
          <w:szCs w:val="19"/>
          <w:color w:val="auto"/>
        </w:rPr>
        <w:t>Section 2.05</w:t>
      </w:r>
      <w:r>
        <w:rPr>
          <w:sz w:val="20"/>
          <w:szCs w:val="20"/>
          <w:color w:val="auto"/>
        </w:rPr>
        <w:tab/>
      </w:r>
      <w:r>
        <w:rPr>
          <w:rFonts w:ascii="Times New Roman" w:cs="Times New Roman" w:eastAsia="Times New Roman" w:hAnsi="Times New Roman"/>
          <w:sz w:val="19"/>
          <w:szCs w:val="19"/>
          <w:u w:val="single" w:color="auto"/>
          <w:color w:val="auto"/>
        </w:rPr>
        <w:t>Interest Elections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 w:firstLine="639"/>
        <w:spacing w:after="0" w:line="262" w:lineRule="auto"/>
        <w:tabs>
          <w:tab w:leader="none" w:pos="1035"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Revolving Borrowing initially shall be of the Interest Type specified in the applicable Loan Notice and, in the case of a Term Benchmark Borrowing, shall have an initial Interest Period as specified in such Loan Notice. Thereafter, the Company may elect to convert such Borrowing to a different Interest Type or to continue such Borrowing and, in the case of a Term Benchmark Borrowing, may elect Interest Periods therefor, all as provided in this Section. The Company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78" w:lineRule="exact"/>
        <w:rPr>
          <w:rFonts w:ascii="Times New Roman" w:cs="Times New Roman" w:eastAsia="Times New Roman" w:hAnsi="Times New Roman"/>
          <w:sz w:val="19"/>
          <w:szCs w:val="19"/>
          <w:color w:val="auto"/>
        </w:rPr>
      </w:pPr>
    </w:p>
    <w:p>
      <w:pPr>
        <w:ind w:left="-6" w:right="140" w:firstLine="639"/>
        <w:spacing w:after="0" w:line="263" w:lineRule="auto"/>
        <w:tabs>
          <w:tab w:leader="none" w:pos="1043"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make an election pursuant to this Section, the Company shall notify the Agent of such election by the time that a Loan Notice would be required under Section 2.03 if the Company were requesting a Revolving Borrowing of the Interest Type resulting from such election to be made on the effective date of such election. Each such Interest Election Request shall be irrevocable and shall be signed by a Responsible Officer of the Company.</w:t>
      </w:r>
    </w:p>
    <w:p>
      <w:pPr>
        <w:spacing w:after="0" w:line="176" w:lineRule="exact"/>
        <w:rPr>
          <w:rFonts w:ascii="Times New Roman" w:cs="Times New Roman" w:eastAsia="Times New Roman" w:hAnsi="Times New Roman"/>
          <w:sz w:val="19"/>
          <w:szCs w:val="19"/>
          <w:color w:val="auto"/>
        </w:rPr>
      </w:pPr>
    </w:p>
    <w:p>
      <w:pPr>
        <w:ind w:left="1034" w:hanging="401"/>
        <w:spacing w:after="0"/>
        <w:tabs>
          <w:tab w:leader="none" w:pos="1034"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Interest Election Request shall specify the following information in compliance with Section 2.03:</w:t>
      </w:r>
    </w:p>
    <w:p>
      <w:pPr>
        <w:spacing w:after="0" w:line="216" w:lineRule="exact"/>
        <w:rPr>
          <w:rFonts w:ascii="Times New Roman" w:cs="Times New Roman" w:eastAsia="Times New Roman" w:hAnsi="Times New Roman"/>
          <w:sz w:val="19"/>
          <w:szCs w:val="19"/>
          <w:color w:val="auto"/>
        </w:rPr>
      </w:pPr>
    </w:p>
    <w:p>
      <w:pPr>
        <w:jc w:val="both"/>
        <w:ind w:left="614" w:right="80" w:firstLine="889"/>
        <w:spacing w:after="0" w:line="279" w:lineRule="auto"/>
        <w:tabs>
          <w:tab w:leader="none" w:pos="1876"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48" w:lineRule="exact"/>
        <w:rPr>
          <w:rFonts w:ascii="Times New Roman" w:cs="Times New Roman" w:eastAsia="Times New Roman" w:hAnsi="Times New Roman"/>
          <w:sz w:val="19"/>
          <w:szCs w:val="19"/>
          <w:color w:val="auto"/>
        </w:rPr>
      </w:pPr>
    </w:p>
    <w:p>
      <w:pPr>
        <w:ind w:left="1934" w:hanging="431"/>
        <w:spacing w:after="0"/>
        <w:tabs>
          <w:tab w:leader="none" w:pos="1934"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effective date of the election made pursuant to such Interest Election Request, which shall be a Business Day;</w:t>
      </w:r>
    </w:p>
    <w:p>
      <w:pPr>
        <w:spacing w:after="0" w:line="229" w:lineRule="exact"/>
        <w:rPr>
          <w:rFonts w:ascii="Times New Roman" w:cs="Times New Roman" w:eastAsia="Times New Roman" w:hAnsi="Times New Roman"/>
          <w:sz w:val="19"/>
          <w:szCs w:val="19"/>
          <w:color w:val="auto"/>
        </w:rPr>
      </w:pPr>
    </w:p>
    <w:p>
      <w:pPr>
        <w:ind w:left="1994" w:hanging="491"/>
        <w:spacing w:after="0"/>
        <w:tabs>
          <w:tab w:leader="none" w:pos="1994"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the resulting Borrowing is to be a Base Rate Borrowing or a Term Benchmark Borrowing; and</w:t>
      </w:r>
    </w:p>
    <w:p>
      <w:pPr>
        <w:spacing w:after="0" w:line="216" w:lineRule="exact"/>
        <w:rPr>
          <w:rFonts w:ascii="Times New Roman" w:cs="Times New Roman" w:eastAsia="Times New Roman" w:hAnsi="Times New Roman"/>
          <w:sz w:val="19"/>
          <w:szCs w:val="19"/>
          <w:color w:val="auto"/>
        </w:rPr>
      </w:pPr>
    </w:p>
    <w:p>
      <w:pPr>
        <w:ind w:left="614" w:right="320" w:firstLine="889"/>
        <w:spacing w:after="0" w:line="297" w:lineRule="auto"/>
        <w:tabs>
          <w:tab w:leader="none" w:pos="1973"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resulting Borrowing is a Term Benchmark Borrowing, the Interest Period to be applicable thereto after giving effect to such election, which shall be a period contemplated by the definition of the term “Interest Period”.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color w:val="auto"/>
        </w:rPr>
        <w:t>-37-</w:t>
      </w:r>
    </w:p>
    <w:p>
      <w:pPr>
        <w:spacing w:after="0" w:line="257"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14"/>
          </w:cols>
          <w:pgMar w:left="326" w:top="1383" w:right="359" w:bottom="1440" w:gutter="0" w:footer="0" w:header="0"/>
        </w:sectPr>
      </w:pPr>
    </w:p>
    <w:bookmarkStart w:id="113" w:name="page114"/>
    <w:bookmarkEnd w:id="113"/>
    <w:p>
      <w:pPr>
        <w:ind w:right="120"/>
        <w:spacing w:after="0" w:line="297" w:lineRule="auto"/>
        <w:rPr>
          <w:sz w:val="20"/>
          <w:szCs w:val="20"/>
          <w:color w:val="auto"/>
        </w:rPr>
      </w:pPr>
      <w:r>
        <w:rPr>
          <w:rFonts w:ascii="Times New Roman" w:cs="Times New Roman" w:eastAsia="Times New Roman" w:hAnsi="Times New Roman"/>
          <w:sz w:val="19"/>
          <w:szCs w:val="19"/>
          <w:color w:val="auto"/>
        </w:rPr>
        <w:t>If any such Interest Election Request requests a Term Benchmark Borrowing but does not specify an Interest Period, then the Company shall be deemed to have selected an Interest Period of one month’s duration.</w:t>
      </w:r>
    </w:p>
    <w:p>
      <w:pPr>
        <w:spacing w:after="0" w:line="132" w:lineRule="exact"/>
        <w:rPr>
          <w:sz w:val="20"/>
          <w:szCs w:val="20"/>
          <w:color w:val="auto"/>
        </w:rPr>
      </w:pPr>
    </w:p>
    <w:p>
      <w:pPr>
        <w:ind w:right="260" w:firstLine="639"/>
        <w:spacing w:after="0" w:line="297" w:lineRule="auto"/>
        <w:tabs>
          <w:tab w:leader="none" w:pos="1052"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following receipt of an Interest Election Request, the Agent shall advise each Lender of the details thereof and of such Lender’s portion of each resulting Borrowing.</w:t>
      </w:r>
    </w:p>
    <w:p>
      <w:pPr>
        <w:spacing w:after="0" w:line="131" w:lineRule="exact"/>
        <w:rPr>
          <w:rFonts w:ascii="Times New Roman" w:cs="Times New Roman" w:eastAsia="Times New Roman" w:hAnsi="Times New Roman"/>
          <w:sz w:val="19"/>
          <w:szCs w:val="19"/>
          <w:color w:val="auto"/>
        </w:rPr>
      </w:pPr>
    </w:p>
    <w:p>
      <w:pPr>
        <w:ind w:firstLine="639"/>
        <w:spacing w:after="0" w:line="262" w:lineRule="auto"/>
        <w:tabs>
          <w:tab w:leader="none" w:pos="1041"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fails to deliver a timely Interest Election Request with respect to a Term Benchmark Borrowing prior to the end of the Interest Period applicable thereto, then, unless such Borrowing is repaid as provided herein, at the end of such Interest Period such Borrowing shall be deemed to have an Interest Period that is one month. Notwithstanding any contrary provision hereof, if an Event of Default has occurred and is continuing and the Agent, at the request of the Required Lenders, so notifies the Company, then, so long as an Event of Default is continuing (1) no outstanding Revolving Borrowing may be converted to or continued as a Term Benchmark Borrowing and (2) unless repaid, each Term Benchmark Borrowing shall be converted to a Base Rate Borrowing at the end of the Interest Period applicable thereto.</w:t>
      </w:r>
    </w:p>
    <w:p>
      <w:pPr>
        <w:spacing w:after="0" w:line="17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2.06</w:t>
      </w:r>
      <w:r>
        <w:rPr>
          <w:sz w:val="20"/>
          <w:szCs w:val="20"/>
          <w:color w:val="auto"/>
        </w:rPr>
        <w:tab/>
      </w:r>
      <w:r>
        <w:rPr>
          <w:rFonts w:ascii="Times New Roman" w:cs="Times New Roman" w:eastAsia="Times New Roman" w:hAnsi="Times New Roman"/>
          <w:sz w:val="19"/>
          <w:szCs w:val="19"/>
          <w:u w:val="single" w:color="auto"/>
          <w:color w:val="auto"/>
        </w:rPr>
        <w:t>Pro Rata Shares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60" w:firstLine="633"/>
        <w:spacing w:after="0" w:line="263" w:lineRule="auto"/>
        <w:rPr>
          <w:sz w:val="20"/>
          <w:szCs w:val="20"/>
          <w:color w:val="auto"/>
        </w:rPr>
      </w:pPr>
      <w:r>
        <w:rPr>
          <w:rFonts w:ascii="Times New Roman" w:cs="Times New Roman" w:eastAsia="Times New Roman" w:hAnsi="Times New Roman"/>
          <w:sz w:val="19"/>
          <w:szCs w:val="19"/>
          <w:color w:val="auto"/>
        </w:rPr>
        <w:t>All Loans shall be made by the applicable Lenders simultaneously and in accordance with their respective Pro Rata Shares of the applicable Facility, it being understood that no Lender shall be responsible for any default by any other Lender in such other Lender’s obligation to make a Loan requested hereunder nor shall any Revolving Commitment of any Lender be increased or decreased as a result of a default by any other Lender in such other Lender’s obligation to make a Loan requested hereunder.</w:t>
      </w:r>
    </w:p>
    <w:p>
      <w:pPr>
        <w:spacing w:after="0" w:line="17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2.07</w:t>
        <w:tab/>
        <w:t>[</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2.08</w:t>
      </w:r>
      <w:r>
        <w:rPr>
          <w:sz w:val="20"/>
          <w:szCs w:val="20"/>
          <w:color w:val="auto"/>
        </w:rPr>
        <w:tab/>
      </w:r>
      <w:r>
        <w:rPr>
          <w:rFonts w:ascii="Times New Roman" w:cs="Times New Roman" w:eastAsia="Times New Roman" w:hAnsi="Times New Roman"/>
          <w:sz w:val="19"/>
          <w:szCs w:val="19"/>
          <w:u w:val="single" w:color="auto"/>
          <w:color w:val="auto"/>
        </w:rPr>
        <w:t>Notes; Loan Accounts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20" w:firstLine="639"/>
        <w:spacing w:after="0" w:line="262" w:lineRule="auto"/>
        <w:tabs>
          <w:tab w:leader="none" w:pos="1041"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made by each Lender shall be evidenced by one or more loan accounts or records maintained by such Lender and by the Agent in the ordinary course of business. The loan accounts or records maintained by the Agent and each Lender shall be conclusive evidence of the amount of the Loans made by the Lenders to the Company and the interest and payments thereon absent manifest error. Any failure so to record or any error in doing so shall not, however, limit or otherwise affect the obligation of the Company hereunder to pay any amount owing with respect to the Loans. In the event of any conflict between the accounts and records maintained by any Lender and the accounts and records of the Agent in respect of such matters, the accounts and records of the Agent shall control in the absence of manifest error.</w:t>
      </w:r>
    </w:p>
    <w:p>
      <w:pPr>
        <w:spacing w:after="0" w:line="178" w:lineRule="exact"/>
        <w:rPr>
          <w:rFonts w:ascii="Times New Roman" w:cs="Times New Roman" w:eastAsia="Times New Roman" w:hAnsi="Times New Roman"/>
          <w:sz w:val="19"/>
          <w:szCs w:val="19"/>
          <w:color w:val="auto"/>
        </w:rPr>
      </w:pPr>
    </w:p>
    <w:p>
      <w:pPr>
        <w:ind w:firstLine="639"/>
        <w:spacing w:after="0" w:line="260" w:lineRule="auto"/>
        <w:tabs>
          <w:tab w:leader="none" w:pos="1052"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request of any Lender made through the Agent, instead of or in addition to loan accounts, the Loans made by each Lender may be evidenced by one or more Revolving Loan Notes, substantially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hereto (each such note, a “</w:t>
      </w:r>
      <w:r>
        <w:rPr>
          <w:rFonts w:ascii="Times New Roman" w:cs="Times New Roman" w:eastAsia="Times New Roman" w:hAnsi="Times New Roman"/>
          <w:sz w:val="19"/>
          <w:szCs w:val="19"/>
          <w:b w:val="1"/>
          <w:bCs w:val="1"/>
          <w:color w:val="auto"/>
        </w:rPr>
        <w:t>Note</w:t>
      </w:r>
      <w:r>
        <w:rPr>
          <w:rFonts w:ascii="Times New Roman" w:cs="Times New Roman" w:eastAsia="Times New Roman" w:hAnsi="Times New Roman"/>
          <w:sz w:val="19"/>
          <w:szCs w:val="19"/>
          <w:color w:val="auto"/>
        </w:rPr>
        <w:t xml:space="preserve">”). Each Lender shall endorse on the schedules annexed to its Note the date, amount and maturity of each Loan deemed made by it and the amount of each payment of principal made by the Company with respect thereto. Each such Lender is irrevocably authorized by the Company to endorse its Note and each Lender’s record shall be conclusive absent manifest error;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of a Lender to make, or an error in making, a notation thereon with respect to any Loan shall not limit or otherwise affect the obligations of the Company hereunder or under any such Note to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14" w:name="page115"/>
    <w:bookmarkEnd w:id="114"/>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2.09</w:t>
      </w:r>
      <w:r>
        <w:rPr>
          <w:sz w:val="20"/>
          <w:szCs w:val="20"/>
          <w:color w:val="auto"/>
        </w:rPr>
        <w:tab/>
      </w:r>
      <w:r>
        <w:rPr>
          <w:rFonts w:ascii="Times New Roman" w:cs="Times New Roman" w:eastAsia="Times New Roman" w:hAnsi="Times New Roman"/>
          <w:sz w:val="19"/>
          <w:szCs w:val="19"/>
          <w:u w:val="single" w:color="auto"/>
          <w:color w:val="auto"/>
        </w:rPr>
        <w:t>Repayment of Loans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40" w:firstLine="633"/>
        <w:spacing w:after="0" w:line="283" w:lineRule="auto"/>
        <w:rPr>
          <w:sz w:val="20"/>
          <w:szCs w:val="20"/>
          <w:color w:val="auto"/>
        </w:rPr>
      </w:pPr>
      <w:r>
        <w:rPr>
          <w:rFonts w:ascii="Times New Roman" w:cs="Times New Roman" w:eastAsia="Times New Roman" w:hAnsi="Times New Roman"/>
          <w:sz w:val="19"/>
          <w:szCs w:val="19"/>
          <w:color w:val="auto"/>
        </w:rPr>
        <w:t>Each Revolving Commitment shall expire on the applicable Revolving Commitment Termination Date and all Revolving Loans and all other amounts owed hereunder with respect to the Revolving Loans and the Revolving Commitments shall be paid in full on such date.</w:t>
      </w:r>
    </w:p>
    <w:p>
      <w:pPr>
        <w:spacing w:after="0" w:line="15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2.10</w:t>
      </w:r>
      <w:r>
        <w:rPr>
          <w:sz w:val="20"/>
          <w:szCs w:val="20"/>
          <w:color w:val="auto"/>
        </w:rPr>
        <w:tab/>
      </w:r>
      <w:r>
        <w:rPr>
          <w:rFonts w:ascii="Times New Roman" w:cs="Times New Roman" w:eastAsia="Times New Roman" w:hAnsi="Times New Roman"/>
          <w:sz w:val="19"/>
          <w:szCs w:val="19"/>
          <w:u w:val="single" w:color="auto"/>
          <w:color w:val="auto"/>
        </w:rPr>
        <w:t>Optional and Mandatory Prepayments and Reductions of Commitments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300" w:firstLine="639"/>
        <w:spacing w:after="0" w:line="279" w:lineRule="auto"/>
        <w:tabs>
          <w:tab w:leader="none" w:pos="1041"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 Prepayments</w:t>
      </w:r>
      <w:r>
        <w:rPr>
          <w:rFonts w:ascii="Times New Roman" w:cs="Times New Roman" w:eastAsia="Times New Roman" w:hAnsi="Times New Roman"/>
          <w:sz w:val="19"/>
          <w:szCs w:val="19"/>
          <w:color w:val="auto"/>
        </w:rPr>
        <w:t>. The Company will have the right at any time to prepay any Borrowing in whole or in part, in minimum amounts of $500,000 or any multiple of $100,000 in excess thereof (or, if less, the entire outstanding principal amount of such Borrowing), subject to the provisions of this Section.</w:t>
      </w:r>
    </w:p>
    <w:p>
      <w:pPr>
        <w:spacing w:after="0" w:line="148"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Commitment Reductions</w:t>
      </w:r>
      <w:r>
        <w:rPr>
          <w:rFonts w:ascii="Times New Roman" w:cs="Times New Roman" w:eastAsia="Times New Roman" w:hAnsi="Times New Roman"/>
          <w:sz w:val="19"/>
          <w:szCs w:val="19"/>
          <w:color w:val="auto"/>
        </w:rPr>
        <w:t>.</w:t>
      </w:r>
    </w:p>
    <w:p>
      <w:pPr>
        <w:spacing w:after="0" w:line="229" w:lineRule="exact"/>
        <w:rPr>
          <w:rFonts w:ascii="Times New Roman" w:cs="Times New Roman" w:eastAsia="Times New Roman" w:hAnsi="Times New Roman"/>
          <w:sz w:val="19"/>
          <w:szCs w:val="19"/>
          <w:color w:val="auto"/>
        </w:rPr>
      </w:pPr>
    </w:p>
    <w:p>
      <w:pPr>
        <w:ind w:left="620" w:right="40" w:firstLine="889"/>
        <w:spacing w:after="0" w:line="262" w:lineRule="auto"/>
        <w:tabs>
          <w:tab w:leader="none" w:pos="1878"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may, upon not less than three Business Days’ prior written or telephonic notice to the Agent, at any time and from time to time terminate in whole or permanently reduce in part, without premium or penalty, the Revolving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partial reduction of the Revolving Commitments shall be in an aggregate minimum amount of $2,500,000 and integral multiples of $500,000 and the Company shall not terminate or reduce the Commitments if, after giving effect to any concurrent prepayment of the Loans in accordance with Section 2.09, any Lender’s Revolving Loans would exceed its Revolving Commitment.</w:t>
      </w:r>
    </w:p>
    <w:p>
      <w:pPr>
        <w:spacing w:after="0" w:line="179" w:lineRule="exact"/>
        <w:rPr>
          <w:rFonts w:ascii="Times New Roman" w:cs="Times New Roman" w:eastAsia="Times New Roman" w:hAnsi="Times New Roman"/>
          <w:sz w:val="19"/>
          <w:szCs w:val="19"/>
          <w:color w:val="auto"/>
        </w:rPr>
      </w:pPr>
    </w:p>
    <w:p>
      <w:pPr>
        <w:ind w:left="620" w:right="140" w:firstLine="889"/>
        <w:spacing w:after="0" w:line="268" w:lineRule="auto"/>
        <w:tabs>
          <w:tab w:leader="none" w:pos="1932"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notice to the Agent shall designate the date (which shall be a Business Day and which notice may provide that such reduction is conditioned upon the occurrence of a specific event) of such termination or reduction and the amount of any partial reduction, and shall reduce the Revolving Commitment of each Lender under the applicable Revolving Facility proportionately to its Pro Rata Share thereof.</w:t>
      </w:r>
    </w:p>
    <w:p>
      <w:pPr>
        <w:spacing w:after="0" w:line="158" w:lineRule="exact"/>
        <w:rPr>
          <w:rFonts w:ascii="Times New Roman" w:cs="Times New Roman" w:eastAsia="Times New Roman" w:hAnsi="Times New Roman"/>
          <w:sz w:val="19"/>
          <w:szCs w:val="19"/>
          <w:color w:val="auto"/>
        </w:rPr>
      </w:pPr>
    </w:p>
    <w:p>
      <w:pPr>
        <w:jc w:val="both"/>
        <w:ind w:right="80" w:firstLine="639"/>
        <w:spacing w:after="0" w:line="272" w:lineRule="auto"/>
        <w:tabs>
          <w:tab w:leader="none" w:pos="1041"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Mandatory Prepayments</w:t>
      </w:r>
      <w:r>
        <w:rPr>
          <w:rFonts w:ascii="Times New Roman" w:cs="Times New Roman" w:eastAsia="Times New Roman" w:hAnsi="Times New Roman"/>
          <w:sz w:val="19"/>
          <w:szCs w:val="19"/>
          <w:color w:val="auto"/>
        </w:rPr>
        <w:t>. If for any reason, the aggregate Revolving Loans exceed the aggregate Revolving Commitments on any date, the Company shall upon notice thereof, within one (1) Business Day from such notice, prepay Loans in an amount necessary to eliminate such excess.</w:t>
      </w:r>
    </w:p>
    <w:p>
      <w:pPr>
        <w:spacing w:after="0" w:line="167" w:lineRule="exact"/>
        <w:rPr>
          <w:rFonts w:ascii="Times New Roman" w:cs="Times New Roman" w:eastAsia="Times New Roman" w:hAnsi="Times New Roman"/>
          <w:sz w:val="19"/>
          <w:szCs w:val="19"/>
          <w:color w:val="auto"/>
        </w:rPr>
      </w:pPr>
    </w:p>
    <w:p>
      <w:pPr>
        <w:ind w:firstLine="639"/>
        <w:spacing w:after="0" w:line="262" w:lineRule="auto"/>
        <w:tabs>
          <w:tab w:leader="none" w:pos="1052"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Prepayments</w:t>
      </w:r>
      <w:r>
        <w:rPr>
          <w:rFonts w:ascii="Times New Roman" w:cs="Times New Roman" w:eastAsia="Times New Roman" w:hAnsi="Times New Roman"/>
          <w:sz w:val="19"/>
          <w:szCs w:val="19"/>
          <w:color w:val="auto"/>
        </w:rPr>
        <w:t>. The Company shall notify the Agent in writing of any optional prepayment of Loans hereunder: (i) in the case of a Term Benchmark Borrowing, not later than 11:00 a.m. (New York City time) three Business Days before the date of such prepayment and (ii) in the case of a Base Rate Borrowing, not later than 11:00 a.m. (New York City time) on the prepayment date. Each such notice shall be irrevocable (provided that such notice may state that it is conditional upon the satisfaction of one or more conditions specified therein) and shall specify the prepayment date. Promptly following receipt of any such notice, the Agent shall advise the Lenders of the contents thereof. Each prepayment of a Revolving Loan shall be applied ratably to the Revolving Loans of each Lender.</w:t>
      </w:r>
    </w:p>
    <w:p>
      <w:pPr>
        <w:spacing w:after="0" w:line="164" w:lineRule="exact"/>
        <w:rPr>
          <w:rFonts w:ascii="Times New Roman" w:cs="Times New Roman" w:eastAsia="Times New Roman" w:hAnsi="Times New Roman"/>
          <w:sz w:val="19"/>
          <w:szCs w:val="19"/>
          <w:color w:val="auto"/>
        </w:rPr>
      </w:pPr>
    </w:p>
    <w:p>
      <w:pPr>
        <w:ind w:right="80" w:firstLine="639"/>
        <w:spacing w:after="0" w:line="279" w:lineRule="auto"/>
        <w:tabs>
          <w:tab w:leader="none" w:pos="1041"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Application of Prepayments of Loans to Base Rate Loans and Term Benchmark Loans</w:t>
      </w:r>
      <w:r>
        <w:rPr>
          <w:rFonts w:ascii="Times New Roman" w:cs="Times New Roman" w:eastAsia="Times New Roman" w:hAnsi="Times New Roman"/>
          <w:sz w:val="19"/>
          <w:szCs w:val="19"/>
          <w:color w:val="auto"/>
        </w:rPr>
        <w:t xml:space="preserve">. Any prepayment shall be applied first to Base Rate Loans to the full extent thereof before application to Term Benchmark Loans, in each case in a manner which minimizes the amount of any payments required to be made by the Company pursuant to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w:t>
      </w:r>
    </w:p>
    <w:p>
      <w:pPr>
        <w:spacing w:after="0" w:line="14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2.11</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-39-</w:t>
      </w: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140"/>
          </w:cols>
          <w:pgMar w:left="320" w:top="1383" w:right="439" w:bottom="1440" w:gutter="0" w:footer="0" w:header="0"/>
        </w:sectPr>
      </w:pPr>
    </w:p>
    <w:bookmarkStart w:id="115" w:name="page116"/>
    <w:bookmarkEnd w:id="115"/>
    <w:p>
      <w:pPr>
        <w:ind w:left="1040" w:hanging="401"/>
        <w:spacing w:after="0"/>
        <w:tabs>
          <w:tab w:leader="none" w:pos="104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Loans comprising each Base Rate Borrowing shall bear interest at the Base Rate plus the Applicable Margin.</w:t>
      </w:r>
    </w:p>
    <w:p>
      <w:pPr>
        <w:spacing w:after="0" w:line="229" w:lineRule="exact"/>
        <w:rPr>
          <w:rFonts w:ascii="Times New Roman" w:cs="Times New Roman" w:eastAsia="Times New Roman" w:hAnsi="Times New Roman"/>
          <w:sz w:val="19"/>
          <w:szCs w:val="19"/>
          <w:color w:val="auto"/>
        </w:rPr>
      </w:pPr>
    </w:p>
    <w:p>
      <w:pPr>
        <w:ind w:right="40" w:firstLine="639"/>
        <w:spacing w:after="0" w:line="283" w:lineRule="auto"/>
        <w:tabs>
          <w:tab w:leader="none" w:pos="1048"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Loans comprising each Term Benchmark Borrowing shall bear interest in the case of a Term Benchmark Loan, at the Adjusted Term SOFR Rate for the Interest Period in effect for such Borrowing plus the Applicable Margin.</w:t>
      </w:r>
    </w:p>
    <w:p>
      <w:pPr>
        <w:spacing w:after="0" w:line="157" w:lineRule="exact"/>
        <w:rPr>
          <w:rFonts w:ascii="Times New Roman" w:cs="Times New Roman" w:eastAsia="Times New Roman" w:hAnsi="Times New Roman"/>
          <w:sz w:val="19"/>
          <w:szCs w:val="19"/>
          <w:color w:val="auto"/>
        </w:rPr>
      </w:pPr>
    </w:p>
    <w:p>
      <w:pPr>
        <w:ind w:firstLine="639"/>
        <w:spacing w:after="0" w:line="262" w:lineRule="auto"/>
        <w:tabs>
          <w:tab w:leader="none" w:pos="1041"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if any principal of or interest on any Loan or any fee or other amount payable by the Company hereunder is not paid when due, whether at stated maturity, upon acceleration or otherwise, such overdue amount shall bear interest, after as well as before judgment, at a rate per annum equal to (i) in the case of overdue principal or interest of any Loan, 2% plus the rate otherwise applicable to such Loan as provided in the preceding paragraphs of this Section or (ii) in the case of any other amount, 2% plus the rate applicable to Base Rate Loans as provided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of this Section.</w:t>
      </w:r>
    </w:p>
    <w:p>
      <w:pPr>
        <w:spacing w:after="0" w:line="179" w:lineRule="exact"/>
        <w:rPr>
          <w:rFonts w:ascii="Times New Roman" w:cs="Times New Roman" w:eastAsia="Times New Roman" w:hAnsi="Times New Roman"/>
          <w:sz w:val="19"/>
          <w:szCs w:val="19"/>
          <w:color w:val="auto"/>
        </w:rPr>
      </w:pPr>
    </w:p>
    <w:p>
      <w:pPr>
        <w:ind w:right="100" w:firstLine="639"/>
        <w:spacing w:after="0" w:line="262" w:lineRule="auto"/>
        <w:tabs>
          <w:tab w:leader="none" w:pos="1041"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Accrued interest on each Revolving Loan shall be payable in arrears on each Interest Payment Date for such Revolving Loan and, upon termination of the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interest accrued pursuant to paragraph (c) of this Section shall be payable on demand (i) in the event of any repayment or prepayment of any Loan (other than a prepayment of a Base Rate Revolving Loan prior to the end of the Availability Period), accrued interest on the principal amount repaid or prepaid shall be payable on the date of such repayment or prepayment and (ii) in the event of any conversion of any Term Benchmark Loan prior to the end of the current Interest Period therefor, accrued interest on such Loan shall be payable on the effective date of such conversion.</w:t>
      </w:r>
    </w:p>
    <w:p>
      <w:pPr>
        <w:spacing w:after="0" w:line="164" w:lineRule="exact"/>
        <w:rPr>
          <w:rFonts w:ascii="Times New Roman" w:cs="Times New Roman" w:eastAsia="Times New Roman" w:hAnsi="Times New Roman"/>
          <w:sz w:val="19"/>
          <w:szCs w:val="19"/>
          <w:color w:val="auto"/>
        </w:rPr>
      </w:pPr>
    </w:p>
    <w:p>
      <w:pPr>
        <w:ind w:right="100" w:firstLine="639"/>
        <w:spacing w:after="0" w:line="262" w:lineRule="auto"/>
        <w:tabs>
          <w:tab w:leader="none" w:pos="1041"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computed by reference to the Term SOFR Rate or Daily Simple SOFR hereunder shall be computed on the basis of a year of 360 days. Interest computed by reference to the Base Rate at times when the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Base Rate, Adjusted Term SOFR Rate, Term SOFR Rate, Adjusted Daily Simple SOFR or Daily Simple SOFR shall be determined by the Agent, and such determination shall be conclusive absent manifest error.</w:t>
      </w:r>
    </w:p>
    <w:p>
      <w:pPr>
        <w:spacing w:after="0" w:line="164"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2.12</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1040" w:hanging="401"/>
        <w:spacing w:after="0"/>
        <w:tabs>
          <w:tab w:leader="none" w:pos="1040"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agrees to pay to the Agent, for the benefit of the Lenders having Revolving Commitments, commitment fees equal to</w:t>
      </w:r>
    </w:p>
    <w:p>
      <w:pPr>
        <w:spacing w:after="0" w:line="33" w:lineRule="exact"/>
        <w:rPr>
          <w:rFonts w:ascii="Times New Roman" w:cs="Times New Roman" w:eastAsia="Times New Roman" w:hAnsi="Times New Roman"/>
          <w:sz w:val="19"/>
          <w:szCs w:val="19"/>
          <w:color w:val="auto"/>
        </w:rPr>
      </w:pPr>
    </w:p>
    <w:p>
      <w:pPr>
        <w:ind w:right="240" w:firstLine="6"/>
        <w:spacing w:after="0" w:line="258" w:lineRule="auto"/>
        <w:tabs>
          <w:tab w:leader="none" w:pos="231"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commencing with the date that is ninety-one (91) days after the Effective Date, if the Closing Date has not occurred prior to such date, and ending on the day immediately prior to the Closing Date, (1) the aggregate Revolving Commitments, times (2) the Applicable Revolving Commitment Fee Percentage and (ii) from and after the Closing Date, (1) the actual daily amount by which the Revolving Commitments exceeds the aggregate principal amount of all outstanding Revolving Loans, times (2) the Applicable Revolving Commitment Fee Percentage.</w:t>
      </w:r>
    </w:p>
    <w:p>
      <w:pPr>
        <w:spacing w:after="0" w:line="180" w:lineRule="exact"/>
        <w:rPr>
          <w:sz w:val="20"/>
          <w:szCs w:val="20"/>
          <w:color w:val="auto"/>
        </w:rPr>
      </w:pPr>
    </w:p>
    <w:p>
      <w:pPr>
        <w:ind w:right="60" w:firstLine="633"/>
        <w:spacing w:after="0" w:line="272" w:lineRule="auto"/>
        <w:rPr>
          <w:sz w:val="20"/>
          <w:szCs w:val="20"/>
          <w:color w:val="auto"/>
        </w:rPr>
      </w:pPr>
      <w:r>
        <w:rPr>
          <w:rFonts w:ascii="Times New Roman" w:cs="Times New Roman" w:eastAsia="Times New Roman" w:hAnsi="Times New Roman"/>
          <w:sz w:val="19"/>
          <w:szCs w:val="19"/>
          <w:color w:val="auto"/>
        </w:rPr>
        <w:t xml:space="preserve">All fees referred to in this </w:t>
      </w:r>
      <w:r>
        <w:rPr>
          <w:rFonts w:ascii="Times New Roman" w:cs="Times New Roman" w:eastAsia="Times New Roman" w:hAnsi="Times New Roman"/>
          <w:sz w:val="19"/>
          <w:szCs w:val="19"/>
          <w:u w:val="single" w:color="auto"/>
          <w:color w:val="auto"/>
        </w:rPr>
        <w:t>Section 2.12(a)</w:t>
      </w:r>
      <w:r>
        <w:rPr>
          <w:rFonts w:ascii="Times New Roman" w:cs="Times New Roman" w:eastAsia="Times New Roman" w:hAnsi="Times New Roman"/>
          <w:sz w:val="19"/>
          <w:szCs w:val="19"/>
          <w:color w:val="auto"/>
        </w:rPr>
        <w:t xml:space="preserve"> shall be paid to the Agent at the Agent’s Office and upon receipt, the Agent shall promptly distribute to each such Lender its Pro Rata Share thereof. All fees payable hereunder shall be paid on the dates due and in dollars in immediately available funds. Fees paid shall not be refundable under any circumstances.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16" w:name="page117"/>
    <w:bookmarkEnd w:id="116"/>
    <w:p>
      <w:pPr>
        <w:ind w:left="-20" w:right="60" w:firstLine="639"/>
        <w:spacing w:after="0" w:line="262" w:lineRule="auto"/>
        <w:tabs>
          <w:tab w:leader="none" w:pos="1021"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fees referred to in </w:t>
      </w:r>
      <w:r>
        <w:rPr>
          <w:rFonts w:ascii="Times New Roman" w:cs="Times New Roman" w:eastAsia="Times New Roman" w:hAnsi="Times New Roman"/>
          <w:sz w:val="19"/>
          <w:szCs w:val="19"/>
          <w:u w:val="single" w:color="auto"/>
          <w:color w:val="auto"/>
        </w:rPr>
        <w:t>Section 2.12(a)</w:t>
      </w:r>
      <w:r>
        <w:rPr>
          <w:rFonts w:ascii="Times New Roman" w:cs="Times New Roman" w:eastAsia="Times New Roman" w:hAnsi="Times New Roman"/>
          <w:sz w:val="19"/>
          <w:szCs w:val="19"/>
          <w:color w:val="auto"/>
        </w:rPr>
        <w:t xml:space="preserve"> shall be computed on the basis of a year of 365 days (or 366 days in a leap year) and shall be payable for the actual number of days elapsed. All fees referred to in this </w:t>
      </w:r>
      <w:r>
        <w:rPr>
          <w:rFonts w:ascii="Times New Roman" w:cs="Times New Roman" w:eastAsia="Times New Roman" w:hAnsi="Times New Roman"/>
          <w:sz w:val="19"/>
          <w:szCs w:val="19"/>
          <w:u w:val="single" w:color="auto"/>
          <w:color w:val="auto"/>
        </w:rPr>
        <w:t>Section 2.12(a)</w:t>
      </w:r>
      <w:r>
        <w:rPr>
          <w:rFonts w:ascii="Times New Roman" w:cs="Times New Roman" w:eastAsia="Times New Roman" w:hAnsi="Times New Roman"/>
          <w:sz w:val="19"/>
          <w:szCs w:val="19"/>
          <w:color w:val="auto"/>
        </w:rPr>
        <w:t xml:space="preserve"> shall be calculated pursuant to the second sentence of </w:t>
      </w:r>
      <w:r>
        <w:rPr>
          <w:rFonts w:ascii="Times New Roman" w:cs="Times New Roman" w:eastAsia="Times New Roman" w:hAnsi="Times New Roman"/>
          <w:sz w:val="19"/>
          <w:szCs w:val="19"/>
          <w:u w:val="single" w:color="auto"/>
          <w:color w:val="auto"/>
        </w:rPr>
        <w:t>Section 2.12(a)</w:t>
      </w:r>
      <w:r>
        <w:rPr>
          <w:rFonts w:ascii="Times New Roman" w:cs="Times New Roman" w:eastAsia="Times New Roman" w:hAnsi="Times New Roman"/>
          <w:sz w:val="19"/>
          <w:szCs w:val="19"/>
          <w:color w:val="auto"/>
        </w:rPr>
        <w:t xml:space="preserve"> and shall be payable quarterly in arrears on the last Business Day of March, June, September and December of each year during the Revolving Commitment Period, commencing on the first such date to occur after the earlier of (x) the Closing Date and (y) the date that is ninety-one (91) says after the Effective Date, and on the Revolving Commitment Termination Date.</w:t>
      </w:r>
    </w:p>
    <w:p>
      <w:pPr>
        <w:spacing w:after="0" w:line="179" w:lineRule="exact"/>
        <w:rPr>
          <w:rFonts w:ascii="Times New Roman" w:cs="Times New Roman" w:eastAsia="Times New Roman" w:hAnsi="Times New Roman"/>
          <w:sz w:val="19"/>
          <w:szCs w:val="19"/>
          <w:color w:val="auto"/>
        </w:rPr>
      </w:pPr>
    </w:p>
    <w:p>
      <w:pPr>
        <w:jc w:val="both"/>
        <w:ind w:left="-20" w:right="80" w:firstLine="639"/>
        <w:spacing w:after="0" w:line="272" w:lineRule="auto"/>
        <w:tabs>
          <w:tab w:leader="none" w:pos="1021"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foregoing, the Company shall pay to the Agent, for its own account, fees payable in the amounts and at the times separately agreed upon by the Company and the Agent (including, without limitation, as set forth in any fee letter by and between the Company and the Joint Lead Arrangers). Such fees shall be fully earned when paid and shall not be refundable under any circumstances.</w:t>
      </w:r>
    </w:p>
    <w:p>
      <w:pPr>
        <w:spacing w:after="0" w:line="167" w:lineRule="exact"/>
        <w:rPr>
          <w:sz w:val="20"/>
          <w:szCs w:val="20"/>
          <w:color w:val="auto"/>
        </w:rPr>
      </w:pPr>
    </w:p>
    <w:p>
      <w:pPr>
        <w:ind w:left="620"/>
        <w:spacing w:after="0"/>
        <w:tabs>
          <w:tab w:leader="none" w:pos="1760" w:val="left"/>
        </w:tabs>
        <w:rPr>
          <w:sz w:val="20"/>
          <w:szCs w:val="20"/>
          <w:color w:val="auto"/>
        </w:rPr>
      </w:pPr>
      <w:r>
        <w:rPr>
          <w:rFonts w:ascii="Times New Roman" w:cs="Times New Roman" w:eastAsia="Times New Roman" w:hAnsi="Times New Roman"/>
          <w:sz w:val="19"/>
          <w:szCs w:val="19"/>
          <w:color w:val="auto"/>
        </w:rPr>
        <w:t>Section 2.13</w:t>
        <w:tab/>
        <w:t>[Reserved].</w:t>
      </w:r>
    </w:p>
    <w:p>
      <w:pPr>
        <w:spacing w:after="0" w:line="217" w:lineRule="exact"/>
        <w:rPr>
          <w:sz w:val="20"/>
          <w:szCs w:val="20"/>
          <w:color w:val="auto"/>
        </w:rPr>
      </w:pPr>
    </w:p>
    <w:p>
      <w:pPr>
        <w:ind w:left="620"/>
        <w:spacing w:after="0"/>
        <w:tabs>
          <w:tab w:leader="none" w:pos="1760" w:val="left"/>
        </w:tabs>
        <w:rPr>
          <w:sz w:val="20"/>
          <w:szCs w:val="20"/>
          <w:color w:val="auto"/>
        </w:rPr>
      </w:pPr>
      <w:r>
        <w:rPr>
          <w:rFonts w:ascii="Times New Roman" w:cs="Times New Roman" w:eastAsia="Times New Roman" w:hAnsi="Times New Roman"/>
          <w:sz w:val="19"/>
          <w:szCs w:val="19"/>
          <w:color w:val="auto"/>
        </w:rPr>
        <w:t>Section 2.14</w:t>
      </w:r>
      <w:r>
        <w:rPr>
          <w:sz w:val="20"/>
          <w:szCs w:val="20"/>
          <w:color w:val="auto"/>
        </w:rPr>
        <w:tab/>
      </w:r>
      <w:r>
        <w:rPr>
          <w:rFonts w:ascii="Times New Roman" w:cs="Times New Roman" w:eastAsia="Times New Roman" w:hAnsi="Times New Roman"/>
          <w:sz w:val="19"/>
          <w:szCs w:val="19"/>
          <w:u w:val="single" w:color="auto"/>
          <w:color w:val="auto"/>
        </w:rPr>
        <w:t>Payments Generally</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20" w:right="220" w:firstLine="639"/>
        <w:spacing w:after="0" w:line="262" w:lineRule="auto"/>
        <w:tabs>
          <w:tab w:leader="none" w:pos="101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payments to be made by the Company under the Loan Documents shall be made without condition or deduction for any defense, set-off, recoupment or counterclaim. Except as otherwise expressly provided in any Loan Document, all payments to be made by the Company under any Loan Document shall be made to the Agent for the account of the Lenders at the Agent’s Office, and shall be made in dollars and in immediately available funds, no later than 3:00 p.m. (New York City time) on the date specified in such Loan Document. The Agent will promptly distribute to each Lender under the applicable Facility its Pro Rata Share (or other applicable share as expressly provided herein) of such payment in like funds as received. Any payment received by the Agent later than 3:00 p.m. (New York City time) shall be deemed to have been received on the following Business Day and any applicable interest or fee shall continue to accrue.</w:t>
      </w:r>
    </w:p>
    <w:p>
      <w:pPr>
        <w:spacing w:after="0" w:line="159" w:lineRule="exact"/>
        <w:rPr>
          <w:rFonts w:ascii="Times New Roman" w:cs="Times New Roman" w:eastAsia="Times New Roman" w:hAnsi="Times New Roman"/>
          <w:sz w:val="19"/>
          <w:szCs w:val="19"/>
          <w:color w:val="auto"/>
        </w:rPr>
      </w:pPr>
    </w:p>
    <w:p>
      <w:pPr>
        <w:ind w:left="-20" w:right="20" w:firstLine="639"/>
        <w:spacing w:after="0" w:line="274" w:lineRule="auto"/>
        <w:tabs>
          <w:tab w:leader="none" w:pos="1032"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provisions set forth in the definition of “</w:t>
      </w:r>
      <w:r>
        <w:rPr>
          <w:rFonts w:ascii="Times New Roman" w:cs="Times New Roman" w:eastAsia="Times New Roman" w:hAnsi="Times New Roman"/>
          <w:sz w:val="19"/>
          <w:szCs w:val="19"/>
          <w:b w:val="1"/>
          <w:bCs w:val="1"/>
          <w:color w:val="auto"/>
        </w:rPr>
        <w:t>Interest Period</w:t>
      </w:r>
      <w:r>
        <w:rPr>
          <w:rFonts w:ascii="Times New Roman" w:cs="Times New Roman" w:eastAsia="Times New Roman" w:hAnsi="Times New Roman"/>
          <w:sz w:val="19"/>
          <w:szCs w:val="19"/>
          <w:color w:val="auto"/>
        </w:rPr>
        <w:t>” herein, whenever any payment is due on a day other than a Business Day, such payment shall be made on the following Business Day, and such extension of time shall in such case be included in the computation of interest or fees, as the case may be.</w:t>
      </w:r>
    </w:p>
    <w:p>
      <w:pPr>
        <w:spacing w:after="0" w:line="165" w:lineRule="exact"/>
        <w:rPr>
          <w:rFonts w:ascii="Times New Roman" w:cs="Times New Roman" w:eastAsia="Times New Roman" w:hAnsi="Times New Roman"/>
          <w:sz w:val="19"/>
          <w:szCs w:val="19"/>
          <w:color w:val="auto"/>
        </w:rPr>
      </w:pPr>
    </w:p>
    <w:p>
      <w:pPr>
        <w:ind w:left="-20" w:right="80" w:firstLine="639"/>
        <w:spacing w:after="0" w:line="262" w:lineRule="auto"/>
        <w:tabs>
          <w:tab w:leader="none" w:pos="1021"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Company or any Lender has notified the Agent, prior to the date any payment is required to be made by it to the Agent hereunder, that the Company or such Lender, as the case may be, will not make such payment, the Agent may assume that the Company or such Lender, as the case may be, has timely made such payment and may (but shall not be so required to), in reliance thereon, make available a corresponding amount to the Person entitled thereto. If and to the extent that such payment was not in fact made to the Agent in immediately available funds, then:</w:t>
      </w:r>
    </w:p>
    <w:p>
      <w:pPr>
        <w:spacing w:after="0" w:line="179" w:lineRule="exact"/>
        <w:rPr>
          <w:rFonts w:ascii="Times New Roman" w:cs="Times New Roman" w:eastAsia="Times New Roman" w:hAnsi="Times New Roman"/>
          <w:sz w:val="19"/>
          <w:szCs w:val="19"/>
          <w:color w:val="auto"/>
        </w:rPr>
      </w:pPr>
    </w:p>
    <w:p>
      <w:pPr>
        <w:jc w:val="both"/>
        <w:ind w:left="600" w:firstLine="889"/>
        <w:spacing w:after="0" w:line="268" w:lineRule="auto"/>
        <w:tabs>
          <w:tab w:leader="none" w:pos="1862"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failed to make such payment, each applicable Lender shall forthwith on demand repay to the Agent the portion of such assumed payment that was made available to such Lender in immediately available funds, together with interest thereon in respect of each day from and including the date such amount was made available by the Agent to such Lender to the date such amount is repaid to the Agent in immediately available funds at the Federal Funds Rate from time to time in effect; and</w:t>
      </w:r>
    </w:p>
    <w:p>
      <w:pPr>
        <w:spacing w:after="0" w:line="158" w:lineRule="exact"/>
        <w:rPr>
          <w:rFonts w:ascii="Times New Roman" w:cs="Times New Roman" w:eastAsia="Times New Roman" w:hAnsi="Times New Roman"/>
          <w:sz w:val="19"/>
          <w:szCs w:val="19"/>
          <w:color w:val="auto"/>
        </w:rPr>
      </w:pPr>
    </w:p>
    <w:p>
      <w:pPr>
        <w:ind w:left="600" w:firstLine="889"/>
        <w:spacing w:after="0" w:line="297" w:lineRule="auto"/>
        <w:tabs>
          <w:tab w:leader="none" w:pos="1915"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failed to make such payment, such Lender shall forthwith on demand pay to the Agent the amount thereof in immediately available funds, together 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40" w:top="1383" w:right="359" w:bottom="1440" w:gutter="0" w:footer="0" w:header="0"/>
        </w:sectPr>
      </w:pPr>
    </w:p>
    <w:bookmarkStart w:id="117" w:name="page118"/>
    <w:bookmarkEnd w:id="117"/>
    <w:p>
      <w:pPr>
        <w:ind w:left="620" w:right="20"/>
        <w:spacing w:after="0" w:line="259" w:lineRule="auto"/>
        <w:rPr>
          <w:sz w:val="20"/>
          <w:szCs w:val="20"/>
          <w:color w:val="auto"/>
        </w:rPr>
      </w:pPr>
      <w:r>
        <w:rPr>
          <w:rFonts w:ascii="Times New Roman" w:cs="Times New Roman" w:eastAsia="Times New Roman" w:hAnsi="Times New Roman"/>
          <w:sz w:val="19"/>
          <w:szCs w:val="19"/>
          <w:color w:val="auto"/>
        </w:rPr>
        <w:t>interest thereon for the period from the date such amount was made available by the Agent to the Company to the date such amount is recovered by the Agent (the “</w:t>
      </w:r>
      <w:r>
        <w:rPr>
          <w:rFonts w:ascii="Times New Roman" w:cs="Times New Roman" w:eastAsia="Times New Roman" w:hAnsi="Times New Roman"/>
          <w:sz w:val="19"/>
          <w:szCs w:val="19"/>
          <w:b w:val="1"/>
          <w:bCs w:val="1"/>
          <w:color w:val="auto"/>
        </w:rPr>
        <w:t>Compensation Period</w:t>
      </w:r>
      <w:r>
        <w:rPr>
          <w:rFonts w:ascii="Times New Roman" w:cs="Times New Roman" w:eastAsia="Times New Roman" w:hAnsi="Times New Roman"/>
          <w:sz w:val="19"/>
          <w:szCs w:val="19"/>
          <w:color w:val="auto"/>
        </w:rPr>
        <w:t xml:space="preserve">”) at the customary rate set by the Agent for the correction of errors among banks for three Business Days and thereafter at the Base Rate. If such Lender pays such amount to the Agent, then such amount shall constitute such Lender’s Loan included in the applicable Credit Extension. If such Lender does not pay such amount forthwith upon the Agent’s demand therefor, the Agent may make a demand therefor upon the Company, and the Company shall pay such amount to the Agent, together with interest thereon for the Compensation Period at a rate </w:t>
      </w:r>
      <w:r>
        <w:rPr>
          <w:rFonts w:ascii="Times New Roman" w:cs="Times New Roman" w:eastAsia="Times New Roman" w:hAnsi="Times New Roman"/>
          <w:sz w:val="19"/>
          <w:szCs w:val="19"/>
          <w:i w:val="1"/>
          <w:iCs w:val="1"/>
          <w:color w:val="auto"/>
        </w:rPr>
        <w:t>per annum</w:t>
      </w:r>
      <w:r>
        <w:rPr>
          <w:rFonts w:ascii="Times New Roman" w:cs="Times New Roman" w:eastAsia="Times New Roman" w:hAnsi="Times New Roman"/>
          <w:sz w:val="19"/>
          <w:szCs w:val="19"/>
          <w:color w:val="auto"/>
        </w:rPr>
        <w:t xml:space="preserve"> equal to the applicable rate for Base Rate Loans to the applicable Credit Extension. Nothing herein shall be deemed to relieve any Lender from its obligation to fulfill its Commitments or to prejudice any rights that the Agent or the Company may have against any Lender as a result of any default by such Lender hereunder.</w:t>
      </w:r>
    </w:p>
    <w:p>
      <w:pPr>
        <w:spacing w:after="0" w:line="184" w:lineRule="exact"/>
        <w:rPr>
          <w:sz w:val="20"/>
          <w:szCs w:val="20"/>
          <w:color w:val="auto"/>
        </w:rPr>
      </w:pPr>
    </w:p>
    <w:p>
      <w:pPr>
        <w:ind w:right="320" w:firstLine="633"/>
        <w:spacing w:after="0" w:line="283" w:lineRule="auto"/>
        <w:rPr>
          <w:sz w:val="20"/>
          <w:szCs w:val="20"/>
          <w:color w:val="auto"/>
        </w:rPr>
      </w:pPr>
      <w:r>
        <w:rPr>
          <w:rFonts w:ascii="Times New Roman" w:cs="Times New Roman" w:eastAsia="Times New Roman" w:hAnsi="Times New Roman"/>
          <w:sz w:val="19"/>
          <w:szCs w:val="19"/>
          <w:color w:val="auto"/>
        </w:rPr>
        <w:t xml:space="preserve">A notice of the Agent to any Lender or the Company with respect to any amount owing under this </w:t>
      </w:r>
      <w:r>
        <w:rPr>
          <w:rFonts w:ascii="Times New Roman" w:cs="Times New Roman" w:eastAsia="Times New Roman" w:hAnsi="Times New Roman"/>
          <w:sz w:val="19"/>
          <w:szCs w:val="19"/>
          <w:u w:val="single" w:color="auto"/>
          <w:color w:val="auto"/>
        </w:rPr>
        <w:t>subsection (c)</w:t>
      </w:r>
      <w:r>
        <w:rPr>
          <w:rFonts w:ascii="Times New Roman" w:cs="Times New Roman" w:eastAsia="Times New Roman" w:hAnsi="Times New Roman"/>
          <w:sz w:val="19"/>
          <w:szCs w:val="19"/>
          <w:color w:val="auto"/>
        </w:rPr>
        <w:t xml:space="preserve"> shall be conclusive, absent manifest error.</w:t>
      </w:r>
    </w:p>
    <w:p>
      <w:pPr>
        <w:spacing w:after="0" w:line="157" w:lineRule="exact"/>
        <w:rPr>
          <w:sz w:val="20"/>
          <w:szCs w:val="20"/>
          <w:color w:val="auto"/>
        </w:rPr>
      </w:pPr>
    </w:p>
    <w:p>
      <w:pPr>
        <w:jc w:val="both"/>
        <w:ind w:right="100" w:firstLine="639"/>
        <w:spacing w:after="0" w:line="268" w:lineRule="auto"/>
        <w:tabs>
          <w:tab w:leader="none" w:pos="1052"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makes available to the Agent funds for any Loan to be made by such Lender as provided in the foregoing provisions of this </w:t>
      </w:r>
      <w:r>
        <w:rPr>
          <w:rFonts w:ascii="Times New Roman" w:cs="Times New Roman" w:eastAsia="Times New Roman" w:hAnsi="Times New Roman"/>
          <w:sz w:val="19"/>
          <w:szCs w:val="19"/>
          <w:u w:val="single" w:color="auto"/>
          <w:color w:val="auto"/>
        </w:rPr>
        <w:t>Article 2</w:t>
      </w:r>
      <w:r>
        <w:rPr>
          <w:rFonts w:ascii="Times New Roman" w:cs="Times New Roman" w:eastAsia="Times New Roman" w:hAnsi="Times New Roman"/>
          <w:sz w:val="19"/>
          <w:szCs w:val="19"/>
          <w:color w:val="auto"/>
        </w:rPr>
        <w:t xml:space="preserve">, and such funds are not made available to the Company by the Agent because the conditions to the extension of Loans set forth in </w:t>
      </w:r>
      <w:r>
        <w:rPr>
          <w:rFonts w:ascii="Times New Roman" w:cs="Times New Roman" w:eastAsia="Times New Roman" w:hAnsi="Times New Roman"/>
          <w:sz w:val="19"/>
          <w:szCs w:val="19"/>
          <w:u w:val="single" w:color="auto"/>
          <w:color w:val="auto"/>
        </w:rPr>
        <w:t>Article 4</w:t>
      </w:r>
      <w:r>
        <w:rPr>
          <w:rFonts w:ascii="Times New Roman" w:cs="Times New Roman" w:eastAsia="Times New Roman" w:hAnsi="Times New Roman"/>
          <w:sz w:val="19"/>
          <w:szCs w:val="19"/>
          <w:color w:val="auto"/>
        </w:rPr>
        <w:t xml:space="preserve"> are not satisfied or waived in accordance with the terms hereof, the Agent shall return such funds (in like funds as received from such Lender) to such Lender, without interest.</w:t>
      </w:r>
    </w:p>
    <w:p>
      <w:pPr>
        <w:spacing w:after="0" w:line="158" w:lineRule="exact"/>
        <w:rPr>
          <w:rFonts w:ascii="Times New Roman" w:cs="Times New Roman" w:eastAsia="Times New Roman" w:hAnsi="Times New Roman"/>
          <w:sz w:val="19"/>
          <w:szCs w:val="19"/>
          <w:color w:val="auto"/>
        </w:rPr>
      </w:pPr>
    </w:p>
    <w:p>
      <w:pPr>
        <w:ind w:right="140" w:firstLine="639"/>
        <w:spacing w:after="0" w:line="279" w:lineRule="auto"/>
        <w:tabs>
          <w:tab w:leader="none" w:pos="1037"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of the Lenders hereunder to make Loans are several and not joint. The failure of any Lender to make any Loan on any date required hereunder shall not relieve any other Lender of its corresponding obligation to do so on such date, and no Lender shall be responsible for the failure of any other Lender to so make its Loan.</w:t>
      </w:r>
    </w:p>
    <w:p>
      <w:pPr>
        <w:spacing w:after="0" w:line="148" w:lineRule="exact"/>
        <w:rPr>
          <w:rFonts w:ascii="Times New Roman" w:cs="Times New Roman" w:eastAsia="Times New Roman" w:hAnsi="Times New Roman"/>
          <w:sz w:val="19"/>
          <w:szCs w:val="19"/>
          <w:color w:val="auto"/>
        </w:rPr>
      </w:pPr>
    </w:p>
    <w:p>
      <w:pPr>
        <w:ind w:right="400" w:firstLine="639"/>
        <w:spacing w:after="0" w:line="297" w:lineRule="auto"/>
        <w:tabs>
          <w:tab w:leader="none" w:pos="1019"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32"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2.15</w:t>
      </w:r>
      <w:r>
        <w:rPr>
          <w:sz w:val="20"/>
          <w:szCs w:val="20"/>
          <w:color w:val="auto"/>
        </w:rPr>
        <w:tab/>
      </w:r>
      <w:r>
        <w:rPr>
          <w:rFonts w:ascii="Times New Roman" w:cs="Times New Roman" w:eastAsia="Times New Roman" w:hAnsi="Times New Roman"/>
          <w:sz w:val="19"/>
          <w:szCs w:val="19"/>
          <w:u w:val="single" w:color="auto"/>
          <w:color w:val="auto"/>
        </w:rPr>
        <w:t>Sharing of Payments by Lenders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160" w:firstLine="639"/>
        <w:spacing w:after="0" w:line="261" w:lineRule="auto"/>
        <w:tabs>
          <w:tab w:leader="none" w:pos="1041"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shall, by exercising any right of setoff or counterclaim or otherwise, obtain payment (a) on account of any Obligations due and payable hereunder and under the other Loan Documents at such time resulting in such Lender receiving payment in excess of its ratable share (calculated according to the proportion of (i) the amount of such Obligations due and payable to such Lender at such time to</w:t>
      </w:r>
    </w:p>
    <w:p>
      <w:pPr>
        <w:spacing w:after="0" w:line="1" w:lineRule="exact"/>
        <w:rPr>
          <w:rFonts w:ascii="Times New Roman" w:cs="Times New Roman" w:eastAsia="Times New Roman" w:hAnsi="Times New Roman"/>
          <w:sz w:val="19"/>
          <w:szCs w:val="19"/>
          <w:color w:val="auto"/>
        </w:rPr>
      </w:pPr>
    </w:p>
    <w:p>
      <w:pPr>
        <w:ind w:firstLine="6"/>
        <w:spacing w:after="0" w:line="256" w:lineRule="auto"/>
        <w:tabs>
          <w:tab w:leader="none" w:pos="284"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of or on account of any of Obligations owing (but not due and payable) to such Lender hereunder and under the other Loan Documents at such time in excess of its ratable share (calculated according to the proportion of (i) the amount of such Obligations owing (but not due and payable) to such Lender at such time to (ii) the aggregate amount of Obligations owing (but not due and payable) to all Lenders hereunder and under the other Loan Documents at such time) of payments on account of Obligations owing (but not due and payable) to all Lenders hereunder and under the other Loan Documents at such time obtained by all the Lenders at such time, then in each case, such Lender shall (x) notify the Agent of such fact, and (y) purchase (for cash at face value) participations in the Obligations of the other Lenders due and payable or owing, as the case may be, or make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-42-</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9"/>
          <w:szCs w:val="19"/>
          <w:color w:val="auto"/>
        </w:rPr>
        <w:t xml:space="preserve">adjustments as shall be equitable, so that the benefit of such excess payments shall be shared by all such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30" w:lineRule="exact"/>
        <w:rPr>
          <w:sz w:val="20"/>
          <w:szCs w:val="20"/>
          <w:color w:val="auto"/>
        </w:rPr>
      </w:pPr>
    </w:p>
    <w:p>
      <w:pPr>
        <w:ind w:left="620" w:right="440" w:firstLine="889"/>
        <w:spacing w:after="0" w:line="283" w:lineRule="auto"/>
        <w:tabs>
          <w:tab w:leader="none" w:pos="1882"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57" w:lineRule="exact"/>
        <w:rPr>
          <w:rFonts w:ascii="Times New Roman" w:cs="Times New Roman" w:eastAsia="Times New Roman" w:hAnsi="Times New Roman"/>
          <w:sz w:val="19"/>
          <w:szCs w:val="19"/>
          <w:color w:val="auto"/>
        </w:rPr>
      </w:pPr>
    </w:p>
    <w:p>
      <w:pPr>
        <w:jc w:val="both"/>
        <w:ind w:left="620" w:right="40" w:firstLine="889"/>
        <w:spacing w:after="0" w:line="268" w:lineRule="auto"/>
        <w:tabs>
          <w:tab w:leader="none" w:pos="1935"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provisions of this Section shall not be construed to apply to (1) any payment made by the Company pursuant to and in accordance with the express terms of this Agreement or (2) any payment obtained by a Lender as consideration for the assignment of or sale of a participation in any of its Loans to any assignee or participant, including to the Company or any Subsidiary thereof pursuant to </w:t>
      </w:r>
      <w:r>
        <w:rPr>
          <w:rFonts w:ascii="Times New Roman" w:cs="Times New Roman" w:eastAsia="Times New Roman" w:hAnsi="Times New Roman"/>
          <w:sz w:val="19"/>
          <w:szCs w:val="19"/>
          <w:u w:val="single" w:color="auto"/>
          <w:color w:val="auto"/>
        </w:rPr>
        <w:t>Section 10.07(c)</w:t>
      </w:r>
      <w:r>
        <w:rPr>
          <w:rFonts w:ascii="Times New Roman" w:cs="Times New Roman" w:eastAsia="Times New Roman" w:hAnsi="Times New Roman"/>
          <w:sz w:val="19"/>
          <w:szCs w:val="19"/>
          <w:color w:val="auto"/>
        </w:rPr>
        <w:t>.</w:t>
      </w:r>
    </w:p>
    <w:p>
      <w:pPr>
        <w:spacing w:after="0" w:line="158" w:lineRule="exact"/>
        <w:rPr>
          <w:rFonts w:ascii="Times New Roman" w:cs="Times New Roman" w:eastAsia="Times New Roman" w:hAnsi="Times New Roman"/>
          <w:sz w:val="19"/>
          <w:szCs w:val="19"/>
          <w:color w:val="auto"/>
        </w:rPr>
      </w:pPr>
    </w:p>
    <w:p>
      <w:pPr>
        <w:ind w:right="40" w:firstLine="639"/>
        <w:spacing w:after="0" w:line="268" w:lineRule="auto"/>
        <w:tabs>
          <w:tab w:leader="none" w:pos="1048"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consents to the foregoing and agrees, to the extent it may effectively do so under applicable law, that any Lender acquiring a participation pursuant to the foregoing arrangements may exercise against the Company rights of setoff and counterclaim (subject to </w:t>
      </w:r>
      <w:r>
        <w:rPr>
          <w:rFonts w:ascii="Times New Roman" w:cs="Times New Roman" w:eastAsia="Times New Roman" w:hAnsi="Times New Roman"/>
          <w:sz w:val="19"/>
          <w:szCs w:val="19"/>
          <w:u w:val="single" w:color="auto"/>
          <w:color w:val="auto"/>
        </w:rPr>
        <w:t>Section 10.09</w:t>
      </w:r>
      <w:r>
        <w:rPr>
          <w:rFonts w:ascii="Times New Roman" w:cs="Times New Roman" w:eastAsia="Times New Roman" w:hAnsi="Times New Roman"/>
          <w:sz w:val="19"/>
          <w:szCs w:val="19"/>
          <w:color w:val="auto"/>
        </w:rPr>
        <w:t>) with respect to such participation as fully as if such Lender were a direct creditor of the Company in the amount of such participation.</w:t>
      </w:r>
    </w:p>
    <w:p>
      <w:pPr>
        <w:spacing w:after="0" w:line="172"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2.16</w:t>
      </w:r>
      <w:r>
        <w:rPr>
          <w:sz w:val="20"/>
          <w:szCs w:val="20"/>
          <w:color w:val="auto"/>
        </w:rPr>
        <w:tab/>
      </w:r>
      <w:r>
        <w:rPr>
          <w:rFonts w:ascii="Times New Roman" w:cs="Times New Roman" w:eastAsia="Times New Roman" w:hAnsi="Times New Roman"/>
          <w:sz w:val="19"/>
          <w:szCs w:val="19"/>
          <w:u w:val="single" w:color="auto"/>
          <w:color w:val="auto"/>
        </w:rPr>
        <w:t>Incremental Facilities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firstLine="639"/>
        <w:spacing w:after="0" w:line="257" w:lineRule="auto"/>
        <w:tabs>
          <w:tab w:leader="none" w:pos="1037"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by written notice to the Agent (A) from time to time following the Closing Date and prior to the Revolving Commitment Termination Date, request one or more increases to the then-existing Revolving Commitments (any such increase, “</w:t>
      </w:r>
      <w:r>
        <w:rPr>
          <w:rFonts w:ascii="Times New Roman" w:cs="Times New Roman" w:eastAsia="Times New Roman" w:hAnsi="Times New Roman"/>
          <w:sz w:val="19"/>
          <w:szCs w:val="19"/>
          <w:b w:val="1"/>
          <w:bCs w:val="1"/>
          <w:color w:val="auto"/>
        </w:rPr>
        <w:t>New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Revolving Commitments</w:t>
      </w:r>
      <w:r>
        <w:rPr>
          <w:rFonts w:ascii="Times New Roman" w:cs="Times New Roman" w:eastAsia="Times New Roman" w:hAnsi="Times New Roman"/>
          <w:sz w:val="19"/>
          <w:szCs w:val="19"/>
          <w:color w:val="auto"/>
        </w:rPr>
        <w:t>,” and the loans made pursuant thereto, “</w:t>
      </w:r>
      <w:r>
        <w:rPr>
          <w:rFonts w:ascii="Times New Roman" w:cs="Times New Roman" w:eastAsia="Times New Roman" w:hAnsi="Times New Roman"/>
          <w:sz w:val="19"/>
          <w:szCs w:val="19"/>
          <w:b w:val="1"/>
          <w:bCs w:val="1"/>
          <w:color w:val="auto"/>
        </w:rPr>
        <w:t>New Revolving Loans</w:t>
      </w:r>
      <w:r>
        <w:rPr>
          <w:rFonts w:ascii="Times New Roman" w:cs="Times New Roman" w:eastAsia="Times New Roman" w:hAnsi="Times New Roman"/>
          <w:sz w:val="19"/>
          <w:szCs w:val="19"/>
          <w:color w:val="auto"/>
        </w:rPr>
        <w:t>”) in an aggregate amount not in excess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$125,000,000 for all such increases following the Closing Date. Each such notice shall specify the date (each, an “</w:t>
      </w:r>
      <w:r>
        <w:rPr>
          <w:rFonts w:ascii="Times New Roman" w:cs="Times New Roman" w:eastAsia="Times New Roman" w:hAnsi="Times New Roman"/>
          <w:sz w:val="19"/>
          <w:szCs w:val="19"/>
          <w:b w:val="1"/>
          <w:bCs w:val="1"/>
          <w:color w:val="auto"/>
        </w:rPr>
        <w:t>Increased Amount Date</w:t>
      </w:r>
      <w:r>
        <w:rPr>
          <w:rFonts w:ascii="Times New Roman" w:cs="Times New Roman" w:eastAsia="Times New Roman" w:hAnsi="Times New Roman"/>
          <w:sz w:val="19"/>
          <w:szCs w:val="19"/>
          <w:color w:val="auto"/>
        </w:rPr>
        <w:t>”) on which the Company proposes that the New Revolving Commitments shall be effective and the identity of each Lender or other Person that is an Eligible Assignee (each, a “</w:t>
      </w:r>
      <w:r>
        <w:rPr>
          <w:rFonts w:ascii="Times New Roman" w:cs="Times New Roman" w:eastAsia="Times New Roman" w:hAnsi="Times New Roman"/>
          <w:sz w:val="19"/>
          <w:szCs w:val="19"/>
          <w:b w:val="1"/>
          <w:bCs w:val="1"/>
          <w:color w:val="auto"/>
        </w:rPr>
        <w:t>New Revolving Loan Lender</w:t>
      </w:r>
      <w:r>
        <w:rPr>
          <w:rFonts w:ascii="Times New Roman" w:cs="Times New Roman" w:eastAsia="Times New Roman" w:hAnsi="Times New Roman"/>
          <w:sz w:val="19"/>
          <w:szCs w:val="19"/>
          <w:color w:val="auto"/>
        </w:rPr>
        <w:t xml:space="preserve">”) to whom the Company proposes any portion of such New Revolving Commitments be allocated and the amounts of such allocations. If the Company elects to request that the Agent arrange the New Revolving Commitments, the Agent may elect or decline to arrange such New Revolving Commitments in its sole discretion, and any Lender approached to provide all or a portion of the New Revolving Commitments may elect or decline, in its sole discretion, to provide a New Revolving Commitment. Such New Revolving Commitments, shall become effective as of such Increased Amount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(1) no Default or Event of Default shall exist on such Increased Amount Date immediately before or after giving effect to such New Revolving Commitments; and (2) the Company shall deliver or cause to be delivered officer’s certificates and legal opinions substantially similar to those delivered on the Effective Date (as they may apply to such a transaction) to the extent reasonably requested by the Agent in connection with any such transaction.</w:t>
      </w:r>
    </w:p>
    <w:p>
      <w:pPr>
        <w:spacing w:after="0" w:line="189" w:lineRule="exact"/>
        <w:rPr>
          <w:rFonts w:ascii="Times New Roman" w:cs="Times New Roman" w:eastAsia="Times New Roman" w:hAnsi="Times New Roman"/>
          <w:sz w:val="19"/>
          <w:szCs w:val="19"/>
          <w:color w:val="auto"/>
        </w:rPr>
      </w:pPr>
    </w:p>
    <w:p>
      <w:pPr>
        <w:ind w:right="80" w:firstLine="639"/>
        <w:spacing w:after="0" w:line="262" w:lineRule="auto"/>
        <w:tabs>
          <w:tab w:leader="none" w:pos="1041"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New Revolving Commitments shall be effected pursuant to one or more Joinder Agreements executed and delivered by the Company, the New Revolving Loan Lender(s) and the Agent, each of which shall be recorded in the Register. Each Joinder Agreement may, without the consent of any other Lenders, effect such amendments to this Agreement and the other Loan Documents as may be necessary or appropriate, in the opinion of the Agent, to effect the provisions of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Each New Revolving Commitment shall be deemed for all purposes a Revolving Commitment, each New Revolving Loan shall be deemed for all purposes a Revolving Loan, and each New Revolving Loan Lender shall become a Lender hereunder. This </w:t>
      </w:r>
      <w:r>
        <w:rPr>
          <w:rFonts w:ascii="Times New Roman" w:cs="Times New Roman" w:eastAsia="Times New Roman" w:hAnsi="Times New Roman"/>
          <w:sz w:val="19"/>
          <w:szCs w:val="19"/>
          <w:u w:val="single" w:color="auto"/>
          <w:color w:val="auto"/>
        </w:rPr>
        <w:t>Section 2.16(b)</w:t>
      </w:r>
      <w:r>
        <w:rPr>
          <w:rFonts w:ascii="Times New Roman" w:cs="Times New Roman" w:eastAsia="Times New Roman" w:hAnsi="Times New Roman"/>
          <w:sz w:val="19"/>
          <w:szCs w:val="19"/>
          <w:color w:val="auto"/>
        </w:rPr>
        <w:t xml:space="preserve"> shall supersede any provisions of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10.01</w:t>
      </w:r>
      <w:r>
        <w:rPr>
          <w:rFonts w:ascii="Times New Roman" w:cs="Times New Roman" w:eastAsia="Times New Roman" w:hAnsi="Times New Roman"/>
          <w:sz w:val="19"/>
          <w:szCs w:val="19"/>
          <w:color w:val="auto"/>
        </w:rPr>
        <w:t xml:space="preserve"> to the contrary.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-43-</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20" w:top="1383" w:right="379" w:bottom="1440" w:gutter="0" w:footer="0" w:header="0"/>
        </w:sectPr>
      </w:pPr>
    </w:p>
    <w:bookmarkStart w:id="119" w:name="page120"/>
    <w:bookmarkEnd w:id="119"/>
    <w:p>
      <w:pPr>
        <w:ind w:left="-20" w:right="180" w:firstLine="639"/>
        <w:spacing w:after="0" w:line="262" w:lineRule="auto"/>
        <w:tabs>
          <w:tab w:leader="none" w:pos="1021"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any Increased Amount Date on which New Revolving Commitments are effected, subject to the satisfaction of the foregoing terms and conditions, each of the existing Revolving Loan Lenders shall assign to each of the New Revolving Loan Lenders, and each of the New Revolving Loan Lenders shall purchase from each of the existing Revolving Loan Lenders, at the principal amount thereof (together with accrued interest), such interests in the Revolving Loans outstanding on such Increased Amount Date as shall be necessary in order that, after giving effect to all such assignments and purchases, such Revolving Loans will be held by then-existing Revolving Loan Lenders and New Revolving Loan Lenders ratably in accordance with their Revolving Commitments after giving effect to the addition of such New Revolving Commitments to the Revolving Commitments.</w:t>
      </w:r>
    </w:p>
    <w:p>
      <w:pPr>
        <w:spacing w:after="0" w:line="163" w:lineRule="exact"/>
        <w:rPr>
          <w:rFonts w:ascii="Times New Roman" w:cs="Times New Roman" w:eastAsia="Times New Roman" w:hAnsi="Times New Roman"/>
          <w:sz w:val="19"/>
          <w:szCs w:val="19"/>
          <w:color w:val="auto"/>
        </w:rPr>
      </w:pPr>
    </w:p>
    <w:p>
      <w:pPr>
        <w:ind w:left="-20" w:right="60" w:firstLine="639"/>
        <w:spacing w:after="0" w:line="268" w:lineRule="auto"/>
        <w:tabs>
          <w:tab w:leader="none" w:pos="1028"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Agent shall notify Lenders promptly upon receipt of the Company’s notice of each Increased Amount Date and in respect thereof (y) the New Revolving Commitments and the New Revolving Loan Lenders, and (z) in the case of each notice to any Revolving Loan Lender, the respective interests in such Revolving Loan Lender’s Revolving Loans, in each case subject to the assignments contemplated by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left="620"/>
        <w:spacing w:after="0"/>
        <w:tabs>
          <w:tab w:leader="none" w:pos="1760" w:val="left"/>
        </w:tabs>
        <w:rPr>
          <w:sz w:val="20"/>
          <w:szCs w:val="20"/>
          <w:color w:val="auto"/>
        </w:rPr>
      </w:pPr>
      <w:r>
        <w:rPr>
          <w:rFonts w:ascii="Times New Roman" w:cs="Times New Roman" w:eastAsia="Times New Roman" w:hAnsi="Times New Roman"/>
          <w:sz w:val="19"/>
          <w:szCs w:val="19"/>
          <w:color w:val="auto"/>
        </w:rPr>
        <w:t>Section 2.17</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20" w:firstLine="639"/>
        <w:spacing w:after="0" w:line="256" w:lineRule="auto"/>
        <w:tabs>
          <w:tab w:leader="none" w:pos="1021"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w:t>
      </w:r>
      <w:r>
        <w:rPr>
          <w:rFonts w:ascii="Times New Roman" w:cs="Times New Roman" w:eastAsia="Times New Roman" w:hAnsi="Times New Roman"/>
          <w:sz w:val="19"/>
          <w:szCs w:val="19"/>
          <w:u w:val="single" w:color="auto"/>
          <w:color w:val="auto"/>
        </w:rPr>
        <w:t>Defaulting Lender Waterfall</w:t>
      </w:r>
      <w:r>
        <w:rPr>
          <w:rFonts w:ascii="Times New Roman" w:cs="Times New Roman" w:eastAsia="Times New Roman" w:hAnsi="Times New Roman"/>
          <w:sz w:val="19"/>
          <w:szCs w:val="19"/>
          <w:color w:val="auto"/>
        </w:rPr>
        <w:t xml:space="preserve">. Notwithstanding anything to the contrary contained in this Agreement, if any Lender becomes a Defaulting Lender, then, until such time as such Lender is no longer a Defaulting Lender, to the extent permitted by applicable law, any payment of principal, interest, fees or other amounts received by the Agent for the account of such Defaulting Lender (whether voluntary or mandatory, at maturity, pursuant to </w:t>
      </w:r>
      <w:r>
        <w:rPr>
          <w:rFonts w:ascii="Times New Roman" w:cs="Times New Roman" w:eastAsia="Times New Roman" w:hAnsi="Times New Roman"/>
          <w:sz w:val="19"/>
          <w:szCs w:val="19"/>
          <w:u w:val="single" w:color="auto"/>
          <w:color w:val="auto"/>
        </w:rPr>
        <w:t>Article 8</w:t>
      </w:r>
      <w:r>
        <w:rPr>
          <w:rFonts w:ascii="Times New Roman" w:cs="Times New Roman" w:eastAsia="Times New Roman" w:hAnsi="Times New Roman"/>
          <w:sz w:val="19"/>
          <w:szCs w:val="19"/>
          <w:color w:val="auto"/>
        </w:rPr>
        <w:t xml:space="preserve"> or otherwise) or received by the Agent from a Defaulting Lender pursuant to </w:t>
      </w:r>
      <w:r>
        <w:rPr>
          <w:rFonts w:ascii="Times New Roman" w:cs="Times New Roman" w:eastAsia="Times New Roman" w:hAnsi="Times New Roman"/>
          <w:sz w:val="19"/>
          <w:szCs w:val="19"/>
          <w:u w:val="single" w:color="auto"/>
          <w:color w:val="auto"/>
        </w:rPr>
        <w:t>Section 10.09</w:t>
      </w:r>
      <w:r>
        <w:rPr>
          <w:rFonts w:ascii="Times New Roman" w:cs="Times New Roman" w:eastAsia="Times New Roman" w:hAnsi="Times New Roman"/>
          <w:sz w:val="19"/>
          <w:szCs w:val="19"/>
          <w:color w:val="auto"/>
        </w:rPr>
        <w:t xml:space="preserve"> shall be applied at such time or times as may be determined by the Agent as follows: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to the payment of any amounts owing by such Defaulting Lender to the Agent hereunder;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as the Company may request (so long as no Default or Event of Default shall have occurred and be continuing), to the funding of any Loan in respect of which such Defaulting Lender has failed to fund its portion thereof as required by this Agreement, as determined by the Agent;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xml:space="preserve">, if so determined by the Agent and the Company,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so long as no Default or Event of Default shall have occurred and be continuing,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xml:space="preserve">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Times New Roman" w:cs="Times New Roman" w:eastAsia="Times New Roman" w:hAnsi="Times New Roman"/>
          <w:sz w:val="19"/>
          <w:szCs w:val="19"/>
          <w:u w:val="single" w:color="auto"/>
          <w:color w:val="auto"/>
        </w:rPr>
        <w:t>Section 4.03</w:t>
      </w:r>
      <w:r>
        <w:rPr>
          <w:rFonts w:ascii="Times New Roman" w:cs="Times New Roman" w:eastAsia="Times New Roman" w:hAnsi="Times New Roman"/>
          <w:sz w:val="19"/>
          <w:szCs w:val="19"/>
          <w:color w:val="auto"/>
        </w:rPr>
        <w:t xml:space="preserve">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applicable Commitments.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192" w:lineRule="exact"/>
        <w:rPr>
          <w:rFonts w:ascii="Times New Roman" w:cs="Times New Roman" w:eastAsia="Times New Roman" w:hAnsi="Times New Roman"/>
          <w:sz w:val="19"/>
          <w:szCs w:val="19"/>
          <w:color w:val="auto"/>
        </w:rPr>
      </w:pPr>
    </w:p>
    <w:p>
      <w:pPr>
        <w:ind w:left="1920" w:hanging="431"/>
        <w:spacing w:after="0"/>
        <w:tabs>
          <w:tab w:leader="none" w:pos="1920"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Fees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40" w:top="1383" w:right="339" w:bottom="1440" w:gutter="0" w:footer="0" w:header="0"/>
        </w:sectPr>
      </w:pPr>
    </w:p>
    <w:bookmarkStart w:id="120" w:name="page121"/>
    <w:bookmarkEnd w:id="120"/>
    <w:p>
      <w:pPr>
        <w:ind w:left="640" w:right="200" w:firstLine="632"/>
        <w:spacing w:after="0" w:line="272" w:lineRule="auto"/>
        <w:tabs>
          <w:tab w:leader="none" w:pos="1735"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Defaulting Lender shall be entitled to receive any fee pursuant to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67" w:lineRule="exact"/>
        <w:rPr>
          <w:rFonts w:ascii="Times New Roman" w:cs="Times New Roman" w:eastAsia="Times New Roman" w:hAnsi="Times New Roman"/>
          <w:sz w:val="19"/>
          <w:szCs w:val="19"/>
          <w:color w:val="auto"/>
        </w:rPr>
      </w:pPr>
    </w:p>
    <w:p>
      <w:pPr>
        <w:ind w:left="640" w:firstLine="632"/>
        <w:spacing w:after="0" w:line="283" w:lineRule="auto"/>
        <w:tabs>
          <w:tab w:leader="none" w:pos="1721"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fees not required to be paid to any Defaulting Lender pursuant to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the Company shall not be required to pay the remaining amount of any such fee.</w:t>
      </w:r>
    </w:p>
    <w:p>
      <w:pPr>
        <w:spacing w:after="0" w:line="157" w:lineRule="exact"/>
        <w:rPr>
          <w:rFonts w:ascii="Times New Roman" w:cs="Times New Roman" w:eastAsia="Times New Roman" w:hAnsi="Times New Roman"/>
          <w:sz w:val="19"/>
          <w:szCs w:val="19"/>
          <w:color w:val="auto"/>
        </w:rPr>
      </w:pPr>
    </w:p>
    <w:p>
      <w:pPr>
        <w:ind w:right="40" w:firstLine="639"/>
        <w:spacing w:after="0" w:line="259" w:lineRule="auto"/>
        <w:tabs>
          <w:tab w:leader="none" w:pos="1052"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Cure</w:t>
      </w:r>
      <w:r>
        <w:rPr>
          <w:rFonts w:ascii="Times New Roman" w:cs="Times New Roman" w:eastAsia="Times New Roman" w:hAnsi="Times New Roman"/>
          <w:sz w:val="19"/>
          <w:szCs w:val="19"/>
          <w:color w:val="auto"/>
        </w:rPr>
        <w:t xml:space="preserve">. If the Company and the Agent agree in writing that a Lender is no longer a Defaulting Lender, the Agent will so notify the parties hereto, whereupon, as of the effective date specified in such notice, and subject to any conditions set forth therein, such Lender will, to the extent applicable, purchase at par that portion of outstanding Loans of the other Lenders or take such other actions as the Agent may determine to be necessary to cause the Loans to be held pro rata by the Lenders in accordance with the applicable Commitments, whereupon such Lender will cease to be a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84"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2.18</w:t>
      </w:r>
      <w:r>
        <w:rPr>
          <w:sz w:val="20"/>
          <w:szCs w:val="20"/>
          <w:color w:val="auto"/>
        </w:rPr>
        <w:tab/>
      </w:r>
      <w:r>
        <w:rPr>
          <w:rFonts w:ascii="Times New Roman" w:cs="Times New Roman" w:eastAsia="Times New Roman" w:hAnsi="Times New Roman"/>
          <w:sz w:val="19"/>
          <w:szCs w:val="19"/>
          <w:u w:val="single" w:color="auto"/>
          <w:color w:val="auto"/>
        </w:rPr>
        <w:t>Maturity Extensions of Loans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tabs>
          <w:tab w:leader="none" w:pos="1020" w:val="left"/>
        </w:tabs>
        <w:rPr>
          <w:sz w:val="20"/>
          <w:szCs w:val="20"/>
          <w:color w:val="auto"/>
        </w:rPr>
      </w:pPr>
      <w:r>
        <w:rPr>
          <w:rFonts w:ascii="Times New Roman" w:cs="Times New Roman" w:eastAsia="Times New Roman" w:hAnsi="Times New Roman"/>
          <w:sz w:val="19"/>
          <w:szCs w:val="19"/>
          <w:color w:val="auto"/>
        </w:rPr>
        <w:t>(a)</w:t>
        <w:tab/>
        <w:t xml:space="preserve">The Company may from time to time, pursuant to the provisions of this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agree with one or more Lenders (each an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Existing Lender</w:t>
      </w:r>
      <w:r>
        <w:rPr>
          <w:rFonts w:ascii="Times New Roman" w:cs="Times New Roman" w:eastAsia="Times New Roman" w:hAnsi="Times New Roman"/>
          <w:sz w:val="19"/>
          <w:szCs w:val="19"/>
          <w:color w:val="auto"/>
        </w:rPr>
        <w:t>”) holding Loans and/or Commitments under a Facility (the “</w:t>
      </w:r>
      <w:r>
        <w:rPr>
          <w:rFonts w:ascii="Times New Roman" w:cs="Times New Roman" w:eastAsia="Times New Roman" w:hAnsi="Times New Roman"/>
          <w:sz w:val="19"/>
          <w:szCs w:val="19"/>
          <w:b w:val="1"/>
          <w:bCs w:val="1"/>
          <w:color w:val="auto"/>
        </w:rPr>
        <w:t>Existing Facility</w:t>
      </w:r>
      <w:r>
        <w:rPr>
          <w:rFonts w:ascii="Times New Roman" w:cs="Times New Roman" w:eastAsia="Times New Roman" w:hAnsi="Times New Roman"/>
          <w:sz w:val="19"/>
          <w:szCs w:val="19"/>
          <w:color w:val="auto"/>
        </w:rPr>
        <w:t>”) to extend the Maturity Date of such Facility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and to provide for other terms consistent with this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(each such modification, an “</w:t>
      </w:r>
      <w:r>
        <w:rPr>
          <w:rFonts w:ascii="Times New Roman" w:cs="Times New Roman" w:eastAsia="Times New Roman" w:hAnsi="Times New Roman"/>
          <w:sz w:val="19"/>
          <w:szCs w:val="19"/>
          <w:b w:val="1"/>
          <w:bCs w:val="1"/>
          <w:color w:val="auto"/>
        </w:rPr>
        <w:t>Extension</w:t>
      </w:r>
      <w:r>
        <w:rPr>
          <w:rFonts w:ascii="Times New Roman" w:cs="Times New Roman" w:eastAsia="Times New Roman" w:hAnsi="Times New Roman"/>
          <w:sz w:val="19"/>
          <w:szCs w:val="19"/>
          <w:color w:val="auto"/>
        </w:rPr>
        <w:t>”; and any Revolving Commitments 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Revolving Loans so extended, “</w:t>
      </w:r>
      <w:r>
        <w:rPr>
          <w:rFonts w:ascii="Times New Roman" w:cs="Times New Roman" w:eastAsia="Times New Roman" w:hAnsi="Times New Roman"/>
          <w:sz w:val="19"/>
          <w:szCs w:val="19"/>
          <w:b w:val="1"/>
          <w:bCs w:val="1"/>
          <w:color w:val="auto"/>
        </w:rPr>
        <w:t>Extended Revolving Commitments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Extended Revolving Loans</w:t>
      </w:r>
      <w:r>
        <w:rPr>
          <w:rFonts w:ascii="Times New Roman" w:cs="Times New Roman" w:eastAsia="Times New Roman" w:hAnsi="Times New Roman"/>
          <w:sz w:val="19"/>
          <w:szCs w:val="19"/>
          <w:color w:val="auto"/>
        </w:rPr>
        <w:t>,” respectively) pursuant to one or more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written offers (each an “</w:t>
      </w:r>
      <w:r>
        <w:rPr>
          <w:rFonts w:ascii="Times New Roman" w:cs="Times New Roman" w:eastAsia="Times New Roman" w:hAnsi="Times New Roman"/>
          <w:sz w:val="19"/>
          <w:szCs w:val="19"/>
          <w:b w:val="1"/>
          <w:bCs w:val="1"/>
          <w:color w:val="auto"/>
        </w:rPr>
        <w:t>Extension Offer</w:t>
      </w:r>
      <w:r>
        <w:rPr>
          <w:rFonts w:ascii="Times New Roman" w:cs="Times New Roman" w:eastAsia="Times New Roman" w:hAnsi="Times New Roman"/>
          <w:sz w:val="19"/>
          <w:szCs w:val="19"/>
          <w:color w:val="auto"/>
        </w:rPr>
        <w:t>”) made from time to time by the Company to all Lenders under such Existing Facility on a pro rata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basis (based on the Pro Rata Share of each Lender with respect to such Existing Facility) and on the same terms to each such Lender. 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connection with each Extension, the Company will provide notification to the Agent (for distribution to the Existing Lenders), no later than 30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days prior to the Maturity Date of the applicable Existing Facility, of the requested new maturity date (the “</w:t>
      </w:r>
      <w:r>
        <w:rPr>
          <w:rFonts w:ascii="Times New Roman" w:cs="Times New Roman" w:eastAsia="Times New Roman" w:hAnsi="Times New Roman"/>
          <w:sz w:val="19"/>
          <w:szCs w:val="19"/>
          <w:b w:val="1"/>
          <w:bCs w:val="1"/>
          <w:color w:val="auto"/>
        </w:rPr>
        <w:t>Extended Maturity Date</w:t>
      </w:r>
      <w:r>
        <w:rPr>
          <w:rFonts w:ascii="Times New Roman" w:cs="Times New Roman" w:eastAsia="Times New Roman" w:hAnsi="Times New Roman"/>
          <w:sz w:val="19"/>
          <w:szCs w:val="19"/>
          <w:color w:val="auto"/>
        </w:rPr>
        <w:t>”) for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Extended Facility and the due date for Lender responses. In connection with any Extension, each Existing Lender wishing to participate in such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Extension shall, prior to such due date, provide the Agent with a written notice thereof in a form reasonably satisfactory to the Agent. 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Existing Lender that does not respond to an Extension Offer by the applicable due date shall be deemed to have rejected such Extension. 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connection with any Extension, the Company shall agree to such procedures, if any, as may be reasonably established by, or acceptable to,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Agent to accomplish the purposes of this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w:t>
      </w:r>
    </w:p>
    <w:p>
      <w:pPr>
        <w:spacing w:after="0" w:line="208" w:lineRule="exact"/>
        <w:rPr>
          <w:sz w:val="20"/>
          <w:szCs w:val="20"/>
          <w:color w:val="auto"/>
        </w:rPr>
      </w:pPr>
    </w:p>
    <w:p>
      <w:pPr>
        <w:ind w:right="40" w:firstLine="639"/>
        <w:spacing w:after="0" w:line="272" w:lineRule="auto"/>
        <w:tabs>
          <w:tab w:leader="none" w:pos="1041"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After giving effect to any Extension, the Loans and Commitments so extended shall cease to be a part of the Facility of which they were a part immediately prior to such Extension and shall be a new Facility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Extension shall cause the total number of Facilities hereunder to exceed seven (7).</w:t>
      </w:r>
    </w:p>
    <w:p>
      <w:pPr>
        <w:spacing w:after="0" w:line="167" w:lineRule="exact"/>
        <w:rPr>
          <w:rFonts w:ascii="Times New Roman" w:cs="Times New Roman" w:eastAsia="Times New Roman" w:hAnsi="Times New Roman"/>
          <w:sz w:val="19"/>
          <w:szCs w:val="19"/>
          <w:color w:val="auto"/>
        </w:rPr>
      </w:pPr>
    </w:p>
    <w:p>
      <w:pPr>
        <w:ind w:left="1040" w:hanging="401"/>
        <w:spacing w:after="0"/>
        <w:tabs>
          <w:tab w:leader="none" w:pos="10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and effectiveness of each Extension shall be subject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-45-</w:t>
      </w: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20" w:top="1383" w:right="379" w:bottom="1440" w:gutter="0" w:footer="0" w:header="0"/>
        </w:sectPr>
      </w:pPr>
    </w:p>
    <w:bookmarkStart w:id="121" w:name="page122"/>
    <w:bookmarkEnd w:id="121"/>
    <w:p>
      <w:pPr>
        <w:ind w:right="100" w:firstLine="889"/>
        <w:spacing w:after="0" w:line="297" w:lineRule="auto"/>
        <w:tabs>
          <w:tab w:leader="none" w:pos="1262"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shall have occurred and be continuing at the time any Extension Offer is delivered to the Lenders or at the time of such Extension (after giving effect to such Extension);</w:t>
      </w:r>
    </w:p>
    <w:p>
      <w:pPr>
        <w:spacing w:after="0" w:line="131" w:lineRule="exact"/>
        <w:rPr>
          <w:rFonts w:ascii="Times New Roman" w:cs="Times New Roman" w:eastAsia="Times New Roman" w:hAnsi="Times New Roman"/>
          <w:sz w:val="19"/>
          <w:szCs w:val="19"/>
          <w:color w:val="auto"/>
        </w:rPr>
      </w:pPr>
    </w:p>
    <w:p>
      <w:pPr>
        <w:ind w:right="260" w:firstLine="889"/>
        <w:spacing w:after="0" w:line="259" w:lineRule="auto"/>
        <w:tabs>
          <w:tab w:leader="none" w:pos="1315"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Extended Loans and Extended Revolving Commitments of any Existing Lender established pursuant to any Extension shall have the same terms as the corresponding Loans and Commitments of such Existing Lender subject to the applicable Extension; except (A) the principal amount of such Loans and Commitments shall not be greater than the principal amount of the applicable Loans and Commitments under the applicable Existing Facility (except by an amount equal to unpaid accrued interest and premium thereon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other reasonable amounts paid, and fees and expenses reasonably incurred, in connection with such Extension),</w:t>
      </w:r>
    </w:p>
    <w:p>
      <w:pPr>
        <w:spacing w:after="0" w:line="3" w:lineRule="exact"/>
        <w:rPr>
          <w:rFonts w:ascii="Times New Roman" w:cs="Times New Roman" w:eastAsia="Times New Roman" w:hAnsi="Times New Roman"/>
          <w:sz w:val="19"/>
          <w:szCs w:val="19"/>
          <w:color w:val="auto"/>
        </w:rPr>
      </w:pPr>
    </w:p>
    <w:p>
      <w:pPr>
        <w:ind w:left="300" w:hanging="297"/>
        <w:spacing w:after="0"/>
        <w:tabs>
          <w:tab w:leader="none" w:pos="30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Extended Maturity Date of such Loans and Commitments shall be not earlier than the Latest Maturity Date under the applicable</w:t>
      </w:r>
    </w:p>
    <w:p>
      <w:pPr>
        <w:spacing w:after="0" w:line="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 xml:space="preserve">Existing Facility at the time of such Extension, (C) the obligations under the Extended Facility shall not be guaranteed by any Subsidiary, (D) the Extended Facility shall be unsecured, (E) the all-in pricing (including, without limitation, margins, fees and premiums) with respect to the Extended Facility may be higher or lower than the all-in pricing (including, without limitation, margins, fees and premiums) for the applicable Existing Facility, and the Extended Facility may have such optional prepayment terms as may be agreed by the Company and the applicable Lenders thereof; (F) the Extended Facility shall share ratably with the applicable Existing Facility in any prepayment of Loans pursuant to </w:t>
      </w:r>
      <w:r>
        <w:rPr>
          <w:rFonts w:ascii="Times New Roman" w:cs="Times New Roman" w:eastAsia="Times New Roman" w:hAnsi="Times New Roman"/>
          <w:sz w:val="19"/>
          <w:szCs w:val="19"/>
          <w:u w:val="single" w:color="auto"/>
          <w:color w:val="auto"/>
        </w:rPr>
        <w:t>Section 2.09</w:t>
      </w:r>
      <w:r>
        <w:rPr>
          <w:rFonts w:ascii="Times New Roman" w:cs="Times New Roman" w:eastAsia="Times New Roman" w:hAnsi="Times New Roman"/>
          <w:sz w:val="19"/>
          <w:szCs w:val="19"/>
          <w:color w:val="auto"/>
        </w:rPr>
        <w:t xml:space="preserve"> (or otherwise provide for less favorable prepayment treatment for such Extended Facility than for the Existing Facility); (G) the Extended Facility may, but shall not be required to, contain a “most favored nation” provision for the benefit of Lenders with respect to such Extended Facility; and (H) the other terms and conditions applicable to the Extended Facility may be terms different than those with respect to the Existing Facility, so long as such terms and conditions (1) are, in the good-faith judgment of the Company, not materially more favorable, on the whole, to the Lenders with respect to the Extended Facility than the terms and conditions applicable to the applicable Existing Facility at the time of such Extension, or (2) only apply after the Latest Maturity Date of the applicable Existing Facility or are acceptable to the Agent in its reasonable discretion;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notwithstanding the provisions of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each Extension Amendment may, without the consent of any Lender other than the applicable extending Lenders, effect such amendments to this Agreement and the other Loan Documents as may be necessary or appropriate, in the opinion of the Agent and the Company, to give effect to the provisions of this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including any amendments necessary to treat the applicable Loans and/or Commitments of the extending Lenders as a new Facility hereunder;</w:t>
      </w:r>
    </w:p>
    <w:p>
      <w:pPr>
        <w:spacing w:after="0" w:line="174" w:lineRule="exact"/>
        <w:rPr>
          <w:sz w:val="20"/>
          <w:szCs w:val="20"/>
          <w:color w:val="auto"/>
        </w:rPr>
      </w:pPr>
    </w:p>
    <w:p>
      <w:pPr>
        <w:ind w:right="140" w:firstLine="889"/>
        <w:spacing w:after="0" w:line="272" w:lineRule="auto"/>
        <w:tabs>
          <w:tab w:leader="none" w:pos="1369"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documentation in respect of such Extension shall be consistent with the foregoing, and all written communications by the Company generally directed to the applicable Lenders in connection therewith shall be consistent with the foregoing and otherwise reasonably satisfactory to the Agent;</w:t>
      </w:r>
    </w:p>
    <w:p>
      <w:pPr>
        <w:spacing w:after="0" w:line="167" w:lineRule="exact"/>
        <w:rPr>
          <w:rFonts w:ascii="Times New Roman" w:cs="Times New Roman" w:eastAsia="Times New Roman" w:hAnsi="Times New Roman"/>
          <w:sz w:val="19"/>
          <w:szCs w:val="19"/>
          <w:color w:val="auto"/>
        </w:rPr>
      </w:pPr>
    </w:p>
    <w:p>
      <w:pPr>
        <w:ind w:right="320" w:firstLine="889"/>
        <w:spacing w:after="0" w:line="272" w:lineRule="auto"/>
        <w:tabs>
          <w:tab w:leader="none" w:pos="1358"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minimum amount in respect of such Extension (to be determined in the Company’s discretion and specified in the relevant Extension Offer, but in no event less than $25,000,000, unless another amount is agreed to by the Agent in its reasonable discretion) shall be satisfied (the “</w:t>
      </w:r>
      <w:r>
        <w:rPr>
          <w:rFonts w:ascii="Times New Roman" w:cs="Times New Roman" w:eastAsia="Times New Roman" w:hAnsi="Times New Roman"/>
          <w:sz w:val="19"/>
          <w:szCs w:val="19"/>
          <w:b w:val="1"/>
          <w:bCs w:val="1"/>
          <w:color w:val="auto"/>
        </w:rPr>
        <w:t>Minimum Extension Condition</w:t>
      </w:r>
      <w:r>
        <w:rPr>
          <w:rFonts w:ascii="Times New Roman" w:cs="Times New Roman" w:eastAsia="Times New Roman" w:hAnsi="Times New Roman"/>
          <w:sz w:val="19"/>
          <w:szCs w:val="19"/>
          <w:color w:val="auto"/>
        </w:rPr>
        <w:t>”); and</w:t>
      </w:r>
    </w:p>
    <w:p>
      <w:pPr>
        <w:spacing w:after="0" w:line="167" w:lineRule="exact"/>
        <w:rPr>
          <w:rFonts w:ascii="Times New Roman" w:cs="Times New Roman" w:eastAsia="Times New Roman" w:hAnsi="Times New Roman"/>
          <w:sz w:val="19"/>
          <w:szCs w:val="19"/>
          <w:color w:val="auto"/>
        </w:rPr>
      </w:pPr>
    </w:p>
    <w:p>
      <w:pPr>
        <w:ind w:right="60" w:firstLine="889"/>
        <w:spacing w:after="0" w:line="272" w:lineRule="auto"/>
        <w:tabs>
          <w:tab w:leader="none" w:pos="1305"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Extension shall become effective unless, on the proposed effective date of such Extension, the conditions set forth in </w:t>
      </w:r>
      <w:r>
        <w:rPr>
          <w:rFonts w:ascii="Times New Roman" w:cs="Times New Roman" w:eastAsia="Times New Roman" w:hAnsi="Times New Roman"/>
          <w:sz w:val="19"/>
          <w:szCs w:val="19"/>
          <w:u w:val="single" w:color="auto"/>
          <w:color w:val="auto"/>
        </w:rPr>
        <w:t>paragraphs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4.03</w:t>
      </w:r>
      <w:r>
        <w:rPr>
          <w:rFonts w:ascii="Times New Roman" w:cs="Times New Roman" w:eastAsia="Times New Roman" w:hAnsi="Times New Roman"/>
          <w:sz w:val="19"/>
          <w:szCs w:val="19"/>
          <w:color w:val="auto"/>
        </w:rPr>
        <w:t xml:space="preserve"> shall be satisfied (with all references in such paragraphs to the making of a Loan being deemed to be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-46-</w:t>
      </w:r>
    </w:p>
    <w:p>
      <w:pPr>
        <w:spacing w:after="0" w:line="25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0620"/>
          </w:cols>
          <w:pgMar w:left="940" w:top="1383" w:right="339" w:bottom="1440" w:gutter="0" w:footer="0" w:header="0"/>
        </w:sectPr>
      </w:pPr>
    </w:p>
    <w:bookmarkStart w:id="122" w:name="page123"/>
    <w:bookmarkEnd w:id="122"/>
    <w:p>
      <w:pPr>
        <w:ind w:left="580" w:right="100"/>
        <w:spacing w:after="0" w:line="297" w:lineRule="auto"/>
        <w:rPr>
          <w:sz w:val="20"/>
          <w:szCs w:val="20"/>
          <w:color w:val="auto"/>
        </w:rPr>
      </w:pPr>
      <w:r>
        <w:rPr>
          <w:rFonts w:ascii="Times New Roman" w:cs="Times New Roman" w:eastAsia="Times New Roman" w:hAnsi="Times New Roman"/>
          <w:sz w:val="19"/>
          <w:szCs w:val="19"/>
          <w:color w:val="auto"/>
        </w:rPr>
        <w:t>references to the Extension on the applicable date of such Extension), and the Agent shall have received a certificate to that effect dated the applicable date of such Extension and executed by a Responsible Officer of the Company.</w:t>
      </w:r>
    </w:p>
    <w:p>
      <w:pPr>
        <w:spacing w:after="0" w:line="132" w:lineRule="exact"/>
        <w:rPr>
          <w:sz w:val="20"/>
          <w:szCs w:val="20"/>
          <w:color w:val="auto"/>
        </w:rPr>
      </w:pPr>
    </w:p>
    <w:p>
      <w:pPr>
        <w:jc w:val="both"/>
        <w:ind w:left="-40" w:right="120" w:firstLine="639"/>
        <w:spacing w:after="0" w:line="268" w:lineRule="auto"/>
        <w:tabs>
          <w:tab w:leader="none" w:pos="1012"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the avoidance of doubt, it is understood and agreed that the provisions of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will not apply to any payment of interest or fees in respect of any Extended Facility that have been extended pursuant to an Extension at a rate or rates different from those paid or payable in respect of any other Facility, in each case as is set forth in the relevant Extension Offer made pursuant to and in accordance with the provisions of this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with respect to such Extensions of Loans.</w:t>
      </w:r>
    </w:p>
    <w:p>
      <w:pPr>
        <w:spacing w:after="0" w:line="171" w:lineRule="exact"/>
        <w:rPr>
          <w:rFonts w:ascii="Times New Roman" w:cs="Times New Roman" w:eastAsia="Times New Roman" w:hAnsi="Times New Roman"/>
          <w:sz w:val="19"/>
          <w:szCs w:val="19"/>
          <w:color w:val="auto"/>
        </w:rPr>
      </w:pPr>
    </w:p>
    <w:p>
      <w:pPr>
        <w:ind w:left="-40" w:right="120" w:firstLine="639"/>
        <w:spacing w:after="0" w:line="283" w:lineRule="auto"/>
        <w:tabs>
          <w:tab w:leader="none" w:pos="1001"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Lender who rejects any request for an Extension shall be deemed a Non-Consenting Lender for purposes of </w:t>
      </w:r>
      <w:r>
        <w:rPr>
          <w:rFonts w:ascii="Times New Roman" w:cs="Times New Roman" w:eastAsia="Times New Roman" w:hAnsi="Times New Roman"/>
          <w:sz w:val="19"/>
          <w:szCs w:val="19"/>
          <w:u w:val="single" w:color="auto"/>
          <w:color w:val="auto"/>
        </w:rPr>
        <w:t>Section 10.14</w:t>
      </w:r>
      <w:r>
        <w:rPr>
          <w:rFonts w:ascii="Times New Roman" w:cs="Times New Roman" w:eastAsia="Times New Roman" w:hAnsi="Times New Roman"/>
          <w:sz w:val="19"/>
          <w:szCs w:val="19"/>
          <w:color w:val="auto"/>
        </w:rPr>
        <w:t xml:space="preserve"> as a result of such rejection.</w:t>
      </w:r>
    </w:p>
    <w:p>
      <w:pPr>
        <w:spacing w:after="0" w:line="153" w:lineRule="exact"/>
        <w:rPr>
          <w:rFonts w:ascii="Times New Roman" w:cs="Times New Roman" w:eastAsia="Times New Roman" w:hAnsi="Times New Roman"/>
          <w:sz w:val="19"/>
          <w:szCs w:val="19"/>
          <w:color w:val="auto"/>
        </w:rPr>
      </w:pPr>
    </w:p>
    <w:p>
      <w:pPr>
        <w:ind w:left="-40" w:firstLine="639"/>
        <w:spacing w:after="0" w:line="260" w:lineRule="auto"/>
        <w:tabs>
          <w:tab w:leader="none" w:pos="976"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Lenders hereby irrevocably authorize the Agent to enter into amendments (collectively, “</w:t>
      </w:r>
      <w:r>
        <w:rPr>
          <w:rFonts w:ascii="Times New Roman" w:cs="Times New Roman" w:eastAsia="Times New Roman" w:hAnsi="Times New Roman"/>
          <w:sz w:val="19"/>
          <w:szCs w:val="19"/>
          <w:b w:val="1"/>
          <w:bCs w:val="1"/>
          <w:color w:val="auto"/>
        </w:rPr>
        <w:t>Extension Amendments</w:t>
      </w:r>
      <w:r>
        <w:rPr>
          <w:rFonts w:ascii="Times New Roman" w:cs="Times New Roman" w:eastAsia="Times New Roman" w:hAnsi="Times New Roman"/>
          <w:sz w:val="19"/>
          <w:szCs w:val="19"/>
          <w:color w:val="auto"/>
        </w:rPr>
        <w:t xml:space="preserve">”) to this Agreement and the other Loan Documents as may be necessary in order to effect the provisions of this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including to establish new Extended Facilities created pursuant to an Extension, on terms consistent with this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All such Extension Amendments entered into with the Company by the Agent hereunder shall be binding on the Lenders. Without limiting the foregoing, in connection with any Extension, (i) the Company and the appropriate Subsidiaries shall (at their expense) amend (and the Agent is hereby directed to amend) any Loan Document that the Agent reasonably requests to be amended to reflect the then-latest Extended Maturity Date (and to give effect to the provisions of this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and (ii) the Company and the appropriate Subsidiaries shall deliver board resolutions, secretary’s certificates, officer’s certificates and other documents as shall reasonably be requested by the Agent in connection therewith and, if requested by the Agent, a legal opinion of counsel in form and substance reasonably acceptable to the Agent.</w:t>
      </w:r>
    </w:p>
    <w:p>
      <w:pPr>
        <w:spacing w:after="0" w:line="168" w:lineRule="exact"/>
        <w:rPr>
          <w:rFonts w:ascii="Times New Roman" w:cs="Times New Roman" w:eastAsia="Times New Roman" w:hAnsi="Times New Roman"/>
          <w:sz w:val="19"/>
          <w:szCs w:val="19"/>
          <w:color w:val="auto"/>
        </w:rPr>
      </w:pPr>
    </w:p>
    <w:p>
      <w:pPr>
        <w:ind w:left="-40" w:right="120" w:firstLine="639"/>
        <w:spacing w:after="0" w:line="268" w:lineRule="auto"/>
        <w:tabs>
          <w:tab w:leader="none" w:pos="1012"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following the consummation and effectiveness of any Extension, the Company will furnish to the Agent (who shall promptly furnish to each Lender) written notice setting forth the Extended Maturity Date and material economic terms of the Extension and the aggregate principal amount of Extended Loans and Extended Revolving Commitments after giving effect to the Extension and attaching a copy of the fully executed Extension Amendment.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3</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TAXES, YIELD PROTECTION AND ILLEGALITY</w:t>
      </w:r>
    </w:p>
    <w:p>
      <w:pPr>
        <w:spacing w:after="0" w:line="215"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9"/>
          <w:szCs w:val="19"/>
          <w:color w:val="auto"/>
        </w:rPr>
        <w:t>Section 3.01</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40" w:right="40" w:firstLine="639"/>
        <w:spacing w:after="0" w:line="259" w:lineRule="auto"/>
        <w:tabs>
          <w:tab w:leader="none" w:pos="1001"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Free of Indemnified Taxes and Other Taxes</w:t>
      </w:r>
      <w:r>
        <w:rPr>
          <w:rFonts w:ascii="Times New Roman" w:cs="Times New Roman" w:eastAsia="Times New Roman" w:hAnsi="Times New Roman"/>
          <w:sz w:val="19"/>
          <w:szCs w:val="19"/>
          <w:color w:val="auto"/>
        </w:rPr>
        <w:t xml:space="preserve">. Any and all payments by or on account of any obligation of the Company hereunder or under any other Loan Document shall be made free and clear of and without deduction or withholding for any Taxes except as required by applicable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Company or any applicable withholding agent shall be required by applicable law (as determined in the good faith discretion of the Company or the applicable withholding agent) to deduct or withhold any Indemnified Taxes from such payments, then, (i) the Company or the applicable withholding agent shall make such deductions or withholdings, (ii) the Company or the applicable withholding agent shall timely pay the full amount deducted or withheld to the relevant Governmental Authority in accordance with applicable law and (iii) the sum payable by the Company shall be increased as necessary so that after all required deductions or withholdings have been made (including deductions applicable to additional sums payable under this Section) the Agent or Lender,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180"/>
          </w:cols>
          <w:pgMar w:left="360" w:top="1383"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9"/>
          <w:szCs w:val="19"/>
          <w:color w:val="auto"/>
        </w:rPr>
        <w:t>receives an amount equal to the sum it would have received had no such deductions or withholdings been made.</w:t>
      </w:r>
    </w:p>
    <w:p>
      <w:pPr>
        <w:spacing w:after="0" w:line="230" w:lineRule="exact"/>
        <w:rPr>
          <w:sz w:val="20"/>
          <w:szCs w:val="20"/>
          <w:color w:val="auto"/>
        </w:rPr>
      </w:pPr>
    </w:p>
    <w:p>
      <w:pPr>
        <w:jc w:val="both"/>
        <w:ind w:firstLine="639"/>
        <w:spacing w:after="0" w:line="272" w:lineRule="auto"/>
        <w:tabs>
          <w:tab w:leader="none" w:pos="1052"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Other Taxes by the Company</w:t>
      </w:r>
      <w:r>
        <w:rPr>
          <w:rFonts w:ascii="Times New Roman" w:cs="Times New Roman" w:eastAsia="Times New Roman" w:hAnsi="Times New Roman"/>
          <w:sz w:val="19"/>
          <w:szCs w:val="19"/>
          <w:color w:val="auto"/>
        </w:rPr>
        <w:t xml:space="preserve">. Without limiting the provisions of </w:t>
      </w:r>
      <w:r>
        <w:rPr>
          <w:rFonts w:ascii="Times New Roman" w:cs="Times New Roman" w:eastAsia="Times New Roman" w:hAnsi="Times New Roman"/>
          <w:sz w:val="19"/>
          <w:szCs w:val="19"/>
          <w:u w:val="single" w:color="auto"/>
          <w:color w:val="auto"/>
        </w:rPr>
        <w:t>subsection (a)</w:t>
      </w:r>
      <w:r>
        <w:rPr>
          <w:rFonts w:ascii="Times New Roman" w:cs="Times New Roman" w:eastAsia="Times New Roman" w:hAnsi="Times New Roman"/>
          <w:sz w:val="19"/>
          <w:szCs w:val="19"/>
          <w:color w:val="auto"/>
        </w:rPr>
        <w:t xml:space="preserve"> above, the Company shall timely pay to the relevant Governmental Authority in accordance with applicable law, or at the option of the Agent timely reimburse it for the payment of, any Other Taxes.</w:t>
      </w:r>
    </w:p>
    <w:p>
      <w:pPr>
        <w:spacing w:after="0" w:line="154" w:lineRule="exact"/>
        <w:rPr>
          <w:rFonts w:ascii="Times New Roman" w:cs="Times New Roman" w:eastAsia="Times New Roman" w:hAnsi="Times New Roman"/>
          <w:sz w:val="19"/>
          <w:szCs w:val="19"/>
          <w:color w:val="auto"/>
        </w:rPr>
      </w:pPr>
    </w:p>
    <w:p>
      <w:pPr>
        <w:ind w:firstLine="639"/>
        <w:spacing w:after="0" w:line="262" w:lineRule="auto"/>
        <w:tabs>
          <w:tab w:leader="none" w:pos="1041"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Company</w:t>
      </w:r>
      <w:r>
        <w:rPr>
          <w:rFonts w:ascii="Times New Roman" w:cs="Times New Roman" w:eastAsia="Times New Roman" w:hAnsi="Times New Roman"/>
          <w:sz w:val="19"/>
          <w:szCs w:val="19"/>
          <w:color w:val="auto"/>
        </w:rPr>
        <w:t xml:space="preserve">. Without duplication of </w:t>
      </w:r>
      <w:r>
        <w:rPr>
          <w:rFonts w:ascii="Times New Roman" w:cs="Times New Roman" w:eastAsia="Times New Roman" w:hAnsi="Times New Roman"/>
          <w:sz w:val="19"/>
          <w:szCs w:val="19"/>
          <w:u w:val="single" w:color="auto"/>
          <w:color w:val="auto"/>
        </w:rPr>
        <w:t>Section 3.01(a)</w:t>
      </w:r>
      <w:r>
        <w:rPr>
          <w:rFonts w:ascii="Times New Roman" w:cs="Times New Roman" w:eastAsia="Times New Roman" w:hAnsi="Times New Roman"/>
          <w:sz w:val="19"/>
          <w:szCs w:val="19"/>
          <w:color w:val="auto"/>
        </w:rPr>
        <w:t>, the Company shall indemnify the Agent and each Lender, within 10 Business Days after written demand therefor, for the full amount of any Indemnified Taxes in respect of payments under any Loan Document (including Indemnified Taxes imposed on or attributable to amounts payable under this Section) that are imposed on or payable by the Agent or such Lender (or required to be withheld or deducted from a payment to the Agent or such Lender), as the case may be, and reasonable expenses arising therefrom or with respect thereto, whether or not such Indemnified Taxes or Other Taxes were correctly or legally imposed or asserted by the relevant Governmental Authority. A certificate setting forth the amount of such payment or liability delivered to the Company by a Lender (with a copy to the Agent), or by the Agent on its own behalf or on behalf of a Lender, shall be conclusive absent manifest error.</w:t>
      </w:r>
    </w:p>
    <w:p>
      <w:pPr>
        <w:spacing w:after="0" w:line="200" w:lineRule="exact"/>
        <w:rPr>
          <w:rFonts w:ascii="Times New Roman" w:cs="Times New Roman" w:eastAsia="Times New Roman" w:hAnsi="Times New Roman"/>
          <w:sz w:val="19"/>
          <w:szCs w:val="19"/>
          <w:color w:val="auto"/>
        </w:rPr>
      </w:pPr>
    </w:p>
    <w:p>
      <w:pPr>
        <w:spacing w:after="0" w:line="201" w:lineRule="exact"/>
        <w:rPr>
          <w:rFonts w:ascii="Times New Roman" w:cs="Times New Roman" w:eastAsia="Times New Roman" w:hAnsi="Times New Roman"/>
          <w:sz w:val="19"/>
          <w:szCs w:val="19"/>
          <w:color w:val="auto"/>
        </w:rPr>
      </w:pPr>
    </w:p>
    <w:p>
      <w:pPr>
        <w:jc w:val="both"/>
        <w:ind w:right="560" w:firstLine="639"/>
        <w:spacing w:after="0" w:line="272" w:lineRule="auto"/>
        <w:tabs>
          <w:tab w:leader="none" w:pos="1052"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Evidence of Payments</w:t>
      </w:r>
      <w:r>
        <w:rPr>
          <w:rFonts w:ascii="Times New Roman" w:cs="Times New Roman" w:eastAsia="Times New Roman" w:hAnsi="Times New Roman"/>
          <w:sz w:val="19"/>
          <w:szCs w:val="19"/>
          <w:color w:val="auto"/>
        </w:rPr>
        <w:t>. As soon as practicable after any payment of Indemnified Taxes or Other Taxes by the Company to a Governmental Authority, the Company shall deliver to the Agent the original or a certified copy of a receipt issued by such Governmental Authority evidencing such payment or other evidence of such payment reasonably satisfactory to the Agent.</w:t>
      </w:r>
    </w:p>
    <w:p>
      <w:pPr>
        <w:spacing w:after="0" w:line="167" w:lineRule="exact"/>
        <w:rPr>
          <w:rFonts w:ascii="Times New Roman" w:cs="Times New Roman" w:eastAsia="Times New Roman" w:hAnsi="Times New Roman"/>
          <w:sz w:val="19"/>
          <w:szCs w:val="19"/>
          <w:color w:val="auto"/>
        </w:rPr>
      </w:pPr>
    </w:p>
    <w:p>
      <w:pPr>
        <w:ind w:right="60" w:firstLine="639"/>
        <w:spacing w:after="0" w:line="259" w:lineRule="auto"/>
        <w:tabs>
          <w:tab w:leader="none" w:pos="1041"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Lenders</w:t>
      </w:r>
      <w:r>
        <w:rPr>
          <w:rFonts w:ascii="Times New Roman" w:cs="Times New Roman" w:eastAsia="Times New Roman" w:hAnsi="Times New Roman"/>
          <w:sz w:val="19"/>
          <w:szCs w:val="19"/>
          <w:color w:val="auto"/>
        </w:rPr>
        <w:t xml:space="preserve">. Each Lender shall severally indemnify the Agent, within 10 Business Days after written demand therefor, for (i) any Indemnified Taxes attributable to such Lender (but only to the extent that the Company has not already indemnified the Agent for such Indemnified Taxes and without limiting the obligation of the Company to do so), (ii) any Taxes attributable to such Lender’s failure to comply with the provisions of </w:t>
      </w:r>
      <w:r>
        <w:rPr>
          <w:rFonts w:ascii="Times New Roman" w:cs="Times New Roman" w:eastAsia="Times New Roman" w:hAnsi="Times New Roman"/>
          <w:sz w:val="19"/>
          <w:szCs w:val="19"/>
          <w:u w:val="single" w:color="auto"/>
          <w:color w:val="auto"/>
        </w:rPr>
        <w:t>Section 10.07(d)</w:t>
      </w:r>
      <w:r>
        <w:rPr>
          <w:rFonts w:ascii="Times New Roman" w:cs="Times New Roman" w:eastAsia="Times New Roman" w:hAnsi="Times New Roman"/>
          <w:sz w:val="19"/>
          <w:szCs w:val="19"/>
          <w:color w:val="auto"/>
        </w:rPr>
        <w:t xml:space="preserve"> relating to the maintenance of a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(e).</w:t>
      </w:r>
    </w:p>
    <w:p>
      <w:pPr>
        <w:spacing w:after="0" w:line="172" w:lineRule="exact"/>
        <w:rPr>
          <w:rFonts w:ascii="Times New Roman" w:cs="Times New Roman" w:eastAsia="Times New Roman" w:hAnsi="Times New Roman"/>
          <w:sz w:val="19"/>
          <w:szCs w:val="19"/>
          <w:color w:val="auto"/>
        </w:rPr>
      </w:pPr>
    </w:p>
    <w:p>
      <w:pPr>
        <w:ind w:right="60" w:firstLine="639"/>
        <w:spacing w:after="0" w:line="259" w:lineRule="auto"/>
        <w:tabs>
          <w:tab w:leader="none" w:pos="1019"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Status of Lenders</w:t>
      </w:r>
      <w:r>
        <w:rPr>
          <w:rFonts w:ascii="Times New Roman" w:cs="Times New Roman" w:eastAsia="Times New Roman" w:hAnsi="Times New Roman"/>
          <w:sz w:val="19"/>
          <w:szCs w:val="19"/>
          <w:color w:val="auto"/>
        </w:rPr>
        <w:t xml:space="preserve">. (i) Any Lender that is entitled to an exemption from or reduction of withholding Tax with respect to payments made under any Loan Document shall deliver to the Company and the Agent, at the time or times reasonably requested by the Company or the Agent, such properly completed and executed documentation reasonably requested by the Company or the Agent as will permit such payments to be made without withholding or at a reduced rate of withholding. In addition, any Lender, if reasonably requested by the Company or the Agent, shall deliver such other documentation prescribed by applicable law or reasonably requested by the Company or the Agent as will enable the Company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9"/>
          <w:szCs w:val="19"/>
          <w:u w:val="single" w:color="auto"/>
          <w:color w:val="auto"/>
        </w:rPr>
        <w:t>Section 3.01(f)(ii)(A)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(ii)(D)</w:t>
      </w:r>
      <w:r>
        <w:rPr>
          <w:rFonts w:ascii="Times New Roman" w:cs="Times New Roman" w:eastAsia="Times New Roman" w:hAnsi="Times New Roman"/>
          <w:sz w:val="19"/>
          <w:szCs w:val="19"/>
          <w:color w:val="auto"/>
        </w:rPr>
        <w:t xml:space="preserve"> below) shall not be required if in the Lender’s reasonable judgment such completion, execution or submission would subject such Lender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-48-</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9"/>
          <w:szCs w:val="19"/>
          <w:color w:val="auto"/>
        </w:rPr>
        <w:t>any material unreimbursed cost or expense or would materially prejudice the legal or commercial position of such Lender.</w:t>
      </w:r>
    </w:p>
    <w:p>
      <w:pPr>
        <w:spacing w:after="0" w:line="230" w:lineRule="exact"/>
        <w:rPr>
          <w:sz w:val="20"/>
          <w:szCs w:val="20"/>
          <w:color w:val="auto"/>
        </w:rPr>
      </w:pPr>
    </w:p>
    <w:p>
      <w:pPr>
        <w:ind w:left="1940" w:hanging="431"/>
        <w:spacing w:after="0"/>
        <w:tabs>
          <w:tab w:leader="none" w:pos="1940"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the foregoing,</w:t>
      </w:r>
    </w:p>
    <w:p>
      <w:pPr>
        <w:spacing w:after="0" w:line="216" w:lineRule="exact"/>
        <w:rPr>
          <w:rFonts w:ascii="Times New Roman" w:cs="Times New Roman" w:eastAsia="Times New Roman" w:hAnsi="Times New Roman"/>
          <w:sz w:val="19"/>
          <w:szCs w:val="19"/>
          <w:color w:val="auto"/>
        </w:rPr>
      </w:pPr>
    </w:p>
    <w:p>
      <w:pPr>
        <w:ind w:left="640" w:right="20" w:firstLine="632"/>
        <w:spacing w:after="0" w:line="268" w:lineRule="auto"/>
        <w:tabs>
          <w:tab w:leader="none" w:pos="1735"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that is a “United States Person” within the meaning of Section 7701(a)(30) of the Code shall deliver to the Company and the Agent on or prior to the date on which such Lender becomes a Lender under this Agreement (and from time to time thereafter upon the reasonable request of the Company or the Agent), executed originals of IRS Form W-9 certifying that such Lender is exempt from U.S. federal backup withholding tax;</w:t>
      </w:r>
    </w:p>
    <w:p>
      <w:pPr>
        <w:spacing w:after="0" w:line="171" w:lineRule="exact"/>
        <w:rPr>
          <w:rFonts w:ascii="Times New Roman" w:cs="Times New Roman" w:eastAsia="Times New Roman" w:hAnsi="Times New Roman"/>
          <w:sz w:val="19"/>
          <w:szCs w:val="19"/>
          <w:color w:val="auto"/>
        </w:rPr>
      </w:pPr>
    </w:p>
    <w:p>
      <w:pPr>
        <w:ind w:left="640" w:right="20" w:firstLine="632"/>
        <w:spacing w:after="0" w:line="263" w:lineRule="auto"/>
        <w:tabs>
          <w:tab w:leader="none" w:pos="1724"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the Company and the Agent (in such number of copies as shall be requested by the recipient) on or prior to the date on which such Foreign Lender becomes a Lender under this Agreement (and from time to time thereafter upon the reasonable request of the Company or the Agent), whichever of the following is applicable:</w:t>
      </w:r>
    </w:p>
    <w:p>
      <w:pPr>
        <w:spacing w:after="0" w:line="176" w:lineRule="exact"/>
        <w:rPr>
          <w:rFonts w:ascii="Times New Roman" w:cs="Times New Roman" w:eastAsia="Times New Roman" w:hAnsi="Times New Roman"/>
          <w:sz w:val="19"/>
          <w:szCs w:val="19"/>
          <w:color w:val="auto"/>
        </w:rPr>
      </w:pPr>
    </w:p>
    <w:p>
      <w:pPr>
        <w:ind w:left="1280" w:firstLine="878"/>
        <w:spacing w:after="0" w:line="262" w:lineRule="auto"/>
        <w:tabs>
          <w:tab w:leader="none" w:pos="2542" w:val="left"/>
        </w:tabs>
        <w:numPr>
          <w:ilvl w:val="2"/>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an income tax treaty to which the United States is a party (x) with respect to payments of interest under any Loan Document, executed originals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78" w:lineRule="exact"/>
        <w:rPr>
          <w:rFonts w:ascii="Times New Roman" w:cs="Times New Roman" w:eastAsia="Times New Roman" w:hAnsi="Times New Roman"/>
          <w:sz w:val="19"/>
          <w:szCs w:val="19"/>
          <w:color w:val="auto"/>
        </w:rPr>
      </w:pPr>
    </w:p>
    <w:p>
      <w:pPr>
        <w:ind w:left="2580" w:hanging="422"/>
        <w:spacing w:after="0"/>
        <w:tabs>
          <w:tab w:leader="none" w:pos="2580" w:val="left"/>
        </w:tabs>
        <w:numPr>
          <w:ilvl w:val="2"/>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originals of IRS Form W-8ECI;</w:t>
      </w:r>
    </w:p>
    <w:p>
      <w:pPr>
        <w:spacing w:after="0" w:line="216" w:lineRule="exact"/>
        <w:rPr>
          <w:rFonts w:ascii="Times New Roman" w:cs="Times New Roman" w:eastAsia="Times New Roman" w:hAnsi="Times New Roman"/>
          <w:sz w:val="19"/>
          <w:szCs w:val="19"/>
          <w:color w:val="auto"/>
        </w:rPr>
      </w:pPr>
    </w:p>
    <w:p>
      <w:pPr>
        <w:ind w:left="1280" w:right="300" w:firstLine="878"/>
        <w:spacing w:after="0" w:line="262" w:lineRule="auto"/>
        <w:tabs>
          <w:tab w:leader="none" w:pos="2649" w:val="left"/>
        </w:tabs>
        <w:numPr>
          <w:ilvl w:val="2"/>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9"/>
          <w:szCs w:val="19"/>
          <w:u w:val="single" w:color="auto"/>
          <w:color w:val="auto"/>
        </w:rPr>
        <w:t>Exhibit E-1</w:t>
      </w:r>
      <w:r>
        <w:rPr>
          <w:rFonts w:ascii="Times New Roman" w:cs="Times New Roman" w:eastAsia="Times New Roman" w:hAnsi="Times New Roman"/>
          <w:sz w:val="19"/>
          <w:szCs w:val="19"/>
          <w:color w:val="auto"/>
        </w:rPr>
        <w:t xml:space="preserve"> to the effect that such Foreign Lender is not a “bank” within the meaning of Section 871(h)(3)(A) of the Code, a “10 - percent shareholder” of the Company within the meaning of Section 881(c)(3)(B) of the Code, or a “controlled foreign corporation” related to the Company, as described in Section 881(c)(3)(C) of the Code (a “U.S. Tax Compliance Certificate”) and (y) executed originals of IRS Form W-8BEN or IRS Form W-8BEN-E, as applicable; or</w:t>
      </w:r>
    </w:p>
    <w:p>
      <w:pPr>
        <w:spacing w:after="0" w:line="178" w:lineRule="exact"/>
        <w:rPr>
          <w:rFonts w:ascii="Times New Roman" w:cs="Times New Roman" w:eastAsia="Times New Roman" w:hAnsi="Times New Roman"/>
          <w:sz w:val="19"/>
          <w:szCs w:val="19"/>
          <w:color w:val="auto"/>
        </w:rPr>
      </w:pPr>
    </w:p>
    <w:p>
      <w:pPr>
        <w:ind w:left="1280" w:right="300" w:firstLine="878"/>
        <w:spacing w:after="0" w:line="262" w:lineRule="auto"/>
        <w:tabs>
          <w:tab w:leader="none" w:pos="2639" w:val="left"/>
        </w:tabs>
        <w:numPr>
          <w:ilvl w:val="2"/>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a Foreign Lender is not the beneficial owner, executed originals of IRS Form W-8IMY, accompanied by IRS Form W-8ECI, IRS Form W-8BEN or IRS Form W-8BEN-E, as applicable, a U.S. Tax Compliance Certificate substantially in the form of </w:t>
      </w:r>
      <w:r>
        <w:rPr>
          <w:rFonts w:ascii="Times New Roman" w:cs="Times New Roman" w:eastAsia="Times New Roman" w:hAnsi="Times New Roman"/>
          <w:sz w:val="19"/>
          <w:szCs w:val="19"/>
          <w:u w:val="single" w:color="auto"/>
          <w:color w:val="auto"/>
        </w:rPr>
        <w:t>Exhibit E-2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Exhibit E-3</w:t>
      </w:r>
      <w:r>
        <w:rPr>
          <w:rFonts w:ascii="Times New Roman" w:cs="Times New Roman" w:eastAsia="Times New Roman" w:hAnsi="Times New Roman"/>
          <w:sz w:val="19"/>
          <w:szCs w:val="19"/>
          <w:color w:val="auto"/>
        </w:rPr>
        <w:t xml:space="preserve">, IRS Form W-9, and/or other certification documents from each beneficial owner,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9"/>
          <w:szCs w:val="19"/>
          <w:u w:val="single" w:color="auto"/>
          <w:color w:val="auto"/>
        </w:rPr>
        <w:t>Exhibit E-4</w:t>
      </w:r>
      <w:r>
        <w:rPr>
          <w:rFonts w:ascii="Times New Roman" w:cs="Times New Roman" w:eastAsia="Times New Roman" w:hAnsi="Times New Roman"/>
          <w:sz w:val="19"/>
          <w:szCs w:val="19"/>
          <w:color w:val="auto"/>
        </w:rPr>
        <w:t xml:space="preserve"> on behalf of each such direct and indirect partner;</w:t>
      </w:r>
    </w:p>
    <w:p>
      <w:pPr>
        <w:spacing w:after="0" w:line="164" w:lineRule="exact"/>
        <w:rPr>
          <w:rFonts w:ascii="Times New Roman" w:cs="Times New Roman" w:eastAsia="Times New Roman" w:hAnsi="Times New Roman"/>
          <w:sz w:val="19"/>
          <w:szCs w:val="19"/>
          <w:color w:val="auto"/>
        </w:rPr>
      </w:pPr>
    </w:p>
    <w:p>
      <w:pPr>
        <w:ind w:left="640" w:right="580" w:firstLine="632"/>
        <w:spacing w:after="0" w:line="297" w:lineRule="auto"/>
        <w:tabs>
          <w:tab w:leader="none" w:pos="1724"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the Company and the Agent (in such number of copies as shall be requested by the recipient) on 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-49-</w:t>
      </w: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20" w:top="1383" w:right="379" w:bottom="1440" w:gutter="0" w:footer="0" w:header="0"/>
        </w:sectPr>
      </w:pPr>
    </w:p>
    <w:bookmarkStart w:id="125" w:name="page126"/>
    <w:bookmarkEnd w:id="125"/>
    <w:p>
      <w:pPr>
        <w:ind w:left="640" w:right="160"/>
        <w:spacing w:after="0" w:line="262" w:lineRule="auto"/>
        <w:rPr>
          <w:sz w:val="20"/>
          <w:szCs w:val="20"/>
          <w:color w:val="auto"/>
        </w:rPr>
      </w:pPr>
      <w:r>
        <w:rPr>
          <w:rFonts w:ascii="Times New Roman" w:cs="Times New Roman" w:eastAsia="Times New Roman" w:hAnsi="Times New Roman"/>
          <w:sz w:val="19"/>
          <w:szCs w:val="19"/>
          <w:color w:val="auto"/>
        </w:rPr>
        <w:t>prior to the date on which such Foreign Lender becomes a Lender under this Agreement (and from time to time thereafter upon the reasonable request of the Company or the Agent), executed originals of any other form prescribed by applicable law as a basis for claiming exemption from or a reduction in U.S. federal withholding Tax, duly completed, together with such supplementary documentation as may be prescribed by applicable law to permit the Company or the Agent to determine the withholding or deduction required to be made; and</w:t>
      </w:r>
    </w:p>
    <w:p>
      <w:pPr>
        <w:spacing w:after="0" w:line="179" w:lineRule="exact"/>
        <w:rPr>
          <w:sz w:val="20"/>
          <w:szCs w:val="20"/>
          <w:color w:val="auto"/>
        </w:rPr>
      </w:pPr>
    </w:p>
    <w:p>
      <w:pPr>
        <w:ind w:left="640" w:right="200" w:firstLine="632"/>
        <w:spacing w:after="0" w:line="259" w:lineRule="auto"/>
        <w:tabs>
          <w:tab w:leader="none" w:pos="1735"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Agent at the time or times prescribed by law and at such time or times reasonably requested by the Company or the Agent such documentation prescribed by applicable law (including as prescribed by Section 1471(b)(3)(C)(i) of the Code) and such additional documentation reasonably requested by the Company or the Agent as may be necessary for the Company and the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“FATCA” shall include any amendments made to FATCA after the date of this Agreement.</w:t>
      </w:r>
    </w:p>
    <w:p>
      <w:pPr>
        <w:spacing w:after="0" w:line="173" w:lineRule="exact"/>
        <w:rPr>
          <w:sz w:val="20"/>
          <w:szCs w:val="20"/>
          <w:color w:val="auto"/>
        </w:rPr>
      </w:pPr>
    </w:p>
    <w:p>
      <w:pPr>
        <w:ind w:right="200" w:firstLine="633"/>
        <w:spacing w:after="0" w:line="297" w:lineRule="auto"/>
        <w:rPr>
          <w:sz w:val="20"/>
          <w:szCs w:val="20"/>
          <w:color w:val="auto"/>
        </w:rPr>
      </w:pPr>
      <w:r>
        <w:rPr>
          <w:rFonts w:ascii="Times New Roman" w:cs="Times New Roman" w:eastAsia="Times New Roman" w:hAnsi="Times New Roman"/>
          <w:sz w:val="19"/>
          <w:szCs w:val="19"/>
          <w:color w:val="auto"/>
        </w:rPr>
        <w:t>Each Lender agrees that if any form or certification it previously delivered expires or becomes obsolete or inaccurate in any respect, it shall update such form or certification or promptly notify the Company and the Agent in writing of its legal inability to do so.</w:t>
      </w:r>
    </w:p>
    <w:p>
      <w:pPr>
        <w:spacing w:after="0" w:line="145" w:lineRule="exact"/>
        <w:rPr>
          <w:sz w:val="20"/>
          <w:szCs w:val="20"/>
          <w:color w:val="auto"/>
        </w:rPr>
      </w:pPr>
    </w:p>
    <w:p>
      <w:pPr>
        <w:ind w:firstLine="633"/>
        <w:spacing w:after="0" w:line="283" w:lineRule="auto"/>
        <w:rPr>
          <w:sz w:val="20"/>
          <w:szCs w:val="20"/>
          <w:color w:val="auto"/>
        </w:rPr>
      </w:pPr>
      <w:r>
        <w:rPr>
          <w:rFonts w:ascii="Times New Roman" w:cs="Times New Roman" w:eastAsia="Times New Roman" w:hAnsi="Times New Roman"/>
          <w:sz w:val="19"/>
          <w:szCs w:val="19"/>
          <w:color w:val="auto"/>
        </w:rPr>
        <w:t>Each Lender authorizes the Agent to deliver to the Company and to any successor Agent any documentation provided by such Lender to the Agent pursuant to this Section 3.01(f).</w:t>
      </w:r>
    </w:p>
    <w:p>
      <w:pPr>
        <w:spacing w:after="0" w:line="157" w:lineRule="exact"/>
        <w:rPr>
          <w:sz w:val="20"/>
          <w:szCs w:val="20"/>
          <w:color w:val="auto"/>
        </w:rPr>
      </w:pPr>
    </w:p>
    <w:p>
      <w:pPr>
        <w:ind w:firstLine="639"/>
        <w:spacing w:after="0" w:line="257" w:lineRule="auto"/>
        <w:tabs>
          <w:tab w:leader="none" w:pos="1052"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Certain Refunds</w:t>
      </w:r>
      <w:r>
        <w:rPr>
          <w:rFonts w:ascii="Times New Roman" w:cs="Times New Roman" w:eastAsia="Times New Roman" w:hAnsi="Times New Roman"/>
          <w:sz w:val="19"/>
          <w:szCs w:val="19"/>
          <w:color w:val="auto"/>
        </w:rPr>
        <w:t xml:space="preserve">. If the Agent or any Lender determines, in its good faith discretion, that it has received a refund (whether received in cash or applied as an offset against other Taxes due) of any Taxes as to which it has been indemnified by the Company or with respect to which the Company has paid additional amounts pursuant to this Section, it shall promptly pay to the Company an amount equal to such refund (but only to the extent of indemnity payments made, or additional amounts paid, by the Company under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with respect to the Taxes giving rise to such refund), net of all out-of-pocket expenses of the Agent or such Lender (including Taxes), as the case may be, and without interest (other than any interest paid by the relevant Governmental Authority with respect to such refund);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Company, upon the request of the Agent or such Lender, agrees to repay the amount paid over to the Company (plus any penalties, interest or other charges imposed by the relevant Governmental Authority) to the Agent or such Lender in the event the Agent or such Lender is required to repay such refund to such Governmental Authority. Such Lender or Agent, as the case may be, shall, at the Company’s reasonable request, provide the Company with a copy of any notice of assessment or other evidence reasonably satisfactory to the Company of the requirement to repay such refund received from the relevant taxing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had not been deducted, withheld or otherwise imposed and the indemnification payments or additional amounts giving rise to such refund had never been paid. This subsection shall not be construed to require the Agent or any Lender to make available its Tax returns (or any other information relating to its Taxes that it deems confidential) to the Company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-50-</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20" w:top="1383" w:right="379" w:bottom="1440" w:gutter="0" w:footer="0" w:header="0"/>
        </w:sectPr>
      </w:pPr>
    </w:p>
    <w:bookmarkStart w:id="126" w:name="page127"/>
    <w:bookmarkEnd w:id="126"/>
    <w:p>
      <w:pPr>
        <w:ind w:left="620"/>
        <w:spacing w:after="0"/>
        <w:tabs>
          <w:tab w:leader="none" w:pos="1760" w:val="left"/>
        </w:tabs>
        <w:rPr>
          <w:sz w:val="20"/>
          <w:szCs w:val="20"/>
          <w:color w:val="auto"/>
        </w:rPr>
      </w:pPr>
      <w:r>
        <w:rPr>
          <w:rFonts w:ascii="Times New Roman" w:cs="Times New Roman" w:eastAsia="Times New Roman" w:hAnsi="Times New Roman"/>
          <w:sz w:val="19"/>
          <w:szCs w:val="19"/>
          <w:color w:val="auto"/>
        </w:rPr>
        <w:t>Section 3.02</w:t>
      </w:r>
      <w:r>
        <w:rPr>
          <w:sz w:val="20"/>
          <w:szCs w:val="20"/>
          <w:color w:val="auto"/>
        </w:rPr>
        <w:tab/>
      </w:r>
      <w:r>
        <w:rPr>
          <w:rFonts w:ascii="Times New Roman" w:cs="Times New Roman" w:eastAsia="Times New Roman" w:hAnsi="Times New Roman"/>
          <w:sz w:val="19"/>
          <w:szCs w:val="19"/>
          <w:u w:val="single" w:color="auto"/>
          <w:color w:val="auto"/>
        </w:rPr>
        <w:t>Illegality</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20" w:right="40" w:firstLine="639"/>
        <w:spacing w:after="0" w:line="262" w:lineRule="auto"/>
        <w:tabs>
          <w:tab w:leader="none" w:pos="1021"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reasonably and in good faith determines that the introduction of any Requirement of Law, or any change in any Requirement of Law, or in the interpretation or administration of any Requirement of Law, after the Effective Date, has made it unlawful, or that any central bank or other Governmental Authority has asserted that it is unlawful, for any Lender or its applicable Lending Office to make Adjusted Term SOFR Rate Loans, then, on notice thereof by the Lender to the Company through the Agent, any obligation of that Lender to make Adjusted Term SOFR Rate Loans shall be suspended until the Lender notifies the Agent and the Company that the circumstances giving rise to such determination no longer exist.</w:t>
      </w:r>
    </w:p>
    <w:p>
      <w:pPr>
        <w:spacing w:after="0" w:line="164" w:lineRule="exact"/>
        <w:rPr>
          <w:rFonts w:ascii="Times New Roman" w:cs="Times New Roman" w:eastAsia="Times New Roman" w:hAnsi="Times New Roman"/>
          <w:sz w:val="19"/>
          <w:szCs w:val="19"/>
          <w:color w:val="auto"/>
        </w:rPr>
      </w:pPr>
    </w:p>
    <w:p>
      <w:pPr>
        <w:ind w:left="-20" w:firstLine="639"/>
        <w:spacing w:after="0" w:line="262" w:lineRule="auto"/>
        <w:tabs>
          <w:tab w:leader="none" w:pos="1032"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Lender reasonably and in good faith determines that it is unlawful for such Lender to maintain any Adjusted Term SOFR Rate Loan after the Effective Date in the circumstances described in </w:t>
      </w:r>
      <w:r>
        <w:rPr>
          <w:rFonts w:ascii="Times New Roman" w:cs="Times New Roman" w:eastAsia="Times New Roman" w:hAnsi="Times New Roman"/>
          <w:sz w:val="19"/>
          <w:szCs w:val="19"/>
          <w:u w:val="single" w:color="auto"/>
          <w:color w:val="auto"/>
        </w:rPr>
        <w:t>Section 3.02(a)</w:t>
      </w:r>
      <w:r>
        <w:rPr>
          <w:rFonts w:ascii="Times New Roman" w:cs="Times New Roman" w:eastAsia="Times New Roman" w:hAnsi="Times New Roman"/>
          <w:sz w:val="19"/>
          <w:szCs w:val="19"/>
          <w:color w:val="auto"/>
        </w:rPr>
        <w:t xml:space="preserve">, the Company shall, upon its receipt of written notice of such fact and demand from such Lender (with a copy to the Agent), prepay in full such Adjusted Term SOFR Rate Loans of that Lender then outstanding, together with interest accrued thereon and amounts required under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either on the last day of the Interest Period thereof, if the Lender may lawfully continue to maintain such Adjusted Term SOFR Rate Loans to such day, or immediately, if the Lender may not lawfully continue to maintain such Adjusted Term SOFR Rate Loan. If the Company is required to so prepay any Adjusted Term SOFR Rate Loan, then concurrently with such prepayment, the Company shall borrow from the affected Lender, in the amount of such prepayment, a Base Rate Loan.</w:t>
      </w:r>
    </w:p>
    <w:p>
      <w:pPr>
        <w:spacing w:after="0" w:line="163" w:lineRule="exact"/>
        <w:rPr>
          <w:rFonts w:ascii="Times New Roman" w:cs="Times New Roman" w:eastAsia="Times New Roman" w:hAnsi="Times New Roman"/>
          <w:sz w:val="19"/>
          <w:szCs w:val="19"/>
          <w:color w:val="auto"/>
        </w:rPr>
      </w:pPr>
    </w:p>
    <w:p>
      <w:pPr>
        <w:ind w:left="-20" w:right="340" w:firstLine="639"/>
        <w:spacing w:after="0" w:line="279" w:lineRule="auto"/>
        <w:tabs>
          <w:tab w:leader="none" w:pos="1021"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obligation of any Lender to make or maintain Adjusted Term SOFR Rate Loans has been so terminated or suspended, the Company may elect, by giving notice to the Lender through the Agent, that all Loans which would otherwise be made or maintained by the Lender as Adjusted Term SOFR Rate Loans shall instead be Base Rate Loans.</w:t>
      </w:r>
    </w:p>
    <w:p>
      <w:pPr>
        <w:spacing w:after="0" w:line="148" w:lineRule="exact"/>
        <w:rPr>
          <w:rFonts w:ascii="Times New Roman" w:cs="Times New Roman" w:eastAsia="Times New Roman" w:hAnsi="Times New Roman"/>
          <w:sz w:val="19"/>
          <w:szCs w:val="19"/>
          <w:color w:val="auto"/>
        </w:rPr>
      </w:pPr>
    </w:p>
    <w:p>
      <w:pPr>
        <w:ind w:left="-20" w:right="160" w:firstLine="639"/>
        <w:spacing w:after="0" w:line="272" w:lineRule="auto"/>
        <w:tabs>
          <w:tab w:leader="none" w:pos="1032"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Before giving any notice to the Agent under this </w:t>
      </w:r>
      <w:r>
        <w:rPr>
          <w:rFonts w:ascii="Times New Roman" w:cs="Times New Roman" w:eastAsia="Times New Roman" w:hAnsi="Times New Roman"/>
          <w:sz w:val="19"/>
          <w:szCs w:val="19"/>
          <w:u w:val="single" w:color="auto"/>
          <w:color w:val="auto"/>
        </w:rPr>
        <w:t>Section 3.02</w:t>
      </w:r>
      <w:r>
        <w:rPr>
          <w:rFonts w:ascii="Times New Roman" w:cs="Times New Roman" w:eastAsia="Times New Roman" w:hAnsi="Times New Roman"/>
          <w:sz w:val="19"/>
          <w:szCs w:val="19"/>
          <w:color w:val="auto"/>
        </w:rPr>
        <w:t>, the affected Lender shall designate a different Lending Office with respect to its Adjusted Term SOFR Rate Loans if such designation will avoid the need for giving such notice or making such demand and will not, in the judgment of the Lender, be illegal or otherwise materially disadvantageous to the Lender.</w:t>
      </w:r>
    </w:p>
    <w:p>
      <w:pPr>
        <w:spacing w:after="0" w:line="167" w:lineRule="exact"/>
        <w:rPr>
          <w:sz w:val="20"/>
          <w:szCs w:val="20"/>
          <w:color w:val="auto"/>
        </w:rPr>
      </w:pPr>
    </w:p>
    <w:p>
      <w:pPr>
        <w:ind w:left="620"/>
        <w:spacing w:after="0"/>
        <w:tabs>
          <w:tab w:leader="none" w:pos="1760" w:val="left"/>
        </w:tabs>
        <w:rPr>
          <w:sz w:val="20"/>
          <w:szCs w:val="20"/>
          <w:color w:val="auto"/>
        </w:rPr>
      </w:pPr>
      <w:r>
        <w:rPr>
          <w:rFonts w:ascii="Times New Roman" w:cs="Times New Roman" w:eastAsia="Times New Roman" w:hAnsi="Times New Roman"/>
          <w:sz w:val="19"/>
          <w:szCs w:val="19"/>
          <w:color w:val="auto"/>
        </w:rPr>
        <w:t>Section 3.03</w:t>
      </w:r>
      <w:r>
        <w:rPr>
          <w:sz w:val="20"/>
          <w:szCs w:val="20"/>
          <w:color w:val="auto"/>
        </w:rPr>
        <w:tab/>
      </w:r>
      <w:r>
        <w:rPr>
          <w:rFonts w:ascii="Times New Roman" w:cs="Times New Roman" w:eastAsia="Times New Roman" w:hAnsi="Times New Roman"/>
          <w:sz w:val="19"/>
          <w:szCs w:val="19"/>
          <w:u w:val="single" w:color="auto"/>
          <w:color w:val="auto"/>
        </w:rPr>
        <w:t>Increased Costs and Reduction of Return</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20" w:right="40" w:firstLine="639"/>
        <w:spacing w:after="0" w:line="258" w:lineRule="auto"/>
        <w:tabs>
          <w:tab w:leader="none" w:pos="1021"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reasonably and in good faith determines that, due to either (i) the introduction of or any change in or in the interpretation of any law or regulation or (ii) the compliance by that Lender with any guideline promulgated by or any request from any central bank or other Governmental Authority (whether or not having the force of law) in each case after the Effective Date, there shall be any increase in the cost including Taxes (other than (i) Excluded Taxes and (ii) Indemnified Taxes that are covered by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to such Lender of agreeing to make or making, funding or maintaining any Adjusted Term SOFR Rate Loans, then the Company shall be liable for, and shall from time to time, promptly upon demand, pay to the Agent for the account of such Lender, additional amounts as are sufficient to compensate such Lender for such increased costs;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only be entitled to seek such additional amounts if such Lender is generally seeking the payment of similar additional amounts from similarly situated borrowers to whom it has extended credit (as certified by such Lender in the written demand required under this </w:t>
      </w:r>
      <w:r>
        <w:rPr>
          <w:rFonts w:ascii="Times New Roman" w:cs="Times New Roman" w:eastAsia="Times New Roman" w:hAnsi="Times New Roman"/>
          <w:sz w:val="19"/>
          <w:szCs w:val="19"/>
          <w:u w:val="single" w:color="auto"/>
          <w:color w:val="auto"/>
        </w:rPr>
        <w:t>Section 3.03(a)</w:t>
      </w:r>
      <w:r>
        <w:rPr>
          <w:rFonts w:ascii="Times New Roman" w:cs="Times New Roman" w:eastAsia="Times New Roman" w:hAnsi="Times New Roman"/>
          <w:sz w:val="19"/>
          <w:szCs w:val="19"/>
          <w:color w:val="auto"/>
        </w:rPr>
        <w:t>). Notwithstanding anything herein to the contrary, (x) the Dodd-Frank Wall Street Reform and Consumer Protection Act and all rules, regulations, orders, requests, guidelines or directives in connection therewith, and (y) all requests, rules, guidelines or directives promulgated by the Bank for International Settlements, the Basel Committee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40" w:top="1383" w:right="359" w:bottom="1440" w:gutter="0" w:footer="0" w:header="0"/>
        </w:sectPr>
      </w:pPr>
    </w:p>
    <w:bookmarkStart w:id="127" w:name="page128"/>
    <w:bookmarkEnd w:id="127"/>
    <w:p>
      <w:pPr>
        <w:ind w:right="100"/>
        <w:spacing w:after="0" w:line="297" w:lineRule="auto"/>
        <w:rPr>
          <w:sz w:val="20"/>
          <w:szCs w:val="20"/>
          <w:color w:val="auto"/>
        </w:rPr>
      </w:pPr>
      <w:r>
        <w:rPr>
          <w:rFonts w:ascii="Times New Roman" w:cs="Times New Roman" w:eastAsia="Times New Roman" w:hAnsi="Times New Roman"/>
          <w:sz w:val="19"/>
          <w:szCs w:val="19"/>
          <w:color w:val="auto"/>
        </w:rPr>
        <w:t>Banking Supervision (or any successor or similar authority) or the United States or foreign regulatory authorities, in each case pursuant to Basel III, shall in each case be deemed to have been adopted and to have taken effect after the date hereof.</w:t>
      </w:r>
    </w:p>
    <w:p>
      <w:pPr>
        <w:spacing w:after="0" w:line="132" w:lineRule="exact"/>
        <w:rPr>
          <w:sz w:val="20"/>
          <w:szCs w:val="20"/>
          <w:color w:val="auto"/>
        </w:rPr>
      </w:pPr>
    </w:p>
    <w:p>
      <w:pPr>
        <w:ind w:firstLine="639"/>
        <w:spacing w:after="0" w:line="258" w:lineRule="auto"/>
        <w:tabs>
          <w:tab w:leader="none" w:pos="1052"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reasonably and in good faith shall have determined that (i) the introduction of any Capital Adequacy Regulation, (ii) any change in any Capital Adequacy Regulation, (iii) any change in the interpretation or administration of any Capital Adequacy Regulation by any central bank or other Governmental Authority charged with the interpretation or administration thereof, or (iv) compliance by the Lender (or its Lending Office) or any corporation controlling the Lender with any Capital Adequacy Regulation, in each case after the Effective Date, affects or would affect the amount of capital or liquidity required or expected to be maintained by the Lender or any corporation controlling the Lender and (taking into consideration such Lender’s or such corporation’s policies with respect to capital adequacy and liquidity, and such Lender’s desired return on capital) determines that the amount of such capital is increased as a consequence of its Commitment, Loans, credits or obligations under this Agreement, then, thirty (30) days after written demand by such Lender to the Company through the Agent, the Company shall pay to the Lender, from time to time as specified by the Lender, additional amounts sufficient to compensate the Lender for such increase;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only be entitled to seek such additional amounts if such Lender is generally seeking the payment of similar additional amounts from similarly situated borrowers to whom it has extended credit (as certified by such Lender in the written demand required under this </w:t>
      </w:r>
      <w:r>
        <w:rPr>
          <w:rFonts w:ascii="Times New Roman" w:cs="Times New Roman" w:eastAsia="Times New Roman" w:hAnsi="Times New Roman"/>
          <w:sz w:val="19"/>
          <w:szCs w:val="19"/>
          <w:u w:val="single" w:color="auto"/>
          <w:color w:val="auto"/>
        </w:rPr>
        <w:t>Section 3.03(b)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the Company shall not be required to compensate a Lender for any such increases in capital for any period more than 270 days prior to the date such Lender delivers such demand;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the circumstances giving rise to such claim have a retroactive effect, then such 270-day period shall be extended to include the period of such retroactive effect.</w:t>
      </w:r>
    </w:p>
    <w:p>
      <w:pPr>
        <w:spacing w:after="0" w:line="181"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3.04</w:t>
      </w:r>
      <w:r>
        <w:rPr>
          <w:sz w:val="20"/>
          <w:szCs w:val="20"/>
          <w:color w:val="auto"/>
        </w:rPr>
        <w:tab/>
      </w:r>
      <w:r>
        <w:rPr>
          <w:rFonts w:ascii="Times New Roman" w:cs="Times New Roman" w:eastAsia="Times New Roman" w:hAnsi="Times New Roman"/>
          <w:sz w:val="19"/>
          <w:szCs w:val="19"/>
          <w:u w:val="single" w:color="auto"/>
          <w:color w:val="auto"/>
        </w:rPr>
        <w:t>Funding Losses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80" w:firstLine="633"/>
        <w:spacing w:after="0" w:line="262" w:lineRule="auto"/>
        <w:rPr>
          <w:sz w:val="20"/>
          <w:szCs w:val="20"/>
          <w:color w:val="auto"/>
        </w:rPr>
      </w:pPr>
      <w:r>
        <w:rPr>
          <w:rFonts w:ascii="Times New Roman" w:cs="Times New Roman" w:eastAsia="Times New Roman" w:hAnsi="Times New Roman"/>
          <w:sz w:val="19"/>
          <w:szCs w:val="19"/>
          <w:color w:val="auto"/>
        </w:rPr>
        <w:t xml:space="preserve">The Company shall compensate each Lender, upon written request by such Lender (which request shall set forth the basis for requesting such amounts), for all reasonable losses, expenses and liabilities (including any interest paid or payable by such Lender to Lenders of funds borrowed by it to make or carry its Adjusted Term SOFR Rate Loans and any loss, expense or liability sustained by such Lender in connection with the liquidation or re-employment of such funds but excluding loss of anticipated profits) which such Lender has actually incurred (without duplication of any amounts to which such Lender is otherwise entitled pursuant to the other provisions of this </w:t>
      </w:r>
      <w:r>
        <w:rPr>
          <w:rFonts w:ascii="Times New Roman" w:cs="Times New Roman" w:eastAsia="Times New Roman" w:hAnsi="Times New Roman"/>
          <w:sz w:val="19"/>
          <w:szCs w:val="19"/>
          <w:u w:val="single" w:color="auto"/>
          <w:color w:val="auto"/>
        </w:rPr>
        <w:t>Article 3</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right="40" w:firstLine="639"/>
        <w:spacing w:after="0" w:line="272" w:lineRule="auto"/>
        <w:tabs>
          <w:tab w:leader="none" w:pos="1041"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for any reason (other than a default by such Lender) a Credit Extension of any Adjusted Term SOFR Rate Loan does not occur on a date specified therefor in a Loan Notice, or a conversion to or continuation of any Adjusted Term SOFR Rate Loan does not occur on a date specified therefor in a Conversion/Continuation Notice;</w:t>
      </w:r>
    </w:p>
    <w:p>
      <w:pPr>
        <w:spacing w:after="0" w:line="167" w:lineRule="exact"/>
        <w:rPr>
          <w:rFonts w:ascii="Times New Roman" w:cs="Times New Roman" w:eastAsia="Times New Roman" w:hAnsi="Times New Roman"/>
          <w:sz w:val="19"/>
          <w:szCs w:val="19"/>
          <w:color w:val="auto"/>
        </w:rPr>
      </w:pPr>
    </w:p>
    <w:p>
      <w:pPr>
        <w:ind w:firstLine="639"/>
        <w:spacing w:after="0" w:line="283" w:lineRule="auto"/>
        <w:tabs>
          <w:tab w:leader="none" w:pos="1052"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prepayment or other principal payment of, or any conversion of, any of its Adjusted Term SOFR Rate Loans occurs on a date prior to the last day of an Interest Period applicable to that Loan;</w:t>
      </w:r>
    </w:p>
    <w:p>
      <w:pPr>
        <w:spacing w:after="0" w:line="157" w:lineRule="exact"/>
        <w:rPr>
          <w:rFonts w:ascii="Times New Roman" w:cs="Times New Roman" w:eastAsia="Times New Roman" w:hAnsi="Times New Roman"/>
          <w:sz w:val="19"/>
          <w:szCs w:val="19"/>
          <w:color w:val="auto"/>
        </w:rPr>
      </w:pPr>
    </w:p>
    <w:p>
      <w:pPr>
        <w:ind w:right="20" w:firstLine="639"/>
        <w:spacing w:after="0" w:line="297" w:lineRule="auto"/>
        <w:tabs>
          <w:tab w:leader="none" w:pos="1041"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prepayment of any of its Adjusted Term SOFR Rate Loans is not made on any date specified in a notice of prepayment given by the Company; or</w:t>
      </w:r>
    </w:p>
    <w:p>
      <w:pPr>
        <w:spacing w:after="0" w:line="131" w:lineRule="exact"/>
        <w:rPr>
          <w:rFonts w:ascii="Times New Roman" w:cs="Times New Roman" w:eastAsia="Times New Roman" w:hAnsi="Times New Roman"/>
          <w:sz w:val="19"/>
          <w:szCs w:val="19"/>
          <w:color w:val="auto"/>
        </w:rPr>
      </w:pPr>
    </w:p>
    <w:p>
      <w:pPr>
        <w:ind w:right="340" w:firstLine="639"/>
        <w:spacing w:after="0" w:line="297" w:lineRule="auto"/>
        <w:tabs>
          <w:tab w:leader="none" w:pos="1052"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due to an assignment of an Adjusted Term SOFR Rate Loan other than on the last day of an Interest Period with respect thereto pursuant to </w:t>
      </w:r>
      <w:r>
        <w:rPr>
          <w:rFonts w:ascii="Times New Roman" w:cs="Times New Roman" w:eastAsia="Times New Roman" w:hAnsi="Times New Roman"/>
          <w:sz w:val="19"/>
          <w:szCs w:val="19"/>
          <w:u w:val="single" w:color="auto"/>
          <w:color w:val="auto"/>
        </w:rPr>
        <w:t>Section 10.14</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-52-</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28" w:name="page129"/>
    <w:bookmarkEnd w:id="128"/>
    <w:p>
      <w:pPr>
        <w:ind w:right="60"/>
        <w:spacing w:after="0" w:line="259" w:lineRule="auto"/>
        <w:rPr>
          <w:sz w:val="20"/>
          <w:szCs w:val="20"/>
          <w:color w:val="auto"/>
        </w:rPr>
      </w:pPr>
      <w:r>
        <w:rPr>
          <w:rFonts w:ascii="Times New Roman" w:cs="Times New Roman" w:eastAsia="Times New Roman" w:hAnsi="Times New Roman"/>
          <w:sz w:val="19"/>
          <w:szCs w:val="19"/>
          <w:color w:val="auto"/>
        </w:rPr>
        <w:t xml:space="preserve">including any such loss or expense arising from the liquidation or reemployment of funds obtained by it to maintain its Adjusted Term SOFR Rate Loans or from fees payable to terminate the deposits from which such funds were obtained, but excluding any administrative fee or other amount chargeable by such Lender for the calculation of such loss. For purposes of calculating amounts payable by the Company to the Lenders under this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and under </w:t>
      </w:r>
      <w:r>
        <w:rPr>
          <w:rFonts w:ascii="Times New Roman" w:cs="Times New Roman" w:eastAsia="Times New Roman" w:hAnsi="Times New Roman"/>
          <w:sz w:val="19"/>
          <w:szCs w:val="19"/>
          <w:u w:val="single" w:color="auto"/>
          <w:color w:val="auto"/>
        </w:rPr>
        <w:t>Section 3.03(a)</w:t>
      </w:r>
      <w:r>
        <w:rPr>
          <w:rFonts w:ascii="Times New Roman" w:cs="Times New Roman" w:eastAsia="Times New Roman" w:hAnsi="Times New Roman"/>
          <w:sz w:val="19"/>
          <w:szCs w:val="19"/>
          <w:color w:val="auto"/>
        </w:rPr>
        <w:t>, each Adjusted Term SOFR Rate Loan made by a Lender (and each related reserve, special deposit or similar requirement) shall be conclusively deemed to have been funded at the Adjusted Term SOFR Rate used in determining the Adjusted Term SOFR Rate for such Adjusted Term SOFR Rate Loan (but without giving effect to the proviso to the definition of “Adjusted Term SOFR Rate”) by a matching deposit or other borrowing for a comparable amount and for a comparable period, whether or not such Adjusted Term SOFR Rate Loan is in fact so funded.</w:t>
      </w:r>
    </w:p>
    <w:p>
      <w:pPr>
        <w:spacing w:after="0" w:line="184"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3.05</w:t>
      </w:r>
      <w:r>
        <w:rPr>
          <w:sz w:val="20"/>
          <w:szCs w:val="20"/>
          <w:color w:val="auto"/>
        </w:rPr>
        <w:tab/>
      </w:r>
      <w:r>
        <w:rPr>
          <w:rFonts w:ascii="Times New Roman" w:cs="Times New Roman" w:eastAsia="Times New Roman" w:hAnsi="Times New Roman"/>
          <w:sz w:val="19"/>
          <w:szCs w:val="19"/>
          <w:u w:val="single" w:color="auto"/>
          <w:color w:val="auto"/>
        </w:rPr>
        <w:t>Inability to Determine Rates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1040" w:hanging="401"/>
        <w:spacing w:after="0"/>
        <w:tabs>
          <w:tab w:leader="none" w:pos="104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if:</w:t>
      </w:r>
    </w:p>
    <w:p>
      <w:pPr>
        <w:spacing w:after="0" w:line="229" w:lineRule="exact"/>
        <w:rPr>
          <w:rFonts w:ascii="Times New Roman" w:cs="Times New Roman" w:eastAsia="Times New Roman" w:hAnsi="Times New Roman"/>
          <w:sz w:val="19"/>
          <w:szCs w:val="19"/>
          <w:color w:val="auto"/>
        </w:rPr>
      </w:pPr>
    </w:p>
    <w:p>
      <w:pPr>
        <w:ind w:left="620" w:firstLine="889"/>
        <w:spacing w:after="0" w:line="268" w:lineRule="auto"/>
        <w:tabs>
          <w:tab w:leader="none" w:pos="1882"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Agent determines (which determination shall be conclusive absent manifest error) prior to the commencement of any Interest Period for a Term Benchmark Borrowing, that adequate and reasonable means do not exist for ascertaining the Adjusted Term SOFR Rate or the Term SOFR Rate (including because the Term SOFR Reference Rate is not available or published on a current basis), for such Interest Period; or</w:t>
      </w:r>
    </w:p>
    <w:p>
      <w:pPr>
        <w:spacing w:after="0" w:line="158" w:lineRule="exact"/>
        <w:rPr>
          <w:rFonts w:ascii="Times New Roman" w:cs="Times New Roman" w:eastAsia="Times New Roman" w:hAnsi="Times New Roman"/>
          <w:sz w:val="19"/>
          <w:szCs w:val="19"/>
          <w:color w:val="auto"/>
        </w:rPr>
      </w:pPr>
    </w:p>
    <w:p>
      <w:pPr>
        <w:ind w:left="620" w:right="380" w:firstLine="889"/>
        <w:spacing w:after="0" w:line="279" w:lineRule="auto"/>
        <w:tabs>
          <w:tab w:leader="none" w:pos="1935"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Agent is advised by the Required Lenders that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 xml:space="preserve">then the Agent shall give notice thereof to the Company and the Lenders by telephone, telecopy or electronic mail as promptly as practicable thereafter and, until (x) the Agent notifies the Company and the Lenders that the circumstances giving rise to such notice no longer exist with respect to the relevant Benchmark and (y) the Company delivers a new Interest Election Request in accordance with the terms of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or a new Loan Notice in accordance with the terms of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any Interest Election Request that requests the conversion of any Revolving Borrowing to, or continuation of any Revolving Borrowing as, a Term Benchmark Borrowing and any Loan Notice that requests a Term Benchmark Borrowing shall instead be deemed to be an Interest Election Request or a Loan Notice, as applicable, for a Base Rate Borrowing; provided that if the circumstances giving rise to such notice affect only one Interest Type of Borrowings, then all other Interest Types of Borrowings shall be permitted. Furthermore, if any Term Benchmark Loan is outstanding on the date of the Company’s receipt of the notice from the Agent referred to in this </w:t>
      </w:r>
      <w:r>
        <w:rPr>
          <w:rFonts w:ascii="Times New Roman" w:cs="Times New Roman" w:eastAsia="Times New Roman" w:hAnsi="Times New Roman"/>
          <w:sz w:val="19"/>
          <w:szCs w:val="19"/>
          <w:u w:val="single" w:color="auto"/>
          <w:color w:val="auto"/>
        </w:rPr>
        <w:t>Section 3.05(a)</w:t>
      </w:r>
      <w:r>
        <w:rPr>
          <w:rFonts w:ascii="Times New Roman" w:cs="Times New Roman" w:eastAsia="Times New Roman" w:hAnsi="Times New Roman"/>
          <w:sz w:val="19"/>
          <w:szCs w:val="19"/>
          <w:color w:val="auto"/>
        </w:rPr>
        <w:t xml:space="preserve"> with respect to a Benchmark applicable to such Term Benchmark Loan, then until (x) the Agent notifies the Company and the Lenders that the circumstances giving rise to such notice no longer exist with respect to the relevant Benchmark and (y) the Company delivers a new Interest Election Request in accordance with the terms of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or a new Loan Notice in accordance with the terms of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any Term Benchmark Loan shall on the last day of the Interest Period applicable to such Loan (or the next succeeding Business Day if such day is not a Business Day), be converted by the Agent to, and shall constitute, a Base Rate Loan on such day.</w:t>
      </w:r>
    </w:p>
    <w:p>
      <w:pPr>
        <w:spacing w:after="0" w:line="200" w:lineRule="exact"/>
        <w:rPr>
          <w:sz w:val="20"/>
          <w:szCs w:val="20"/>
          <w:color w:val="auto"/>
        </w:rPr>
      </w:pPr>
    </w:p>
    <w:p>
      <w:pPr>
        <w:spacing w:after="0" w:line="202" w:lineRule="exact"/>
        <w:rPr>
          <w:sz w:val="20"/>
          <w:szCs w:val="20"/>
          <w:color w:val="auto"/>
        </w:rPr>
      </w:pPr>
    </w:p>
    <w:p>
      <w:pPr>
        <w:ind w:right="40" w:firstLine="639"/>
        <w:spacing w:after="0" w:line="297" w:lineRule="auto"/>
        <w:tabs>
          <w:tab w:leader="none" w:pos="1052"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or in any other Loan Document (and any Swap Contract shall be deemed not to be a “Loan Document” for purposes of this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if 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-53-</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29" w:name="page130"/>
    <w:bookmarkEnd w:id="129"/>
    <w:p>
      <w:pPr>
        <w:spacing w:after="0" w:line="258" w:lineRule="auto"/>
        <w:rPr>
          <w:sz w:val="20"/>
          <w:szCs w:val="20"/>
          <w:color w:val="auto"/>
        </w:rPr>
      </w:pPr>
      <w:r>
        <w:rPr>
          <w:rFonts w:ascii="Times New Roman" w:cs="Times New Roman" w:eastAsia="Times New Roman" w:hAnsi="Times New Roman"/>
          <w:sz w:val="19"/>
          <w:szCs w:val="19"/>
          <w:color w:val="auto"/>
        </w:rPr>
        <w:t>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Agent has not received, by such time, written notice of objection to such Benchmark Replacement from Lenders comprising the Required Lenders.</w:t>
      </w:r>
    </w:p>
    <w:p>
      <w:pPr>
        <w:spacing w:after="0" w:line="200" w:lineRule="exact"/>
        <w:rPr>
          <w:sz w:val="20"/>
          <w:szCs w:val="20"/>
          <w:color w:val="auto"/>
        </w:rPr>
      </w:pPr>
    </w:p>
    <w:p>
      <w:pPr>
        <w:spacing w:after="0" w:line="221" w:lineRule="exact"/>
        <w:rPr>
          <w:sz w:val="20"/>
          <w:szCs w:val="20"/>
          <w:color w:val="auto"/>
        </w:rPr>
      </w:pPr>
    </w:p>
    <w:p>
      <w:pPr>
        <w:ind w:right="80" w:firstLine="639"/>
        <w:spacing w:after="0" w:line="263" w:lineRule="auto"/>
        <w:tabs>
          <w:tab w:leader="none" w:pos="1041"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or in any other Loan Document, the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6" w:lineRule="exact"/>
        <w:rPr>
          <w:rFonts w:ascii="Times New Roman" w:cs="Times New Roman" w:eastAsia="Times New Roman" w:hAnsi="Times New Roman"/>
          <w:sz w:val="19"/>
          <w:szCs w:val="19"/>
          <w:color w:val="auto"/>
        </w:rPr>
      </w:pPr>
    </w:p>
    <w:p>
      <w:pPr>
        <w:ind w:firstLine="639"/>
        <w:spacing w:after="0" w:line="259" w:lineRule="auto"/>
        <w:tabs>
          <w:tab w:leader="none" w:pos="1048"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Agent will promptly notify the Company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Agent or, if applicable, any Lender (or group of Lenders) pursuant to this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3.05.</w:t>
      </w:r>
    </w:p>
    <w:p>
      <w:pPr>
        <w:spacing w:after="0" w:line="184" w:lineRule="exact"/>
        <w:rPr>
          <w:rFonts w:ascii="Times New Roman" w:cs="Times New Roman" w:eastAsia="Times New Roman" w:hAnsi="Times New Roman"/>
          <w:sz w:val="19"/>
          <w:szCs w:val="19"/>
          <w:color w:val="auto"/>
        </w:rPr>
      </w:pPr>
    </w:p>
    <w:p>
      <w:pPr>
        <w:ind w:right="120" w:firstLine="639"/>
        <w:spacing w:after="0" w:line="257" w:lineRule="auto"/>
        <w:tabs>
          <w:tab w:leader="none" w:pos="1041"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or will be no longer representative, then the Agent may modify the definition of “Interest Period” for any Benchmark settings at or after such time to remove such unavailable or non-representative tenor and</w:t>
      </w:r>
    </w:p>
    <w:p>
      <w:pPr>
        <w:spacing w:after="0" w:line="3" w:lineRule="exact"/>
        <w:rPr>
          <w:rFonts w:ascii="Times New Roman" w:cs="Times New Roman" w:eastAsia="Times New Roman" w:hAnsi="Times New Roman"/>
          <w:sz w:val="19"/>
          <w:szCs w:val="19"/>
          <w:color w:val="auto"/>
        </w:rPr>
      </w:pPr>
    </w:p>
    <w:p>
      <w:pPr>
        <w:ind w:left="300" w:hanging="294"/>
        <w:spacing w:after="0"/>
        <w:tabs>
          <w:tab w:leader="none" w:pos="30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tenor that was removed pursuant to clause (i) above either (A) is subsequently displayed on a screen or information service for a</w:t>
      </w:r>
    </w:p>
    <w:p>
      <w:pPr>
        <w:spacing w:after="0" w:line="12"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9"/>
          <w:szCs w:val="19"/>
          <w:color w:val="auto"/>
        </w:rPr>
        <w:t>Benchmark (including a Benchmark Replacement) or (B) is not, or is no longer, subject to an announcement that it is or will no longer be representative for a Benchmark (including a Benchmark Replacement), then the Agent may modify the definition of “Interest Period” for all Benchmark settings at or after such time to reinstate such previously removed tenor.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30" w:name="page131"/>
    <w:bookmarkEnd w:id="130"/>
    <w:p>
      <w:pPr>
        <w:ind w:firstLine="639"/>
        <w:spacing w:after="0" w:line="258" w:lineRule="auto"/>
        <w:tabs>
          <w:tab w:leader="none" w:pos="1019"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Company’s receipt of notice of the commencement of a Benchmark Unavailability Period, the Company may revoke any request for a Term Benchmark Borrowing, conversion to or continuation of Term Benchmark Loans to be made, converted or continued during any Benchmark Unavailability Period and, failing that, the Company will be deemed to have converted any request for a Term Benchmark Borrowing into a request for a Borrowing of or conversion to a Base Rate Borrowing.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the Base Rate. Furthermore, if any Term Benchmark Loan is outstanding on the date of the Company’s receipt of notice of the commencement of a Benchmark Unavailability Period with respect to a Benchmark applicable to such Term Benchmark Loan, then until such time as a Benchmark Replacement is implemented pursuant to this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any Term Benchmark Loan shall on the last day of the Interest Period applicable to such Loan (or the next succeeding Business Day if such day is not a Business Day), be converted by the Agent to, and shall constitute, a Base Rate Loan on such day.</w:t>
      </w:r>
    </w:p>
    <w:p>
      <w:pPr>
        <w:spacing w:after="0" w:line="184"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3.06</w:t>
      </w:r>
      <w:r>
        <w:rPr>
          <w:sz w:val="20"/>
          <w:szCs w:val="20"/>
          <w:color w:val="auto"/>
        </w:rPr>
        <w:tab/>
      </w:r>
      <w:r>
        <w:rPr>
          <w:rFonts w:ascii="Times New Roman" w:cs="Times New Roman" w:eastAsia="Times New Roman" w:hAnsi="Times New Roman"/>
          <w:sz w:val="19"/>
          <w:szCs w:val="19"/>
          <w:u w:val="single" w:color="auto"/>
          <w:color w:val="auto"/>
        </w:rPr>
        <w:t>Certificates of Lenders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140" w:firstLine="633"/>
        <w:spacing w:after="0" w:line="263" w:lineRule="auto"/>
        <w:rPr>
          <w:sz w:val="20"/>
          <w:szCs w:val="20"/>
          <w:color w:val="auto"/>
        </w:rPr>
      </w:pPr>
      <w:r>
        <w:rPr>
          <w:rFonts w:ascii="Times New Roman" w:cs="Times New Roman" w:eastAsia="Times New Roman" w:hAnsi="Times New Roman"/>
          <w:sz w:val="19"/>
          <w:szCs w:val="19"/>
          <w:color w:val="auto"/>
        </w:rPr>
        <w:t xml:space="preserve">Any Lender claiming reimbursement or compensation under this </w:t>
      </w:r>
      <w:r>
        <w:rPr>
          <w:rFonts w:ascii="Times New Roman" w:cs="Times New Roman" w:eastAsia="Times New Roman" w:hAnsi="Times New Roman"/>
          <w:sz w:val="19"/>
          <w:szCs w:val="19"/>
          <w:u w:val="single" w:color="auto"/>
          <w:color w:val="auto"/>
        </w:rPr>
        <w:t>Article 3</w:t>
      </w:r>
      <w:r>
        <w:rPr>
          <w:rFonts w:ascii="Times New Roman" w:cs="Times New Roman" w:eastAsia="Times New Roman" w:hAnsi="Times New Roman"/>
          <w:sz w:val="19"/>
          <w:szCs w:val="19"/>
          <w:color w:val="auto"/>
        </w:rPr>
        <w:t xml:space="preserve"> shall deliver to the Company (with a copy to the Agent) a certificate setting forth in reasonable detail the amount payable to the Lender hereunder and such certificate shall be conclusive and binding on the Company in the absence of demonstrable error. Such certificate shall set forth in reasonable detail the methodology used in determining the amount payable to the Lender.</w:t>
      </w:r>
    </w:p>
    <w:p>
      <w:pPr>
        <w:spacing w:after="0" w:line="17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3.07</w:t>
      </w:r>
      <w:r>
        <w:rPr>
          <w:sz w:val="20"/>
          <w:szCs w:val="20"/>
          <w:color w:val="auto"/>
        </w:rPr>
        <w:tab/>
      </w:r>
      <w:r>
        <w:rPr>
          <w:rFonts w:ascii="Times New Roman" w:cs="Times New Roman" w:eastAsia="Times New Roman" w:hAnsi="Times New Roman"/>
          <w:sz w:val="19"/>
          <w:szCs w:val="19"/>
          <w:u w:val="single" w:color="auto"/>
          <w:color w:val="auto"/>
        </w:rPr>
        <w:t>Substitution of Lenders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80" w:firstLine="633"/>
        <w:spacing w:after="0" w:line="259" w:lineRule="auto"/>
        <w:rPr>
          <w:sz w:val="20"/>
          <w:szCs w:val="20"/>
          <w:color w:val="auto"/>
        </w:rPr>
      </w:pPr>
      <w:r>
        <w:rPr>
          <w:rFonts w:ascii="Times New Roman" w:cs="Times New Roman" w:eastAsia="Times New Roman" w:hAnsi="Times New Roman"/>
          <w:sz w:val="19"/>
          <w:szCs w:val="19"/>
          <w:color w:val="auto"/>
        </w:rPr>
        <w:t xml:space="preserve">If the Company receives notice from any Lender of a claim for compensation under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3.03</w:t>
      </w:r>
      <w:r>
        <w:rPr>
          <w:rFonts w:ascii="Times New Roman" w:cs="Times New Roman" w:eastAsia="Times New Roman" w:hAnsi="Times New Roman"/>
          <w:sz w:val="19"/>
          <w:szCs w:val="19"/>
          <w:color w:val="auto"/>
        </w:rPr>
        <w:t xml:space="preserve">, or any Lender invokes the provisions of </w:t>
      </w:r>
      <w:r>
        <w:rPr>
          <w:rFonts w:ascii="Times New Roman" w:cs="Times New Roman" w:eastAsia="Times New Roman" w:hAnsi="Times New Roman"/>
          <w:sz w:val="19"/>
          <w:szCs w:val="19"/>
          <w:u w:val="single" w:color="auto"/>
          <w:color w:val="auto"/>
        </w:rPr>
        <w:t>Section 3.02</w:t>
      </w:r>
      <w:r>
        <w:rPr>
          <w:rFonts w:ascii="Times New Roman" w:cs="Times New Roman" w:eastAsia="Times New Roman" w:hAnsi="Times New Roman"/>
          <w:sz w:val="19"/>
          <w:szCs w:val="19"/>
          <w:color w:val="auto"/>
        </w:rPr>
        <w:t xml:space="preserve">, the Company may, upon notice to such Lender and the Agent, replace such Lender by causing such Lender to assign its Loans and Commitments (with the assignment fee to be paid by the Company in such instance) pursuant to </w:t>
      </w:r>
      <w:r>
        <w:rPr>
          <w:rFonts w:ascii="Times New Roman" w:cs="Times New Roman" w:eastAsia="Times New Roman" w:hAnsi="Times New Roman"/>
          <w:sz w:val="19"/>
          <w:szCs w:val="19"/>
          <w:u w:val="single" w:color="auto"/>
          <w:color w:val="auto"/>
        </w:rPr>
        <w:t>Section 10.07(b)</w:t>
      </w:r>
      <w:r>
        <w:rPr>
          <w:rFonts w:ascii="Times New Roman" w:cs="Times New Roman" w:eastAsia="Times New Roman" w:hAnsi="Times New Roman"/>
          <w:sz w:val="19"/>
          <w:szCs w:val="19"/>
          <w:color w:val="auto"/>
        </w:rPr>
        <w:t xml:space="preserve"> to one or more other Lenders or Eligible Assignees procured by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such Lender shall have received payment of an amount equal to the outstanding principal of its Loans, accrued interest thereon, accrued fees and all other amounts payable to it under the Loan Documents from the applicable assignee (to the extent of such outstanding principal and accrued interest and fees) or the Company (in the case of all other amounts). The Company shall release such Lender from its obligations under the Loan Documents. Any Lender being replaced shall execute and deliver an Assignment and Assumption with respect to such Lender’s outstanding Loans and Commitments.</w:t>
      </w:r>
    </w:p>
    <w:p>
      <w:pPr>
        <w:spacing w:after="0" w:line="171"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3.08</w:t>
      </w:r>
      <w:r>
        <w:rPr>
          <w:sz w:val="20"/>
          <w:szCs w:val="20"/>
          <w:color w:val="auto"/>
        </w:rPr>
        <w:tab/>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820" w:firstLine="633"/>
        <w:spacing w:after="0" w:line="283" w:lineRule="auto"/>
        <w:rPr>
          <w:sz w:val="20"/>
          <w:szCs w:val="20"/>
          <w:color w:val="auto"/>
        </w:rPr>
      </w:pPr>
      <w:r>
        <w:rPr>
          <w:rFonts w:ascii="Times New Roman" w:cs="Times New Roman" w:eastAsia="Times New Roman" w:hAnsi="Times New Roman"/>
          <w:sz w:val="19"/>
          <w:szCs w:val="19"/>
          <w:color w:val="auto"/>
        </w:rPr>
        <w:t xml:space="preserve">The agreements and obligations of the Company in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3.03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3.06</w:t>
      </w:r>
      <w:r>
        <w:rPr>
          <w:rFonts w:ascii="Times New Roman" w:cs="Times New Roman" w:eastAsia="Times New Roman" w:hAnsi="Times New Roman"/>
          <w:sz w:val="19"/>
          <w:szCs w:val="19"/>
          <w:color w:val="auto"/>
        </w:rPr>
        <w:t xml:space="preserve"> shall survive the termination of this Agreement and the payment of all other Obligations.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ARTICLE 4</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CONDITIONS PRECEDENT</w:t>
      </w:r>
    </w:p>
    <w:p>
      <w:pPr>
        <w:spacing w:after="0" w:line="202"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4.01</w:t>
      </w:r>
      <w:r>
        <w:rPr>
          <w:sz w:val="20"/>
          <w:szCs w:val="20"/>
          <w:color w:val="auto"/>
        </w:rPr>
        <w:tab/>
      </w:r>
      <w:r>
        <w:rPr>
          <w:rFonts w:ascii="Times New Roman" w:cs="Times New Roman" w:eastAsia="Times New Roman" w:hAnsi="Times New Roman"/>
          <w:sz w:val="19"/>
          <w:szCs w:val="19"/>
          <w:u w:val="single" w:color="auto"/>
          <w:color w:val="auto"/>
        </w:rPr>
        <w:t>Conditions to Effective Date</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effectiveness of this Agreement on the Effective Date is subject to satisfaction of the following conditions precedent: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-55-</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31" w:name="page132"/>
    <w:bookmarkEnd w:id="131"/>
    <w:p>
      <w:pPr>
        <w:jc w:val="both"/>
        <w:ind w:left="-40" w:right="180" w:firstLine="639"/>
        <w:spacing w:after="0" w:line="268" w:lineRule="auto"/>
        <w:tabs>
          <w:tab w:leader="none" w:pos="997"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Agent shall have received each of the following, each of which shall be originals or facsimiles or Adobe PDFs delivered by electronic mail (followed promptly by originals) unless otherwise specified, each properly executed by a Responsible Officer, each dated the Effective Date (or, in the case of certificates of governmental officials, a recent date before the Effective Date) and each in form and substance reasonably satisfactory to the Agent and each of the Lenders:</w:t>
      </w:r>
    </w:p>
    <w:p>
      <w:pPr>
        <w:spacing w:after="0" w:line="158" w:lineRule="exact"/>
        <w:rPr>
          <w:rFonts w:ascii="Times New Roman" w:cs="Times New Roman" w:eastAsia="Times New Roman" w:hAnsi="Times New Roman"/>
          <w:sz w:val="19"/>
          <w:szCs w:val="19"/>
          <w:color w:val="auto"/>
        </w:rPr>
      </w:pPr>
    </w:p>
    <w:p>
      <w:pPr>
        <w:ind w:left="1840" w:hanging="371"/>
        <w:spacing w:after="0"/>
        <w:tabs>
          <w:tab w:leader="none" w:pos="1840"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counterparts of this Agreement; and</w:t>
      </w:r>
    </w:p>
    <w:p>
      <w:pPr>
        <w:spacing w:after="0" w:line="229" w:lineRule="exact"/>
        <w:rPr>
          <w:rFonts w:ascii="Times New Roman" w:cs="Times New Roman" w:eastAsia="Times New Roman" w:hAnsi="Times New Roman"/>
          <w:sz w:val="19"/>
          <w:szCs w:val="19"/>
          <w:color w:val="auto"/>
        </w:rPr>
      </w:pPr>
    </w:p>
    <w:p>
      <w:pPr>
        <w:ind w:left="580" w:firstLine="889"/>
        <w:spacing w:after="0" w:line="297" w:lineRule="auto"/>
        <w:tabs>
          <w:tab w:leader="none" w:pos="1895"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Note executed by the Company in favor of each Lender that has requested a Note at least three Business Days prior to the Effective Date;</w:t>
      </w:r>
    </w:p>
    <w:p>
      <w:pPr>
        <w:spacing w:after="0" w:line="131" w:lineRule="exact"/>
        <w:rPr>
          <w:rFonts w:ascii="Times New Roman" w:cs="Times New Roman" w:eastAsia="Times New Roman" w:hAnsi="Times New Roman"/>
          <w:sz w:val="19"/>
          <w:szCs w:val="19"/>
          <w:color w:val="auto"/>
        </w:rPr>
      </w:pPr>
    </w:p>
    <w:p>
      <w:pPr>
        <w:ind w:left="1020" w:hanging="421"/>
        <w:spacing w:after="0"/>
        <w:tabs>
          <w:tab w:leader="none" w:pos="102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Agent shall have received:</w:t>
      </w:r>
    </w:p>
    <w:p>
      <w:pPr>
        <w:spacing w:after="0" w:line="229" w:lineRule="exact"/>
        <w:rPr>
          <w:rFonts w:ascii="Times New Roman" w:cs="Times New Roman" w:eastAsia="Times New Roman" w:hAnsi="Times New Roman"/>
          <w:sz w:val="19"/>
          <w:szCs w:val="19"/>
          <w:color w:val="auto"/>
        </w:rPr>
      </w:pPr>
    </w:p>
    <w:p>
      <w:pPr>
        <w:ind w:left="580" w:right="380" w:firstLine="889"/>
        <w:spacing w:after="0" w:line="272" w:lineRule="auto"/>
        <w:tabs>
          <w:tab w:leader="none" w:pos="1842"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copies of the resolutions of the board of directors, authorized subcommittee thereof, or other equivalent body of the Company authorizing the Transactions to which the Company is a party, certified as of the Effective Date by the Secretary or an Assistant Secretary of the Company;</w:t>
      </w:r>
    </w:p>
    <w:p>
      <w:pPr>
        <w:spacing w:after="0" w:line="167" w:lineRule="exact"/>
        <w:rPr>
          <w:rFonts w:ascii="Times New Roman" w:cs="Times New Roman" w:eastAsia="Times New Roman" w:hAnsi="Times New Roman"/>
          <w:sz w:val="19"/>
          <w:szCs w:val="19"/>
          <w:color w:val="auto"/>
        </w:rPr>
      </w:pPr>
    </w:p>
    <w:p>
      <w:pPr>
        <w:ind w:left="580" w:right="160" w:firstLine="889"/>
        <w:spacing w:after="0" w:line="272" w:lineRule="auto"/>
        <w:tabs>
          <w:tab w:leader="none" w:pos="1895"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the Secretary or Assistant Secretary of the Company certifying the names and true signatures of the officers of the Company authorized to execute, deliver and perform, as applicable, this Agreement and all other Loan Documents to be delivered by the Company hereunder;</w:t>
      </w:r>
    </w:p>
    <w:p>
      <w:pPr>
        <w:spacing w:after="0" w:line="154" w:lineRule="exact"/>
        <w:rPr>
          <w:rFonts w:ascii="Times New Roman" w:cs="Times New Roman" w:eastAsia="Times New Roman" w:hAnsi="Times New Roman"/>
          <w:sz w:val="19"/>
          <w:szCs w:val="19"/>
          <w:color w:val="auto"/>
        </w:rPr>
      </w:pPr>
    </w:p>
    <w:p>
      <w:pPr>
        <w:ind w:left="580" w:right="120" w:firstLine="889"/>
        <w:spacing w:after="0" w:line="297" w:lineRule="auto"/>
        <w:tabs>
          <w:tab w:leader="none" w:pos="1949"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articles or certificate of incorporation of the Company as in effect on the Effective Date, certified by the Secretary of State of its state of incorporation or organization as of a recent date;</w:t>
      </w:r>
    </w:p>
    <w:p>
      <w:pPr>
        <w:spacing w:after="0" w:line="145" w:lineRule="exact"/>
        <w:rPr>
          <w:rFonts w:ascii="Times New Roman" w:cs="Times New Roman" w:eastAsia="Times New Roman" w:hAnsi="Times New Roman"/>
          <w:sz w:val="19"/>
          <w:szCs w:val="19"/>
          <w:color w:val="auto"/>
        </w:rPr>
      </w:pPr>
    </w:p>
    <w:p>
      <w:pPr>
        <w:ind w:left="580" w:right="380" w:firstLine="889"/>
        <w:spacing w:after="0" w:line="283" w:lineRule="auto"/>
        <w:tabs>
          <w:tab w:leader="none" w:pos="1938"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bylaws or equivalent document of the Company as in effect on the Effective Date, certified by the Secretary or Assistant Secretary of the Company as of the Effective Date; and</w:t>
      </w:r>
    </w:p>
    <w:p>
      <w:pPr>
        <w:spacing w:after="0" w:line="157" w:lineRule="exact"/>
        <w:rPr>
          <w:rFonts w:ascii="Times New Roman" w:cs="Times New Roman" w:eastAsia="Times New Roman" w:hAnsi="Times New Roman"/>
          <w:sz w:val="19"/>
          <w:szCs w:val="19"/>
          <w:color w:val="auto"/>
        </w:rPr>
      </w:pPr>
    </w:p>
    <w:p>
      <w:pPr>
        <w:ind w:left="580" w:right="640" w:firstLine="889"/>
        <w:spacing w:after="0" w:line="283" w:lineRule="auto"/>
        <w:tabs>
          <w:tab w:leader="none" w:pos="1885"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good standing for the Company from the Secretary of State (or similar, applicable Governmental Authority) of its state of incorporation or organization as of a recent date.</w:t>
      </w:r>
    </w:p>
    <w:p>
      <w:pPr>
        <w:spacing w:after="0" w:line="157" w:lineRule="exact"/>
        <w:rPr>
          <w:rFonts w:ascii="Times New Roman" w:cs="Times New Roman" w:eastAsia="Times New Roman" w:hAnsi="Times New Roman"/>
          <w:sz w:val="19"/>
          <w:szCs w:val="19"/>
          <w:color w:val="auto"/>
        </w:rPr>
      </w:pPr>
    </w:p>
    <w:p>
      <w:pPr>
        <w:ind w:left="1000" w:hanging="401"/>
        <w:spacing w:after="0"/>
        <w:tabs>
          <w:tab w:leader="none" w:pos="100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6" w:lineRule="exact"/>
        <w:rPr>
          <w:rFonts w:ascii="Times New Roman" w:cs="Times New Roman" w:eastAsia="Times New Roman" w:hAnsi="Times New Roman"/>
          <w:sz w:val="19"/>
          <w:szCs w:val="19"/>
          <w:color w:val="auto"/>
        </w:rPr>
      </w:pPr>
    </w:p>
    <w:p>
      <w:pPr>
        <w:ind w:left="-40" w:right="100" w:firstLine="639"/>
        <w:spacing w:after="0" w:line="297" w:lineRule="auto"/>
        <w:tabs>
          <w:tab w:leader="none" w:pos="1008"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Agent shall have received a customary written opinion (addressed to the Agent and the Lenders and dated the Effective Date) from Wachtell, Lipton, Rosen &amp; Katz LLP, counsel for the Company.</w:t>
      </w:r>
    </w:p>
    <w:p>
      <w:pPr>
        <w:spacing w:after="0" w:line="145" w:lineRule="exact"/>
        <w:rPr>
          <w:rFonts w:ascii="Times New Roman" w:cs="Times New Roman" w:eastAsia="Times New Roman" w:hAnsi="Times New Roman"/>
          <w:sz w:val="19"/>
          <w:szCs w:val="19"/>
          <w:color w:val="auto"/>
        </w:rPr>
      </w:pPr>
    </w:p>
    <w:p>
      <w:pPr>
        <w:ind w:left="1000" w:hanging="401"/>
        <w:spacing w:after="0"/>
        <w:tabs>
          <w:tab w:leader="none" w:pos="100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6" w:lineRule="exact"/>
        <w:rPr>
          <w:rFonts w:ascii="Times New Roman" w:cs="Times New Roman" w:eastAsia="Times New Roman" w:hAnsi="Times New Roman"/>
          <w:sz w:val="19"/>
          <w:szCs w:val="19"/>
          <w:color w:val="auto"/>
        </w:rPr>
      </w:pPr>
    </w:p>
    <w:p>
      <w:pPr>
        <w:ind w:left="-40" w:right="320" w:firstLine="639"/>
        <w:spacing w:after="0" w:line="297" w:lineRule="auto"/>
        <w:tabs>
          <w:tab w:leader="none" w:pos="976"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Agent shall have received a certificate signed by a Responsible Officer on behalf of the Company, dated as of the Effective Date, certifying as to the matters set forth in </w:t>
      </w:r>
      <w:r>
        <w:rPr>
          <w:rFonts w:ascii="Times New Roman" w:cs="Times New Roman" w:eastAsia="Times New Roman" w:hAnsi="Times New Roman"/>
          <w:sz w:val="19"/>
          <w:szCs w:val="19"/>
          <w:u w:val="single" w:color="auto"/>
          <w:color w:val="auto"/>
        </w:rPr>
        <w:t>Sections 4.01(h)</w:t>
      </w:r>
      <w:r>
        <w:rPr>
          <w:rFonts w:ascii="Times New Roman" w:cs="Times New Roman" w:eastAsia="Times New Roman" w:hAnsi="Times New Roman"/>
          <w:sz w:val="19"/>
          <w:szCs w:val="19"/>
          <w:color w:val="auto"/>
        </w:rPr>
        <w:t>.</w:t>
      </w:r>
    </w:p>
    <w:p>
      <w:pPr>
        <w:spacing w:after="0" w:line="131" w:lineRule="exact"/>
        <w:rPr>
          <w:rFonts w:ascii="Times New Roman" w:cs="Times New Roman" w:eastAsia="Times New Roman" w:hAnsi="Times New Roman"/>
          <w:sz w:val="19"/>
          <w:szCs w:val="19"/>
          <w:color w:val="auto"/>
        </w:rPr>
      </w:pPr>
    </w:p>
    <w:p>
      <w:pPr>
        <w:ind w:left="-40" w:firstLine="639"/>
        <w:spacing w:after="0" w:line="279" w:lineRule="auto"/>
        <w:tabs>
          <w:tab w:leader="none" w:pos="1008"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have provided the documentation and other information to the Agent that are required by regulatory authorities under applicable “know-your-customer” rules and regulations, including the Patriot Act, to the extent the Company shall have received written requests therefor at least ten (10) Business Days prior to the Effective Date.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160"/>
          </w:cols>
          <w:pgMar w:left="360" w:top="1383" w:right="379" w:bottom="1440" w:gutter="0" w:footer="0" w:header="0"/>
        </w:sectPr>
      </w:pPr>
    </w:p>
    <w:bookmarkStart w:id="132" w:name="page133"/>
    <w:bookmarkEnd w:id="132"/>
    <w:p>
      <w:pPr>
        <w:jc w:val="both"/>
        <w:ind w:firstLine="639"/>
        <w:spacing w:after="0" w:line="262" w:lineRule="auto"/>
        <w:tabs>
          <w:tab w:leader="none" w:pos="1048"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representations and warranties of the Company contained in </w:t>
      </w:r>
      <w:r>
        <w:rPr>
          <w:rFonts w:ascii="Times New Roman" w:cs="Times New Roman" w:eastAsia="Times New Roman" w:hAnsi="Times New Roman"/>
          <w:sz w:val="19"/>
          <w:szCs w:val="19"/>
          <w:u w:val="single" w:color="auto"/>
          <w:color w:val="auto"/>
        </w:rPr>
        <w:t>Article 5</w:t>
      </w:r>
      <w:r>
        <w:rPr>
          <w:rFonts w:ascii="Times New Roman" w:cs="Times New Roman" w:eastAsia="Times New Roman" w:hAnsi="Times New Roman"/>
          <w:sz w:val="19"/>
          <w:szCs w:val="19"/>
          <w:color w:val="auto"/>
        </w:rPr>
        <w:t xml:space="preserve"> or any other Loan Document, or which are contained in any document furnished at any time under or in connection herewith or therewith, (x) which are not qualified as to materiality shall be true and correct in all material respects and (y) which are qualified as to materiality shall be true and correct, in each case, on and as of the Effective Date, except to the extent that such representations and warranties specifically refer to an earlier date, in which case they shall be true and correct in all material respects, or true and correct, as the case may be, as of such earlier date.</w:t>
      </w:r>
    </w:p>
    <w:p>
      <w:pPr>
        <w:spacing w:after="0" w:line="179" w:lineRule="exact"/>
        <w:rPr>
          <w:sz w:val="20"/>
          <w:szCs w:val="20"/>
          <w:color w:val="auto"/>
        </w:rPr>
      </w:pPr>
    </w:p>
    <w:p>
      <w:pPr>
        <w:ind w:right="60" w:firstLine="633"/>
        <w:spacing w:after="0" w:line="297" w:lineRule="auto"/>
        <w:rPr>
          <w:sz w:val="20"/>
          <w:szCs w:val="20"/>
          <w:color w:val="auto"/>
        </w:rPr>
      </w:pPr>
      <w:r>
        <w:rPr>
          <w:rFonts w:ascii="Times New Roman" w:cs="Times New Roman" w:eastAsia="Times New Roman" w:hAnsi="Times New Roman"/>
          <w:sz w:val="19"/>
          <w:szCs w:val="19"/>
          <w:color w:val="auto"/>
        </w:rPr>
        <w:t xml:space="preserve">Section 4.02 </w:t>
      </w:r>
      <w:r>
        <w:rPr>
          <w:rFonts w:ascii="Times New Roman" w:cs="Times New Roman" w:eastAsia="Times New Roman" w:hAnsi="Times New Roman"/>
          <w:sz w:val="19"/>
          <w:szCs w:val="19"/>
          <w:u w:val="single" w:color="auto"/>
          <w:color w:val="auto"/>
        </w:rPr>
        <w:t>Conditions to Closing Date</w:t>
      </w:r>
      <w:r>
        <w:rPr>
          <w:rFonts w:ascii="Times New Roman" w:cs="Times New Roman" w:eastAsia="Times New Roman" w:hAnsi="Times New Roman"/>
          <w:sz w:val="19"/>
          <w:szCs w:val="19"/>
          <w:color w:val="auto"/>
        </w:rPr>
        <w:t>. The several obligation of the Lenders to make Loans on and after the Closing Date is subject to satisfaction of the following conditions precedent on or prior to September 26, 2024:</w:t>
      </w:r>
    </w:p>
    <w:p>
      <w:pPr>
        <w:spacing w:after="0" w:line="132" w:lineRule="exact"/>
        <w:rPr>
          <w:sz w:val="20"/>
          <w:szCs w:val="20"/>
          <w:color w:val="auto"/>
        </w:rPr>
      </w:pPr>
    </w:p>
    <w:p>
      <w:pPr>
        <w:ind w:left="1040" w:hanging="401"/>
        <w:spacing w:after="0"/>
        <w:tabs>
          <w:tab w:leader="none" w:pos="104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Effective Date shall have occurred.</w:t>
      </w:r>
    </w:p>
    <w:p>
      <w:pPr>
        <w:spacing w:after="0" w:line="229"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6" w:lineRule="exact"/>
        <w:rPr>
          <w:rFonts w:ascii="Times New Roman" w:cs="Times New Roman" w:eastAsia="Times New Roman" w:hAnsi="Times New Roman"/>
          <w:sz w:val="19"/>
          <w:szCs w:val="19"/>
          <w:color w:val="auto"/>
        </w:rPr>
      </w:pPr>
    </w:p>
    <w:p>
      <w:pPr>
        <w:ind w:right="240" w:firstLine="639"/>
        <w:spacing w:after="0" w:line="268" w:lineRule="auto"/>
        <w:tabs>
          <w:tab w:leader="none" w:pos="1041"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Existing Credit Agreement shall have been or concurrently with the Closing Date shall be terminated (other than with respect to the terms thereof that expressly survive termination), and all principal and interest thereunder shall have been or shall be paid in full and (ii) Existing Secured Notes shall have been redeemed or satisfied and discharged, in accordance with the terms of the Existing Secured Notes Indenture (collectively, the “</w:t>
      </w:r>
      <w:r>
        <w:rPr>
          <w:rFonts w:ascii="Times New Roman" w:cs="Times New Roman" w:eastAsia="Times New Roman" w:hAnsi="Times New Roman"/>
          <w:sz w:val="19"/>
          <w:szCs w:val="19"/>
          <w:b w:val="1"/>
          <w:bCs w:val="1"/>
          <w:color w:val="auto"/>
        </w:rPr>
        <w:t>Closing Date Refinancing</w:t>
      </w:r>
      <w:r>
        <w:rPr>
          <w:rFonts w:ascii="Times New Roman" w:cs="Times New Roman" w:eastAsia="Times New Roman" w:hAnsi="Times New Roman"/>
          <w:sz w:val="19"/>
          <w:szCs w:val="19"/>
          <w:color w:val="auto"/>
        </w:rPr>
        <w:t>”)</w:t>
      </w:r>
    </w:p>
    <w:p>
      <w:pPr>
        <w:spacing w:after="0" w:line="171" w:lineRule="exact"/>
        <w:rPr>
          <w:rFonts w:ascii="Times New Roman" w:cs="Times New Roman" w:eastAsia="Times New Roman" w:hAnsi="Times New Roman"/>
          <w:sz w:val="19"/>
          <w:szCs w:val="19"/>
          <w:color w:val="auto"/>
        </w:rPr>
      </w:pPr>
    </w:p>
    <w:p>
      <w:pPr>
        <w:ind w:right="160" w:firstLine="639"/>
        <w:spacing w:after="0" w:line="262" w:lineRule="auto"/>
        <w:tabs>
          <w:tab w:leader="none" w:pos="1048"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representations and warranties of the Company contained in </w:t>
      </w:r>
      <w:r>
        <w:rPr>
          <w:rFonts w:ascii="Times New Roman" w:cs="Times New Roman" w:eastAsia="Times New Roman" w:hAnsi="Times New Roman"/>
          <w:sz w:val="19"/>
          <w:szCs w:val="19"/>
          <w:u w:val="single" w:color="auto"/>
          <w:color w:val="auto"/>
        </w:rPr>
        <w:t>Article 5</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Sections 5.05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5.17</w:t>
      </w:r>
      <w:r>
        <w:rPr>
          <w:rFonts w:ascii="Times New Roman" w:cs="Times New Roman" w:eastAsia="Times New Roman" w:hAnsi="Times New Roman"/>
          <w:sz w:val="19"/>
          <w:szCs w:val="19"/>
          <w:color w:val="auto"/>
        </w:rPr>
        <w:t>) or any other Loan Document, or which are contained in any document furnished at any time under or in connection herewith or therewith, (x) which are not qualified as to materiality shall be true and correct in all material respects and (y) which are qualified as to materiality shall be true and correct, in each case, on and as of the Closing Date, except to the extent that such representations and warranties specifically refer to an earlier date, in which case they shall be true and correct in all material respects, or true and correct, as the case may be, as of such earlier date.</w:t>
      </w:r>
    </w:p>
    <w:p>
      <w:pPr>
        <w:spacing w:after="0" w:line="179" w:lineRule="exact"/>
        <w:rPr>
          <w:rFonts w:ascii="Times New Roman" w:cs="Times New Roman" w:eastAsia="Times New Roman" w:hAnsi="Times New Roman"/>
          <w:sz w:val="19"/>
          <w:szCs w:val="19"/>
          <w:color w:val="auto"/>
        </w:rPr>
      </w:pPr>
    </w:p>
    <w:p>
      <w:pPr>
        <w:jc w:val="both"/>
        <w:ind w:right="160" w:firstLine="639"/>
        <w:spacing w:after="0" w:line="263" w:lineRule="auto"/>
        <w:tabs>
          <w:tab w:leader="none" w:pos="1037"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Agent shall have been paid all accrued and unpaid fees, and reasonable costs and expenses to the extent then due and payable to the Agent on or before the Closing Date, including accrued and projected Attorney Costs of the Agent and other compensation contemplated by the Commitment Letter and Fee Letter, payable to RBC and RBCCM , to the extent invoiced three (3) Business Days prior to the Closing Date.</w:t>
      </w:r>
    </w:p>
    <w:p>
      <w:pPr>
        <w:spacing w:after="0" w:line="177" w:lineRule="exact"/>
        <w:rPr>
          <w:sz w:val="20"/>
          <w:szCs w:val="20"/>
          <w:color w:val="auto"/>
        </w:rPr>
      </w:pPr>
    </w:p>
    <w:p>
      <w:pPr>
        <w:ind w:right="120" w:firstLine="633"/>
        <w:spacing w:after="0" w:line="268" w:lineRule="auto"/>
        <w:rPr>
          <w:sz w:val="20"/>
          <w:szCs w:val="20"/>
          <w:color w:val="auto"/>
        </w:rPr>
      </w:pPr>
      <w:r>
        <w:rPr>
          <w:rFonts w:ascii="Times New Roman" w:cs="Times New Roman" w:eastAsia="Times New Roman" w:hAnsi="Times New Roman"/>
          <w:sz w:val="19"/>
          <w:szCs w:val="19"/>
          <w:color w:val="auto"/>
        </w:rPr>
        <w:t>The Agent shall notify the Company and the Lenders of the Closing Date, and such notice shall be conclusive and binding. Notwithstanding the foregoing, the obligations of the Lenders to make Loans shall not become effective unless each of the foregoing conditions is satisfied (or waived pursuant to Section 10.01) at or prior to 5:00 p.m., New York City time, on September 26, 2024 (and, in the event such conditions are not so satisfied or waived, the Revolving Commitments shall terminate at such time).</w:t>
      </w:r>
    </w:p>
    <w:p>
      <w:pPr>
        <w:spacing w:after="0" w:line="15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4.03</w:t>
      </w:r>
      <w:r>
        <w:rPr>
          <w:sz w:val="20"/>
          <w:szCs w:val="20"/>
          <w:color w:val="auto"/>
        </w:rPr>
        <w:tab/>
      </w:r>
      <w:r>
        <w:rPr>
          <w:rFonts w:ascii="Times New Roman" w:cs="Times New Roman" w:eastAsia="Times New Roman" w:hAnsi="Times New Roman"/>
          <w:sz w:val="19"/>
          <w:szCs w:val="19"/>
          <w:u w:val="single" w:color="auto"/>
          <w:color w:val="auto"/>
        </w:rPr>
        <w:t>Conditions to All Other Loans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80" w:firstLine="633"/>
        <w:spacing w:after="0" w:line="272" w:lineRule="auto"/>
        <w:rPr>
          <w:sz w:val="20"/>
          <w:szCs w:val="20"/>
          <w:color w:val="auto"/>
        </w:rPr>
      </w:pPr>
      <w:r>
        <w:rPr>
          <w:rFonts w:ascii="Times New Roman" w:cs="Times New Roman" w:eastAsia="Times New Roman" w:hAnsi="Times New Roman"/>
          <w:sz w:val="19"/>
          <w:szCs w:val="19"/>
          <w:color w:val="auto"/>
        </w:rPr>
        <w:t>The obligation of each Lender to make any Loans on any Borrowing Date (including any Loans to be made on the Closing Date) is subject to satisfaction of the following conditions precedent (it being understood, for the avoidance of doubt, that the conversion or continuation of any Loan on any Borrowing Date shall not be subject to any such conditions):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33" w:name="page134"/>
    <w:bookmarkEnd w:id="133"/>
    <w:p>
      <w:pPr>
        <w:ind w:right="80" w:firstLine="639"/>
        <w:spacing w:after="0" w:line="297" w:lineRule="auto"/>
        <w:tabs>
          <w:tab w:leader="none" w:pos="1041"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shall have occurred and be continuing on such date immediately before or after giving effect to the proposed Loan.</w:t>
      </w:r>
    </w:p>
    <w:p>
      <w:pPr>
        <w:spacing w:after="0" w:line="131" w:lineRule="exact"/>
        <w:rPr>
          <w:rFonts w:ascii="Times New Roman" w:cs="Times New Roman" w:eastAsia="Times New Roman" w:hAnsi="Times New Roman"/>
          <w:sz w:val="19"/>
          <w:szCs w:val="19"/>
          <w:color w:val="auto"/>
        </w:rPr>
      </w:pPr>
    </w:p>
    <w:p>
      <w:pPr>
        <w:ind w:right="40" w:firstLine="639"/>
        <w:spacing w:after="0" w:line="262" w:lineRule="auto"/>
        <w:tabs>
          <w:tab w:leader="none" w:pos="1048"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representations and warranties of the Company contained in </w:t>
      </w:r>
      <w:r>
        <w:rPr>
          <w:rFonts w:ascii="Times New Roman" w:cs="Times New Roman" w:eastAsia="Times New Roman" w:hAnsi="Times New Roman"/>
          <w:sz w:val="19"/>
          <w:szCs w:val="19"/>
          <w:u w:val="single" w:color="auto"/>
          <w:color w:val="auto"/>
        </w:rPr>
        <w:t>Article 5</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Sections 5.05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5.17</w:t>
      </w:r>
      <w:r>
        <w:rPr>
          <w:rFonts w:ascii="Times New Roman" w:cs="Times New Roman" w:eastAsia="Times New Roman" w:hAnsi="Times New Roman"/>
          <w:sz w:val="19"/>
          <w:szCs w:val="19"/>
          <w:color w:val="auto"/>
        </w:rPr>
        <w:t>) or any other Loan Document, or which are contained in any document furnished at any time under or in connection herewith or therewith, (x) which are not qualified as to materiality shall be true and correct in all material respects and (y) which are qualified as to materiality shall be true and correct, in each case, on and as of the date of such Loan Notice, after giving effect to such Loan, except to the extent that such representations and warranties specifically refer to an earlier date, in which case they shall be true and correct in all material respects, or true and correct, as the case may be, as of such earlier date.</w:t>
      </w:r>
    </w:p>
    <w:p>
      <w:pPr>
        <w:spacing w:after="0" w:line="178" w:lineRule="exact"/>
        <w:rPr>
          <w:rFonts w:ascii="Times New Roman" w:cs="Times New Roman" w:eastAsia="Times New Roman" w:hAnsi="Times New Roman"/>
          <w:sz w:val="19"/>
          <w:szCs w:val="19"/>
          <w:color w:val="auto"/>
        </w:rPr>
      </w:pPr>
    </w:p>
    <w:p>
      <w:pPr>
        <w:ind w:left="1040" w:hanging="401"/>
        <w:spacing w:after="0"/>
        <w:tabs>
          <w:tab w:leader="none" w:pos="1040"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Agent shall have received a Loan Notice in accordance with the requirements hereof.</w:t>
      </w:r>
    </w:p>
    <w:p>
      <w:pPr>
        <w:spacing w:after="0" w:line="216" w:lineRule="exact"/>
        <w:rPr>
          <w:rFonts w:ascii="Times New Roman" w:cs="Times New Roman" w:eastAsia="Times New Roman" w:hAnsi="Times New Roman"/>
          <w:sz w:val="19"/>
          <w:szCs w:val="19"/>
          <w:color w:val="auto"/>
        </w:rPr>
      </w:pPr>
    </w:p>
    <w:p>
      <w:pPr>
        <w:ind w:right="480" w:firstLine="639"/>
        <w:spacing w:after="0" w:line="297" w:lineRule="auto"/>
        <w:tabs>
          <w:tab w:leader="none" w:pos="1041"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any such Loan that is a Revolving Loan, the aggregate Revolving Loans shall not exceed the Revolving Commitments then in effect.</w:t>
      </w:r>
    </w:p>
    <w:p>
      <w:pPr>
        <w:spacing w:after="0" w:line="145" w:lineRule="exact"/>
        <w:rPr>
          <w:sz w:val="20"/>
          <w:szCs w:val="20"/>
          <w:color w:val="auto"/>
        </w:rPr>
      </w:pPr>
    </w:p>
    <w:p>
      <w:pPr>
        <w:ind w:firstLine="633"/>
        <w:spacing w:after="0" w:line="263" w:lineRule="auto"/>
        <w:rPr>
          <w:sz w:val="20"/>
          <w:szCs w:val="20"/>
          <w:color w:val="auto"/>
        </w:rPr>
      </w:pPr>
      <w:r>
        <w:rPr>
          <w:rFonts w:ascii="Times New Roman" w:cs="Times New Roman" w:eastAsia="Times New Roman" w:hAnsi="Times New Roman"/>
          <w:sz w:val="19"/>
          <w:szCs w:val="19"/>
          <w:color w:val="auto"/>
        </w:rPr>
        <w:t xml:space="preserve">Each Loan Notice (other than an Interest Election Request requesting only a conversion of Loans to the other Interest Type, or a continuation of Adjusted Term SOFR Rate Loans and other than a Loan Notice for a Borrowing on the Closing Date) submitted by the Company shall be deemed to be a representation and warranty that the conditions specified in </w:t>
      </w:r>
      <w:r>
        <w:rPr>
          <w:rFonts w:ascii="Times New Roman" w:cs="Times New Roman" w:eastAsia="Times New Roman" w:hAnsi="Times New Roman"/>
          <w:sz w:val="19"/>
          <w:szCs w:val="19"/>
          <w:u w:val="single" w:color="auto"/>
          <w:color w:val="auto"/>
        </w:rPr>
        <w:t>Sections 4.02(a)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have been satisfied (or waived) on and as of the date of the making of the Loan to which such Loan Notice relates.</w:t>
      </w:r>
    </w:p>
    <w:p>
      <w:pPr>
        <w:spacing w:after="0" w:line="17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4.04</w:t>
      </w:r>
      <w:r>
        <w:rPr>
          <w:sz w:val="20"/>
          <w:szCs w:val="20"/>
          <w:color w:val="auto"/>
        </w:rPr>
        <w:tab/>
      </w:r>
      <w:r>
        <w:rPr>
          <w:rFonts w:ascii="Times New Roman" w:cs="Times New Roman" w:eastAsia="Times New Roman" w:hAnsi="Times New Roman"/>
          <w:sz w:val="19"/>
          <w:szCs w:val="19"/>
          <w:u w:val="single" w:color="auto"/>
          <w:color w:val="auto"/>
        </w:rPr>
        <w:t>Determinations Under Section 4.01 and Section 4.02</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80" w:firstLine="633"/>
        <w:spacing w:after="0" w:line="263" w:lineRule="auto"/>
        <w:rPr>
          <w:sz w:val="20"/>
          <w:szCs w:val="20"/>
          <w:color w:val="auto"/>
        </w:rPr>
      </w:pPr>
      <w:r>
        <w:rPr>
          <w:rFonts w:ascii="Times New Roman" w:cs="Times New Roman" w:eastAsia="Times New Roman" w:hAnsi="Times New Roman"/>
          <w:sz w:val="19"/>
          <w:szCs w:val="19"/>
          <w:color w:val="auto"/>
        </w:rPr>
        <w:t xml:space="preserve">For purposes of determining compliance with the conditions specified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each of the Lenders shall be deemed to have consented to, approved or accepted or to be satisfied with each document or other matter required thereunder to be consented to or approved by, or acceptable or satisfactory to, the Lenders unless an officer of the Agent responsible for the Transactions shall have received notice from such Lender prior to the Effective Date or the Closing Date, as applicable, specifying its objection thereto.</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ARTICLE 5</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REPRESENTATIONS AND WARRANTIES</w:t>
      </w:r>
    </w:p>
    <w:p>
      <w:pPr>
        <w:spacing w:after="0" w:line="208" w:lineRule="exact"/>
        <w:rPr>
          <w:sz w:val="20"/>
          <w:szCs w:val="20"/>
          <w:color w:val="auto"/>
        </w:rPr>
      </w:pPr>
    </w:p>
    <w:p>
      <w:pPr>
        <w:ind w:firstLine="633"/>
        <w:spacing w:after="0" w:line="297" w:lineRule="auto"/>
        <w:rPr>
          <w:sz w:val="20"/>
          <w:szCs w:val="20"/>
          <w:color w:val="auto"/>
        </w:rPr>
      </w:pPr>
      <w:r>
        <w:rPr>
          <w:rFonts w:ascii="Times New Roman" w:cs="Times New Roman" w:eastAsia="Times New Roman" w:hAnsi="Times New Roman"/>
          <w:sz w:val="19"/>
          <w:szCs w:val="19"/>
          <w:color w:val="auto"/>
        </w:rPr>
        <w:t xml:space="preserve">The Company represents and warrants to the Agent and each Lender as of the Effective Date and, other than in the case of </w:t>
      </w:r>
      <w:r>
        <w:rPr>
          <w:rFonts w:ascii="Times New Roman" w:cs="Times New Roman" w:eastAsia="Times New Roman" w:hAnsi="Times New Roman"/>
          <w:sz w:val="19"/>
          <w:szCs w:val="19"/>
          <w:u w:val="single" w:color="auto"/>
          <w:color w:val="auto"/>
        </w:rPr>
        <w:t>Sections 5.05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5.17</w:t>
      </w:r>
      <w:r>
        <w:rPr>
          <w:rFonts w:ascii="Times New Roman" w:cs="Times New Roman" w:eastAsia="Times New Roman" w:hAnsi="Times New Roman"/>
          <w:sz w:val="19"/>
          <w:szCs w:val="19"/>
          <w:color w:val="auto"/>
        </w:rPr>
        <w:t>, on the Closing Date and on the date of each Borrowing that:</w:t>
      </w:r>
    </w:p>
    <w:p>
      <w:pPr>
        <w:spacing w:after="0" w:line="132"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5.01</w:t>
      </w:r>
      <w:r>
        <w:rPr>
          <w:sz w:val="20"/>
          <w:szCs w:val="20"/>
          <w:color w:val="auto"/>
        </w:rPr>
        <w:tab/>
      </w:r>
      <w:r>
        <w:rPr>
          <w:rFonts w:ascii="Times New Roman" w:cs="Times New Roman" w:eastAsia="Times New Roman" w:hAnsi="Times New Roman"/>
          <w:sz w:val="19"/>
          <w:szCs w:val="19"/>
          <w:u w:val="single" w:color="auto"/>
          <w:color w:val="auto"/>
        </w:rPr>
        <w:t>Corporate Existence and Power</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Company and each of its Restricted Subsidiaries:</w:t>
      </w:r>
    </w:p>
    <w:p>
      <w:pPr>
        <w:spacing w:after="0" w:line="217" w:lineRule="exact"/>
        <w:rPr>
          <w:sz w:val="20"/>
          <w:szCs w:val="20"/>
          <w:color w:val="auto"/>
        </w:rPr>
      </w:pPr>
    </w:p>
    <w:p>
      <w:pPr>
        <w:ind w:left="1040" w:hanging="401"/>
        <w:spacing w:after="0"/>
        <w:tabs>
          <w:tab w:leader="none" w:pos="104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duly organized, validly existing and in good standing under the laws of the jurisdiction of its incorporation or organization;</w:t>
      </w:r>
    </w:p>
    <w:p>
      <w:pPr>
        <w:spacing w:after="0" w:line="229" w:lineRule="exact"/>
        <w:rPr>
          <w:rFonts w:ascii="Times New Roman" w:cs="Times New Roman" w:eastAsia="Times New Roman" w:hAnsi="Times New Roman"/>
          <w:sz w:val="19"/>
          <w:szCs w:val="19"/>
          <w:color w:val="auto"/>
        </w:rPr>
      </w:pPr>
    </w:p>
    <w:p>
      <w:pPr>
        <w:ind w:right="680" w:firstLine="639"/>
        <w:spacing w:after="0" w:line="297" w:lineRule="auto"/>
        <w:tabs>
          <w:tab w:leader="none" w:pos="1052"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the corporate (or other organizational) power and authority and all governmental licenses, authorizations, consents and approvals to own its assets and carry on its business;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-58-</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34" w:name="page135"/>
    <w:bookmarkEnd w:id="134"/>
    <w:p>
      <w:pPr>
        <w:ind w:right="20" w:firstLine="639"/>
        <w:spacing w:after="0" w:line="297" w:lineRule="auto"/>
        <w:tabs>
          <w:tab w:leader="none" w:pos="1041"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 5.01</w:t>
      </w:r>
      <w:r>
        <w:rPr>
          <w:rFonts w:ascii="Times New Roman" w:cs="Times New Roman" w:eastAsia="Times New Roman" w:hAnsi="Times New Roman"/>
          <w:sz w:val="19"/>
          <w:szCs w:val="19"/>
          <w:color w:val="auto"/>
        </w:rPr>
        <w:t>, is duly qualified and is licensed and in good standing under the laws of each jurisdiction where its ownership, lease or operation of property or the conduct of its business requires such qualification or license; and</w:t>
      </w:r>
    </w:p>
    <w:p>
      <w:pPr>
        <w:spacing w:after="0" w:line="131" w:lineRule="exact"/>
        <w:rPr>
          <w:rFonts w:ascii="Times New Roman" w:cs="Times New Roman" w:eastAsia="Times New Roman" w:hAnsi="Times New Roman"/>
          <w:sz w:val="19"/>
          <w:szCs w:val="19"/>
          <w:color w:val="auto"/>
        </w:rPr>
      </w:pPr>
    </w:p>
    <w:p>
      <w:pPr>
        <w:ind w:right="20" w:firstLine="639"/>
        <w:spacing w:after="0" w:line="268" w:lineRule="auto"/>
        <w:tabs>
          <w:tab w:leader="none" w:pos="1052"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 5.01</w:t>
      </w:r>
      <w:r>
        <w:rPr>
          <w:rFonts w:ascii="Times New Roman" w:cs="Times New Roman" w:eastAsia="Times New Roman" w:hAnsi="Times New Roman"/>
          <w:sz w:val="19"/>
          <w:szCs w:val="19"/>
          <w:color w:val="auto"/>
        </w:rPr>
        <w:t xml:space="preserve">, is in compliance with all Requirements of Law, except such orders, writs, injunctions or decrees as are being contested in good faith by appropriate proceedings; except, in each case referred to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(other than with respect to the Company),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to the extent that the failure to do so, individually or in the aggregate, would not reasonably be expected to have a Material Adverse Effect.</w:t>
      </w:r>
    </w:p>
    <w:p>
      <w:pPr>
        <w:spacing w:after="0" w:line="172"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5.02</w:t>
      </w:r>
      <w:r>
        <w:rPr>
          <w:sz w:val="20"/>
          <w:szCs w:val="20"/>
          <w:color w:val="auto"/>
        </w:rPr>
        <w:tab/>
      </w:r>
      <w:r>
        <w:rPr>
          <w:rFonts w:ascii="Times New Roman" w:cs="Times New Roman" w:eastAsia="Times New Roman" w:hAnsi="Times New Roman"/>
          <w:sz w:val="19"/>
          <w:szCs w:val="19"/>
          <w:u w:val="single" w:color="auto"/>
          <w:color w:val="auto"/>
        </w:rPr>
        <w:t>Corporate Authorization; No Contravention</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40" w:firstLine="633"/>
        <w:spacing w:after="0" w:line="272" w:lineRule="auto"/>
        <w:rPr>
          <w:sz w:val="20"/>
          <w:szCs w:val="20"/>
          <w:color w:val="auto"/>
        </w:rPr>
      </w:pPr>
      <w:r>
        <w:rPr>
          <w:rFonts w:ascii="Times New Roman" w:cs="Times New Roman" w:eastAsia="Times New Roman" w:hAnsi="Times New Roman"/>
          <w:sz w:val="19"/>
          <w:szCs w:val="19"/>
          <w:color w:val="auto"/>
        </w:rPr>
        <w:t>The Transactions to be entered into by the Company are within its corporate or other organizational powers. The Transactions (including the execution, delivery and performance by the Company of each Loan Document to which it is a party) have been duly authorized by all necessary corporate or other organizational action of the Company and do not and will not:</w:t>
      </w:r>
    </w:p>
    <w:p>
      <w:pPr>
        <w:spacing w:after="0" w:line="167" w:lineRule="exact"/>
        <w:rPr>
          <w:sz w:val="20"/>
          <w:szCs w:val="20"/>
          <w:color w:val="auto"/>
        </w:rPr>
      </w:pPr>
    </w:p>
    <w:p>
      <w:pPr>
        <w:ind w:left="1040" w:hanging="401"/>
        <w:spacing w:after="0"/>
        <w:tabs>
          <w:tab w:leader="none" w:pos="1040"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contravene the terms of any of the Company’s Organization Documents;</w:t>
      </w:r>
    </w:p>
    <w:p>
      <w:pPr>
        <w:spacing w:after="0" w:line="229" w:lineRule="exact"/>
        <w:rPr>
          <w:rFonts w:ascii="Times New Roman" w:cs="Times New Roman" w:eastAsia="Times New Roman" w:hAnsi="Times New Roman"/>
          <w:sz w:val="19"/>
          <w:szCs w:val="19"/>
          <w:color w:val="auto"/>
        </w:rPr>
      </w:pPr>
    </w:p>
    <w:p>
      <w:pPr>
        <w:ind w:right="160" w:firstLine="639"/>
        <w:spacing w:after="0" w:line="272" w:lineRule="auto"/>
        <w:tabs>
          <w:tab w:leader="none" w:pos="1052"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conflict with or result in any breach or contravention of, or result in or require the creation of any Lien under, any document evidencing any material Contractual Obligation to which such the Company is a party, except to the extent that such conflicts, in the aggregate, would not reasonably be expected to have a Material Adverse Effect; or</w:t>
      </w:r>
    </w:p>
    <w:p>
      <w:pPr>
        <w:spacing w:after="0" w:line="154" w:lineRule="exact"/>
        <w:rPr>
          <w:rFonts w:ascii="Times New Roman" w:cs="Times New Roman" w:eastAsia="Times New Roman" w:hAnsi="Times New Roman"/>
          <w:sz w:val="19"/>
          <w:szCs w:val="19"/>
          <w:color w:val="auto"/>
        </w:rPr>
      </w:pPr>
    </w:p>
    <w:p>
      <w:pPr>
        <w:ind w:right="160" w:firstLine="639"/>
        <w:spacing w:after="0" w:line="279" w:lineRule="auto"/>
        <w:tabs>
          <w:tab w:leader="none" w:pos="1041"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violate any Requirement of Law or any order, injunction, writ or decree of any Governmental Authority to which the Company or its property is subject, except to the extent that such violations, in the aggregate, would not reasonably be expected to have a Material Adverse Effect.</w:t>
      </w:r>
    </w:p>
    <w:p>
      <w:pPr>
        <w:spacing w:after="0" w:line="14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5.03</w:t>
      </w:r>
      <w:r>
        <w:rPr>
          <w:sz w:val="20"/>
          <w:szCs w:val="20"/>
          <w:color w:val="auto"/>
        </w:rPr>
        <w:tab/>
      </w:r>
      <w:r>
        <w:rPr>
          <w:rFonts w:ascii="Times New Roman" w:cs="Times New Roman" w:eastAsia="Times New Roman" w:hAnsi="Times New Roman"/>
          <w:sz w:val="19"/>
          <w:szCs w:val="19"/>
          <w:u w:val="single" w:color="auto"/>
          <w:color w:val="auto"/>
        </w:rPr>
        <w:t>Governmental Authorization</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80" w:firstLine="633"/>
        <w:spacing w:after="0" w:line="262" w:lineRule="auto"/>
        <w:rPr>
          <w:sz w:val="20"/>
          <w:szCs w:val="20"/>
          <w:color w:val="auto"/>
        </w:rPr>
      </w:pPr>
      <w:r>
        <w:rPr>
          <w:rFonts w:ascii="Times New Roman" w:cs="Times New Roman" w:eastAsia="Times New Roman" w:hAnsi="Times New Roman"/>
          <w:sz w:val="19"/>
          <w:szCs w:val="19"/>
          <w:color w:val="auto"/>
        </w:rPr>
        <w:t>No approval, consent, exemption, authorization, or other action by, or notice to, or filing with, any Governmental Authority is necessary or required in connection with the execution, delivery or performance by, or enforcement against, the Company of each Loan Document to which it is a party, except (i) such as have been obtained and are in full force and effect (including without limitation, the approval of the Department of Insurance of the jurisdiction of the domicile of the Insurance Subsidiaries), and (ii) those the failure of which to obtain or make would not reasonably be expected to have a Material Adverse Effect.</w:t>
      </w:r>
    </w:p>
    <w:p>
      <w:pPr>
        <w:spacing w:after="0" w:line="17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5.04</w:t>
      </w:r>
      <w:r>
        <w:rPr>
          <w:sz w:val="20"/>
          <w:szCs w:val="20"/>
          <w:color w:val="auto"/>
        </w:rPr>
        <w:tab/>
      </w:r>
      <w:r>
        <w:rPr>
          <w:rFonts w:ascii="Times New Roman" w:cs="Times New Roman" w:eastAsia="Times New Roman" w:hAnsi="Times New Roman"/>
          <w:sz w:val="19"/>
          <w:szCs w:val="19"/>
          <w:u w:val="single" w:color="auto"/>
          <w:color w:val="auto"/>
        </w:rPr>
        <w:t>Binding Effect</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jc w:val="both"/>
        <w:ind w:right="140" w:firstLine="633"/>
        <w:spacing w:after="0" w:line="268" w:lineRule="auto"/>
        <w:rPr>
          <w:sz w:val="20"/>
          <w:szCs w:val="20"/>
          <w:color w:val="auto"/>
        </w:rPr>
      </w:pPr>
      <w:r>
        <w:rPr>
          <w:rFonts w:ascii="Times New Roman" w:cs="Times New Roman" w:eastAsia="Times New Roman" w:hAnsi="Times New Roman"/>
          <w:sz w:val="19"/>
          <w:szCs w:val="19"/>
          <w:color w:val="auto"/>
        </w:rPr>
        <w:t>Each Loan Document that has been delivered by the Company has been duly executed and delivered by the Company and constitutes a legal, valid and binding obligation of the Company, enforceable against the Company in accordance with its terms, except as may be limited by applicable bankruptcy, insolvency, or similar laws affecting the enforcement of creditors’ rights generally or by equitable principles relating to enforceability.</w:t>
      </w:r>
    </w:p>
    <w:p>
      <w:pPr>
        <w:spacing w:after="0" w:line="172"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5.05</w:t>
      </w:r>
      <w:r>
        <w:rPr>
          <w:sz w:val="20"/>
          <w:szCs w:val="20"/>
          <w:color w:val="auto"/>
        </w:rPr>
        <w:tab/>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firstLine="633"/>
        <w:spacing w:after="0" w:line="297" w:lineRule="auto"/>
        <w:rPr>
          <w:sz w:val="20"/>
          <w:szCs w:val="20"/>
          <w:color w:val="auto"/>
        </w:rPr>
      </w:pPr>
      <w:r>
        <w:rPr>
          <w:rFonts w:ascii="Times New Roman" w:cs="Times New Roman" w:eastAsia="Times New Roman" w:hAnsi="Times New Roman"/>
          <w:sz w:val="19"/>
          <w:szCs w:val="19"/>
          <w:color w:val="auto"/>
        </w:rPr>
        <w:t>There are no actions, suits, proceedings, claims or disputes pending, or to the knowledge of the Company, threatened, at law, in equity, in arbitration or before any Governmental Authority, against the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35" w:name="page136"/>
    <w:bookmarkEnd w:id="135"/>
    <w:p>
      <w:pPr>
        <w:ind w:right="160"/>
        <w:spacing w:after="0" w:line="262" w:lineRule="auto"/>
        <w:rPr>
          <w:sz w:val="20"/>
          <w:szCs w:val="20"/>
          <w:color w:val="auto"/>
        </w:rPr>
      </w:pPr>
      <w:r>
        <w:rPr>
          <w:rFonts w:ascii="Times New Roman" w:cs="Times New Roman" w:eastAsia="Times New Roman" w:hAnsi="Times New Roman"/>
          <w:sz w:val="19"/>
          <w:szCs w:val="19"/>
          <w:color w:val="auto"/>
        </w:rPr>
        <w:t>Company or any of its Restricted Subsidiaries or any of their respective properties that: (a) purport to affect or pertain to this Agreement or any other Loan Document or (b) individually or in the aggregate would reasonably be expected to have a Material Adverse Effect.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not be consummated as herein or therein provided.</w:t>
      </w:r>
    </w:p>
    <w:p>
      <w:pPr>
        <w:spacing w:after="0" w:line="17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5.06</w:t>
      </w:r>
      <w:r>
        <w:rPr>
          <w:sz w:val="20"/>
          <w:szCs w:val="20"/>
          <w:color w:val="auto"/>
        </w:rPr>
        <w:tab/>
      </w:r>
      <w:r>
        <w:rPr>
          <w:rFonts w:ascii="Times New Roman" w:cs="Times New Roman" w:eastAsia="Times New Roman" w:hAnsi="Times New Roman"/>
          <w:sz w:val="19"/>
          <w:szCs w:val="19"/>
          <w:u w:val="single" w:color="auto"/>
          <w:color w:val="auto"/>
        </w:rPr>
        <w:t>No Default</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340" w:firstLine="633"/>
        <w:spacing w:after="0" w:line="272" w:lineRule="auto"/>
        <w:rPr>
          <w:sz w:val="20"/>
          <w:szCs w:val="20"/>
          <w:color w:val="auto"/>
        </w:rPr>
      </w:pPr>
      <w:r>
        <w:rPr>
          <w:rFonts w:ascii="Times New Roman" w:cs="Times New Roman" w:eastAsia="Times New Roman" w:hAnsi="Times New Roman"/>
          <w:sz w:val="19"/>
          <w:szCs w:val="19"/>
          <w:color w:val="auto"/>
        </w:rPr>
        <w:t>No Default or Event of Default has occurred and is continuing or would result from the consummation of the Transactions. As of the Effective Date, neither the Company nor any Restricted Subsidiary is in default under or with respect to any Contractual Obligation in any respect that, individually or together with all such defaults, would reasonably be expected to have a Material Adverse Effect.</w:t>
      </w:r>
    </w:p>
    <w:p>
      <w:pPr>
        <w:spacing w:after="0" w:line="154"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5.07</w:t>
      </w:r>
      <w:r>
        <w:rPr>
          <w:sz w:val="20"/>
          <w:szCs w:val="20"/>
          <w:color w:val="auto"/>
        </w:rPr>
        <w:tab/>
      </w:r>
      <w:r>
        <w:rPr>
          <w:rFonts w:ascii="Times New Roman" w:cs="Times New Roman" w:eastAsia="Times New Roman" w:hAnsi="Times New Roman"/>
          <w:sz w:val="19"/>
          <w:szCs w:val="19"/>
          <w:u w:val="single" w:color="auto"/>
          <w:color w:val="auto"/>
        </w:rPr>
        <w:t>ERISA Compliance</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firstLine="639"/>
        <w:spacing w:after="0" w:line="258" w:lineRule="auto"/>
        <w:tabs>
          <w:tab w:leader="none" w:pos="1041"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Pension Plan is in compliance with the applicable provisions of ERISA, the Code and other federal or state law except to the extent that such non-compliance would not reasonably be expected to have a Material Adverse Effect. Each Plan that is intended to qualify under Section 401(a) of the Code has either (i) received a favorable determination letter from the IRS and to the knowledge of the Company, nothing has occurred which would reasonably be expected to cause the loss of such qualification or (ii) with respect to the Pension Plans identified on </w:t>
      </w:r>
      <w:r>
        <w:rPr>
          <w:rFonts w:ascii="Times New Roman" w:cs="Times New Roman" w:eastAsia="Times New Roman" w:hAnsi="Times New Roman"/>
          <w:sz w:val="19"/>
          <w:szCs w:val="19"/>
          <w:u w:val="single" w:color="auto"/>
          <w:color w:val="auto"/>
        </w:rPr>
        <w:t>Schedule 5.07</w:t>
      </w:r>
      <w:r>
        <w:rPr>
          <w:rFonts w:ascii="Times New Roman" w:cs="Times New Roman" w:eastAsia="Times New Roman" w:hAnsi="Times New Roman"/>
          <w:sz w:val="19"/>
          <w:szCs w:val="19"/>
          <w:color w:val="auto"/>
        </w:rPr>
        <w:t>, is in the process of requesting a favorable determination letter from the IRS as to its qualified status, and the Company is not aware of any fact or issue that would reasonably be expected to cause the IRS to fail to issue a favorable determination letter, except where such non-qualification would not reasonably be expected to have a Material Adverse Effect. The Company, its Restricted Subsidiaries and each ERISA Affiliate have made all required contributions to any Pension Plan subject to Section 412 of the Code, and no application for a funding waiver or an extension of any amortization period pursuant to Section 412 of the Code has been made with respect to any Pension Plan, except where such lack of contribution or application for funding waiver would not reasonably be expected to have a Material Adverse Effect.</w:t>
      </w:r>
    </w:p>
    <w:p>
      <w:pPr>
        <w:spacing w:after="0" w:line="183" w:lineRule="exact"/>
        <w:rPr>
          <w:rFonts w:ascii="Times New Roman" w:cs="Times New Roman" w:eastAsia="Times New Roman" w:hAnsi="Times New Roman"/>
          <w:sz w:val="19"/>
          <w:szCs w:val="19"/>
          <w:color w:val="auto"/>
        </w:rPr>
      </w:pPr>
    </w:p>
    <w:p>
      <w:pPr>
        <w:ind w:right="40" w:firstLine="639"/>
        <w:spacing w:after="0" w:line="262" w:lineRule="auto"/>
        <w:tabs>
          <w:tab w:leader="none" w:pos="1052"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on </w:t>
      </w:r>
      <w:r>
        <w:rPr>
          <w:rFonts w:ascii="Times New Roman" w:cs="Times New Roman" w:eastAsia="Times New Roman" w:hAnsi="Times New Roman"/>
          <w:sz w:val="19"/>
          <w:szCs w:val="19"/>
          <w:u w:val="single" w:color="auto"/>
          <w:color w:val="auto"/>
        </w:rPr>
        <w:t>Schedule 5.07</w:t>
      </w:r>
      <w:r>
        <w:rPr>
          <w:rFonts w:ascii="Times New Roman" w:cs="Times New Roman" w:eastAsia="Times New Roman" w:hAnsi="Times New Roman"/>
          <w:sz w:val="19"/>
          <w:szCs w:val="19"/>
          <w:color w:val="auto"/>
        </w:rPr>
        <w:t>, there are no pending or, to the knowledge of the Company, threatened claims, actions or lawsuits, or action by any Governmental Authority, with respect to any Plan that would reasonably be expected to have a Material Adverse Effect. To the knowledge of the Company, there has been no “prohibited transaction” (as defined in Section 406 of ERISA and Section 4975 of the Code) or violation of the fiduciary responsibility rules with respect to any Pension Plan that would reasonably be expected to have a Material Adverse Effect.</w:t>
      </w:r>
    </w:p>
    <w:p>
      <w:pPr>
        <w:spacing w:after="0" w:line="179" w:lineRule="exact"/>
        <w:rPr>
          <w:rFonts w:ascii="Times New Roman" w:cs="Times New Roman" w:eastAsia="Times New Roman" w:hAnsi="Times New Roman"/>
          <w:sz w:val="19"/>
          <w:szCs w:val="19"/>
          <w:color w:val="auto"/>
        </w:rPr>
      </w:pPr>
    </w:p>
    <w:p>
      <w:pPr>
        <w:ind w:right="80" w:firstLine="639"/>
        <w:spacing w:after="0" w:line="256" w:lineRule="auto"/>
        <w:tabs>
          <w:tab w:leader="none" w:pos="1041"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occurrences or circumstances that individually or in the aggregate would not reasonably be expected to have a Material Adverse Effect: (i) since December 31, 2020, no ERISA Event has occurred or, to the knowledge of the Company, is reasonably expected to occur; (ii) no Single Employer Pension Plan is, or, to the knowledge of the Company, is reasonably expected to be, in “at risk” status (within the meaning of Section 430 of the Code or Section 303 of ERISA); (iii) none of the Company, any of its Subsidiaries or any ERISA Affiliate has incurred, or reasonably expects to incur, any liability (and no event has occurred that, with the giving of notice under Section 4219 of ERISA, would result in such liability) under Section 4201 of ERISA with respect to a Multiemployer Plan; and (iv) none of the Company, any of its Restricted Subsidiaries or any ERISA Affiliate has knowingly engaged in a transaction that could be subject to Section 4069(a) or 4212(c) of</w:t>
      </w:r>
    </w:p>
    <w:p>
      <w:pPr>
        <w:spacing w:after="0" w:line="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-60-</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36" w:name="page137"/>
    <w:bookmarkEnd w:id="136"/>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5.08</w:t>
      </w:r>
      <w:r>
        <w:rPr>
          <w:sz w:val="20"/>
          <w:szCs w:val="20"/>
          <w:color w:val="auto"/>
        </w:rPr>
        <w:tab/>
      </w:r>
      <w:r>
        <w:rPr>
          <w:rFonts w:ascii="Times New Roman" w:cs="Times New Roman" w:eastAsia="Times New Roman" w:hAnsi="Times New Roman"/>
          <w:sz w:val="19"/>
          <w:szCs w:val="19"/>
          <w:u w:val="single" w:color="auto"/>
          <w:color w:val="auto"/>
        </w:rPr>
        <w:t>Margin Regulations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600" w:firstLine="633"/>
        <w:spacing w:after="0" w:line="283" w:lineRule="auto"/>
        <w:rPr>
          <w:sz w:val="20"/>
          <w:szCs w:val="20"/>
          <w:color w:val="auto"/>
        </w:rPr>
      </w:pPr>
      <w:r>
        <w:rPr>
          <w:rFonts w:ascii="Times New Roman" w:cs="Times New Roman" w:eastAsia="Times New Roman" w:hAnsi="Times New Roman"/>
          <w:sz w:val="19"/>
          <w:szCs w:val="19"/>
          <w:color w:val="auto"/>
        </w:rPr>
        <w:t>Neither the Company nor any Restricted Subsidiary is engaged principally, or as one of its important activities, in the business of extending credit for the purpose of purchasing or carrying Margin Stock.</w:t>
      </w:r>
    </w:p>
    <w:p>
      <w:pPr>
        <w:spacing w:after="0" w:line="15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5.09</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5.10</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ind w:firstLine="639"/>
        <w:spacing w:after="0" w:line="262" w:lineRule="auto"/>
        <w:tabs>
          <w:tab w:leader="none" w:pos="1037"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each of its Restricted Subsidiaries has timely filed all federal Tax, material income Tax and other material Tax returns and reports required to be filed, and has paid all federal Tax, material income Tax and other material Taxes levied or imposed upon it or its properties, income or assets that have become due and payable (including in its capacity as a withholding agent), except (i) those that are being contested in good faith by appropriate proceedings and for which adequate reserves have been provided in accordance with SAP or GAAP, as applicable, and (ii) those that would not reasonably be expected, individually or in the aggregate, to have a Material Adverse Effect. There is no current or proposed Tax audit, assessment, deficiency or other claim or proceeding against the Company or any Restricted Subsidiary that would reasonably be expected, individually or in the aggregate, to have a Material Adverse Effect.</w:t>
      </w:r>
    </w:p>
    <w:p>
      <w:pPr>
        <w:spacing w:after="0" w:line="163" w:lineRule="exact"/>
        <w:rPr>
          <w:rFonts w:ascii="Times New Roman" w:cs="Times New Roman" w:eastAsia="Times New Roman" w:hAnsi="Times New Roman"/>
          <w:sz w:val="19"/>
          <w:szCs w:val="19"/>
          <w:color w:val="auto"/>
        </w:rPr>
      </w:pPr>
    </w:p>
    <w:p>
      <w:pPr>
        <w:ind w:firstLine="639"/>
        <w:spacing w:after="0" w:line="268" w:lineRule="auto"/>
        <w:tabs>
          <w:tab w:leader="none" w:pos="1052"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would not be reasonably expected to, individually or in the aggregate, result in a Material Adverse Effect (i) the Company and each of its Restricted Subsidiaries has made adequate provision in accordance with SAP or GAAP (as applicable) for all Taxes not yet due and payable and (ii) neither the Company nor any Restricted Subsidiary has ever participated in a “listed transaction” within the meaning of Treasury Regulation Section 1.6011-4.</w:t>
      </w:r>
    </w:p>
    <w:p>
      <w:pPr>
        <w:spacing w:after="0" w:line="172"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5.11</w:t>
      </w:r>
      <w:r>
        <w:rPr>
          <w:sz w:val="20"/>
          <w:szCs w:val="20"/>
          <w:color w:val="auto"/>
        </w:rPr>
        <w:tab/>
      </w:r>
      <w:r>
        <w:rPr>
          <w:rFonts w:ascii="Times New Roman" w:cs="Times New Roman" w:eastAsia="Times New Roman" w:hAnsi="Times New Roman"/>
          <w:sz w:val="19"/>
          <w:szCs w:val="19"/>
          <w:u w:val="single" w:color="auto"/>
          <w:color w:val="auto"/>
        </w:rPr>
        <w:t>Financial Condition</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160" w:firstLine="639"/>
        <w:spacing w:after="0" w:line="272" w:lineRule="auto"/>
        <w:tabs>
          <w:tab w:leader="none" w:pos="1037"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audited consolidated financial statements of the Company and its Subsidiaries dated December 31, 2023, and the related consolidated statements of income, shareholders’ equity and cash flows for the Fiscal Year ended on that date, reported on by BDO USA, LLP, independent public accountants:</w:t>
      </w:r>
    </w:p>
    <w:p>
      <w:pPr>
        <w:spacing w:after="0" w:line="167" w:lineRule="exact"/>
        <w:rPr>
          <w:rFonts w:ascii="Times New Roman" w:cs="Times New Roman" w:eastAsia="Times New Roman" w:hAnsi="Times New Roman"/>
          <w:sz w:val="19"/>
          <w:szCs w:val="19"/>
          <w:color w:val="auto"/>
        </w:rPr>
      </w:pPr>
    </w:p>
    <w:p>
      <w:pPr>
        <w:ind w:left="620" w:right="140" w:firstLine="889"/>
        <w:spacing w:after="0" w:line="272" w:lineRule="auto"/>
        <w:tabs>
          <w:tab w:leader="none" w:pos="1882"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were prepared in accordance with GAAP consistently applied throughout the period covered thereby, except as otherwise expressly noted therein, subject, in the case of such unaudited financial statements, to ordinary, good faith year end and audit adjustments and the absence of footnote disclosure;</w:t>
      </w:r>
    </w:p>
    <w:p>
      <w:pPr>
        <w:spacing w:after="0" w:line="167" w:lineRule="exact"/>
        <w:rPr>
          <w:rFonts w:ascii="Times New Roman" w:cs="Times New Roman" w:eastAsia="Times New Roman" w:hAnsi="Times New Roman"/>
          <w:sz w:val="19"/>
          <w:szCs w:val="19"/>
          <w:color w:val="auto"/>
        </w:rPr>
      </w:pPr>
    </w:p>
    <w:p>
      <w:pPr>
        <w:ind w:left="620" w:right="120" w:firstLine="889"/>
        <w:spacing w:after="0" w:line="272" w:lineRule="auto"/>
        <w:tabs>
          <w:tab w:leader="none" w:pos="1935"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fairly present in all material respects the financial condition, results of operations, cash flows and changes in shareholders’ equity of the Company and its Subsidiaries as of the date thereof and results of operations for the period covered thereby; and</w:t>
      </w:r>
    </w:p>
    <w:p>
      <w:pPr>
        <w:spacing w:after="0" w:line="154" w:lineRule="exact"/>
        <w:rPr>
          <w:rFonts w:ascii="Times New Roman" w:cs="Times New Roman" w:eastAsia="Times New Roman" w:hAnsi="Times New Roman"/>
          <w:sz w:val="19"/>
          <w:szCs w:val="19"/>
          <w:color w:val="auto"/>
        </w:rPr>
      </w:pPr>
    </w:p>
    <w:p>
      <w:pPr>
        <w:ind w:left="620" w:right="780" w:firstLine="889"/>
        <w:spacing w:after="0" w:line="297" w:lineRule="auto"/>
        <w:tabs>
          <w:tab w:leader="none" w:pos="1989"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show all material indebtedness and other liabilities, direct or contingent, of the Company and its consolidated Subsidiaries as of the date thereof.</w:t>
      </w:r>
    </w:p>
    <w:p>
      <w:pPr>
        <w:spacing w:after="0" w:line="141"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December 31, 2023 Annual Statement of each Insurance Subsidiary, (the “</w:t>
      </w:r>
      <w:r>
        <w:rPr>
          <w:rFonts w:ascii="Times New Roman" w:cs="Times New Roman" w:eastAsia="Times New Roman" w:hAnsi="Times New Roman"/>
          <w:sz w:val="19"/>
          <w:szCs w:val="19"/>
          <w:b w:val="1"/>
          <w:bCs w:val="1"/>
          <w:color w:val="auto"/>
        </w:rPr>
        <w:t>Historical Statutory Statements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-61-</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37" w:name="page138"/>
    <w:bookmarkEnd w:id="137"/>
    <w:p>
      <w:pPr>
        <w:ind w:left="1880" w:hanging="371"/>
        <w:spacing w:after="0"/>
        <w:tabs>
          <w:tab w:leader="none" w:pos="188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were prepared in accordance with SAP, except as may be reflected in the notes thereto; and</w:t>
      </w:r>
    </w:p>
    <w:p>
      <w:pPr>
        <w:spacing w:after="0" w:line="229" w:lineRule="exact"/>
        <w:rPr>
          <w:rFonts w:ascii="Times New Roman" w:cs="Times New Roman" w:eastAsia="Times New Roman" w:hAnsi="Times New Roman"/>
          <w:sz w:val="19"/>
          <w:szCs w:val="19"/>
          <w:color w:val="auto"/>
        </w:rPr>
      </w:pPr>
    </w:p>
    <w:p>
      <w:pPr>
        <w:jc w:val="both"/>
        <w:ind w:left="620" w:right="220" w:firstLine="889"/>
        <w:spacing w:after="0" w:line="272" w:lineRule="auto"/>
        <w:tabs>
          <w:tab w:leader="none" w:pos="1935"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were, in all material respects, in compliance with applicable Requirements of Law when filed and present fairly in all material respects the financial condition of the respective Insurance Subsidiaries covered thereby as of the respective dates thereof and changes in Capital and Surplus of the respective Insurance Subsidiaries covered thereby for the respective periods then ended.</w:t>
      </w:r>
    </w:p>
    <w:p>
      <w:pPr>
        <w:spacing w:after="0" w:line="154" w:lineRule="exact"/>
        <w:rPr>
          <w:sz w:val="20"/>
          <w:szCs w:val="20"/>
          <w:color w:val="auto"/>
        </w:rPr>
      </w:pPr>
    </w:p>
    <w:p>
      <w:pPr>
        <w:ind w:right="200" w:firstLine="633"/>
        <w:spacing w:after="0" w:line="268" w:lineRule="auto"/>
        <w:rPr>
          <w:sz w:val="20"/>
          <w:szCs w:val="20"/>
          <w:color w:val="auto"/>
        </w:rPr>
      </w:pPr>
      <w:r>
        <w:rPr>
          <w:rFonts w:ascii="Times New Roman" w:cs="Times New Roman" w:eastAsia="Times New Roman" w:hAnsi="Times New Roman"/>
          <w:sz w:val="19"/>
          <w:szCs w:val="19"/>
          <w:color w:val="auto"/>
        </w:rPr>
        <w:t>Except for liabilities and obligations disclosed or provided for in the Historical Statutory Statements (including, without limitation, reserves, policy and contract claims and statutory liabilities), no Insurance Subsidiary had, as of the date of its respective Historical Statutory Statements, any material liabilities or obligations of any nature whatsoever (whether absolute, contingent or otherwise and whether or not due) that, in accordance with SAP, would have been required to have been disclosed or provided for in such Historical Statutory Statement.</w:t>
      </w:r>
    </w:p>
    <w:p>
      <w:pPr>
        <w:spacing w:after="0" w:line="172" w:lineRule="exact"/>
        <w:rPr>
          <w:sz w:val="20"/>
          <w:szCs w:val="20"/>
          <w:color w:val="auto"/>
        </w:rPr>
      </w:pPr>
    </w:p>
    <w:p>
      <w:pPr>
        <w:ind w:right="140" w:firstLine="639"/>
        <w:spacing w:after="0" w:line="259" w:lineRule="auto"/>
        <w:tabs>
          <w:tab w:leader="none" w:pos="1037"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financial projections, budgets and estimates relating to the Company provided by the Company to the Agent prior to the date hereof in connection with this Agreement have been prepared in good faith based upon assumptions that are believed by the preparer thereof to be reasonable at the time that they were provided to the Agent, it being understood and agreed that (a) financial projections, budgets and estimates are as to future events and are not to be viewed as facts, (b) financial projections, budgets and estimates are subject to significant uncertainties and contingencies, many of which are beyond the Company’s control, (c) no assurance can be given that any particular financial projections, budgets or estimates will be realized and (d) actual results during the period or periods covered by any such projections, budgets or estimates may differ significantly from the projected, budgeted or estimated results and such differences may be material.</w:t>
      </w:r>
    </w:p>
    <w:p>
      <w:pPr>
        <w:spacing w:after="0" w:line="182" w:lineRule="exact"/>
        <w:rPr>
          <w:rFonts w:ascii="Times New Roman" w:cs="Times New Roman" w:eastAsia="Times New Roman" w:hAnsi="Times New Roman"/>
          <w:sz w:val="19"/>
          <w:szCs w:val="19"/>
          <w:color w:val="auto"/>
        </w:rPr>
      </w:pPr>
    </w:p>
    <w:p>
      <w:pPr>
        <w:ind w:right="180" w:firstLine="639"/>
        <w:spacing w:after="0" w:line="297" w:lineRule="auto"/>
        <w:tabs>
          <w:tab w:leader="none" w:pos="1052"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Since December 31, 2023, there has been no material adverse change in the business, properties, results of operations or financial condition of the Company and its Restricted Subsidiaries, taken as a whole.</w:t>
      </w:r>
    </w:p>
    <w:p>
      <w:pPr>
        <w:spacing w:after="0" w:line="132"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5.12</w:t>
      </w:r>
      <w:r>
        <w:rPr>
          <w:sz w:val="20"/>
          <w:szCs w:val="20"/>
          <w:color w:val="auto"/>
        </w:rPr>
        <w:tab/>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firstLine="639"/>
        <w:spacing w:after="0" w:line="272" w:lineRule="auto"/>
        <w:tabs>
          <w:tab w:leader="none" w:pos="103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real properties owned or leased by the Company or any of its Restricted Subsidiaries have been, and continue to be, owned or leased by the Company and its Restricted Subsidiaries in compliance with all Environmental Laws, except where failure to so comply would not, individually or in the aggregate, be reasonably expected to have a Material Adverse Effect.</w:t>
      </w:r>
    </w:p>
    <w:p>
      <w:pPr>
        <w:spacing w:after="0" w:line="154" w:lineRule="exact"/>
        <w:rPr>
          <w:rFonts w:ascii="Times New Roman" w:cs="Times New Roman" w:eastAsia="Times New Roman" w:hAnsi="Times New Roman"/>
          <w:sz w:val="19"/>
          <w:szCs w:val="19"/>
          <w:color w:val="auto"/>
        </w:rPr>
      </w:pPr>
    </w:p>
    <w:p>
      <w:pPr>
        <w:ind w:right="60" w:firstLine="639"/>
        <w:spacing w:after="0" w:line="279" w:lineRule="auto"/>
        <w:tabs>
          <w:tab w:leader="none" w:pos="1048"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are no pending or, to the knowledge of the Company, threatened, Environmental Claims against the Company or any of its Restricted Subsidiaries, except for such Environmental Claims that would not, individually or in the aggregate, reasonably be expected to have a Material Adverse Effect.</w:t>
      </w:r>
    </w:p>
    <w:p>
      <w:pPr>
        <w:spacing w:after="0" w:line="148" w:lineRule="exact"/>
        <w:rPr>
          <w:rFonts w:ascii="Times New Roman" w:cs="Times New Roman" w:eastAsia="Times New Roman" w:hAnsi="Times New Roman"/>
          <w:sz w:val="19"/>
          <w:szCs w:val="19"/>
          <w:color w:val="auto"/>
        </w:rPr>
      </w:pPr>
    </w:p>
    <w:p>
      <w:pPr>
        <w:ind w:right="300" w:firstLine="639"/>
        <w:spacing w:after="0" w:line="268" w:lineRule="auto"/>
        <w:tabs>
          <w:tab w:leader="none" w:pos="1037"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each of its Restricted Subsidiaries have been issued and are in compliance with all permits, certificates, approvals, licenses and other authorizations required under any Environmental Law to own and operate their property or to conduct their businesses except where failure to obtain or comply with the foregoing would not, individually or in the aggregate, be reasonably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-62-</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38" w:name="page139"/>
    <w:bookmarkEnd w:id="138"/>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5.13</w:t>
      </w:r>
      <w:r>
        <w:rPr>
          <w:sz w:val="20"/>
          <w:szCs w:val="20"/>
          <w:color w:val="auto"/>
        </w:rPr>
        <w:tab/>
      </w:r>
      <w:r>
        <w:rPr>
          <w:rFonts w:ascii="Times New Roman" w:cs="Times New Roman" w:eastAsia="Times New Roman" w:hAnsi="Times New Roman"/>
          <w:sz w:val="19"/>
          <w:szCs w:val="19"/>
          <w:u w:val="single" w:color="auto"/>
          <w:color w:val="auto"/>
        </w:rPr>
        <w:t>Regulated Activities and Regulated Entities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180" w:firstLine="633"/>
        <w:spacing w:after="0" w:line="263" w:lineRule="auto"/>
        <w:rPr>
          <w:sz w:val="20"/>
          <w:szCs w:val="20"/>
          <w:color w:val="auto"/>
        </w:rPr>
      </w:pPr>
      <w:r>
        <w:rPr>
          <w:rFonts w:ascii="Times New Roman" w:cs="Times New Roman" w:eastAsia="Times New Roman" w:hAnsi="Times New Roman"/>
          <w:sz w:val="19"/>
          <w:szCs w:val="19"/>
          <w:color w:val="auto"/>
        </w:rPr>
        <w:t>None of the Company, any Person controlling the Company, or any Restricted Subsidiary, is (a) subject to regulation, or required to register, under the Investment Company Act of 1940 or (b) a “registered investment company” or a company “controlled” by a “registered investment company” or a “principal underwriter” of a “registered investment company” as such terms are defined in the Investment Company Act of 1940.</w:t>
      </w:r>
    </w:p>
    <w:p>
      <w:pPr>
        <w:spacing w:after="0" w:line="17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5.14</w:t>
      </w:r>
      <w:r>
        <w:rPr>
          <w:sz w:val="20"/>
          <w:szCs w:val="20"/>
          <w:color w:val="auto"/>
        </w:rPr>
        <w:tab/>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firstLine="639"/>
        <w:spacing w:after="0" w:line="262" w:lineRule="auto"/>
        <w:tabs>
          <w:tab w:leader="none" w:pos="1037"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Capital Stock of each of the Company’s Restricted Subsidiaries has been duly authorized and validly issued and is fully paid and non-assessable. As of the date hereof, there is no existing option, warrant, call, right, commitment or other agreement to which the Company or any of its Restricted Subsidiaries is a party requiring, and there is no membership interest or other Capital Stock of any Restricted Subsidiary outstanding which upon conversion or exchange would require, the issuance by any Restricted Subsidiary of any additional membership interests or other Capital Stock of any Restricted Subsidiary or other securities convertible into, exchangeable for or evidencing the right to subscribe for or purchase, a membership interest or other Capital Stock of any Restricted Subsidiary.</w:t>
      </w:r>
    </w:p>
    <w:p>
      <w:pPr>
        <w:spacing w:after="0" w:line="164" w:lineRule="exact"/>
        <w:rPr>
          <w:rFonts w:ascii="Times New Roman" w:cs="Times New Roman" w:eastAsia="Times New Roman" w:hAnsi="Times New Roman"/>
          <w:sz w:val="19"/>
          <w:szCs w:val="19"/>
          <w:color w:val="auto"/>
        </w:rPr>
      </w:pPr>
    </w:p>
    <w:p>
      <w:pPr>
        <w:ind w:right="220" w:firstLine="639"/>
        <w:spacing w:after="0" w:line="268" w:lineRule="auto"/>
        <w:tabs>
          <w:tab w:leader="none" w:pos="1052"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Schedule 5.14(b) sets forth the name of, and the ownership interest of the Company (or the applicable Subsidiary) in, each of its Subsidiaries and identifies each Subsidiary that is a Foreign Subsidiary, an Immaterial Subsidiary, Unrestricted Subsidiary and/or an Insurance Subsidiary, in each case as of the Effective Date. As of the Effective Date, all the Company’s Subsidiaries are fully consolidated in its consolidated financial statements.</w:t>
      </w:r>
    </w:p>
    <w:p>
      <w:pPr>
        <w:spacing w:after="0" w:line="172"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5.15</w:t>
      </w:r>
      <w:r>
        <w:rPr>
          <w:sz w:val="20"/>
          <w:szCs w:val="20"/>
          <w:color w:val="auto"/>
        </w:rPr>
        <w:tab/>
      </w:r>
      <w:r>
        <w:rPr>
          <w:rFonts w:ascii="Times New Roman" w:cs="Times New Roman" w:eastAsia="Times New Roman" w:hAnsi="Times New Roman"/>
          <w:sz w:val="19"/>
          <w:szCs w:val="19"/>
          <w:u w:val="single" w:color="auto"/>
          <w:color w:val="auto"/>
        </w:rPr>
        <w:t>Insurance Licenses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40" w:firstLine="633"/>
        <w:spacing w:after="0" w:line="268" w:lineRule="auto"/>
        <w:rPr>
          <w:sz w:val="20"/>
          <w:szCs w:val="20"/>
          <w:color w:val="auto"/>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 5.15</w:t>
      </w:r>
      <w:r>
        <w:rPr>
          <w:rFonts w:ascii="Times New Roman" w:cs="Times New Roman" w:eastAsia="Times New Roman" w:hAnsi="Times New Roman"/>
          <w:sz w:val="19"/>
          <w:szCs w:val="19"/>
          <w:color w:val="auto"/>
        </w:rPr>
        <w:t>, (a) no License of the Company or any Insurance Subsidiary, the loss of which individually or in the aggregate would reasonably be expected to have a Material Adverse Effect, is the subject of a proceeding for suspension or revocation, and (b) to the Company’s knowledge, there is no sustainable basis for such suspension or revocation, and no such suspension or revocation has been threatened by any Governmental Authority.</w:t>
      </w:r>
    </w:p>
    <w:p>
      <w:pPr>
        <w:spacing w:after="0" w:line="15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5.16</w:t>
      </w:r>
      <w:r>
        <w:rPr>
          <w:sz w:val="20"/>
          <w:szCs w:val="20"/>
          <w:color w:val="auto"/>
        </w:rPr>
        <w:tab/>
      </w:r>
      <w:r>
        <w:rPr>
          <w:rFonts w:ascii="Times New Roman" w:cs="Times New Roman" w:eastAsia="Times New Roman" w:hAnsi="Times New Roman"/>
          <w:sz w:val="19"/>
          <w:szCs w:val="19"/>
          <w:u w:val="single" w:color="auto"/>
          <w:color w:val="auto"/>
        </w:rPr>
        <w:t>Full Disclosure</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60" w:firstLine="633"/>
        <w:spacing w:after="0" w:line="262" w:lineRule="auto"/>
        <w:rPr>
          <w:sz w:val="20"/>
          <w:szCs w:val="20"/>
          <w:color w:val="auto"/>
        </w:rPr>
      </w:pPr>
      <w:r>
        <w:rPr>
          <w:rFonts w:ascii="Times New Roman" w:cs="Times New Roman" w:eastAsia="Times New Roman" w:hAnsi="Times New Roman"/>
          <w:sz w:val="19"/>
          <w:szCs w:val="19"/>
          <w:color w:val="auto"/>
        </w:rPr>
        <w:t>All written Information (other than financial projections, budgets, estimates and information of a general economic or industry nature) provided directly by the Company or its Subsidiaries to the Agent or the Lenders in connection with the transactions contemplated hereunder (in each case, as modified or supplemented by other information so furnished, and when taken together with any disclosures made by the Company in any publicly available filings with the SEC) is, as of the date made available, taken as a whole, correct in all material respects and does not contain any untrue statement of a material fact or omit to state a material fact necessary to make the statements contained therein, taken as a whole, not materially misleading in the light of the circumstances under which they were made.</w:t>
      </w:r>
    </w:p>
    <w:p>
      <w:pPr>
        <w:spacing w:after="0" w:line="17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5.17</w:t>
      </w:r>
      <w:r>
        <w:rPr>
          <w:sz w:val="20"/>
          <w:szCs w:val="20"/>
          <w:color w:val="auto"/>
        </w:rPr>
        <w:tab/>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180" w:firstLine="633"/>
        <w:spacing w:after="0" w:line="297" w:lineRule="auto"/>
        <w:rPr>
          <w:sz w:val="20"/>
          <w:szCs w:val="20"/>
          <w:color w:val="auto"/>
        </w:rPr>
      </w:pPr>
      <w:r>
        <w:rPr>
          <w:rFonts w:ascii="Times New Roman" w:cs="Times New Roman" w:eastAsia="Times New Roman" w:hAnsi="Times New Roman"/>
          <w:sz w:val="19"/>
          <w:szCs w:val="19"/>
          <w:color w:val="auto"/>
        </w:rPr>
        <w:t>Immediately after giving effect to the Transactions to occur on the Effective Date, the Company and its Subsidiaries, on a consolidated basis, are Solvent.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39" w:name="page140"/>
    <w:bookmarkEnd w:id="139"/>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5.18</w:t>
      </w:r>
      <w:r>
        <w:rPr>
          <w:sz w:val="20"/>
          <w:szCs w:val="20"/>
          <w:color w:val="auto"/>
        </w:rPr>
        <w:tab/>
      </w:r>
      <w:r>
        <w:rPr>
          <w:rFonts w:ascii="Times New Roman" w:cs="Times New Roman" w:eastAsia="Times New Roman" w:hAnsi="Times New Roman"/>
          <w:sz w:val="19"/>
          <w:szCs w:val="19"/>
          <w:u w:val="single" w:color="auto"/>
          <w:color w:val="auto"/>
        </w:rPr>
        <w:t>[Reserved].</w:t>
      </w:r>
    </w:p>
    <w:p>
      <w:pPr>
        <w:spacing w:after="0" w:line="23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5.19</w:t>
      </w:r>
      <w:r>
        <w:rPr>
          <w:sz w:val="20"/>
          <w:szCs w:val="20"/>
          <w:color w:val="auto"/>
        </w:rPr>
        <w:tab/>
      </w:r>
      <w:r>
        <w:rPr>
          <w:rFonts w:ascii="Times New Roman" w:cs="Times New Roman" w:eastAsia="Times New Roman" w:hAnsi="Times New Roman"/>
          <w:sz w:val="19"/>
          <w:szCs w:val="19"/>
          <w:u w:val="single" w:color="auto"/>
          <w:color w:val="auto"/>
        </w:rPr>
        <w:t>[Reserved].</w:t>
      </w:r>
    </w:p>
    <w:p>
      <w:pPr>
        <w:spacing w:after="0" w:line="21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5.20</w:t>
      </w:r>
      <w:r>
        <w:rPr>
          <w:sz w:val="20"/>
          <w:szCs w:val="20"/>
          <w:color w:val="auto"/>
        </w:rPr>
        <w:tab/>
      </w:r>
      <w:r>
        <w:rPr>
          <w:rFonts w:ascii="Times New Roman" w:cs="Times New Roman" w:eastAsia="Times New Roman" w:hAnsi="Times New Roman"/>
          <w:sz w:val="19"/>
          <w:szCs w:val="19"/>
          <w:u w:val="single" w:color="auto"/>
          <w:color w:val="auto"/>
        </w:rPr>
        <w:t>Anti-Corruption Laws and Sanctions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40" w:firstLine="633"/>
        <w:spacing w:after="0" w:line="262" w:lineRule="auto"/>
        <w:rPr>
          <w:sz w:val="20"/>
          <w:szCs w:val="20"/>
          <w:color w:val="auto"/>
        </w:rPr>
      </w:pPr>
      <w:r>
        <w:rPr>
          <w:rFonts w:ascii="Times New Roman" w:cs="Times New Roman" w:eastAsia="Times New Roman" w:hAnsi="Times New Roman"/>
          <w:sz w:val="19"/>
          <w:szCs w:val="19"/>
          <w:color w:val="auto"/>
        </w:rPr>
        <w:t xml:space="preserve">The Company, its Subsidiaries and their respective officers and employees, and to the knowledge of the Company, the directors and agents (when acting on behalf of the Company or its Subsidiaries) of the Company and its Subsidiaries, are in compliance with Anti-Corruption Laws, Anti-Money Laundering Laws, and applicable Sanctions in all material respects. None of (a) the Company or any Subsidiary, or (b) to the knowledge of the Company, any of the respective directors, officers or employees of the Company or any of its Subsidiaries, or any agent of the Company or any of its Subsidiaries who will act in any capacity in connection with this Agreement, is a Sanctioned Person. The Company will not use, and shall not permit any of its Subsidiaries to use, the proceeds of any Loan in violation of </w:t>
      </w:r>
      <w:r>
        <w:rPr>
          <w:rFonts w:ascii="Times New Roman" w:cs="Times New Roman" w:eastAsia="Times New Roman" w:hAnsi="Times New Roman"/>
          <w:sz w:val="19"/>
          <w:szCs w:val="19"/>
          <w:u w:val="single" w:color="auto"/>
          <w:color w:val="auto"/>
        </w:rPr>
        <w:t>Section 6.11(b)</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5.21</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5.22</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Company is not an Affected Financial Institution.</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ARTICLE 6</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AFFIRMATIVE COVENANTS</w:t>
      </w:r>
    </w:p>
    <w:p>
      <w:pPr>
        <w:spacing w:after="0" w:line="202" w:lineRule="exact"/>
        <w:rPr>
          <w:sz w:val="20"/>
          <w:szCs w:val="20"/>
          <w:color w:val="auto"/>
        </w:rPr>
      </w:pPr>
    </w:p>
    <w:p>
      <w:pPr>
        <w:ind w:right="20" w:firstLine="633"/>
        <w:spacing w:after="0" w:line="279" w:lineRule="auto"/>
        <w:rPr>
          <w:sz w:val="20"/>
          <w:szCs w:val="20"/>
          <w:color w:val="auto"/>
        </w:rPr>
      </w:pPr>
      <w:r>
        <w:rPr>
          <w:rFonts w:ascii="Times New Roman" w:cs="Times New Roman" w:eastAsia="Times New Roman" w:hAnsi="Times New Roman"/>
          <w:sz w:val="19"/>
          <w:szCs w:val="19"/>
          <w:color w:val="auto"/>
        </w:rPr>
        <w:t>Until all principal of and interest on each Loan and all fees and other amounts payable hereunder have been paid in full (other than unmatured contingent indemnification obligations not yet due and payable) and all Commitments have been terminated, the Company covenants and agrees with the Lenders that, from and after the Closing Date:</w:t>
      </w:r>
    </w:p>
    <w:p>
      <w:pPr>
        <w:spacing w:after="0" w:line="14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6.01</w:t>
      </w:r>
      <w:r>
        <w:rPr>
          <w:sz w:val="20"/>
          <w:szCs w:val="20"/>
          <w:color w:val="auto"/>
        </w:rPr>
        <w:tab/>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220" w:firstLine="633"/>
        <w:spacing w:after="0" w:line="272" w:lineRule="auto"/>
        <w:rPr>
          <w:sz w:val="20"/>
          <w:szCs w:val="20"/>
          <w:color w:val="auto"/>
        </w:rPr>
      </w:pPr>
      <w:r>
        <w:rPr>
          <w:rFonts w:ascii="Times New Roman" w:cs="Times New Roman" w:eastAsia="Times New Roman" w:hAnsi="Times New Roman"/>
          <w:sz w:val="19"/>
          <w:szCs w:val="19"/>
          <w:color w:val="auto"/>
        </w:rPr>
        <w:t>The Company shall deliver to the Agent (except that items described in paragraphs (c), (d), (e) and (f) shall not be required to be delivered, to the extent such items are filed with the applicable regulator within the time periods set forth below and/or publicly available), for further distribution to each Lender:</w:t>
      </w:r>
    </w:p>
    <w:p>
      <w:pPr>
        <w:spacing w:after="0" w:line="154" w:lineRule="exact"/>
        <w:rPr>
          <w:sz w:val="20"/>
          <w:szCs w:val="20"/>
          <w:color w:val="auto"/>
        </w:rPr>
      </w:pPr>
    </w:p>
    <w:p>
      <w:pPr>
        <w:ind w:firstLine="639"/>
        <w:spacing w:after="0" w:line="261" w:lineRule="auto"/>
        <w:tabs>
          <w:tab w:leader="none" w:pos="1041"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later than 90 days after the end of each Fiscal Year (beginning with the Fiscal Year ending December 31, 2024), copies of the audited consolidated balance sheet of the Company and its Subsidiaries as at the end of such year and the related audited consolidated statements of operations, shareholders’ equity and cash flows for such year, setting forth in the case of the audited consolidated statements in comparative form the figures for the previous Fiscal Year, and accompanied by the opinion of BDO USA, LLP or another nationally-recognized independent public accounting firm (“</w:t>
      </w:r>
      <w:r>
        <w:rPr>
          <w:rFonts w:ascii="Times New Roman" w:cs="Times New Roman" w:eastAsia="Times New Roman" w:hAnsi="Times New Roman"/>
          <w:sz w:val="19"/>
          <w:szCs w:val="19"/>
          <w:b w:val="1"/>
          <w:bCs w:val="1"/>
          <w:color w:val="auto"/>
        </w:rPr>
        <w:t>Independent Auditor</w:t>
      </w:r>
      <w:r>
        <w:rPr>
          <w:rFonts w:ascii="Times New Roman" w:cs="Times New Roman" w:eastAsia="Times New Roman" w:hAnsi="Times New Roman"/>
          <w:sz w:val="19"/>
          <w:szCs w:val="19"/>
          <w:color w:val="auto"/>
        </w:rPr>
        <w:t>”), which opinion shall state that such audited consolidated financial statements present fairly in all material respects the financial position and result of operations of the Company and its Restricted Subsidiaries for the periods indicated in conformity with GAAP, except as stated therein. Such opinion shall be without a “going concern” or like qualification (other than as it may result from the maturity of the Loans hereunder within the coming 12-month period) and shall not be qualified as to scope;</w:t>
      </w:r>
    </w:p>
    <w:p>
      <w:pPr>
        <w:spacing w:after="0" w:line="169" w:lineRule="exact"/>
        <w:rPr>
          <w:rFonts w:ascii="Times New Roman" w:cs="Times New Roman" w:eastAsia="Times New Roman" w:hAnsi="Times New Roman"/>
          <w:sz w:val="19"/>
          <w:szCs w:val="19"/>
          <w:color w:val="auto"/>
        </w:rPr>
      </w:pPr>
    </w:p>
    <w:p>
      <w:pPr>
        <w:ind w:right="80" w:firstLine="639"/>
        <w:spacing w:after="0" w:line="297" w:lineRule="auto"/>
        <w:tabs>
          <w:tab w:leader="none" w:pos="1052"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later than 45 days after the end of each of the first three Fiscal Quarters of each Fiscal Year (beginning with the Fiscal Quarter ending June 30, 2024), copies of the condensed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-64-</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40" w:name="page141"/>
    <w:bookmarkEnd w:id="140"/>
    <w:p>
      <w:pPr>
        <w:ind w:right="20"/>
        <w:spacing w:after="0" w:line="262" w:lineRule="auto"/>
        <w:rPr>
          <w:sz w:val="20"/>
          <w:szCs w:val="20"/>
          <w:color w:val="auto"/>
        </w:rPr>
      </w:pPr>
      <w:r>
        <w:rPr>
          <w:rFonts w:ascii="Times New Roman" w:cs="Times New Roman" w:eastAsia="Times New Roman" w:hAnsi="Times New Roman"/>
          <w:sz w:val="19"/>
          <w:szCs w:val="19"/>
          <w:color w:val="auto"/>
        </w:rPr>
        <w:t>consolidated balance sheet of the Company and its Subsidiaries as of the end of such quarter and the related condensed unaudited consolidated statements of operations, shareholders’ equity and cash flows for the period commencing on the first day and ending on the last day of such quarter and for the then elapsed portion of such Fiscal Year, setting forth in comparative form the figures for the corresponding period or periods of (or, in the case of the balance sheet, as of the end of) the previous Fiscal Year, and certified by a Responsible Officer as fairly presenting in all material respects, in accordance with GAAP (subject to the absence of footnotes and year-end audit adjustments), the financial position, the results of operations and cash flows of the Company and its Subsidiaries;</w:t>
      </w:r>
    </w:p>
    <w:p>
      <w:pPr>
        <w:spacing w:after="0" w:line="178" w:lineRule="exact"/>
        <w:rPr>
          <w:sz w:val="20"/>
          <w:szCs w:val="20"/>
          <w:color w:val="auto"/>
        </w:rPr>
      </w:pPr>
    </w:p>
    <w:p>
      <w:pPr>
        <w:ind w:firstLine="639"/>
        <w:spacing w:after="0" w:line="259" w:lineRule="auto"/>
        <w:tabs>
          <w:tab w:leader="none" w:pos="1041"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but not later than 75 days after the close of each Fiscal Year of each Insurance Subsidiary, a copy of the unaudited Annual Statement of such Insurance Subsidiary on a stand-alone basis, such Annual Statement to be certified by a Responsible Officer of such Insurance Subsidiary and prepared in accordance with SAP, as modified by accounting practices permitted or prescribed by the OCI or other applicable domiciliary insurance commissioner, consistently applied throughout the periods reflected therein and, if required by the applicable Governmental Authority, audited and certified by independent certified public accountants of recognized national standing (such audited Annual Statement to be delivered, if required by the applicable Governmental Authority, as soon as available but not later than June 15 of each Fiscal Year of such Insurance Subsidiary);</w:t>
      </w:r>
    </w:p>
    <w:p>
      <w:pPr>
        <w:spacing w:after="0" w:line="182" w:lineRule="exact"/>
        <w:rPr>
          <w:rFonts w:ascii="Times New Roman" w:cs="Times New Roman" w:eastAsia="Times New Roman" w:hAnsi="Times New Roman"/>
          <w:sz w:val="19"/>
          <w:szCs w:val="19"/>
          <w:color w:val="auto"/>
        </w:rPr>
      </w:pPr>
    </w:p>
    <w:p>
      <w:pPr>
        <w:ind w:right="240" w:firstLine="639"/>
        <w:spacing w:after="0" w:line="262" w:lineRule="auto"/>
        <w:tabs>
          <w:tab w:leader="none" w:pos="1052"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but not later than 60 days after the close of each of the first three Fiscal Quarters of each Fiscal Year of each Insurance Subsidiary, a copy of the Quarterly Statement of such Insurance Subsidiary on a stand-alone basis, such Quarterly Statement to be certified by a Responsible Officer of such Insurance Subsidiary and prepared in accordance with SAP, as modified by accounting practices permitted or prescribed by the OCI or other applicable domiciliary insurance commissioner, consistently applied through the period reflected therein;</w:t>
      </w:r>
    </w:p>
    <w:p>
      <w:pPr>
        <w:spacing w:after="0" w:line="179" w:lineRule="exact"/>
        <w:rPr>
          <w:rFonts w:ascii="Times New Roman" w:cs="Times New Roman" w:eastAsia="Times New Roman" w:hAnsi="Times New Roman"/>
          <w:sz w:val="19"/>
          <w:szCs w:val="19"/>
          <w:color w:val="auto"/>
        </w:rPr>
      </w:pPr>
    </w:p>
    <w:p>
      <w:pPr>
        <w:ind w:right="20" w:firstLine="639"/>
        <w:spacing w:after="0" w:line="262" w:lineRule="auto"/>
        <w:tabs>
          <w:tab w:leader="none" w:pos="1041"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following the delivery to or receipt by the Company or any of its Restricted Subsidiaries of any regular or periodic final Triennial Examination reports or results of any market conduct examination or examination by any Department or the NAIC of the financial condition and operations of, or any notice of any assertion as to violation of any Requirement of Law by, any Insurance Subsidiary, or any report with respect to any Insurance Subsidiary (including any summary report from the NAIC with respect to the performance of such Insurance Subsidiary as measured against the ratios and other financial measurements developed by the NAIC under its Insurance Regulatory Information System as in effect from time to time) that would reasonably be expected to result in a Material Adverse Effect;</w:t>
      </w:r>
    </w:p>
    <w:p>
      <w:pPr>
        <w:spacing w:after="0" w:line="164" w:lineRule="exact"/>
        <w:rPr>
          <w:rFonts w:ascii="Times New Roman" w:cs="Times New Roman" w:eastAsia="Times New Roman" w:hAnsi="Times New Roman"/>
          <w:sz w:val="19"/>
          <w:szCs w:val="19"/>
          <w:color w:val="auto"/>
        </w:rPr>
      </w:pPr>
    </w:p>
    <w:p>
      <w:pPr>
        <w:jc w:val="both"/>
        <w:ind w:right="280" w:firstLine="639"/>
        <w:spacing w:after="0" w:line="268" w:lineRule="auto"/>
        <w:tabs>
          <w:tab w:leader="none" w:pos="1019"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125 days after the close of each Fiscal Year of each Insurance Subsidiary, a copy of the “Statement of Actuarial Opinion” and “Management Discussion and Analysis” for each such Insurance Subsidiary that is provided to the applicable Department (or equivalent information should such Department no longer require such a statement) as to the adequacy of reserves of such Insurance Subsidiary, such opinion to be in the format prescribed by the insurance code of the state of domicile of such Insurance Subsidiary; and</w:t>
      </w:r>
    </w:p>
    <w:p>
      <w:pPr>
        <w:spacing w:after="0" w:line="171" w:lineRule="exact"/>
        <w:rPr>
          <w:rFonts w:ascii="Times New Roman" w:cs="Times New Roman" w:eastAsia="Times New Roman" w:hAnsi="Times New Roman"/>
          <w:sz w:val="19"/>
          <w:szCs w:val="19"/>
          <w:color w:val="auto"/>
        </w:rPr>
      </w:pPr>
    </w:p>
    <w:p>
      <w:pPr>
        <w:ind w:firstLine="639"/>
        <w:spacing w:after="0" w:line="272" w:lineRule="auto"/>
        <w:tabs>
          <w:tab w:leader="none" w:pos="1052"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simultaneously with the delivery of each set of consolidated financial statements referred to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the related unaudited consolidating financial information reflecting adjustments necessary to eliminate the accounts of Unrestricted Subsidiaries (if any) from such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-65-</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41" w:name="page142"/>
    <w:bookmarkEnd w:id="141"/>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6.02</w:t>
      </w:r>
      <w:r>
        <w:rPr>
          <w:sz w:val="20"/>
          <w:szCs w:val="20"/>
          <w:color w:val="auto"/>
        </w:rPr>
        <w:tab/>
      </w:r>
      <w:r>
        <w:rPr>
          <w:rFonts w:ascii="Times New Roman" w:cs="Times New Roman" w:eastAsia="Times New Roman" w:hAnsi="Times New Roman"/>
          <w:sz w:val="19"/>
          <w:szCs w:val="19"/>
          <w:u w:val="single" w:color="auto"/>
          <w:color w:val="auto"/>
        </w:rPr>
        <w:t>Certificates; Other Information</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Company shall furnish to the Agent, for further distribution to each Lender:</w:t>
      </w:r>
    </w:p>
    <w:p>
      <w:pPr>
        <w:spacing w:after="0" w:line="217" w:lineRule="exact"/>
        <w:rPr>
          <w:sz w:val="20"/>
          <w:szCs w:val="20"/>
          <w:color w:val="auto"/>
        </w:rPr>
      </w:pPr>
    </w:p>
    <w:p>
      <w:pPr>
        <w:ind w:right="760" w:firstLine="639"/>
        <w:spacing w:after="0" w:line="297" w:lineRule="auto"/>
        <w:tabs>
          <w:tab w:leader="none" w:pos="1041"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concurrently with the delivery of the financial statements referred to in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6.01(b)</w:t>
      </w:r>
      <w:r>
        <w:rPr>
          <w:rFonts w:ascii="Times New Roman" w:cs="Times New Roman" w:eastAsia="Times New Roman" w:hAnsi="Times New Roman"/>
          <w:sz w:val="19"/>
          <w:szCs w:val="19"/>
          <w:color w:val="auto"/>
        </w:rPr>
        <w:t>, a Compliance Certificate executed by a Responsible Officer;</w:t>
      </w:r>
    </w:p>
    <w:p>
      <w:pPr>
        <w:spacing w:after="0" w:line="131" w:lineRule="exact"/>
        <w:rPr>
          <w:rFonts w:ascii="Times New Roman" w:cs="Times New Roman" w:eastAsia="Times New Roman" w:hAnsi="Times New Roman"/>
          <w:sz w:val="19"/>
          <w:szCs w:val="19"/>
          <w:color w:val="auto"/>
        </w:rPr>
      </w:pPr>
    </w:p>
    <w:p>
      <w:pPr>
        <w:jc w:val="both"/>
        <w:ind w:right="40" w:firstLine="639"/>
        <w:spacing w:after="0" w:line="266" w:lineRule="auto"/>
        <w:tabs>
          <w:tab w:leader="none" w:pos="1052"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concurrently with the delivery of the financial statements referred to in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 but only to the extent permitted by accounting industry policies generally followed by independent certified public accountants, a certificate of the Independent Auditor that reported on such financial statements stating (i) whether during the course of its examination of such financial statements it obtained knowledge of any Default relating to accounting matters (which certificate may be limited to the extent required by auditing rules or guidelines), and (ii) if a Default relating to accounting matters has come to its attention, specifying the nature and period of existence thereof;</w:t>
      </w:r>
    </w:p>
    <w:p>
      <w:pPr>
        <w:spacing w:after="0" w:line="160" w:lineRule="exact"/>
        <w:rPr>
          <w:rFonts w:ascii="Times New Roman" w:cs="Times New Roman" w:eastAsia="Times New Roman" w:hAnsi="Times New Roman"/>
          <w:sz w:val="19"/>
          <w:szCs w:val="19"/>
          <w:color w:val="auto"/>
        </w:rPr>
      </w:pPr>
    </w:p>
    <w:p>
      <w:pPr>
        <w:ind w:firstLine="639"/>
        <w:spacing w:after="0" w:line="297" w:lineRule="auto"/>
        <w:tabs>
          <w:tab w:leader="none" w:pos="1041"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any request by the Agent or any Lender, copies of any final reports submitted to the Company by independent public accountants in connection with any annual, interim or special audit of the financial statements of the Company made by such accountants;</w:t>
      </w:r>
    </w:p>
    <w:p>
      <w:pPr>
        <w:spacing w:after="0" w:line="145"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6" w:lineRule="exact"/>
        <w:rPr>
          <w:rFonts w:ascii="Times New Roman" w:cs="Times New Roman" w:eastAsia="Times New Roman" w:hAnsi="Times New Roman"/>
          <w:sz w:val="19"/>
          <w:szCs w:val="19"/>
          <w:color w:val="auto"/>
        </w:rPr>
      </w:pPr>
    </w:p>
    <w:p>
      <w:pPr>
        <w:ind w:left="1040" w:hanging="401"/>
        <w:spacing w:after="0"/>
        <w:tabs>
          <w:tab w:leader="none" w:pos="104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29" w:lineRule="exact"/>
        <w:rPr>
          <w:rFonts w:ascii="Times New Roman" w:cs="Times New Roman" w:eastAsia="Times New Roman" w:hAnsi="Times New Roman"/>
          <w:sz w:val="19"/>
          <w:szCs w:val="19"/>
          <w:color w:val="auto"/>
        </w:rPr>
      </w:pPr>
    </w:p>
    <w:p>
      <w:pPr>
        <w:ind w:left="1020" w:hanging="381"/>
        <w:spacing w:after="0"/>
        <w:tabs>
          <w:tab w:leader="none" w:pos="102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6"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 and</w:t>
      </w:r>
    </w:p>
    <w:p>
      <w:pPr>
        <w:spacing w:after="0" w:line="229" w:lineRule="exact"/>
        <w:rPr>
          <w:rFonts w:ascii="Times New Roman" w:cs="Times New Roman" w:eastAsia="Times New Roman" w:hAnsi="Times New Roman"/>
          <w:sz w:val="19"/>
          <w:szCs w:val="19"/>
          <w:color w:val="auto"/>
        </w:rPr>
      </w:pPr>
    </w:p>
    <w:p>
      <w:pPr>
        <w:ind w:right="160" w:firstLine="639"/>
        <w:spacing w:after="0" w:line="272" w:lineRule="auto"/>
        <w:tabs>
          <w:tab w:leader="none" w:pos="1052"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such additional information regarding the business, financial or corporate affairs of the Company or any Restricted Subsidiary, or compliance with the terms of any Loan Document, as the Agent, for itself or at the request of any Lender, may from time to time reasonably request.</w:t>
      </w:r>
    </w:p>
    <w:p>
      <w:pPr>
        <w:spacing w:after="0" w:line="167" w:lineRule="exact"/>
        <w:rPr>
          <w:sz w:val="20"/>
          <w:szCs w:val="20"/>
          <w:color w:val="auto"/>
        </w:rPr>
      </w:pPr>
    </w:p>
    <w:p>
      <w:pPr>
        <w:ind w:right="100" w:firstLine="633"/>
        <w:spacing w:after="0" w:line="257" w:lineRule="auto"/>
        <w:rPr>
          <w:sz w:val="20"/>
          <w:szCs w:val="20"/>
          <w:color w:val="auto"/>
        </w:rPr>
      </w:pPr>
      <w:r>
        <w:rPr>
          <w:rFonts w:ascii="Times New Roman" w:cs="Times New Roman" w:eastAsia="Times New Roman" w:hAnsi="Times New Roman"/>
          <w:sz w:val="19"/>
          <w:szCs w:val="19"/>
          <w:color w:val="auto"/>
        </w:rPr>
        <w:t xml:space="preserve">Documents required to be delivered pursuant to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 xml:space="preserve"> may be delivered electronically and if so delivered, shall be deemed to have been delivered to the Agent (and, other than in the case of </w:t>
      </w:r>
      <w:r>
        <w:rPr>
          <w:rFonts w:ascii="Times New Roman" w:cs="Times New Roman" w:eastAsia="Times New Roman" w:hAnsi="Times New Roman"/>
          <w:sz w:val="19"/>
          <w:szCs w:val="19"/>
          <w:u w:val="single" w:color="auto"/>
          <w:color w:val="auto"/>
        </w:rPr>
        <w:t>clause (ii)(y)</w:t>
      </w:r>
      <w:r>
        <w:rPr>
          <w:rFonts w:ascii="Times New Roman" w:cs="Times New Roman" w:eastAsia="Times New Roman" w:hAnsi="Times New Roman"/>
          <w:sz w:val="19"/>
          <w:szCs w:val="19"/>
          <w:color w:val="auto"/>
        </w:rPr>
        <w:t xml:space="preserve"> below, the Agent shall be deemed to have delivered such documents to each Lender) on the earliest of (i) the date on which the Company posts such documents or provides a link thereto on the Company’s website on the Internet at the website address listed on </w:t>
      </w:r>
      <w:r>
        <w:rPr>
          <w:rFonts w:ascii="Times New Roman" w:cs="Times New Roman" w:eastAsia="Times New Roman" w:hAnsi="Times New Roman"/>
          <w:sz w:val="19"/>
          <w:szCs w:val="19"/>
          <w:u w:val="single" w:color="auto"/>
          <w:color w:val="auto"/>
        </w:rPr>
        <w:t>Schedule 10.02</w:t>
      </w:r>
      <w:r>
        <w:rPr>
          <w:rFonts w:ascii="Times New Roman" w:cs="Times New Roman" w:eastAsia="Times New Roman" w:hAnsi="Times New Roman"/>
          <w:sz w:val="19"/>
          <w:szCs w:val="19"/>
          <w:color w:val="auto"/>
        </w:rPr>
        <w:t>; (ii) the date on which such documents are (x) posted on the Company’s behalf on IntraLinks/IntraAgency or another relevant website, if any, to which each Lender and the Agent have access (whether a commercial, third-party website or whether sponsored by the Agent) or (y) delivered electronically by the Company to the Agent, or</w:t>
      </w:r>
    </w:p>
    <w:p>
      <w:pPr>
        <w:spacing w:after="0" w:line="3" w:lineRule="exact"/>
        <w:rPr>
          <w:sz w:val="20"/>
          <w:szCs w:val="20"/>
          <w:color w:val="auto"/>
        </w:rPr>
      </w:pPr>
    </w:p>
    <w:p>
      <w:pPr>
        <w:ind w:right="40" w:firstLine="6"/>
        <w:spacing w:after="0" w:line="260" w:lineRule="auto"/>
        <w:tabs>
          <w:tab w:leader="none" w:pos="338"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such documents are made publicly available at www.sec.gov. Except for Compliance Certificates, the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79" w:lineRule="exact"/>
        <w:rPr>
          <w:sz w:val="20"/>
          <w:szCs w:val="20"/>
          <w:color w:val="auto"/>
        </w:rPr>
      </w:pPr>
    </w:p>
    <w:p>
      <w:pPr>
        <w:ind w:right="460" w:firstLine="633"/>
        <w:spacing w:after="0" w:line="283" w:lineRule="auto"/>
        <w:rPr>
          <w:sz w:val="20"/>
          <w:szCs w:val="20"/>
          <w:color w:val="auto"/>
        </w:rPr>
      </w:pPr>
      <w:r>
        <w:rPr>
          <w:rFonts w:ascii="Times New Roman" w:cs="Times New Roman" w:eastAsia="Times New Roman" w:hAnsi="Times New Roman"/>
          <w:sz w:val="19"/>
          <w:szCs w:val="19"/>
          <w:color w:val="auto"/>
        </w:rPr>
        <w:t xml:space="preserve">The Company hereby acknowledges that the Agent will make available to the Lenders information and projections provided by the Company to the Agent pursuant to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6.02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-66-</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42" w:name="page143"/>
    <w:bookmarkEnd w:id="142"/>
    <w:p>
      <w:pPr>
        <w:ind w:right="360"/>
        <w:spacing w:after="0" w:line="302" w:lineRule="auto"/>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 xml:space="preserve"> (collectively, “</w:t>
      </w:r>
      <w:r>
        <w:rPr>
          <w:rFonts w:ascii="Times New Roman" w:cs="Times New Roman" w:eastAsia="Times New Roman" w:hAnsi="Times New Roman"/>
          <w:sz w:val="19"/>
          <w:szCs w:val="19"/>
          <w:b w:val="1"/>
          <w:bCs w:val="1"/>
          <w:color w:val="auto"/>
        </w:rPr>
        <w:t>Company Materials</w:t>
      </w:r>
      <w:r>
        <w:rPr>
          <w:rFonts w:ascii="Times New Roman" w:cs="Times New Roman" w:eastAsia="Times New Roman" w:hAnsi="Times New Roman"/>
          <w:sz w:val="19"/>
          <w:szCs w:val="19"/>
          <w:color w:val="auto"/>
        </w:rPr>
        <w:t>”) by posting the Company Materials on IntraLinks or another similar secure electronic system (the “</w:t>
      </w:r>
      <w:r>
        <w:rPr>
          <w:rFonts w:ascii="Times New Roman" w:cs="Times New Roman" w:eastAsia="Times New Roman" w:hAnsi="Times New Roman"/>
          <w:sz w:val="19"/>
          <w:szCs w:val="19"/>
          <w:b w:val="1"/>
          <w:bCs w:val="1"/>
          <w:color w:val="auto"/>
        </w:rPr>
        <w:t>Platform</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6.03</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Company shall notify the Agent promptly after any Responsible Officer of the Company becomes aware:</w:t>
      </w:r>
    </w:p>
    <w:p>
      <w:pPr>
        <w:spacing w:after="0" w:line="217" w:lineRule="exact"/>
        <w:rPr>
          <w:sz w:val="20"/>
          <w:szCs w:val="20"/>
          <w:color w:val="auto"/>
        </w:rPr>
      </w:pPr>
    </w:p>
    <w:p>
      <w:pPr>
        <w:ind w:left="1040" w:hanging="401"/>
        <w:spacing w:after="0"/>
        <w:tabs>
          <w:tab w:leader="none" w:pos="104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occurrence of any Default;</w:t>
      </w:r>
    </w:p>
    <w:p>
      <w:pPr>
        <w:spacing w:after="0" w:line="229" w:lineRule="exact"/>
        <w:rPr>
          <w:rFonts w:ascii="Times New Roman" w:cs="Times New Roman" w:eastAsia="Times New Roman" w:hAnsi="Times New Roman"/>
          <w:sz w:val="19"/>
          <w:szCs w:val="19"/>
          <w:color w:val="auto"/>
        </w:rPr>
      </w:pPr>
    </w:p>
    <w:p>
      <w:pPr>
        <w:ind w:firstLine="639"/>
        <w:spacing w:after="0" w:line="257" w:lineRule="auto"/>
        <w:tabs>
          <w:tab w:leader="none" w:pos="1052"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any matter that has resulted in, or would reasonably be expected to result in, a Material Adverse Effect, including any of the following solely to the extent it would reasonably be expected to have a Material Adverse Effect: (i) any breach or non-performance by the Company or any Restricted Subsidiary of, or any default by the Company or any Restricted Subsidiary under, a Contractual Obligation of the Company or any Restricted Subsidiary; (ii) any dispute, litigation, investigation, proceeding or suspension between the Company or any Restricted Subsidiary and any Governmental Authority; (iii) the commencement of, or any material development in, any litigation (including any governmental proceeding or arbitration proceeding), tax audit or investigative proceeding, claim, lawsuit, and/or investigation against or involving the Company or any of its Restricted Subsidiaries or any of its or their businesses or operations, including pursuant to any applicable Environmental Laws; (iv) the expiration without renewal, revocation, suspension or restriction of, or the institution of any proceedings to revoke, suspend or restrict, any License now or hereafter held by any Insurance Subsidiary that is required to conduct the insurance business of such Insurance Subsidiary in compliance with all applicable laws and regulations; (v) the institution of any disciplinary proceedings against or in respect of any Insurance Subsidiary, or the issuance of any order, the taking of any action or any request for an extraordinary audit for cause by any Governmental Authority; or (vi) the issuance or adoption of any judicial or administrative order limiting or controlling the insurance business of any Insurance Subsidiary (and not the insurance industry generally); and</w:t>
      </w:r>
    </w:p>
    <w:p>
      <w:pPr>
        <w:spacing w:after="0" w:line="189" w:lineRule="exact"/>
        <w:rPr>
          <w:rFonts w:ascii="Times New Roman" w:cs="Times New Roman" w:eastAsia="Times New Roman" w:hAnsi="Times New Roman"/>
          <w:sz w:val="19"/>
          <w:szCs w:val="19"/>
          <w:color w:val="auto"/>
        </w:rPr>
      </w:pPr>
    </w:p>
    <w:p>
      <w:pPr>
        <w:ind w:right="200" w:firstLine="639"/>
        <w:spacing w:after="0" w:line="263" w:lineRule="auto"/>
        <w:tabs>
          <w:tab w:leader="none" w:pos="1041"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occurrence of any of the following events affecting the Company, any of its Restricted Subsidiaries or any ERISA Affiliate (but in no event more than 10 days after such event) and deliver to the Agent and each Lender a copy of any notice with respect to such event that is filed with a Governmental Authority and any notice delivered by a Governmental Authority to the Company, any of its Restricted Subsidiaries or any ERISA Affiliate with respect to such event:</w:t>
      </w:r>
    </w:p>
    <w:p>
      <w:pPr>
        <w:spacing w:after="0" w:line="176" w:lineRule="exact"/>
        <w:rPr>
          <w:rFonts w:ascii="Times New Roman" w:cs="Times New Roman" w:eastAsia="Times New Roman" w:hAnsi="Times New Roman"/>
          <w:sz w:val="19"/>
          <w:szCs w:val="19"/>
          <w:color w:val="auto"/>
        </w:rPr>
      </w:pPr>
    </w:p>
    <w:p>
      <w:pPr>
        <w:ind w:left="1880" w:hanging="371"/>
        <w:spacing w:after="0"/>
        <w:tabs>
          <w:tab w:leader="none" w:pos="1880" w:val="left"/>
        </w:tabs>
        <w:numPr>
          <w:ilvl w:val="1"/>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ERISA Event; or</w:t>
      </w:r>
    </w:p>
    <w:p>
      <w:pPr>
        <w:spacing w:after="0" w:line="229" w:lineRule="exact"/>
        <w:rPr>
          <w:rFonts w:ascii="Times New Roman" w:cs="Times New Roman" w:eastAsia="Times New Roman" w:hAnsi="Times New Roman"/>
          <w:sz w:val="19"/>
          <w:szCs w:val="19"/>
          <w:color w:val="auto"/>
        </w:rPr>
      </w:pPr>
    </w:p>
    <w:p>
      <w:pPr>
        <w:ind w:left="620" w:right="240" w:firstLine="889"/>
        <w:spacing w:after="0" w:line="283" w:lineRule="auto"/>
        <w:tabs>
          <w:tab w:leader="none" w:pos="1935" w:val="left"/>
        </w:tabs>
        <w:numPr>
          <w:ilvl w:val="1"/>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adoption of or the commencement of contributions to any Plan subject to Title IV of ERISA or Section 412 of the Code by the Company, any of its Restricted Subsidiaries or any ERISA Affiliate; or</w:t>
      </w:r>
    </w:p>
    <w:p>
      <w:pPr>
        <w:spacing w:after="0" w:line="157" w:lineRule="exact"/>
        <w:rPr>
          <w:rFonts w:ascii="Times New Roman" w:cs="Times New Roman" w:eastAsia="Times New Roman" w:hAnsi="Times New Roman"/>
          <w:sz w:val="19"/>
          <w:szCs w:val="19"/>
          <w:color w:val="auto"/>
        </w:rPr>
      </w:pPr>
    </w:p>
    <w:p>
      <w:pPr>
        <w:ind w:left="620" w:right="120" w:firstLine="889"/>
        <w:spacing w:after="0" w:line="262" w:lineRule="auto"/>
        <w:tabs>
          <w:tab w:leader="none" w:pos="1989" w:val="left"/>
        </w:tabs>
        <w:numPr>
          <w:ilvl w:val="1"/>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adoption of any amendment to a Plan subject to Title IV of ERISA or Section 412 of the Code, if such amendment results in a material increase in contributions or Unfunded Pension Liability;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notice will be required under this </w:t>
      </w:r>
      <w:r>
        <w:rPr>
          <w:rFonts w:ascii="Times New Roman" w:cs="Times New Roman" w:eastAsia="Times New Roman" w:hAnsi="Times New Roman"/>
          <w:sz w:val="19"/>
          <w:szCs w:val="19"/>
          <w:u w:val="single" w:color="auto"/>
          <w:color w:val="auto"/>
        </w:rPr>
        <w:t>Section 6.03(c)</w:t>
      </w:r>
      <w:r>
        <w:rPr>
          <w:rFonts w:ascii="Times New Roman" w:cs="Times New Roman" w:eastAsia="Times New Roman" w:hAnsi="Times New Roman"/>
          <w:sz w:val="19"/>
          <w:szCs w:val="19"/>
          <w:color w:val="auto"/>
        </w:rPr>
        <w:t xml:space="preserve"> with respect to the occurrence of any such event if such occurrence does not result in, and is not reasonably expected to result in, any liability to the Company, any of its Restricted Subsidiaries or any ERISA Affiliate of more than $25,000,000 in the aggregate.</w:t>
      </w:r>
    </w:p>
    <w:p>
      <w:pPr>
        <w:spacing w:after="0" w:line="179" w:lineRule="exact"/>
        <w:rPr>
          <w:sz w:val="20"/>
          <w:szCs w:val="20"/>
          <w:color w:val="auto"/>
        </w:rPr>
      </w:pPr>
    </w:p>
    <w:p>
      <w:pPr>
        <w:ind w:right="780" w:firstLine="633"/>
        <w:spacing w:after="0" w:line="283" w:lineRule="auto"/>
        <w:rPr>
          <w:sz w:val="20"/>
          <w:szCs w:val="20"/>
          <w:color w:val="auto"/>
        </w:rPr>
      </w:pPr>
      <w:r>
        <w:rPr>
          <w:rFonts w:ascii="Times New Roman" w:cs="Times New Roman" w:eastAsia="Times New Roman" w:hAnsi="Times New Roman"/>
          <w:sz w:val="19"/>
          <w:szCs w:val="19"/>
          <w:color w:val="auto"/>
        </w:rPr>
        <w:t>Each notice under this Section shall be accompanied by a written statement by a Responsible Officer setting forth details of the occurrence referred to therein, and stating what action the Company 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79" w:right="339" w:bottom="1440" w:gutter="0" w:footer="0" w:header="0"/>
        </w:sectPr>
      </w:pPr>
    </w:p>
    <w:bookmarkStart w:id="143" w:name="page144"/>
    <w:bookmarkEnd w:id="143"/>
    <w:p>
      <w:pPr>
        <w:ind w:right="140"/>
        <w:spacing w:after="0" w:line="272" w:lineRule="auto"/>
        <w:rPr>
          <w:sz w:val="20"/>
          <w:szCs w:val="20"/>
          <w:color w:val="auto"/>
        </w:rPr>
      </w:pPr>
      <w:r>
        <w:rPr>
          <w:rFonts w:ascii="Times New Roman" w:cs="Times New Roman" w:eastAsia="Times New Roman" w:hAnsi="Times New Roman"/>
          <w:sz w:val="19"/>
          <w:szCs w:val="19"/>
          <w:color w:val="auto"/>
        </w:rPr>
        <w:t xml:space="preserve">any affected Restricted Subsidiary proposes to take with respect thereto and at what time. Each notice under </w:t>
      </w:r>
      <w:r>
        <w:rPr>
          <w:rFonts w:ascii="Times New Roman" w:cs="Times New Roman" w:eastAsia="Times New Roman" w:hAnsi="Times New Roman"/>
          <w:sz w:val="19"/>
          <w:szCs w:val="19"/>
          <w:u w:val="single" w:color="auto"/>
          <w:color w:val="auto"/>
        </w:rPr>
        <w:t>Section 6.03(a)</w:t>
      </w:r>
      <w:r>
        <w:rPr>
          <w:rFonts w:ascii="Times New Roman" w:cs="Times New Roman" w:eastAsia="Times New Roman" w:hAnsi="Times New Roman"/>
          <w:sz w:val="19"/>
          <w:szCs w:val="19"/>
          <w:color w:val="auto"/>
        </w:rPr>
        <w:t xml:space="preserve"> shall describe with particularity any and all clauses or provisions of this Agreement or other Loan Document that have been (or reasonably foreseeably will be) breached or violated.</w:t>
      </w:r>
    </w:p>
    <w:p>
      <w:pPr>
        <w:spacing w:after="0" w:line="16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6.04</w:t>
      </w:r>
      <w:r>
        <w:rPr>
          <w:sz w:val="20"/>
          <w:szCs w:val="20"/>
          <w:color w:val="auto"/>
        </w:rPr>
        <w:tab/>
      </w:r>
      <w:r>
        <w:rPr>
          <w:rFonts w:ascii="Times New Roman" w:cs="Times New Roman" w:eastAsia="Times New Roman" w:hAnsi="Times New Roman"/>
          <w:sz w:val="19"/>
          <w:szCs w:val="19"/>
          <w:u w:val="single" w:color="auto"/>
          <w:color w:val="auto"/>
        </w:rPr>
        <w:t>Preservation of Corporate Existence, Etc</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Company shall, and shall cause each Restricted Subsidiary (other than any Immaterial Subsidiary) to (except as permitted by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7.07</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right="80" w:firstLine="639"/>
        <w:spacing w:after="0" w:line="262" w:lineRule="auto"/>
        <w:tabs>
          <w:tab w:leader="none" w:pos="1041"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preserve and maintain in full force and effect its existence and good standing under the laws of its state or jurisdiction of incorporation or organization, as applicable, except, other than in the case of the existence of the Company, where the failure to do so would not reasonably be expected to have a Material Adverse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no Restricted Subsidiary (other than the Company) shall be required to preserve any such existence or good standing if such Person’s board of directors (or similar governing body) shall determine that the preservation thereof is no longer desirable in the conduct of the business of such Person, and that the loss thereof is not disadvantageous in any material respect to such Person or to the Lenders; and</w:t>
      </w:r>
    </w:p>
    <w:p>
      <w:pPr>
        <w:spacing w:after="0" w:line="164" w:lineRule="exact"/>
        <w:rPr>
          <w:rFonts w:ascii="Times New Roman" w:cs="Times New Roman" w:eastAsia="Times New Roman" w:hAnsi="Times New Roman"/>
          <w:sz w:val="19"/>
          <w:szCs w:val="19"/>
          <w:color w:val="auto"/>
        </w:rPr>
      </w:pPr>
    </w:p>
    <w:p>
      <w:pPr>
        <w:ind w:right="280" w:firstLine="639"/>
        <w:spacing w:after="0" w:line="272" w:lineRule="auto"/>
        <w:tabs>
          <w:tab w:leader="none" w:pos="1052"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preserve and maintain in full force and effect all governmental rights, privileges, qualifications, permits, licenses and franchises necessary in the normal conduct of its business, except, in the case of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where such failure to preserve and maintain would not, individually or in the aggregate, reasonably be expected to have a Material Adverse Effect.</w:t>
      </w:r>
    </w:p>
    <w:p>
      <w:pPr>
        <w:spacing w:after="0" w:line="16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6.05</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6.06</w:t>
      </w:r>
      <w:r>
        <w:rPr>
          <w:sz w:val="20"/>
          <w:szCs w:val="20"/>
          <w:color w:val="auto"/>
        </w:rPr>
        <w:tab/>
      </w:r>
      <w:r>
        <w:rPr>
          <w:rFonts w:ascii="Times New Roman" w:cs="Times New Roman" w:eastAsia="Times New Roman" w:hAnsi="Times New Roman"/>
          <w:sz w:val="19"/>
          <w:szCs w:val="19"/>
          <w:u w:val="single" w:color="auto"/>
          <w:color w:val="auto"/>
        </w:rPr>
        <w:t>Payment of Tax Obligations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220" w:firstLine="633"/>
        <w:spacing w:after="0" w:line="268" w:lineRule="auto"/>
        <w:rPr>
          <w:sz w:val="20"/>
          <w:szCs w:val="20"/>
          <w:color w:val="auto"/>
        </w:rPr>
      </w:pPr>
      <w:r>
        <w:rPr>
          <w:rFonts w:ascii="Times New Roman" w:cs="Times New Roman" w:eastAsia="Times New Roman" w:hAnsi="Times New Roman"/>
          <w:sz w:val="19"/>
          <w:szCs w:val="19"/>
          <w:color w:val="auto"/>
        </w:rPr>
        <w:t>The Company shall, and shall cause each Restricted Subsidiary to, pay and discharge as the same shall become due and payable, all material Tax liabilities imposed upon it or its material properties or assets, unless the same are being contested in good faith by appropriate proceedings and adequate reserves in accordance with SAP or GAAP (as applicable) are being maintained by the Company or such Restricted Subsidiary.</w:t>
      </w:r>
    </w:p>
    <w:p>
      <w:pPr>
        <w:spacing w:after="0" w:line="15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6.07</w:t>
      </w:r>
      <w:r>
        <w:rPr>
          <w:sz w:val="20"/>
          <w:szCs w:val="20"/>
          <w:color w:val="auto"/>
        </w:rPr>
        <w:tab/>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firstLine="633"/>
        <w:spacing w:after="0" w:line="262" w:lineRule="auto"/>
        <w:rPr>
          <w:sz w:val="20"/>
          <w:szCs w:val="20"/>
          <w:color w:val="auto"/>
        </w:rPr>
      </w:pPr>
      <w:r>
        <w:rPr>
          <w:rFonts w:ascii="Times New Roman" w:cs="Times New Roman" w:eastAsia="Times New Roman" w:hAnsi="Times New Roman"/>
          <w:sz w:val="19"/>
          <w:szCs w:val="19"/>
          <w:color w:val="auto"/>
        </w:rPr>
        <w:t>The Company shall, and shall cause each Restricted Subsidiary to, comply with all Requirements of Law of any Governmental Authority having jurisdiction over it or its business (including the Federal Fair Labor Standards Act, the Patriot Act and all applicable Environmental Laws), except (i) for such noncompliance that would not, individually or in the aggregate, reasonably be expected to have a Material Adverse Effect or (ii) as may be contested in good faith and by appropriate proceedings and with respect to which adequate reserves are being maintained in accordance with SAP or GAAP (as applicable).</w:t>
      </w:r>
    </w:p>
    <w:p>
      <w:pPr>
        <w:spacing w:after="0" w:line="17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6.08</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6.09</w:t>
      </w:r>
      <w:r>
        <w:rPr>
          <w:sz w:val="20"/>
          <w:szCs w:val="20"/>
          <w:color w:val="auto"/>
        </w:rPr>
        <w:tab/>
      </w:r>
      <w:r>
        <w:rPr>
          <w:rFonts w:ascii="Times New Roman" w:cs="Times New Roman" w:eastAsia="Times New Roman" w:hAnsi="Times New Roman"/>
          <w:sz w:val="19"/>
          <w:szCs w:val="19"/>
          <w:u w:val="single" w:color="auto"/>
          <w:color w:val="auto"/>
        </w:rPr>
        <w:t>Inspection of Property and Books and Records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120" w:firstLine="633"/>
        <w:spacing w:after="0" w:line="272" w:lineRule="auto"/>
        <w:rPr>
          <w:sz w:val="20"/>
          <w:szCs w:val="20"/>
          <w:color w:val="auto"/>
        </w:rPr>
      </w:pPr>
      <w:r>
        <w:rPr>
          <w:rFonts w:ascii="Times New Roman" w:cs="Times New Roman" w:eastAsia="Times New Roman" w:hAnsi="Times New Roman"/>
          <w:sz w:val="19"/>
          <w:szCs w:val="19"/>
          <w:color w:val="auto"/>
        </w:rPr>
        <w:t>The Company shall, and shall cause each Restricted Subsidiary to, maintain proper books of record and account, in which full, true and correct entries in all material respects in conformity with GAAP or SAP, as applicable, consistently applied (except as stated therein) shall be made of all financial transactions and matters involving the assets and business of the Company and such Restricted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-68-</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44" w:name="page145"/>
    <w:bookmarkEnd w:id="144"/>
    <w:p>
      <w:pPr>
        <w:spacing w:after="0" w:line="259" w:lineRule="auto"/>
        <w:rPr>
          <w:sz w:val="20"/>
          <w:szCs w:val="20"/>
          <w:color w:val="auto"/>
        </w:rPr>
      </w:pPr>
      <w:r>
        <w:rPr>
          <w:rFonts w:ascii="Times New Roman" w:cs="Times New Roman" w:eastAsia="Times New Roman" w:hAnsi="Times New Roman"/>
          <w:sz w:val="19"/>
          <w:szCs w:val="19"/>
          <w:color w:val="auto"/>
        </w:rPr>
        <w:t xml:space="preserve">Subsidiary. The Company shall permit, and shall cause each Restricted Subsidiary to permit, representatives and independent contractors of the Agent or its designees, at the Company’s expense, to visit and inspect any of their respective properties, to examine their respective corporate, financial and operating records, and make copies thereof or abstracts therefrom, and to discuss their respective affairs, finances and accounts with their respective directors, officers, and independent public accountants, all at such reasonable times during normal business hours, upon reasonable advance notice to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members of senior management will be notified and permitted to be present during any such meetings; (y) unless an Event of Default has occurred and is continuing, not more than one such visit per Fiscal Year shall be permitted; and (z) when an Event of Default exists the Agent or any Lender (through coordination with the Agent) may do any of the foregoing at any time during normal business hours and without advance notice.</w:t>
      </w:r>
    </w:p>
    <w:p>
      <w:pPr>
        <w:spacing w:after="0" w:line="184"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6.10</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6.11</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720" w:firstLine="639"/>
        <w:spacing w:after="0" w:line="297" w:lineRule="auto"/>
        <w:tabs>
          <w:tab w:leader="none" w:pos="1037"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proceeds of the Loans may be used to consummate the Closing Date Refinancing, to pay the fees and expenses of the Company in connection with the Facilities and for general corporate purposes of the Company and its Subsidiaries.</w:t>
      </w:r>
    </w:p>
    <w:p>
      <w:pPr>
        <w:spacing w:after="0" w:line="131" w:lineRule="exact"/>
        <w:rPr>
          <w:rFonts w:ascii="Times New Roman" w:cs="Times New Roman" w:eastAsia="Times New Roman" w:hAnsi="Times New Roman"/>
          <w:sz w:val="19"/>
          <w:szCs w:val="19"/>
          <w:color w:val="auto"/>
        </w:rPr>
      </w:pPr>
    </w:p>
    <w:p>
      <w:pPr>
        <w:ind w:right="120" w:firstLine="639"/>
        <w:spacing w:after="0" w:line="262" w:lineRule="auto"/>
        <w:tabs>
          <w:tab w:leader="none" w:pos="1048"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 use, and shall not permit any of its Subsidiaries to use, the proceeds of any Loan (A) in furtherance of an offer, payment, promise to pay, or authorization of the payment or giving of money, or anything else of value, to any Person in violation of any Anti-Corruption Laws, (B) for the purpose of funding any activities, business or transaction of or with any Sanctioned Person, or in any Sanctioned Country, to the extent such activities, businesses or transaction would be prohibited by Sanctions if conducted by a corporation incorporated in the United States or in a European Union member state or (C) in any manner that would result in the violation of any Sanctions applicable to any party hereto.</w:t>
      </w:r>
    </w:p>
    <w:p>
      <w:pPr>
        <w:spacing w:after="0" w:line="17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6.12</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6.13</w:t>
      </w:r>
      <w:r>
        <w:rPr>
          <w:sz w:val="20"/>
          <w:szCs w:val="20"/>
          <w:color w:val="auto"/>
        </w:rPr>
        <w:tab/>
      </w:r>
      <w:r>
        <w:rPr>
          <w:rFonts w:ascii="Times New Roman" w:cs="Times New Roman" w:eastAsia="Times New Roman" w:hAnsi="Times New Roman"/>
          <w:sz w:val="19"/>
          <w:szCs w:val="19"/>
          <w:u w:val="single" w:color="auto"/>
          <w:color w:val="auto"/>
        </w:rPr>
        <w:t>[Reserved].</w:t>
      </w:r>
    </w:p>
    <w:p>
      <w:pPr>
        <w:spacing w:after="0" w:line="23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6.14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6.15</w:t>
      </w:r>
      <w:r>
        <w:rPr>
          <w:sz w:val="20"/>
          <w:szCs w:val="20"/>
          <w:color w:val="auto"/>
        </w:rPr>
        <w:tab/>
      </w:r>
      <w:r>
        <w:rPr>
          <w:rFonts w:ascii="Times New Roman" w:cs="Times New Roman" w:eastAsia="Times New Roman" w:hAnsi="Times New Roman"/>
          <w:sz w:val="19"/>
          <w:szCs w:val="19"/>
          <w:u w:val="single" w:color="auto"/>
          <w:color w:val="auto"/>
        </w:rPr>
        <w:t>Designation of Subsidiaries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100" w:firstLine="633"/>
        <w:spacing w:after="0" w:line="258" w:lineRule="auto"/>
        <w:rPr>
          <w:sz w:val="20"/>
          <w:szCs w:val="20"/>
          <w:color w:val="auto"/>
        </w:rPr>
      </w:pPr>
      <w:r>
        <w:rPr>
          <w:rFonts w:ascii="Times New Roman" w:cs="Times New Roman" w:eastAsia="Times New Roman" w:hAnsi="Times New Roman"/>
          <w:sz w:val="19"/>
          <w:szCs w:val="19"/>
          <w:color w:val="auto"/>
        </w:rPr>
        <w:t xml:space="preserve">The board of directors (or similar governing body) of the Company may at any time designate any Restricted Subsidiary as an Unrestricted Subsidiary or any Unrestricted Subsidiary as a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immediately before and after such designation, no Default or Event of Default shall have occurred and be continuing, (ii) immediately before and after giving effect to such designation, the Company and its Subsidiaries shall be in compliance on a Pro Forma Basis with the Financial Covenants, (iii) no Restricted Subsidiary may be designated as an Unrestricted Subsidiary if it is a restricted subsidiary under the terms of any other Indebtedness of the Company or its Restricted Subsidiaries, (iv) each Subsidiary to be designated as “Unrestricted” and its subsidiaries has not at the time of designation, and does not thereafter, create, incur, issue, assume, guarantee or otherwise become directly or indirectly liable with respect to any Indebtedness pursuant to which the lender thereof has recourse to any of the assets of the Company or any Restricted Subsidiary (other than pursuant to guarantees otherwise permitted under the Loan Documents), and (v) the Company shall deliver to the Agent a certificate of a Responsible Officer of the Company, together with all relevant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-69-</w:t>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180"/>
          </w:cols>
          <w:pgMar w:left="320" w:top="1383" w:right="399" w:bottom="1440" w:gutter="0" w:footer="0" w:header="0"/>
        </w:sectPr>
      </w:pPr>
    </w:p>
    <w:bookmarkStart w:id="145" w:name="page146"/>
    <w:bookmarkEnd w:id="145"/>
    <w:p>
      <w:pPr>
        <w:ind w:right="40"/>
        <w:spacing w:after="0" w:line="259" w:lineRule="auto"/>
        <w:rPr>
          <w:sz w:val="20"/>
          <w:szCs w:val="20"/>
          <w:color w:val="auto"/>
        </w:rPr>
      </w:pPr>
      <w:r>
        <w:rPr>
          <w:rFonts w:ascii="Times New Roman" w:cs="Times New Roman" w:eastAsia="Times New Roman" w:hAnsi="Times New Roman"/>
          <w:sz w:val="19"/>
          <w:szCs w:val="19"/>
          <w:color w:val="auto"/>
        </w:rPr>
        <w:t xml:space="preserve">information reasonably requested by the Agent, demonstrating compliance with the foregoing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(vi)</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6.15</w:t>
      </w:r>
      <w:r>
        <w:rPr>
          <w:rFonts w:ascii="Times New Roman" w:cs="Times New Roman" w:eastAsia="Times New Roman" w:hAnsi="Times New Roman"/>
          <w:sz w:val="19"/>
          <w:szCs w:val="19"/>
          <w:color w:val="auto"/>
        </w:rPr>
        <w:t xml:space="preserve"> and, if applicable, certifying that such subsidiary meets the requirements of an “Unrestricted Subsidiary.” The designation of any subsidiary as an Unrestricted Subsidiary shall constitute an Investment by the Company therein at the date of designation in an amount equal to the fair market value of the Company’s Investment therein as of the date of such designation. No Restricted Subsidiary shall be designated as an Unrestricted Subsidiary at any time that the limitations on Investments set forth in </w:t>
      </w:r>
      <w:r>
        <w:rPr>
          <w:rFonts w:ascii="Times New Roman" w:cs="Times New Roman" w:eastAsia="Times New Roman" w:hAnsi="Times New Roman"/>
          <w:sz w:val="19"/>
          <w:szCs w:val="19"/>
          <w:u w:val="single" w:color="auto"/>
          <w:color w:val="auto"/>
        </w:rPr>
        <w:t>Section 7.08</w:t>
      </w:r>
      <w:r>
        <w:rPr>
          <w:rFonts w:ascii="Times New Roman" w:cs="Times New Roman" w:eastAsia="Times New Roman" w:hAnsi="Times New Roman"/>
          <w:sz w:val="19"/>
          <w:szCs w:val="19"/>
          <w:color w:val="auto"/>
        </w:rPr>
        <w:t xml:space="preserve"> are not in effect. The designation of any Unrestricted Subsidiary as a Restricted Subsidiary shall constitute the incurrence at the time of designation of any Indebtedness or Liens of such Subsidiary existing at such time. Amounts attributable to Unrestricted Subsidiaries shall be excluded for purposes of all financial calculations under the Loan Documents.</w:t>
      </w:r>
    </w:p>
    <w:p>
      <w:pPr>
        <w:spacing w:after="0" w:line="184"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6.16</w:t>
      </w:r>
      <w:r>
        <w:rPr>
          <w:sz w:val="20"/>
          <w:szCs w:val="20"/>
          <w:color w:val="auto"/>
        </w:rPr>
        <w:tab/>
      </w:r>
      <w:r>
        <w:rPr>
          <w:rFonts w:ascii="Times New Roman" w:cs="Times New Roman" w:eastAsia="Times New Roman" w:hAnsi="Times New Roman"/>
          <w:sz w:val="19"/>
          <w:szCs w:val="19"/>
          <w:u w:val="single" w:color="auto"/>
          <w:color w:val="auto"/>
        </w:rPr>
        <w:t>Maintenance of Properties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160" w:firstLine="633"/>
        <w:spacing w:after="0" w:line="266" w:lineRule="auto"/>
        <w:rPr>
          <w:sz w:val="20"/>
          <w:szCs w:val="20"/>
          <w:color w:val="auto"/>
        </w:rPr>
      </w:pPr>
      <w:r>
        <w:rPr>
          <w:rFonts w:ascii="Times New Roman" w:cs="Times New Roman" w:eastAsia="Times New Roman" w:hAnsi="Times New Roman"/>
          <w:sz w:val="19"/>
          <w:szCs w:val="19"/>
          <w:color w:val="auto"/>
        </w:rPr>
        <w:t>The Company will, and will cause each of its Restricted Subsidiaries to, maintain or cause to be maintained in good repair, working order and condition, ordinary wear and tear excepted, all material properties necessary in the business of the Company and its Restricted Subsidiaries (other than residential real estate properties acquired by any Insurance Subsidiary in the ordinary course of business in connection with the enforcement of remedies under any mortgage) and from time to time will make or cause to be made all appropriate repairs, renewals and replacements thereof except where the failure to do so would not reasonably be expected to have a Material Adverse Effect.</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ARTICLE 7</w:t>
      </w:r>
    </w:p>
    <w:p>
      <w:pPr>
        <w:spacing w:after="0" w:line="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NEGATIVE COVENANTS</w:t>
      </w:r>
    </w:p>
    <w:p>
      <w:pPr>
        <w:spacing w:after="0" w:line="215" w:lineRule="exact"/>
        <w:rPr>
          <w:sz w:val="20"/>
          <w:szCs w:val="20"/>
          <w:color w:val="auto"/>
        </w:rPr>
      </w:pPr>
    </w:p>
    <w:p>
      <w:pPr>
        <w:ind w:firstLine="633"/>
        <w:spacing w:after="0" w:line="272" w:lineRule="auto"/>
        <w:rPr>
          <w:sz w:val="20"/>
          <w:szCs w:val="20"/>
          <w:color w:val="auto"/>
        </w:rPr>
      </w:pPr>
      <w:r>
        <w:rPr>
          <w:rFonts w:ascii="Times New Roman" w:cs="Times New Roman" w:eastAsia="Times New Roman" w:hAnsi="Times New Roman"/>
          <w:sz w:val="19"/>
          <w:szCs w:val="19"/>
          <w:color w:val="auto"/>
        </w:rPr>
        <w:t>Until all principal of and interest on each Loan and all fees and other amounts payable hereunder have been paid in full (other than unmatured contingent indemnification obligations not yet due and payable) and all Commitments have been terminated, the Company covenants and agrees with the Lenders that on and after the Closing Date:</w:t>
      </w:r>
    </w:p>
    <w:p>
      <w:pPr>
        <w:spacing w:after="0" w:line="154"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7.01</w:t>
      </w:r>
      <w:r>
        <w:rPr>
          <w:sz w:val="20"/>
          <w:szCs w:val="20"/>
          <w:color w:val="auto"/>
        </w:rPr>
        <w:tab/>
      </w:r>
      <w:r>
        <w:rPr>
          <w:rFonts w:ascii="Times New Roman" w:cs="Times New Roman" w:eastAsia="Times New Roman" w:hAnsi="Times New Roman"/>
          <w:sz w:val="19"/>
          <w:szCs w:val="19"/>
          <w:u w:val="single" w:color="auto"/>
          <w:color w:val="auto"/>
        </w:rPr>
        <w:t>Limitation on Indebtedness; Certain Capital Stock</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tabs>
          <w:tab w:leader="none" w:pos="1020" w:val="left"/>
        </w:tabs>
        <w:rPr>
          <w:sz w:val="20"/>
          <w:szCs w:val="20"/>
          <w:color w:val="auto"/>
        </w:rPr>
      </w:pPr>
      <w:r>
        <w:rPr>
          <w:rFonts w:ascii="Times New Roman" w:cs="Times New Roman" w:eastAsia="Times New Roman" w:hAnsi="Times New Roman"/>
          <w:sz w:val="19"/>
          <w:szCs w:val="19"/>
          <w:color w:val="auto"/>
        </w:rPr>
        <w:t>(a)</w:t>
        <w:tab/>
        <w:t>The Company shall not permit any of its Restricted Subsidiaries to incur or at any time be liable with respect to any Indebtedness,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except:</w:t>
      </w:r>
    </w:p>
    <w:p>
      <w:pPr>
        <w:spacing w:after="0" w:line="208" w:lineRule="exact"/>
        <w:rPr>
          <w:sz w:val="20"/>
          <w:szCs w:val="20"/>
          <w:color w:val="auto"/>
        </w:rPr>
      </w:pPr>
    </w:p>
    <w:p>
      <w:pPr>
        <w:ind w:left="1880" w:hanging="371"/>
        <w:spacing w:after="0"/>
        <w:tabs>
          <w:tab w:leader="none" w:pos="188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29" w:lineRule="exact"/>
        <w:rPr>
          <w:rFonts w:ascii="Times New Roman" w:cs="Times New Roman" w:eastAsia="Times New Roman" w:hAnsi="Times New Roman"/>
          <w:sz w:val="19"/>
          <w:szCs w:val="19"/>
          <w:color w:val="auto"/>
        </w:rPr>
      </w:pPr>
    </w:p>
    <w:p>
      <w:pPr>
        <w:ind w:left="620" w:right="700" w:firstLine="889"/>
        <w:spacing w:after="0" w:line="283" w:lineRule="auto"/>
        <w:tabs>
          <w:tab w:leader="none" w:pos="1935"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Surplus Debentures issued by any Insurance Subsidiary or Subsidiary thereof to the Company or any of its Restricted Subsidiaries;</w:t>
      </w:r>
    </w:p>
    <w:p>
      <w:pPr>
        <w:spacing w:after="0" w:line="157" w:lineRule="exact"/>
        <w:rPr>
          <w:rFonts w:ascii="Times New Roman" w:cs="Times New Roman" w:eastAsia="Times New Roman" w:hAnsi="Times New Roman"/>
          <w:sz w:val="19"/>
          <w:szCs w:val="19"/>
          <w:color w:val="auto"/>
        </w:rPr>
      </w:pPr>
    </w:p>
    <w:p>
      <w:pPr>
        <w:ind w:left="620" w:right="120" w:firstLine="889"/>
        <w:spacing w:after="0" w:line="283" w:lineRule="auto"/>
        <w:tabs>
          <w:tab w:leader="none" w:pos="1989"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Capitalized Lease Liabilities in an aggregate principal amount not to exceed at any time outstanding the greater of (x) $85,000,000 and (y) 4.0% of Consolidated Net Worth of the Company;</w:t>
      </w:r>
    </w:p>
    <w:p>
      <w:pPr>
        <w:spacing w:after="0" w:line="157" w:lineRule="exact"/>
        <w:rPr>
          <w:rFonts w:ascii="Times New Roman" w:cs="Times New Roman" w:eastAsia="Times New Roman" w:hAnsi="Times New Roman"/>
          <w:sz w:val="19"/>
          <w:szCs w:val="19"/>
          <w:color w:val="auto"/>
        </w:rPr>
      </w:pPr>
    </w:p>
    <w:p>
      <w:pPr>
        <w:ind w:left="1980" w:hanging="471"/>
        <w:spacing w:after="0"/>
        <w:tabs>
          <w:tab w:leader="none" w:pos="198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Swap Obligations;</w:t>
      </w:r>
    </w:p>
    <w:p>
      <w:pPr>
        <w:spacing w:after="0" w:line="229" w:lineRule="exact"/>
        <w:rPr>
          <w:rFonts w:ascii="Times New Roman" w:cs="Times New Roman" w:eastAsia="Times New Roman" w:hAnsi="Times New Roman"/>
          <w:sz w:val="19"/>
          <w:szCs w:val="19"/>
          <w:color w:val="auto"/>
        </w:rPr>
      </w:pPr>
    </w:p>
    <w:p>
      <w:pPr>
        <w:ind w:left="1920" w:hanging="411"/>
        <w:spacing w:after="0"/>
        <w:tabs>
          <w:tab w:leader="none" w:pos="192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existing on the date hereof and listed in Schedule 7.01 and Refinancing Indebtedness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-70-</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20" w:top="1383" w:right="379" w:bottom="1440" w:gutter="0" w:footer="0" w:header="0"/>
        </w:sectPr>
      </w:pPr>
    </w:p>
    <w:bookmarkStart w:id="146" w:name="page147"/>
    <w:bookmarkEnd w:id="146"/>
    <w:p>
      <w:pPr>
        <w:ind w:right="220" w:firstLine="889"/>
        <w:spacing w:after="0" w:line="297" w:lineRule="auto"/>
        <w:tabs>
          <w:tab w:leader="none" w:pos="1358"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owed by any Insurance Subsidiary or a Subsidiary of an Insurance Subsidiary in an aggregate principal amount not to exceed the greater of $55,000,000 and 2.5% of Consolidated Net Worth of the Company at any time outstanding;</w:t>
      </w:r>
    </w:p>
    <w:p>
      <w:pPr>
        <w:spacing w:after="0" w:line="131" w:lineRule="exact"/>
        <w:rPr>
          <w:rFonts w:ascii="Times New Roman" w:cs="Times New Roman" w:eastAsia="Times New Roman" w:hAnsi="Times New Roman"/>
          <w:sz w:val="19"/>
          <w:szCs w:val="19"/>
          <w:color w:val="auto"/>
        </w:rPr>
      </w:pPr>
    </w:p>
    <w:p>
      <w:pPr>
        <w:ind w:firstLine="889"/>
        <w:spacing w:after="0" w:line="272" w:lineRule="auto"/>
        <w:tabs>
          <w:tab w:leader="none" w:pos="1412"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assumed in connection with a Permitted Acquisition or similar Investment;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(x) such Indebtedness is not incurred in contemplation of such Permitted Acquisition or similar Investment and (y) the Company is in compliance with the Financial Covenants on a Pro Forma Basis;</w:t>
      </w:r>
    </w:p>
    <w:p>
      <w:pPr>
        <w:spacing w:after="0" w:line="167" w:lineRule="exact"/>
        <w:rPr>
          <w:rFonts w:ascii="Times New Roman" w:cs="Times New Roman" w:eastAsia="Times New Roman" w:hAnsi="Times New Roman"/>
          <w:sz w:val="19"/>
          <w:szCs w:val="19"/>
          <w:color w:val="auto"/>
        </w:rPr>
      </w:pPr>
    </w:p>
    <w:p>
      <w:pPr>
        <w:ind w:left="1460" w:hanging="571"/>
        <w:spacing w:after="0"/>
        <w:tabs>
          <w:tab w:leader="none" w:pos="1460"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(including Surplus Debentures) owed by any Restricted Subsidiary to the Company or any Restricted</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Subsidiary;</w:t>
      </w:r>
    </w:p>
    <w:p>
      <w:pPr>
        <w:spacing w:after="0" w:line="201" w:lineRule="exact"/>
        <w:rPr>
          <w:rFonts w:ascii="Times New Roman" w:cs="Times New Roman" w:eastAsia="Times New Roman" w:hAnsi="Times New Roman"/>
          <w:sz w:val="19"/>
          <w:szCs w:val="19"/>
          <w:color w:val="auto"/>
        </w:rPr>
      </w:pPr>
    </w:p>
    <w:p>
      <w:pPr>
        <w:ind w:left="1360" w:hanging="471"/>
        <w:spacing w:after="0"/>
        <w:tabs>
          <w:tab w:leader="none" w:pos="1360"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29" w:lineRule="exact"/>
        <w:rPr>
          <w:rFonts w:ascii="Times New Roman" w:cs="Times New Roman" w:eastAsia="Times New Roman" w:hAnsi="Times New Roman"/>
          <w:sz w:val="19"/>
          <w:szCs w:val="19"/>
          <w:color w:val="auto"/>
        </w:rPr>
      </w:pPr>
    </w:p>
    <w:p>
      <w:pPr>
        <w:ind w:right="380" w:firstLine="889"/>
        <w:spacing w:after="0" w:line="283" w:lineRule="auto"/>
        <w:tabs>
          <w:tab w:leader="none" w:pos="1305"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 respect of letters of credit issued and guarantees made for the account of the Company or any of its Restricted Subsidiaries in the ordinary course of business;</w:t>
      </w:r>
    </w:p>
    <w:p>
      <w:pPr>
        <w:spacing w:after="0" w:line="157" w:lineRule="exact"/>
        <w:rPr>
          <w:rFonts w:ascii="Times New Roman" w:cs="Times New Roman" w:eastAsia="Times New Roman" w:hAnsi="Times New Roman"/>
          <w:sz w:val="19"/>
          <w:szCs w:val="19"/>
          <w:color w:val="auto"/>
        </w:rPr>
      </w:pPr>
    </w:p>
    <w:p>
      <w:pPr>
        <w:ind w:right="60" w:firstLine="889"/>
        <w:spacing w:after="0" w:line="297" w:lineRule="auto"/>
        <w:tabs>
          <w:tab w:leader="none" w:pos="1358"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 respect of surety and other similar bonds made for the account of the Company or any of its Restricted Subsidiaries in the ordinary course of business;</w:t>
      </w:r>
    </w:p>
    <w:p>
      <w:pPr>
        <w:spacing w:after="0" w:line="131" w:lineRule="exact"/>
        <w:rPr>
          <w:rFonts w:ascii="Times New Roman" w:cs="Times New Roman" w:eastAsia="Times New Roman" w:hAnsi="Times New Roman"/>
          <w:sz w:val="19"/>
          <w:szCs w:val="19"/>
          <w:color w:val="auto"/>
        </w:rPr>
      </w:pPr>
    </w:p>
    <w:p>
      <w:pPr>
        <w:ind w:right="20" w:firstLine="889"/>
        <w:spacing w:after="0" w:line="272" w:lineRule="auto"/>
        <w:tabs>
          <w:tab w:leader="none" w:pos="1412"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Indebtedness owed by any Restricted Subsidiary (other than an Insurance Subsidiary or a Subsidiary of an Insurance Subsidiary) in an aggregate principal amount not to exceed the greater of $65,000,000 and 3.0% of Consolidated Net Worth of the Company at any time outstanding;</w:t>
      </w:r>
    </w:p>
    <w:p>
      <w:pPr>
        <w:spacing w:after="0" w:line="167" w:lineRule="exact"/>
        <w:rPr>
          <w:rFonts w:ascii="Times New Roman" w:cs="Times New Roman" w:eastAsia="Times New Roman" w:hAnsi="Times New Roman"/>
          <w:sz w:val="19"/>
          <w:szCs w:val="19"/>
          <w:color w:val="auto"/>
        </w:rPr>
      </w:pPr>
    </w:p>
    <w:p>
      <w:pPr>
        <w:ind w:left="1460" w:hanging="571"/>
        <w:spacing w:after="0"/>
        <w:tabs>
          <w:tab w:leader="none" w:pos="1460"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Refinancing Indebtedness of any Indebtedness of any Restricted Subsidiary that was permitted hereunder when</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incurred;</w:t>
      </w:r>
    </w:p>
    <w:p>
      <w:pPr>
        <w:spacing w:after="0" w:line="201" w:lineRule="exact"/>
        <w:rPr>
          <w:rFonts w:ascii="Times New Roman" w:cs="Times New Roman" w:eastAsia="Times New Roman" w:hAnsi="Times New Roman"/>
          <w:sz w:val="19"/>
          <w:szCs w:val="19"/>
          <w:color w:val="auto"/>
        </w:rPr>
      </w:pPr>
    </w:p>
    <w:p>
      <w:pPr>
        <w:ind w:right="540" w:firstLine="889"/>
        <w:spacing w:after="0" w:line="297" w:lineRule="auto"/>
        <w:tabs>
          <w:tab w:leader="none" w:pos="1455"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Contingent Obligations of any Person in respect of Indebtedness (x) otherwise permitted to be incurred by such Person under this </w:t>
      </w:r>
      <w:r>
        <w:rPr>
          <w:rFonts w:ascii="Times New Roman" w:cs="Times New Roman" w:eastAsia="Times New Roman" w:hAnsi="Times New Roman"/>
          <w:sz w:val="19"/>
          <w:szCs w:val="19"/>
          <w:u w:val="single" w:color="auto"/>
          <w:color w:val="auto"/>
        </w:rPr>
        <w:t>Section 7.01(a) or (y) of the Borrower</w:t>
      </w:r>
      <w:r>
        <w:rPr>
          <w:rFonts w:ascii="Times New Roman" w:cs="Times New Roman" w:eastAsia="Times New Roman" w:hAnsi="Times New Roman"/>
          <w:sz w:val="19"/>
          <w:szCs w:val="19"/>
          <w:color w:val="auto"/>
        </w:rPr>
        <w:t>;</w:t>
      </w:r>
    </w:p>
    <w:p>
      <w:pPr>
        <w:spacing w:after="0" w:line="131" w:lineRule="exact"/>
        <w:rPr>
          <w:rFonts w:ascii="Times New Roman" w:cs="Times New Roman" w:eastAsia="Times New Roman" w:hAnsi="Times New Roman"/>
          <w:sz w:val="19"/>
          <w:szCs w:val="19"/>
          <w:color w:val="auto"/>
        </w:rPr>
      </w:pPr>
    </w:p>
    <w:p>
      <w:pPr>
        <w:ind w:right="20" w:firstLine="889"/>
        <w:spacing w:after="0" w:line="272" w:lineRule="auto"/>
        <w:tabs>
          <w:tab w:leader="none" w:pos="1401"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consisting of the deferred purchase price of equity interests (or option or warrants or similar instruments) of departing officers, directors and employees of the Company or any Restricted Subsidiary issued (whether in the form of notes or otherwise) for the purchase or redemption thereof pursuant to the terms of an existing compensation plan or employment contract;</w:t>
      </w:r>
    </w:p>
    <w:p>
      <w:pPr>
        <w:spacing w:after="0" w:line="167" w:lineRule="exact"/>
        <w:rPr>
          <w:rFonts w:ascii="Times New Roman" w:cs="Times New Roman" w:eastAsia="Times New Roman" w:hAnsi="Times New Roman"/>
          <w:sz w:val="19"/>
          <w:szCs w:val="19"/>
          <w:color w:val="auto"/>
        </w:rPr>
      </w:pPr>
    </w:p>
    <w:p>
      <w:pPr>
        <w:ind w:left="1460" w:hanging="571"/>
        <w:spacing w:after="0"/>
        <w:tabs>
          <w:tab w:leader="none" w:pos="1460"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Management Obligations incurred in the ordinary course of business;</w:t>
      </w:r>
    </w:p>
    <w:p>
      <w:pPr>
        <w:spacing w:after="0" w:line="229" w:lineRule="exact"/>
        <w:rPr>
          <w:rFonts w:ascii="Times New Roman" w:cs="Times New Roman" w:eastAsia="Times New Roman" w:hAnsi="Times New Roman"/>
          <w:sz w:val="19"/>
          <w:szCs w:val="19"/>
          <w:color w:val="auto"/>
        </w:rPr>
      </w:pPr>
    </w:p>
    <w:p>
      <w:pPr>
        <w:ind w:left="1520" w:hanging="631"/>
        <w:spacing w:after="0"/>
        <w:tabs>
          <w:tab w:leader="none" w:pos="1520" w:val="left"/>
        </w:tabs>
        <w:numPr>
          <w:ilvl w:val="0"/>
          <w:numId w:val="160"/>
        </w:numPr>
        <w:rPr>
          <w:rFonts w:ascii="Times New Roman" w:cs="Times New Roman" w:eastAsia="Times New Roman" w:hAnsi="Times New Roman"/>
          <w:sz w:val="19"/>
          <w:szCs w:val="19"/>
          <w:color w:val="010101"/>
        </w:rPr>
      </w:pPr>
      <w:r>
        <w:rPr>
          <w:rFonts w:ascii="Times New Roman" w:cs="Times New Roman" w:eastAsia="Times New Roman" w:hAnsi="Times New Roman"/>
          <w:sz w:val="19"/>
          <w:szCs w:val="19"/>
          <w:color w:val="010101"/>
        </w:rPr>
        <w:t>Indebtedness to any Federal Home Loan Bank incurred in the ordinary course of business;</w:t>
      </w:r>
    </w:p>
    <w:p>
      <w:pPr>
        <w:spacing w:after="0" w:line="216" w:lineRule="exact"/>
        <w:rPr>
          <w:rFonts w:ascii="Times New Roman" w:cs="Times New Roman" w:eastAsia="Times New Roman" w:hAnsi="Times New Roman"/>
          <w:sz w:val="19"/>
          <w:szCs w:val="19"/>
          <w:color w:val="010101"/>
        </w:rPr>
      </w:pPr>
    </w:p>
    <w:p>
      <w:pPr>
        <w:ind w:right="400" w:firstLine="889"/>
        <w:spacing w:after="0" w:line="297" w:lineRule="auto"/>
        <w:tabs>
          <w:tab w:leader="none" w:pos="1563"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Indebtedness secured solely by mortgage-related assets and (B) Securitization Indebtedness, in each case in connection with credit risk transfer and insurance linked securities programs;</w:t>
      </w:r>
    </w:p>
    <w:p>
      <w:pPr>
        <w:spacing w:after="0" w:line="131" w:lineRule="exact"/>
        <w:rPr>
          <w:rFonts w:ascii="Times New Roman" w:cs="Times New Roman" w:eastAsia="Times New Roman" w:hAnsi="Times New Roman"/>
          <w:sz w:val="19"/>
          <w:szCs w:val="19"/>
          <w:color w:val="auto"/>
        </w:rPr>
      </w:pPr>
    </w:p>
    <w:p>
      <w:pPr>
        <w:ind w:left="1460" w:hanging="571"/>
        <w:spacing w:after="0"/>
        <w:tabs>
          <w:tab w:leader="none" w:pos="1460"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010101"/>
        </w:rPr>
        <w:t>[reserved]</w:t>
      </w:r>
      <w:r>
        <w:rPr>
          <w:rFonts w:ascii="Times New Roman" w:cs="Times New Roman" w:eastAsia="Times New Roman" w:hAnsi="Times New Roman"/>
          <w:sz w:val="19"/>
          <w:szCs w:val="19"/>
          <w:color w:val="000000"/>
        </w:rPr>
        <w:t>; and</w:t>
      </w:r>
    </w:p>
    <w:p>
      <w:pPr>
        <w:spacing w:after="0" w:line="229" w:lineRule="exact"/>
        <w:rPr>
          <w:rFonts w:ascii="Times New Roman" w:cs="Times New Roman" w:eastAsia="Times New Roman" w:hAnsi="Times New Roman"/>
          <w:sz w:val="19"/>
          <w:szCs w:val="19"/>
          <w:color w:val="auto"/>
        </w:rPr>
      </w:pPr>
    </w:p>
    <w:p>
      <w:pPr>
        <w:ind w:right="240" w:firstLine="889"/>
        <w:spacing w:after="0" w:line="297" w:lineRule="auto"/>
        <w:tabs>
          <w:tab w:leader="none" w:pos="1401"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incurred by Insurance Subsidiaries not to exceed the greater of $55,000,000 and 2.5% of Consolidated Net Worth of the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-71-</w:t>
      </w:r>
    </w:p>
    <w:p>
      <w:pPr>
        <w:spacing w:after="0" w:line="24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0600"/>
          </w:cols>
          <w:pgMar w:left="940" w:top="1383" w:right="359" w:bottom="1440" w:gutter="0" w:footer="0" w:header="0"/>
        </w:sectPr>
      </w:pPr>
    </w:p>
    <w:bookmarkStart w:id="147" w:name="page148"/>
    <w:bookmarkEnd w:id="147"/>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7.02</w:t>
      </w:r>
      <w:r>
        <w:rPr>
          <w:sz w:val="20"/>
          <w:szCs w:val="20"/>
          <w:color w:val="auto"/>
        </w:rPr>
        <w:tab/>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440" w:firstLine="633"/>
        <w:spacing w:after="0" w:line="283" w:lineRule="auto"/>
        <w:rPr>
          <w:sz w:val="20"/>
          <w:szCs w:val="20"/>
          <w:color w:val="auto"/>
        </w:rPr>
      </w:pPr>
      <w:r>
        <w:rPr>
          <w:rFonts w:ascii="Times New Roman" w:cs="Times New Roman" w:eastAsia="Times New Roman" w:hAnsi="Times New Roman"/>
          <w:sz w:val="19"/>
          <w:szCs w:val="19"/>
          <w:color w:val="auto"/>
        </w:rPr>
        <w:t>The Company shall not, and shall not permit any of its Restricted Subsidiaries to, create, assume or suffer to exist any Lien on any property now owned or hereafter acquired by it, except for the following:</w:t>
      </w:r>
    </w:p>
    <w:p>
      <w:pPr>
        <w:spacing w:after="0" w:line="157" w:lineRule="exact"/>
        <w:rPr>
          <w:sz w:val="20"/>
          <w:szCs w:val="20"/>
          <w:color w:val="auto"/>
        </w:rPr>
      </w:pPr>
    </w:p>
    <w:p>
      <w:pPr>
        <w:ind w:left="1040" w:hanging="401"/>
        <w:spacing w:after="0"/>
        <w:tabs>
          <w:tab w:leader="none" w:pos="104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6" w:lineRule="exact"/>
        <w:rPr>
          <w:rFonts w:ascii="Times New Roman" w:cs="Times New Roman" w:eastAsia="Times New Roman" w:hAnsi="Times New Roman"/>
          <w:sz w:val="19"/>
          <w:szCs w:val="19"/>
          <w:color w:val="auto"/>
        </w:rPr>
      </w:pPr>
    </w:p>
    <w:p>
      <w:pPr>
        <w:ind w:right="120" w:firstLine="639"/>
        <w:spacing w:after="0" w:line="297" w:lineRule="auto"/>
        <w:tabs>
          <w:tab w:leader="none" w:pos="1052"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assets of Insurance Subsidiaries or the Company securing obligations under transactions entered into in connection with Investments permitted by the terms hereof in an aggregate amount not to exceed, at any time, $15,000,000;</w:t>
      </w:r>
    </w:p>
    <w:p>
      <w:pPr>
        <w:spacing w:after="0" w:line="145" w:lineRule="exact"/>
        <w:rPr>
          <w:rFonts w:ascii="Times New Roman" w:cs="Times New Roman" w:eastAsia="Times New Roman" w:hAnsi="Times New Roman"/>
          <w:sz w:val="19"/>
          <w:szCs w:val="19"/>
          <w:color w:val="auto"/>
        </w:rPr>
      </w:pPr>
    </w:p>
    <w:p>
      <w:pPr>
        <w:ind w:right="80" w:firstLine="639"/>
        <w:spacing w:after="0" w:line="272" w:lineRule="auto"/>
        <w:tabs>
          <w:tab w:leader="none" w:pos="1041"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collateral consisting of cash or Cash Equivalents securing Permitted Swap Obligations in an aggregate amount not to exceed, at any time, $25,000,000 and Liens securing Cash Management Obligations incurred in the ordinary course of business in an aggregate amount not to exceed, at any time, $25,000,000;</w:t>
      </w:r>
    </w:p>
    <w:p>
      <w:pPr>
        <w:spacing w:after="0" w:line="154" w:lineRule="exact"/>
        <w:rPr>
          <w:rFonts w:ascii="Times New Roman" w:cs="Times New Roman" w:eastAsia="Times New Roman" w:hAnsi="Times New Roman"/>
          <w:sz w:val="19"/>
          <w:szCs w:val="19"/>
          <w:color w:val="auto"/>
        </w:rPr>
      </w:pPr>
    </w:p>
    <w:p>
      <w:pPr>
        <w:ind w:right="200" w:firstLine="639"/>
        <w:spacing w:after="0" w:line="297" w:lineRule="auto"/>
        <w:tabs>
          <w:tab w:leader="none" w:pos="1052"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for Taxes that are not overdue for more than 90 days and Liens for Taxes being contested in good faith and by appropriate proceedings and, in each case, with respect to which adequate reserves are being maintained in accordance with GAAP;</w:t>
      </w:r>
    </w:p>
    <w:p>
      <w:pPr>
        <w:spacing w:after="0" w:line="145" w:lineRule="exact"/>
        <w:rPr>
          <w:rFonts w:ascii="Times New Roman" w:cs="Times New Roman" w:eastAsia="Times New Roman" w:hAnsi="Times New Roman"/>
          <w:sz w:val="19"/>
          <w:szCs w:val="19"/>
          <w:color w:val="auto"/>
        </w:rPr>
      </w:pPr>
    </w:p>
    <w:p>
      <w:pPr>
        <w:ind w:firstLine="639"/>
        <w:spacing w:after="0" w:line="262" w:lineRule="auto"/>
        <w:tabs>
          <w:tab w:leader="none" w:pos="1041"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existing on the date hereof and listed in Schedule 7.02, including extensions, renewals and replacements of such Liens; provided that (i) such Lien shall not apply to any additional property (other than after-acquired title in or on such property and related assets and proceeds of the collateral in accordance with the document creating such Lien) and (ii) if the Indebtedness secured thereby is Indebtedness of a Restricted Subsidiary, such Indebtedness is not increased except as otherwise permitted under Section 7.01 (in which case, except to the extent of an increase contemplated by clause (a) of the definition of “Refinancing Indebtedness,” the Lien on the portion of such Indebtedness representing such additional increase must be permitted by another paragraph of this </w:t>
      </w:r>
      <w:r>
        <w:rPr>
          <w:rFonts w:ascii="Times New Roman" w:cs="Times New Roman" w:eastAsia="Times New Roman" w:hAnsi="Times New Roman"/>
          <w:sz w:val="19"/>
          <w:szCs w:val="19"/>
          <w:u w:val="single" w:color="auto"/>
          <w:color w:val="auto"/>
        </w:rPr>
        <w:t>Section 7.02</w:t>
      </w:r>
      <w:r>
        <w:rPr>
          <w:rFonts w:ascii="Times New Roman" w:cs="Times New Roman" w:eastAsia="Times New Roman" w:hAnsi="Times New Roman"/>
          <w:sz w:val="19"/>
          <w:szCs w:val="19"/>
          <w:color w:val="auto"/>
        </w:rPr>
        <w:t>);</w:t>
      </w:r>
    </w:p>
    <w:p>
      <w:pPr>
        <w:spacing w:after="0" w:line="164" w:lineRule="exact"/>
        <w:rPr>
          <w:rFonts w:ascii="Times New Roman" w:cs="Times New Roman" w:eastAsia="Times New Roman" w:hAnsi="Times New Roman"/>
          <w:sz w:val="19"/>
          <w:szCs w:val="19"/>
          <w:color w:val="auto"/>
        </w:rPr>
      </w:pPr>
    </w:p>
    <w:p>
      <w:pPr>
        <w:ind w:right="80" w:firstLine="639"/>
        <w:spacing w:after="0" w:line="262" w:lineRule="auto"/>
        <w:tabs>
          <w:tab w:leader="none" w:pos="1019"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Liens incurred in the ordinary course of business in connection with worker’s compensation, unemployment insurance or other forms of governmental insurance or benefits or to secure performance of tenders, statutory obligations, leases and contracts (other than for borrowed money) entered into in the ordinary course of business or to secure obligations on surety or appeal bonds and (ii) Liens on collateral consisting of cash or Cash Equivalents securing letters of credit issued in respect of obligations to insurers in an amount not to exceed $15,000,000;</w:t>
      </w:r>
    </w:p>
    <w:p>
      <w:pPr>
        <w:spacing w:after="0" w:line="179" w:lineRule="exact"/>
        <w:rPr>
          <w:rFonts w:ascii="Times New Roman" w:cs="Times New Roman" w:eastAsia="Times New Roman" w:hAnsi="Times New Roman"/>
          <w:sz w:val="19"/>
          <w:szCs w:val="19"/>
          <w:color w:val="auto"/>
        </w:rPr>
      </w:pPr>
    </w:p>
    <w:p>
      <w:pPr>
        <w:jc w:val="both"/>
        <w:ind w:right="100" w:firstLine="639"/>
        <w:spacing w:after="0" w:line="268" w:lineRule="auto"/>
        <w:tabs>
          <w:tab w:leader="none" w:pos="1052"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Liens of attorneys retained by the Company on a contingency fee basis and (ii) Liens of mechanics, carriers, and materialmen and other like Liens imposed by law and arising in the ordinary course of business in respect of obligations that in the case of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hereof are not overdue for more than 60 days or that are being contested in good faith and by appropriate proceedings and with respect to which adequate reserves are being maintained in accordance with GAAP;</w:t>
      </w:r>
    </w:p>
    <w:p>
      <w:pPr>
        <w:spacing w:after="0" w:line="158" w:lineRule="exact"/>
        <w:rPr>
          <w:rFonts w:ascii="Times New Roman" w:cs="Times New Roman" w:eastAsia="Times New Roman" w:hAnsi="Times New Roman"/>
          <w:sz w:val="19"/>
          <w:szCs w:val="19"/>
          <w:color w:val="auto"/>
        </w:rPr>
      </w:pPr>
    </w:p>
    <w:p>
      <w:pPr>
        <w:jc w:val="both"/>
        <w:ind w:right="240" w:firstLine="639"/>
        <w:spacing w:after="0" w:line="279" w:lineRule="auto"/>
        <w:tabs>
          <w:tab w:leader="none" w:pos="1052"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arising in the ordinary course of business for sums being contested in good faith and by appropriate proceedings and with respect to which adequate reserves are being maintained in accordance with GAAP, or for sums not due, and in either case not involving any deposits or advances for borrowed money or the deferred purchase price of property or services;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-72-</w:t>
      </w: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160"/>
          </w:cols>
          <w:pgMar w:left="320" w:top="1383" w:right="419" w:bottom="1440" w:gutter="0" w:footer="0" w:header="0"/>
        </w:sectPr>
      </w:pPr>
    </w:p>
    <w:bookmarkStart w:id="148" w:name="page149"/>
    <w:bookmarkEnd w:id="148"/>
    <w:p>
      <w:pPr>
        <w:ind w:left="-20" w:right="520" w:firstLine="639"/>
        <w:spacing w:after="0" w:line="297" w:lineRule="auto"/>
        <w:tabs>
          <w:tab w:leader="none" w:pos="989"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obligations in connection with any reinsurance transactions under Reinsurance Agreements entered into in the ordinary course of business;</w:t>
      </w:r>
    </w:p>
    <w:p>
      <w:pPr>
        <w:spacing w:after="0" w:line="131" w:lineRule="exact"/>
        <w:rPr>
          <w:rFonts w:ascii="Times New Roman" w:cs="Times New Roman" w:eastAsia="Times New Roman" w:hAnsi="Times New Roman"/>
          <w:sz w:val="19"/>
          <w:szCs w:val="19"/>
          <w:color w:val="auto"/>
        </w:rPr>
      </w:pPr>
    </w:p>
    <w:p>
      <w:pPr>
        <w:ind w:left="-20" w:right="300" w:firstLine="639"/>
        <w:spacing w:after="0" w:line="272" w:lineRule="auto"/>
        <w:tabs>
          <w:tab w:leader="none" w:pos="989"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easements, rights-of-way, zoning restrictions, covenants, conditions, restrictions, zoning ordinances, development, air rights and land use agreements, encroachments, title defects and other similar encumbrances that do not secure any Indebtedness and which do not materially interfere with the business of the Company and its Restricted Subsidiaries;</w:t>
      </w:r>
    </w:p>
    <w:p>
      <w:pPr>
        <w:spacing w:after="0" w:line="167" w:lineRule="exact"/>
        <w:rPr>
          <w:rFonts w:ascii="Times New Roman" w:cs="Times New Roman" w:eastAsia="Times New Roman" w:hAnsi="Times New Roman"/>
          <w:sz w:val="19"/>
          <w:szCs w:val="19"/>
          <w:color w:val="auto"/>
        </w:rPr>
      </w:pPr>
    </w:p>
    <w:p>
      <w:pPr>
        <w:ind w:left="1040" w:hanging="421"/>
        <w:spacing w:after="0"/>
        <w:tabs>
          <w:tab w:leader="none" w:pos="104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Indebtedness of Insurance Subsidiaries in connection with permitted Investments not to exceed $15,000,000;</w:t>
      </w:r>
    </w:p>
    <w:p>
      <w:pPr>
        <w:spacing w:after="0" w:line="229" w:lineRule="exact"/>
        <w:rPr>
          <w:rFonts w:ascii="Times New Roman" w:cs="Times New Roman" w:eastAsia="Times New Roman" w:hAnsi="Times New Roman"/>
          <w:sz w:val="19"/>
          <w:szCs w:val="19"/>
          <w:color w:val="auto"/>
        </w:rPr>
      </w:pPr>
    </w:p>
    <w:p>
      <w:pPr>
        <w:ind w:left="-20" w:right="100" w:firstLine="639"/>
        <w:spacing w:after="0" w:line="283" w:lineRule="auto"/>
        <w:tabs>
          <w:tab w:leader="none" w:pos="989"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licenses, leases or subleases permitted hereunder granted to others not materially interfering in any material respect in the business of the Company and its Restricted Subsidiaries;</w:t>
      </w:r>
    </w:p>
    <w:p>
      <w:pPr>
        <w:spacing w:after="0" w:line="157" w:lineRule="exact"/>
        <w:rPr>
          <w:rFonts w:ascii="Times New Roman" w:cs="Times New Roman" w:eastAsia="Times New Roman" w:hAnsi="Times New Roman"/>
          <w:sz w:val="19"/>
          <w:szCs w:val="19"/>
          <w:color w:val="auto"/>
        </w:rPr>
      </w:pPr>
    </w:p>
    <w:p>
      <w:pPr>
        <w:ind w:left="1100" w:hanging="481"/>
        <w:spacing w:after="0"/>
        <w:tabs>
          <w:tab w:leader="none" w:pos="110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attachment or judgment Liens not constituting an Event of Default under </w:t>
      </w:r>
      <w:r>
        <w:rPr>
          <w:rFonts w:ascii="Times New Roman" w:cs="Times New Roman" w:eastAsia="Times New Roman" w:hAnsi="Times New Roman"/>
          <w:sz w:val="19"/>
          <w:szCs w:val="19"/>
          <w:u w:val="single" w:color="auto"/>
          <w:color w:val="auto"/>
        </w:rPr>
        <w:t>Section 8.01(i)</w:t>
      </w:r>
      <w:r>
        <w:rPr>
          <w:rFonts w:ascii="Times New Roman" w:cs="Times New Roman" w:eastAsia="Times New Roman" w:hAnsi="Times New Roman"/>
          <w:sz w:val="19"/>
          <w:szCs w:val="19"/>
          <w:color w:val="auto"/>
        </w:rPr>
        <w:t>;</w:t>
      </w:r>
    </w:p>
    <w:p>
      <w:pPr>
        <w:spacing w:after="0" w:line="216" w:lineRule="exact"/>
        <w:rPr>
          <w:rFonts w:ascii="Times New Roman" w:cs="Times New Roman" w:eastAsia="Times New Roman" w:hAnsi="Times New Roman"/>
          <w:sz w:val="19"/>
          <w:szCs w:val="19"/>
          <w:color w:val="auto"/>
        </w:rPr>
      </w:pPr>
    </w:p>
    <w:p>
      <w:pPr>
        <w:ind w:left="-20" w:right="660" w:firstLine="639"/>
        <w:spacing w:after="0" w:line="297" w:lineRule="auto"/>
        <w:tabs>
          <w:tab w:leader="none" w:pos="1032"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arising from precautionary Uniform Commercial Code financing statement filings with respect to operating leases or consignment arrangements entered into by the Company and its Restricted Subsidiaries in the ordinary course of business;</w:t>
      </w:r>
    </w:p>
    <w:p>
      <w:pPr>
        <w:spacing w:after="0" w:line="145" w:lineRule="exact"/>
        <w:rPr>
          <w:rFonts w:ascii="Times New Roman" w:cs="Times New Roman" w:eastAsia="Times New Roman" w:hAnsi="Times New Roman"/>
          <w:sz w:val="19"/>
          <w:szCs w:val="19"/>
          <w:color w:val="auto"/>
        </w:rPr>
      </w:pPr>
    </w:p>
    <w:p>
      <w:pPr>
        <w:ind w:left="1040" w:hanging="421"/>
        <w:spacing w:after="0"/>
        <w:tabs>
          <w:tab w:leader="none" w:pos="104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consisting of customary set-off rights in favor of depositary banks;</w:t>
      </w:r>
    </w:p>
    <w:p>
      <w:pPr>
        <w:spacing w:after="0" w:line="216" w:lineRule="exact"/>
        <w:rPr>
          <w:rFonts w:ascii="Times New Roman" w:cs="Times New Roman" w:eastAsia="Times New Roman" w:hAnsi="Times New Roman"/>
          <w:sz w:val="19"/>
          <w:szCs w:val="19"/>
          <w:color w:val="auto"/>
        </w:rPr>
      </w:pPr>
    </w:p>
    <w:p>
      <w:pPr>
        <w:ind w:left="-20" w:right="940" w:firstLine="639"/>
        <w:spacing w:after="0" w:line="297" w:lineRule="auto"/>
        <w:tabs>
          <w:tab w:leader="none" w:pos="1032"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Liens securing obligations (other than Indebtedness for borrowed money) in an amount not to exceed, at any time outstanding, the greater of $65,000,000 and 3.0% of Consolidated Net Worth of the Company;</w:t>
      </w:r>
    </w:p>
    <w:p>
      <w:pPr>
        <w:spacing w:after="0" w:line="131" w:lineRule="exact"/>
        <w:rPr>
          <w:rFonts w:ascii="Times New Roman" w:cs="Times New Roman" w:eastAsia="Times New Roman" w:hAnsi="Times New Roman"/>
          <w:sz w:val="19"/>
          <w:szCs w:val="19"/>
          <w:color w:val="auto"/>
        </w:rPr>
      </w:pPr>
    </w:p>
    <w:p>
      <w:pPr>
        <w:ind w:left="-20" w:firstLine="639"/>
        <w:spacing w:after="0" w:line="262" w:lineRule="auto"/>
        <w:tabs>
          <w:tab w:leader="none" w:pos="1032"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Lien on any asset of any Person existing at the time such assets are acquired by the Company or any Subsidiary, or such Person becomes a Subsidiary of the Company or is merged or consolidated with or into the Company or a Subsidiary of the Company, and in each case not created in contemplation of such event;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no such Lien shall extend to, or cover, any other property or assets of the Company or any Subsidiary (including such Person) (other than after-acquired title in or on such property and related assets and proceeds of the collateral in accordance with the document creating such Lien), and (ii) such Lien shall secure only those obligations that it secures on the date of such acquisition or the date such Person becomes a Subsidiary (or is so merged or consolidated) and any Refinancing Indebtedness in respect thereof;</w:t>
      </w:r>
    </w:p>
    <w:p>
      <w:pPr>
        <w:spacing w:after="0" w:line="178" w:lineRule="exact"/>
        <w:rPr>
          <w:rFonts w:ascii="Times New Roman" w:cs="Times New Roman" w:eastAsia="Times New Roman" w:hAnsi="Times New Roman"/>
          <w:sz w:val="19"/>
          <w:szCs w:val="19"/>
          <w:color w:val="auto"/>
        </w:rPr>
      </w:pPr>
    </w:p>
    <w:p>
      <w:pPr>
        <w:jc w:val="both"/>
        <w:ind w:left="-20" w:right="460" w:firstLine="639"/>
        <w:spacing w:after="0" w:line="272" w:lineRule="auto"/>
        <w:tabs>
          <w:tab w:leader="none" w:pos="999"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(I) Indebtedness secured solely by mortgage-related assets and (B) Securitization Indebtedness, in each case in connection with credit risk transfer and insurance linked securities programs or (II) other obligations in connection with credit risk transfer programs;</w:t>
      </w:r>
    </w:p>
    <w:p>
      <w:pPr>
        <w:spacing w:after="0" w:line="167" w:lineRule="exact"/>
        <w:rPr>
          <w:rFonts w:ascii="Times New Roman" w:cs="Times New Roman" w:eastAsia="Times New Roman" w:hAnsi="Times New Roman"/>
          <w:sz w:val="19"/>
          <w:szCs w:val="19"/>
          <w:color w:val="auto"/>
        </w:rPr>
      </w:pPr>
    </w:p>
    <w:p>
      <w:pPr>
        <w:ind w:left="1020" w:hanging="401"/>
        <w:spacing w:after="0"/>
        <w:tabs>
          <w:tab w:leader="none" w:pos="102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incurred in connection with the collection or disposition of delinquent accounts receivable in the ordinary course of business;</w:t>
      </w:r>
    </w:p>
    <w:p>
      <w:pPr>
        <w:spacing w:after="0" w:line="216" w:lineRule="exact"/>
        <w:rPr>
          <w:rFonts w:ascii="Times New Roman" w:cs="Times New Roman" w:eastAsia="Times New Roman" w:hAnsi="Times New Roman"/>
          <w:sz w:val="19"/>
          <w:szCs w:val="19"/>
          <w:color w:val="auto"/>
        </w:rPr>
      </w:pPr>
    </w:p>
    <w:p>
      <w:pPr>
        <w:ind w:left="1000" w:hanging="381"/>
        <w:spacing w:after="0"/>
        <w:tabs>
          <w:tab w:leader="none" w:pos="100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29" w:lineRule="exact"/>
        <w:rPr>
          <w:rFonts w:ascii="Times New Roman" w:cs="Times New Roman" w:eastAsia="Times New Roman" w:hAnsi="Times New Roman"/>
          <w:sz w:val="19"/>
          <w:szCs w:val="19"/>
          <w:color w:val="auto"/>
        </w:rPr>
      </w:pPr>
    </w:p>
    <w:p>
      <w:pPr>
        <w:ind w:left="1040" w:hanging="421"/>
        <w:spacing w:after="0"/>
        <w:tabs>
          <w:tab w:leader="none" w:pos="104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6" w:lineRule="exact"/>
        <w:rPr>
          <w:rFonts w:ascii="Times New Roman" w:cs="Times New Roman" w:eastAsia="Times New Roman" w:hAnsi="Times New Roman"/>
          <w:sz w:val="19"/>
          <w:szCs w:val="19"/>
          <w:color w:val="auto"/>
        </w:rPr>
      </w:pPr>
    </w:p>
    <w:p>
      <w:pPr>
        <w:ind w:left="1040" w:hanging="421"/>
        <w:spacing w:after="0"/>
        <w:tabs>
          <w:tab w:leader="none" w:pos="104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40" w:top="1383" w:right="359" w:bottom="1440" w:gutter="0" w:footer="0" w:header="0"/>
        </w:sectPr>
      </w:pPr>
    </w:p>
    <w:bookmarkStart w:id="149" w:name="page150"/>
    <w:bookmarkEnd w:id="149"/>
    <w:p>
      <w:pPr>
        <w:ind w:right="800" w:firstLine="639"/>
        <w:spacing w:after="0" w:line="297" w:lineRule="auto"/>
        <w:tabs>
          <w:tab w:leader="none" w:pos="1095"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consisting of deposits of cash or other assets of Insurance Subsidiaries and Subsidiaries thereof as required by any Governmental Authority;</w:t>
      </w:r>
    </w:p>
    <w:p>
      <w:pPr>
        <w:spacing w:after="0" w:line="131"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29" w:lineRule="exact"/>
        <w:rPr>
          <w:rFonts w:ascii="Times New Roman" w:cs="Times New Roman" w:eastAsia="Times New Roman" w:hAnsi="Times New Roman"/>
          <w:sz w:val="19"/>
          <w:szCs w:val="19"/>
          <w:color w:val="auto"/>
        </w:rPr>
      </w:pPr>
    </w:p>
    <w:p>
      <w:pPr>
        <w:ind w:firstLine="639"/>
        <w:spacing w:after="0" w:line="272" w:lineRule="auto"/>
        <w:tabs>
          <w:tab w:leader="none" w:pos="1052"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consisting of restrictions imposed by applicable law (including regulations) or imposed by any Government-Sponsored Enterprise (including, for the avoidance of doubt, “financial requirements” imposed pursuant to PMIERs and similar restrictions imposed by any Government-Sponsored Enterprise);</w:t>
      </w:r>
    </w:p>
    <w:p>
      <w:pPr>
        <w:spacing w:after="0" w:line="167" w:lineRule="exact"/>
        <w:rPr>
          <w:rFonts w:ascii="Times New Roman" w:cs="Times New Roman" w:eastAsia="Times New Roman" w:hAnsi="Times New Roman"/>
          <w:sz w:val="19"/>
          <w:szCs w:val="19"/>
          <w:color w:val="auto"/>
        </w:rPr>
      </w:pPr>
    </w:p>
    <w:p>
      <w:pPr>
        <w:ind w:right="40" w:firstLine="639"/>
        <w:spacing w:after="0" w:line="262" w:lineRule="auto"/>
        <w:tabs>
          <w:tab w:leader="none" w:pos="1041"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Replacements of any Liens permitted under this </w:t>
      </w:r>
      <w:r>
        <w:rPr>
          <w:rFonts w:ascii="Times New Roman" w:cs="Times New Roman" w:eastAsia="Times New Roman" w:hAnsi="Times New Roman"/>
          <w:sz w:val="19"/>
          <w:szCs w:val="19"/>
          <w:u w:val="single" w:color="auto"/>
          <w:color w:val="auto"/>
        </w:rPr>
        <w:t>Section 7.02</w:t>
      </w:r>
      <w:r>
        <w:rPr>
          <w:rFonts w:ascii="Times New Roman" w:cs="Times New Roman" w:eastAsia="Times New Roman" w:hAnsi="Times New Roman"/>
          <w:sz w:val="19"/>
          <w:szCs w:val="19"/>
          <w:color w:val="auto"/>
        </w:rPr>
        <w:t xml:space="preserve"> when incurred,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 shall not apply to any additional property (other than after acquired title in or on such property and related assets and proceeds of the existing collateral in accordance with the document creating such Lien) and (ii) if the Indebtedness secured thereby is Indebtedness of a Restricted Subsidiary, such Indebtedness is not increased except as otherwise permitted under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xml:space="preserve"> (in which case, except to the extent of an increase contemplated by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of the definition of “Refinancing Indebtedness,” the Lien on the portion of such Indebtedness representing such additional increase must be permitted by another paragraph of this </w:t>
      </w:r>
      <w:r>
        <w:rPr>
          <w:rFonts w:ascii="Times New Roman" w:cs="Times New Roman" w:eastAsia="Times New Roman" w:hAnsi="Times New Roman"/>
          <w:sz w:val="19"/>
          <w:szCs w:val="19"/>
          <w:u w:val="single" w:color="auto"/>
          <w:color w:val="auto"/>
        </w:rPr>
        <w:t>Section 7.02</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ind w:left="1140" w:hanging="501"/>
        <w:spacing w:after="0"/>
        <w:tabs>
          <w:tab w:leader="none" w:pos="1140"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 favor of the Company or any of its Restricted Subsidiaries; and</w:t>
      </w:r>
    </w:p>
    <w:p>
      <w:pPr>
        <w:spacing w:after="0" w:line="229" w:lineRule="exact"/>
        <w:rPr>
          <w:rFonts w:ascii="Times New Roman" w:cs="Times New Roman" w:eastAsia="Times New Roman" w:hAnsi="Times New Roman"/>
          <w:sz w:val="19"/>
          <w:szCs w:val="19"/>
          <w:color w:val="auto"/>
        </w:rPr>
      </w:pPr>
    </w:p>
    <w:p>
      <w:pPr>
        <w:ind w:left="1160" w:hanging="521"/>
        <w:spacing w:after="0"/>
        <w:tabs>
          <w:tab w:leader="none" w:pos="1160"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Capitalized Lease Liabilities in an aggregate principal amount not to exceed at any time outstanding the greater of</w:t>
      </w:r>
    </w:p>
    <w:p>
      <w:pPr>
        <w:spacing w:after="0" w:line="27" w:lineRule="exact"/>
        <w:rPr>
          <w:rFonts w:ascii="Times New Roman" w:cs="Times New Roman" w:eastAsia="Times New Roman" w:hAnsi="Times New Roman"/>
          <w:sz w:val="19"/>
          <w:szCs w:val="19"/>
          <w:color w:val="auto"/>
        </w:rPr>
      </w:pPr>
    </w:p>
    <w:p>
      <w:pPr>
        <w:ind w:left="280" w:hanging="274"/>
        <w:spacing w:after="0"/>
        <w:tabs>
          <w:tab w:leader="none" w:pos="28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$85,000,000 and (y) 4.0% of Consolidated Net Worth of the Company.</w:t>
      </w:r>
    </w:p>
    <w:p>
      <w:pPr>
        <w:spacing w:after="0" w:line="20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7.03</w:t>
      </w:r>
      <w:r>
        <w:rPr>
          <w:sz w:val="20"/>
          <w:szCs w:val="20"/>
          <w:color w:val="auto"/>
        </w:rPr>
        <w:tab/>
      </w:r>
      <w:r>
        <w:rPr>
          <w:rFonts w:ascii="Times New Roman" w:cs="Times New Roman" w:eastAsia="Times New Roman" w:hAnsi="Times New Roman"/>
          <w:sz w:val="19"/>
          <w:szCs w:val="19"/>
          <w:u w:val="single" w:color="auto"/>
          <w:color w:val="auto"/>
        </w:rPr>
        <w:t>Disposition of Assets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jc w:val="both"/>
        <w:ind w:right="100" w:firstLine="633"/>
        <w:spacing w:after="0" w:line="272" w:lineRule="auto"/>
        <w:rPr>
          <w:sz w:val="20"/>
          <w:szCs w:val="20"/>
          <w:color w:val="auto"/>
        </w:rPr>
      </w:pPr>
      <w:r>
        <w:rPr>
          <w:rFonts w:ascii="Times New Roman" w:cs="Times New Roman" w:eastAsia="Times New Roman" w:hAnsi="Times New Roman"/>
          <w:sz w:val="19"/>
          <w:szCs w:val="19"/>
          <w:color w:val="auto"/>
        </w:rPr>
        <w:t>Prior to the Springing Covenant End Date, the Company shall not, and shall not permit any of its Restricted Subsidiaries to, Dispose of (whether in one or a series of transactions) any property (including accounts and notes receivable with or without recourse and Capital Stock of any Restricted Subsidiary whether newly issued or otherwise), except:</w:t>
      </w:r>
    </w:p>
    <w:p>
      <w:pPr>
        <w:spacing w:after="0" w:line="154" w:lineRule="exact"/>
        <w:rPr>
          <w:sz w:val="20"/>
          <w:szCs w:val="20"/>
          <w:color w:val="auto"/>
        </w:rPr>
      </w:pPr>
    </w:p>
    <w:p>
      <w:pPr>
        <w:ind w:left="1040" w:hanging="401"/>
        <w:spacing w:after="0"/>
        <w:tabs>
          <w:tab w:leader="none" w:pos="1040" w:val="left"/>
        </w:tabs>
        <w:numPr>
          <w:ilvl w:val="1"/>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Dispositions of inventory and equipment in the ordinary course of business, (ii) Dispositions of cash and Cash Equivalents and</w:t>
      </w:r>
    </w:p>
    <w:p>
      <w:pPr>
        <w:spacing w:after="0" w:line="33" w:lineRule="exact"/>
        <w:rPr>
          <w:rFonts w:ascii="Times New Roman" w:cs="Times New Roman" w:eastAsia="Times New Roman" w:hAnsi="Times New Roman"/>
          <w:sz w:val="19"/>
          <w:szCs w:val="19"/>
          <w:color w:val="auto"/>
        </w:rPr>
      </w:pPr>
    </w:p>
    <w:p>
      <w:pPr>
        <w:ind w:right="160" w:firstLine="6"/>
        <w:spacing w:after="0" w:line="263" w:lineRule="auto"/>
        <w:tabs>
          <w:tab w:leader="none" w:pos="338"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assets obtained through foreclosure or otherwise through the exercise of remedies in respect of obligations owed by a third party to the Company or any of its Restricted Subsidiaries or otherwise in respect of mortgage loans insured by the Company or any of its Restricted Subsidiaries;</w:t>
      </w:r>
    </w:p>
    <w:p>
      <w:pPr>
        <w:spacing w:after="0" w:line="176" w:lineRule="exact"/>
        <w:rPr>
          <w:rFonts w:ascii="Times New Roman" w:cs="Times New Roman" w:eastAsia="Times New Roman" w:hAnsi="Times New Roman"/>
          <w:sz w:val="19"/>
          <w:szCs w:val="19"/>
          <w:color w:val="auto"/>
        </w:rPr>
      </w:pPr>
    </w:p>
    <w:p>
      <w:pPr>
        <w:ind w:right="220" w:firstLine="639"/>
        <w:spacing w:after="0" w:line="283" w:lineRule="auto"/>
        <w:tabs>
          <w:tab w:leader="none" w:pos="1052"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of equipment to the extent that such equipment is exchanged for credit against the purchase price of similar replacement equipment or the proceeds of such sale are reasonably promptly applied to the purchase price of such replacement equipment;</w:t>
      </w:r>
    </w:p>
    <w:p>
      <w:pPr>
        <w:spacing w:after="0" w:line="157" w:lineRule="exact"/>
        <w:rPr>
          <w:rFonts w:ascii="Times New Roman" w:cs="Times New Roman" w:eastAsia="Times New Roman" w:hAnsi="Times New Roman"/>
          <w:sz w:val="19"/>
          <w:szCs w:val="19"/>
          <w:color w:val="auto"/>
        </w:rPr>
      </w:pPr>
    </w:p>
    <w:p>
      <w:pPr>
        <w:ind w:right="40" w:firstLine="639"/>
        <w:spacing w:after="0" w:line="268" w:lineRule="auto"/>
        <w:tabs>
          <w:tab w:leader="none" w:pos="1041"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Investments by any Insurance Subsidiary or Subsidiary thereof (other than Capital Stock of Restricted Subsidiaries engaged in insurance lines of business) and Dispositions by the Company or any of its Restricted Subsidiaries of Investments permitted under this Agreement, in each case, in the ordinary course of business and consistent with the investment policy approved by the board of directors of the Company or such Subsidiary or the Company, as the case may be;</w:t>
      </w:r>
    </w:p>
    <w:p>
      <w:pPr>
        <w:spacing w:after="0" w:line="158" w:lineRule="exact"/>
        <w:rPr>
          <w:rFonts w:ascii="Times New Roman" w:cs="Times New Roman" w:eastAsia="Times New Roman" w:hAnsi="Times New Roman"/>
          <w:sz w:val="19"/>
          <w:szCs w:val="19"/>
          <w:color w:val="auto"/>
        </w:rPr>
      </w:pPr>
    </w:p>
    <w:p>
      <w:pPr>
        <w:ind w:right="700" w:firstLine="639"/>
        <w:spacing w:after="0" w:line="297" w:lineRule="auto"/>
        <w:tabs>
          <w:tab w:leader="none" w:pos="1052"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Dispositions (i) by the Company to any Restricted Subsidiary and (ii) by any Restricted Subsidiary to any other Restricted Subsidiary or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(x) to the extent such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-74-</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20" w:top="1383" w:right="379" w:bottom="1440" w:gutter="0" w:footer="0" w:header="0"/>
        </w:sectPr>
      </w:pPr>
    </w:p>
    <w:bookmarkStart w:id="150" w:name="page151"/>
    <w:bookmarkEnd w:id="150"/>
    <w:p>
      <w:pPr>
        <w:ind w:right="340"/>
        <w:spacing w:after="0" w:line="297" w:lineRule="auto"/>
        <w:rPr>
          <w:sz w:val="20"/>
          <w:szCs w:val="20"/>
          <w:color w:val="auto"/>
        </w:rPr>
      </w:pPr>
      <w:r>
        <w:rPr>
          <w:rFonts w:ascii="Times New Roman" w:cs="Times New Roman" w:eastAsia="Times New Roman" w:hAnsi="Times New Roman"/>
          <w:sz w:val="19"/>
          <w:szCs w:val="19"/>
          <w:color w:val="auto"/>
        </w:rPr>
        <w:t xml:space="preserve">Disposition pursuant to the foregoing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constitutes an Investment, such Disposition is permitted by </w:t>
      </w:r>
      <w:r>
        <w:rPr>
          <w:rFonts w:ascii="Times New Roman" w:cs="Times New Roman" w:eastAsia="Times New Roman" w:hAnsi="Times New Roman"/>
          <w:sz w:val="19"/>
          <w:szCs w:val="19"/>
          <w:u w:val="single" w:color="auto"/>
          <w:color w:val="auto"/>
        </w:rPr>
        <w:t>Section 7.09</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7.09(q)</w:t>
      </w:r>
      <w:r>
        <w:rPr>
          <w:rFonts w:ascii="Times New Roman" w:cs="Times New Roman" w:eastAsia="Times New Roman" w:hAnsi="Times New Roman"/>
          <w:sz w:val="19"/>
          <w:szCs w:val="19"/>
          <w:color w:val="auto"/>
        </w:rPr>
        <w:t>), and (y) otherwise, such Disposition is for fair value, as determined by the Company in good faith;</w:t>
      </w:r>
    </w:p>
    <w:p>
      <w:pPr>
        <w:spacing w:after="0" w:line="132" w:lineRule="exact"/>
        <w:rPr>
          <w:sz w:val="20"/>
          <w:szCs w:val="20"/>
          <w:color w:val="auto"/>
        </w:rPr>
      </w:pPr>
    </w:p>
    <w:p>
      <w:pPr>
        <w:ind w:right="60" w:firstLine="639"/>
        <w:spacing w:after="0" w:line="297" w:lineRule="auto"/>
        <w:tabs>
          <w:tab w:leader="none" w:pos="1041"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Disposition pursuant to a Reinsurance Agreement so long as such Disposition is entered into in the ordinary course of business for the purpose of managing insurance risk consistent with industry practice;</w:t>
      </w:r>
    </w:p>
    <w:p>
      <w:pPr>
        <w:spacing w:after="0" w:line="131" w:lineRule="exact"/>
        <w:rPr>
          <w:rFonts w:ascii="Times New Roman" w:cs="Times New Roman" w:eastAsia="Times New Roman" w:hAnsi="Times New Roman"/>
          <w:sz w:val="19"/>
          <w:szCs w:val="19"/>
          <w:color w:val="auto"/>
        </w:rPr>
      </w:pPr>
    </w:p>
    <w:p>
      <w:pPr>
        <w:ind w:left="1020" w:hanging="381"/>
        <w:spacing w:after="0"/>
        <w:tabs>
          <w:tab w:leader="none" w:pos="1020"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obsolete, surplus or worn out property disposed of by the Company or any of its Restricted Subsidiaries;</w:t>
      </w:r>
    </w:p>
    <w:p>
      <w:pPr>
        <w:spacing w:after="0" w:line="229"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transfers resulting from any casualty or condemnation of property or assets;</w:t>
      </w:r>
    </w:p>
    <w:p>
      <w:pPr>
        <w:spacing w:after="0" w:line="229" w:lineRule="exact"/>
        <w:rPr>
          <w:rFonts w:ascii="Times New Roman" w:cs="Times New Roman" w:eastAsia="Times New Roman" w:hAnsi="Times New Roman"/>
          <w:sz w:val="19"/>
          <w:szCs w:val="19"/>
          <w:color w:val="auto"/>
        </w:rPr>
      </w:pPr>
    </w:p>
    <w:p>
      <w:pPr>
        <w:ind w:right="120" w:firstLine="639"/>
        <w:spacing w:after="0" w:line="283" w:lineRule="auto"/>
        <w:tabs>
          <w:tab w:leader="none" w:pos="1052"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licenses or sublicenses of intellectual property and general intangibles and licenses, leases or subleases of other property which do not materially interfere with the business of the Company and its Restricted Subsidiaries;</w:t>
      </w:r>
    </w:p>
    <w:p>
      <w:pPr>
        <w:spacing w:after="0" w:line="157" w:lineRule="exact"/>
        <w:rPr>
          <w:rFonts w:ascii="Times New Roman" w:cs="Times New Roman" w:eastAsia="Times New Roman" w:hAnsi="Times New Roman"/>
          <w:sz w:val="19"/>
          <w:szCs w:val="19"/>
          <w:color w:val="auto"/>
        </w:rPr>
      </w:pPr>
    </w:p>
    <w:p>
      <w:pPr>
        <w:ind w:right="120" w:firstLine="639"/>
        <w:spacing w:after="0" w:line="259" w:lineRule="auto"/>
        <w:tabs>
          <w:tab w:leader="none" w:pos="1009"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Dispositions consisting of (A) any merger, consolidation, liquidation, dissolution or other winding-up of the Borrower or any of its Subsidiaries not prohibited by </w:t>
      </w:r>
      <w:r>
        <w:rPr>
          <w:rFonts w:ascii="Times New Roman" w:cs="Times New Roman" w:eastAsia="Times New Roman" w:hAnsi="Times New Roman"/>
          <w:sz w:val="19"/>
          <w:szCs w:val="19"/>
          <w:u w:val="single" w:color="auto"/>
          <w:color w:val="auto"/>
        </w:rPr>
        <w:t>Section 7.07</w:t>
      </w:r>
      <w:r>
        <w:rPr>
          <w:rFonts w:ascii="Times New Roman" w:cs="Times New Roman" w:eastAsia="Times New Roman" w:hAnsi="Times New Roman"/>
          <w:sz w:val="19"/>
          <w:szCs w:val="19"/>
          <w:color w:val="auto"/>
        </w:rPr>
        <w:t xml:space="preserve">, (B) the making of any Investments permitted by </w:t>
      </w:r>
      <w:r>
        <w:rPr>
          <w:rFonts w:ascii="Times New Roman" w:cs="Times New Roman" w:eastAsia="Times New Roman" w:hAnsi="Times New Roman"/>
          <w:sz w:val="19"/>
          <w:szCs w:val="19"/>
          <w:u w:val="single" w:color="auto"/>
          <w:color w:val="auto"/>
        </w:rPr>
        <w:t>Section 7.09</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 7.09(q)</w:t>
      </w:r>
      <w:r>
        <w:rPr>
          <w:rFonts w:ascii="Times New Roman" w:cs="Times New Roman" w:eastAsia="Times New Roman" w:hAnsi="Times New Roman"/>
          <w:sz w:val="19"/>
          <w:szCs w:val="19"/>
          <w:color w:val="auto"/>
        </w:rPr>
        <w:t xml:space="preserve">), (C) the creation, incurrence or assumption of any Lien permitted under </w:t>
      </w:r>
      <w:r>
        <w:rPr>
          <w:rFonts w:ascii="Times New Roman" w:cs="Times New Roman" w:eastAsia="Times New Roman" w:hAnsi="Times New Roman"/>
          <w:sz w:val="19"/>
          <w:szCs w:val="19"/>
          <w:u w:val="single" w:color="auto"/>
          <w:color w:val="auto"/>
        </w:rPr>
        <w:t>Section 7.02</w:t>
      </w:r>
      <w:r>
        <w:rPr>
          <w:rFonts w:ascii="Times New Roman" w:cs="Times New Roman" w:eastAsia="Times New Roman" w:hAnsi="Times New Roman"/>
          <w:sz w:val="19"/>
          <w:szCs w:val="19"/>
          <w:color w:val="auto"/>
        </w:rPr>
        <w:t xml:space="preserve">, (D) the making of any Restricted Payments permitted by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7.08</w:t>
      </w:r>
      <w:r>
        <w:rPr>
          <w:rFonts w:ascii="Times New Roman" w:cs="Times New Roman" w:eastAsia="Times New Roman" w:hAnsi="Times New Roman"/>
          <w:sz w:val="19"/>
          <w:szCs w:val="19"/>
          <w:color w:val="auto"/>
        </w:rPr>
        <w:t xml:space="preserve">, and (E) Dispositions of property to the extent that such property constitutes an Investment permitted by </w:t>
      </w:r>
      <w:r>
        <w:rPr>
          <w:rFonts w:ascii="Times New Roman" w:cs="Times New Roman" w:eastAsia="Times New Roman" w:hAnsi="Times New Roman"/>
          <w:sz w:val="19"/>
          <w:szCs w:val="19"/>
          <w:u w:val="single" w:color="auto"/>
          <w:color w:val="auto"/>
        </w:rPr>
        <w:t>Section 7.09</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w:t>
      </w:r>
    </w:p>
    <w:p>
      <w:pPr>
        <w:spacing w:after="0" w:line="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7.09(q)</w:t>
      </w:r>
      <w:r>
        <w:rPr>
          <w:rFonts w:ascii="Times New Roman" w:cs="Times New Roman" w:eastAsia="Times New Roman" w:hAnsi="Times New Roman"/>
          <w:sz w:val="19"/>
          <w:szCs w:val="19"/>
          <w:color w:val="auto"/>
        </w:rPr>
        <w:t>);</w:t>
      </w:r>
    </w:p>
    <w:p>
      <w:pPr>
        <w:spacing w:after="0" w:line="207" w:lineRule="exact"/>
        <w:rPr>
          <w:rFonts w:ascii="Times New Roman" w:cs="Times New Roman" w:eastAsia="Times New Roman" w:hAnsi="Times New Roman"/>
          <w:sz w:val="19"/>
          <w:szCs w:val="19"/>
          <w:color w:val="auto"/>
        </w:rPr>
      </w:pPr>
    </w:p>
    <w:p>
      <w:pPr>
        <w:ind w:right="260" w:firstLine="639"/>
        <w:spacing w:after="0" w:line="283" w:lineRule="auto"/>
        <w:tabs>
          <w:tab w:leader="none" w:pos="1009"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shares of Capital Stock in order to qualify members of the board of directors or equivalent governing body of the Company or such other nominal shares required to be held other than by the Company, as required by applicable law;</w:t>
      </w:r>
    </w:p>
    <w:p>
      <w:pPr>
        <w:spacing w:after="0" w:line="157" w:lineRule="exact"/>
        <w:rPr>
          <w:rFonts w:ascii="Times New Roman" w:cs="Times New Roman" w:eastAsia="Times New Roman" w:hAnsi="Times New Roman"/>
          <w:sz w:val="19"/>
          <w:szCs w:val="19"/>
          <w:color w:val="auto"/>
        </w:rPr>
      </w:pPr>
    </w:p>
    <w:p>
      <w:pPr>
        <w:ind w:right="200" w:firstLine="639"/>
        <w:spacing w:after="0" w:line="297" w:lineRule="auto"/>
        <w:tabs>
          <w:tab w:leader="none" w:pos="1052"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discount, forgiveness or other compromise of notes or other accounts in the ordinary course of business or in connection with collection thereof;</w:t>
      </w:r>
    </w:p>
    <w:p>
      <w:pPr>
        <w:spacing w:after="0" w:line="131" w:lineRule="exact"/>
        <w:rPr>
          <w:rFonts w:ascii="Times New Roman" w:cs="Times New Roman" w:eastAsia="Times New Roman" w:hAnsi="Times New Roman"/>
          <w:sz w:val="19"/>
          <w:szCs w:val="19"/>
          <w:color w:val="auto"/>
        </w:rPr>
      </w:pPr>
    </w:p>
    <w:p>
      <w:pPr>
        <w:ind w:right="80" w:firstLine="639"/>
        <w:spacing w:after="0" w:line="272" w:lineRule="auto"/>
        <w:tabs>
          <w:tab w:leader="none" w:pos="1009"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issuances of Capital Stock (i) by the Company, (ii) by a directly or indirectly Wholly-Owned Subsidiary of the Company to the Company or to one or more Wholly-Owned Subsidiaries (other than Unrestricted Subsidiaries) of the Company or (iii) by a non-Wholly-Owned Subsidiary of the Company to the respective equity holders of such non-Wholly-Owned Subsidiary, on a pro rata basis;</w:t>
      </w:r>
    </w:p>
    <w:p>
      <w:pPr>
        <w:spacing w:after="0" w:line="167" w:lineRule="exact"/>
        <w:rPr>
          <w:rFonts w:ascii="Times New Roman" w:cs="Times New Roman" w:eastAsia="Times New Roman" w:hAnsi="Times New Roman"/>
          <w:sz w:val="19"/>
          <w:szCs w:val="19"/>
          <w:color w:val="auto"/>
        </w:rPr>
      </w:pPr>
    </w:p>
    <w:p>
      <w:pPr>
        <w:ind w:firstLine="639"/>
        <w:spacing w:after="0" w:line="283" w:lineRule="auto"/>
        <w:tabs>
          <w:tab w:leader="none" w:pos="1105"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 and lease back transactions in respect of any property acquired after the Closing Date, and consummated within 365 days after the acquisition of such property;</w:t>
      </w:r>
    </w:p>
    <w:p>
      <w:pPr>
        <w:spacing w:after="0" w:line="157" w:lineRule="exact"/>
        <w:rPr>
          <w:rFonts w:ascii="Times New Roman" w:cs="Times New Roman" w:eastAsia="Times New Roman" w:hAnsi="Times New Roman"/>
          <w:sz w:val="19"/>
          <w:szCs w:val="19"/>
          <w:color w:val="auto"/>
        </w:rPr>
      </w:pPr>
    </w:p>
    <w:p>
      <w:pPr>
        <w:jc w:val="both"/>
        <w:ind w:right="380" w:firstLine="639"/>
        <w:spacing w:after="0" w:line="268" w:lineRule="auto"/>
        <w:tabs>
          <w:tab w:leader="none" w:pos="1052"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Dispositions not otherwise permitted hereunder (other than pursuant to Reinsurance Agreements, which shall be subject to the limitations in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above);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Dispositions shall be for fair market value of assets being disposed, as determined by the Company in good faith, not exceeding (i) 15% of Consolidated Net Worth in any calendar year or (ii) 45% of Consolidated Net Worth in the aggregate; and</w:t>
      </w:r>
    </w:p>
    <w:p>
      <w:pPr>
        <w:spacing w:after="0" w:line="158" w:lineRule="exact"/>
        <w:rPr>
          <w:rFonts w:ascii="Times New Roman" w:cs="Times New Roman" w:eastAsia="Times New Roman" w:hAnsi="Times New Roman"/>
          <w:sz w:val="19"/>
          <w:szCs w:val="19"/>
          <w:color w:val="auto"/>
        </w:rPr>
      </w:pPr>
    </w:p>
    <w:p>
      <w:pPr>
        <w:ind w:right="500" w:firstLine="639"/>
        <w:spacing w:after="0" w:line="297" w:lineRule="auto"/>
        <w:tabs>
          <w:tab w:leader="none" w:pos="1052"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Dispositions of mortgage-related assets, mortgage loans, receivables, and other similar financial assets securing Indebtedness incurred under </w:t>
      </w:r>
      <w:r>
        <w:rPr>
          <w:rFonts w:ascii="Times New Roman" w:cs="Times New Roman" w:eastAsia="Times New Roman" w:hAnsi="Times New Roman"/>
          <w:sz w:val="19"/>
          <w:szCs w:val="19"/>
          <w:u w:val="single" w:color="auto"/>
          <w:color w:val="auto"/>
        </w:rPr>
        <w:t>Section 7.01(a)(xviii)</w:t>
      </w:r>
      <w:r>
        <w:rPr>
          <w:rFonts w:ascii="Times New Roman" w:cs="Times New Roman" w:eastAsia="Times New Roman" w:hAnsi="Times New Roman"/>
          <w:sz w:val="19"/>
          <w:szCs w:val="19"/>
          <w:color w:val="auto"/>
        </w:rPr>
        <w:t>;</w:t>
      </w:r>
    </w:p>
    <w:p>
      <w:pPr>
        <w:spacing w:after="0" w:line="145"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Section 7.03 shall not apply at any time that the Index Debt is rated at least BBB- or Baa3 (as applicable) from at least two of the Rating Agencies.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51" w:name="page152"/>
    <w:bookmarkEnd w:id="151"/>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7.04</w:t>
        <w:tab/>
        <w:t>[Reserved].</w:t>
      </w:r>
    </w:p>
    <w:p>
      <w:pPr>
        <w:spacing w:after="0" w:line="23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7.05</w:t>
      </w:r>
      <w:r>
        <w:rPr>
          <w:sz w:val="20"/>
          <w:szCs w:val="20"/>
          <w:color w:val="auto"/>
        </w:rPr>
        <w:tab/>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firstLine="633"/>
        <w:spacing w:after="0" w:line="258" w:lineRule="auto"/>
        <w:rPr>
          <w:sz w:val="20"/>
          <w:szCs w:val="20"/>
          <w:color w:val="auto"/>
        </w:rPr>
      </w:pPr>
      <w:r>
        <w:rPr>
          <w:rFonts w:ascii="Times New Roman" w:cs="Times New Roman" w:eastAsia="Times New Roman" w:hAnsi="Times New Roman"/>
          <w:sz w:val="19"/>
          <w:szCs w:val="19"/>
          <w:color w:val="auto"/>
        </w:rPr>
        <w:t xml:space="preserve">The Company shall not, and shall not suffer or permit any Restricted Subsidiary to, enter into any transaction with any Affiliate of the Company, other than (a) transactions no less favorable to the Company or such Restricted Subsidiary than would be obtained in a comparable arm’s-length transaction with a Person not an Affiliate of the Company or such Restricted Subsidiary, (b) insurance transactions, intercompany pooling and other reinsurance transactions entered into in the ordinary course of business and consistent with past practice, (c) transactions between or among the Company and its Restricted Subsidiaries and transactions between or among Restricted Subsidiaries, in each case that are not otherwise prohibited by this Agreement, (d) transactions with any Affiliate of the Company that have been reported to, and not disapproved by, the OCI pursuant to applicable law, (e) any Indebtedness permitted by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any Restricted Payment permitted by </w:t>
      </w:r>
      <w:r>
        <w:rPr>
          <w:rFonts w:ascii="Times New Roman" w:cs="Times New Roman" w:eastAsia="Times New Roman" w:hAnsi="Times New Roman"/>
          <w:sz w:val="19"/>
          <w:szCs w:val="19"/>
          <w:u w:val="single" w:color="auto"/>
          <w:color w:val="auto"/>
        </w:rPr>
        <w:t>Section 7.08</w:t>
      </w:r>
      <w:r>
        <w:rPr>
          <w:rFonts w:ascii="Times New Roman" w:cs="Times New Roman" w:eastAsia="Times New Roman" w:hAnsi="Times New Roman"/>
          <w:sz w:val="19"/>
          <w:szCs w:val="19"/>
          <w:color w:val="auto"/>
        </w:rPr>
        <w:t xml:space="preserve"> and any Investment permitted by </w:t>
      </w:r>
      <w:r>
        <w:rPr>
          <w:rFonts w:ascii="Times New Roman" w:cs="Times New Roman" w:eastAsia="Times New Roman" w:hAnsi="Times New Roman"/>
          <w:sz w:val="19"/>
          <w:szCs w:val="19"/>
          <w:u w:val="single" w:color="auto"/>
          <w:color w:val="auto"/>
        </w:rPr>
        <w:t>Section 7.09</w:t>
      </w:r>
      <w:r>
        <w:rPr>
          <w:rFonts w:ascii="Times New Roman" w:cs="Times New Roman" w:eastAsia="Times New Roman" w:hAnsi="Times New Roman"/>
          <w:sz w:val="19"/>
          <w:szCs w:val="19"/>
          <w:color w:val="auto"/>
        </w:rPr>
        <w:t xml:space="preserve"> (if Section 7.09 is then in effect), (f) arrangements for indemnification payments for directors and officers of the Company and its Subsidiaries, and (g) employment and severance arrangements for and compensation, bonuses, stock options and stock ownership plans and indemnification arrangements and benefit plans (and the making of payments, awards or grants in cash, securities or otherwise pursuant thereto or the funding thereof) for officers, directors and employees of the Company and its Subsidiaries approved by the board of directors or equivalent body of the Company or the respective Subsidiary.</w:t>
      </w:r>
    </w:p>
    <w:p>
      <w:pPr>
        <w:spacing w:after="0" w:line="17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7.06</w:t>
      </w:r>
      <w:r>
        <w:rPr>
          <w:sz w:val="20"/>
          <w:szCs w:val="20"/>
          <w:color w:val="auto"/>
        </w:rPr>
        <w:tab/>
      </w:r>
      <w:r>
        <w:rPr>
          <w:rFonts w:ascii="Times New Roman" w:cs="Times New Roman" w:eastAsia="Times New Roman" w:hAnsi="Times New Roman"/>
          <w:sz w:val="19"/>
          <w:szCs w:val="19"/>
          <w:u w:val="single" w:color="auto"/>
          <w:color w:val="auto"/>
        </w:rPr>
        <w:t>Change in Business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360" w:firstLine="633"/>
        <w:spacing w:after="0" w:line="297" w:lineRule="auto"/>
        <w:rPr>
          <w:sz w:val="20"/>
          <w:szCs w:val="20"/>
          <w:color w:val="auto"/>
        </w:rPr>
      </w:pPr>
      <w:r>
        <w:rPr>
          <w:rFonts w:ascii="Times New Roman" w:cs="Times New Roman" w:eastAsia="Times New Roman" w:hAnsi="Times New Roman"/>
          <w:sz w:val="19"/>
          <w:szCs w:val="19"/>
          <w:color w:val="auto"/>
        </w:rPr>
        <w:t>The Company shall not, and shall not suffer or permit any Restricted Subsidiary to, engage in any business other than the businesses conducted by the Company and its Restricted Subsidiaries on the date of this Agreement or any Similar Line of Business.</w:t>
      </w:r>
    </w:p>
    <w:p>
      <w:pPr>
        <w:spacing w:after="0" w:line="132"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7.07</w:t>
      </w:r>
      <w:r>
        <w:rPr>
          <w:sz w:val="20"/>
          <w:szCs w:val="20"/>
          <w:color w:val="auto"/>
        </w:rPr>
        <w:tab/>
      </w:r>
      <w:r>
        <w:rPr>
          <w:rFonts w:ascii="Times New Roman" w:cs="Times New Roman" w:eastAsia="Times New Roman" w:hAnsi="Times New Roman"/>
          <w:sz w:val="19"/>
          <w:szCs w:val="19"/>
          <w:u w:val="single" w:color="auto"/>
          <w:color w:val="auto"/>
        </w:rPr>
        <w:t>Fundamental Changes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19"/>
          <w:szCs w:val="19"/>
          <w:color w:val="auto"/>
        </w:rPr>
        <w:t>The Company shall not consolidate, amalgamate or merge with or into or wind up into (whether or not the Company is the surviving Person), or sell, assign, transfer, lease, convey or otherwise dispose of all or substantially all of its and its Subsidiaries’ assets, taken as a whole, in one or more related transactions, to any Person unless: (a) the Company is the continuing, resulting or surviving Person, or the Person formed by, continuing or resulting from or surviving any such consolidation, amalgamation, merger or winding up (if other than the Company) or to which such sale, assignment, transfer, lease, conveyance or other disposition will have been made is a corporation, limited liability company or partnership organized or existing under the laws of the United States, any state thereof or the District of Columbia (such Person, as the case may be, being herein called the “</w:t>
      </w:r>
      <w:r>
        <w:rPr>
          <w:rFonts w:ascii="Times New Roman" w:cs="Times New Roman" w:eastAsia="Times New Roman" w:hAnsi="Times New Roman"/>
          <w:sz w:val="19"/>
          <w:szCs w:val="19"/>
          <w:b w:val="1"/>
          <w:bCs w:val="1"/>
          <w:color w:val="auto"/>
        </w:rPr>
        <w:t>Successor Company</w:t>
      </w:r>
      <w:r>
        <w:rPr>
          <w:rFonts w:ascii="Times New Roman" w:cs="Times New Roman" w:eastAsia="Times New Roman" w:hAnsi="Times New Roman"/>
          <w:sz w:val="19"/>
          <w:szCs w:val="19"/>
          <w:color w:val="auto"/>
        </w:rPr>
        <w:t>”); (b) the Successor Company, if other than the Company, expressly assumes all the obligations of the Company under this this Agreement and the other Loan Documents and (c) immediately after such transaction, no Event of Default is continuing.</w:t>
      </w:r>
    </w:p>
    <w:p>
      <w:pPr>
        <w:spacing w:after="0" w:line="20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7.08</w:t>
      </w:r>
      <w:r>
        <w:rPr>
          <w:sz w:val="20"/>
          <w:szCs w:val="20"/>
          <w:color w:val="auto"/>
        </w:rPr>
        <w:tab/>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340" w:firstLine="633"/>
        <w:spacing w:after="0" w:line="272" w:lineRule="auto"/>
        <w:rPr>
          <w:sz w:val="20"/>
          <w:szCs w:val="20"/>
          <w:color w:val="auto"/>
        </w:rPr>
      </w:pPr>
      <w:r>
        <w:rPr>
          <w:rFonts w:ascii="Times New Roman" w:cs="Times New Roman" w:eastAsia="Times New Roman" w:hAnsi="Times New Roman"/>
          <w:sz w:val="19"/>
          <w:szCs w:val="19"/>
          <w:color w:val="auto"/>
        </w:rPr>
        <w:t>The Company shall not, and shall not suffer or permit any Restricted Subsidiary to, declare or pay any dividend on (or make any payment to a related trust for the purpose of paying a dividend), or make any payment on account of, or set apart assets for a sinking or other analogous fund for, the purchase, redemption, defeasance, retirement or other acquisition of, any Capital Stock of the Company or such</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52" w:name="page153"/>
    <w:bookmarkEnd w:id="152"/>
    <w:p>
      <w:pPr>
        <w:ind w:right="280"/>
        <w:spacing w:after="0" w:line="262" w:lineRule="auto"/>
        <w:rPr>
          <w:sz w:val="20"/>
          <w:szCs w:val="20"/>
          <w:color w:val="auto"/>
        </w:rPr>
      </w:pPr>
      <w:r>
        <w:rPr>
          <w:rFonts w:ascii="Times New Roman" w:cs="Times New Roman" w:eastAsia="Times New Roman" w:hAnsi="Times New Roman"/>
          <w:sz w:val="19"/>
          <w:szCs w:val="19"/>
          <w:color w:val="auto"/>
        </w:rPr>
        <w:t>Restricted Subsidiary (or any related trust), whether now or hereafter outstanding, or make any other distribution in respect thereof, either directly or indirectly, whether in cash or property or in obligations of the Company or such Restricted Subsidiary (collectively, “</w:t>
      </w:r>
      <w:r>
        <w:rPr>
          <w:rFonts w:ascii="Times New Roman" w:cs="Times New Roman" w:eastAsia="Times New Roman" w:hAnsi="Times New Roman"/>
          <w:sz w:val="19"/>
          <w:szCs w:val="19"/>
          <w:b w:val="1"/>
          <w:bCs w:val="1"/>
          <w:color w:val="auto"/>
        </w:rPr>
        <w:t>Restricted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Payments</w:t>
      </w:r>
      <w:r>
        <w:rPr>
          <w:rFonts w:ascii="Times New Roman" w:cs="Times New Roman" w:eastAsia="Times New Roman" w:hAnsi="Times New Roman"/>
          <w:sz w:val="19"/>
          <w:szCs w:val="19"/>
          <w:color w:val="auto"/>
        </w:rPr>
        <w:t>”) (it being understood, for the avoidance of doubt, that payments by the Company or any of its Restricted Subsidiaries pursuant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intercompany loans or notes, intercompany tax and expense-sharing arrangements, and intercompany services agreements shall not constitute Restricted Payments), except that:</w:t>
      </w:r>
    </w:p>
    <w:p>
      <w:pPr>
        <w:spacing w:after="0" w:line="179" w:lineRule="exact"/>
        <w:rPr>
          <w:sz w:val="20"/>
          <w:szCs w:val="20"/>
          <w:color w:val="auto"/>
        </w:rPr>
      </w:pPr>
    </w:p>
    <w:p>
      <w:pPr>
        <w:ind w:right="220" w:firstLine="639"/>
        <w:spacing w:after="0" w:line="268" w:lineRule="auto"/>
        <w:tabs>
          <w:tab w:leader="none" w:pos="1041"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Restricted Subsidiary may declare or pay dividends with respect to its Capital Stock to the Company and to any other Restricted Subsidiary (and, in the case of a Restricted Payment by a non-wholly owned Restricted Subsidiary, to the Company and any other Restricted Subsidiary and to each other owner of Capital Stock or other equity interests of such Restricted Subsidiary on a pro rata basis based on their relative ownership interests);</w:t>
      </w:r>
    </w:p>
    <w:p>
      <w:pPr>
        <w:spacing w:after="0" w:line="158"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pay dividends solely in the form of shares of its Capital Stock (other than Disqualified Capital Stock);</w:t>
      </w:r>
    </w:p>
    <w:p>
      <w:pPr>
        <w:spacing w:after="0" w:line="229" w:lineRule="exact"/>
        <w:rPr>
          <w:rFonts w:ascii="Times New Roman" w:cs="Times New Roman" w:eastAsia="Times New Roman" w:hAnsi="Times New Roman"/>
          <w:sz w:val="19"/>
          <w:szCs w:val="19"/>
          <w:color w:val="auto"/>
        </w:rPr>
      </w:pPr>
    </w:p>
    <w:p>
      <w:pPr>
        <w:ind w:right="220" w:firstLine="639"/>
        <w:spacing w:after="0" w:line="272" w:lineRule="auto"/>
        <w:tabs>
          <w:tab w:leader="none" w:pos="1041"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may make Restricted Payments;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immediately before and after giving effect to the making of such Restricted Payment, (x) no Default or Event of Default shall have occurred and be continuing, (y) the Company and its Restricted Subsidiaries shall be in compliance on a Pro Forma Basis with the Financial Covenants;</w:t>
      </w:r>
    </w:p>
    <w:p>
      <w:pPr>
        <w:spacing w:after="0" w:line="167"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6" w:lineRule="exact"/>
        <w:rPr>
          <w:rFonts w:ascii="Times New Roman" w:cs="Times New Roman" w:eastAsia="Times New Roman" w:hAnsi="Times New Roman"/>
          <w:sz w:val="19"/>
          <w:szCs w:val="19"/>
          <w:color w:val="auto"/>
        </w:rPr>
      </w:pPr>
    </w:p>
    <w:p>
      <w:pPr>
        <w:ind w:right="40" w:firstLine="639"/>
        <w:spacing w:after="0" w:line="279" w:lineRule="auto"/>
        <w:tabs>
          <w:tab w:leader="none" w:pos="1041"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make cash payments in lieu of fractional shares in connection with the exercise of warrants, options or other securities convertible into or exchangeable for Capital Stock or arising out of stock dividends, splits, combinations or business combinations and may exchange debt securities for other debt securities provided that there is no cash payment made in connection therewith;</w:t>
      </w:r>
    </w:p>
    <w:p>
      <w:pPr>
        <w:spacing w:after="0" w:line="148" w:lineRule="exact"/>
        <w:rPr>
          <w:rFonts w:ascii="Times New Roman" w:cs="Times New Roman" w:eastAsia="Times New Roman" w:hAnsi="Times New Roman"/>
          <w:sz w:val="19"/>
          <w:szCs w:val="19"/>
          <w:color w:val="auto"/>
        </w:rPr>
      </w:pPr>
    </w:p>
    <w:p>
      <w:pPr>
        <w:ind w:firstLine="639"/>
        <w:spacing w:after="0" w:line="258" w:lineRule="auto"/>
        <w:tabs>
          <w:tab w:leader="none" w:pos="1019"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and each Restricted Subsidiary may pay (or make Restricted Payments to allow the Company or any other direct or indirect parent thereof to pay) for the repurchase, redemption or other acquisition or retirement for value of Capital Stock of such Restricted Subsidiary (or of the Company or any other such direct or indirect parent thereof) from any future, present or former employee, officer, director, manager or consultant of such Restricted Subsidiary (or the Company or any other direct or indirect parent of such Restricted Subsidiary) or any of its Subsidiaries upon the death, disability, retirement or termination of employment of any such Person or pursuant to any employee or director equity plan, employee, manager or director stock option plan or any other employee or director benefit plan or any agreement (including any stock subscription or shareholder agreement) with any employee, manager, director, officer or consultant of such Restricted Subsidiary (or the Company or any other direct or indirect parent thereof) or any of its Restricted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Restricted Payments made pursuant to this clause (f) shall not exceed the greater of $10,000,000 and 0.50% of the Consolidated Net Worth of the Company;</w:t>
      </w:r>
    </w:p>
    <w:p>
      <w:pPr>
        <w:spacing w:after="0" w:line="200" w:lineRule="exact"/>
        <w:rPr>
          <w:rFonts w:ascii="Times New Roman" w:cs="Times New Roman" w:eastAsia="Times New Roman" w:hAnsi="Times New Roman"/>
          <w:sz w:val="19"/>
          <w:szCs w:val="19"/>
          <w:color w:val="auto"/>
        </w:rPr>
      </w:pPr>
    </w:p>
    <w:p>
      <w:pPr>
        <w:spacing w:after="0" w:line="218"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each Restricted Subsidiary may make Restricted Payments:</w:t>
      </w:r>
    </w:p>
    <w:p>
      <w:pPr>
        <w:spacing w:after="0" w:line="229" w:lineRule="exact"/>
        <w:rPr>
          <w:rFonts w:ascii="Times New Roman" w:cs="Times New Roman" w:eastAsia="Times New Roman" w:hAnsi="Times New Roman"/>
          <w:sz w:val="19"/>
          <w:szCs w:val="19"/>
          <w:color w:val="auto"/>
        </w:rPr>
      </w:pPr>
    </w:p>
    <w:p>
      <w:pPr>
        <w:ind w:left="620" w:right="100" w:firstLine="889"/>
        <w:spacing w:after="0" w:line="264" w:lineRule="auto"/>
        <w:tabs>
          <w:tab w:leader="none" w:pos="1882" w:val="left"/>
        </w:tabs>
        <w:numPr>
          <w:ilvl w:val="1"/>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proceeds of which shall be used to pay (A) its (or any of its direct or indirect parents’) operating costs and expenses incurred in the ordinary course of business and other corporate overhead costs and expenses (including administrative, legal, accounting and similar fees and expenses), which are reasonable and customary and incurred in the ordinary course of business and attributable to the ownership or operations of the Company and its Subsidiaries, and (B) fees and expenses incurred in connection with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-77-</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53" w:name="page154"/>
    <w:bookmarkEnd w:id="153"/>
    <w:p>
      <w:pPr>
        <w:ind w:left="600" w:right="180" w:firstLine="889"/>
        <w:spacing w:after="0" w:line="297" w:lineRule="auto"/>
        <w:tabs>
          <w:tab w:leader="none" w:pos="1915"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proceeds of which shall be used to pay franchise Taxes and other fees, Taxes and expenses required to maintain its (or any of its direct or indirect parents’) corporate existence;</w:t>
      </w:r>
    </w:p>
    <w:p>
      <w:pPr>
        <w:spacing w:after="0" w:line="131" w:lineRule="exact"/>
        <w:rPr>
          <w:rFonts w:ascii="Times New Roman" w:cs="Times New Roman" w:eastAsia="Times New Roman" w:hAnsi="Times New Roman"/>
          <w:sz w:val="19"/>
          <w:szCs w:val="19"/>
          <w:color w:val="auto"/>
        </w:rPr>
      </w:pPr>
    </w:p>
    <w:p>
      <w:pPr>
        <w:jc w:val="both"/>
        <w:ind w:left="600" w:right="80" w:firstLine="889"/>
        <w:spacing w:after="0" w:line="272" w:lineRule="auto"/>
        <w:tabs>
          <w:tab w:leader="none" w:pos="2018"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proceeds of which shall be used to pay customary salary, bonus and other benefits payable (including indemnities) to directors, managers, officers and employees of the Company to the extent such salaries, bonuses and other benefits are attributable to the ownership or operation of the Company and its Subsidiaries; and</w:t>
      </w:r>
    </w:p>
    <w:p>
      <w:pPr>
        <w:spacing w:after="0" w:line="167" w:lineRule="exact"/>
        <w:rPr>
          <w:rFonts w:ascii="Times New Roman" w:cs="Times New Roman" w:eastAsia="Times New Roman" w:hAnsi="Times New Roman"/>
          <w:sz w:val="19"/>
          <w:szCs w:val="19"/>
          <w:color w:val="auto"/>
        </w:rPr>
      </w:pPr>
    </w:p>
    <w:p>
      <w:pPr>
        <w:ind w:left="600" w:right="260" w:firstLine="889"/>
        <w:spacing w:after="0" w:line="297" w:lineRule="auto"/>
        <w:tabs>
          <w:tab w:leader="none" w:pos="2007"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proceeds of which shall be used to pay fees and expenses related to any equity or debt offering by the Company, whether or not consummated;</w:t>
      </w:r>
    </w:p>
    <w:p>
      <w:pPr>
        <w:spacing w:after="0" w:line="131" w:lineRule="exact"/>
        <w:rPr>
          <w:rFonts w:ascii="Times New Roman" w:cs="Times New Roman" w:eastAsia="Times New Roman" w:hAnsi="Times New Roman"/>
          <w:sz w:val="19"/>
          <w:szCs w:val="19"/>
          <w:color w:val="auto"/>
        </w:rPr>
      </w:pPr>
    </w:p>
    <w:p>
      <w:pPr>
        <w:ind w:left="-20" w:right="260" w:firstLine="639"/>
        <w:spacing w:after="0" w:line="297" w:lineRule="auto"/>
        <w:tabs>
          <w:tab w:leader="none" w:pos="1032"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Restricted Subsidiary may make Restricted Payments the proceeds of which are used substantially simultaneously to make capital contributions to any Restricted Subsidiary of the Company;</w:t>
      </w:r>
    </w:p>
    <w:p>
      <w:pPr>
        <w:spacing w:after="0" w:line="131" w:lineRule="exact"/>
        <w:rPr>
          <w:rFonts w:ascii="Times New Roman" w:cs="Times New Roman" w:eastAsia="Times New Roman" w:hAnsi="Times New Roman"/>
          <w:sz w:val="19"/>
          <w:szCs w:val="19"/>
          <w:color w:val="auto"/>
        </w:rPr>
      </w:pPr>
    </w:p>
    <w:p>
      <w:pPr>
        <w:ind w:left="1000" w:hanging="381"/>
        <w:spacing w:after="0"/>
        <w:tabs>
          <w:tab w:leader="none" w:pos="1000"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make cashless exchanges of debt;</w:t>
      </w:r>
    </w:p>
    <w:p>
      <w:pPr>
        <w:spacing w:after="0" w:line="229" w:lineRule="exact"/>
        <w:rPr>
          <w:rFonts w:ascii="Times New Roman" w:cs="Times New Roman" w:eastAsia="Times New Roman" w:hAnsi="Times New Roman"/>
          <w:sz w:val="19"/>
          <w:szCs w:val="19"/>
          <w:color w:val="auto"/>
        </w:rPr>
      </w:pPr>
    </w:p>
    <w:p>
      <w:pPr>
        <w:ind w:left="-20" w:right="580" w:firstLine="639"/>
        <w:spacing w:after="0" w:line="297" w:lineRule="auto"/>
        <w:tabs>
          <w:tab w:leader="none" w:pos="985"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each Restricted Subsidiary may pay any dividend or distribution with 60 days after the date of declaration thereof, if at the date of declaration such payment would have complied with the provisions of this Agreement;</w:t>
      </w:r>
    </w:p>
    <w:p>
      <w:pPr>
        <w:spacing w:after="0" w:line="131" w:lineRule="exact"/>
        <w:rPr>
          <w:rFonts w:ascii="Times New Roman" w:cs="Times New Roman" w:eastAsia="Times New Roman" w:hAnsi="Times New Roman"/>
          <w:sz w:val="19"/>
          <w:szCs w:val="19"/>
          <w:color w:val="auto"/>
        </w:rPr>
      </w:pPr>
    </w:p>
    <w:p>
      <w:pPr>
        <w:ind w:left="-20" w:right="120" w:firstLine="639"/>
        <w:spacing w:after="0" w:line="297" w:lineRule="auto"/>
        <w:tabs>
          <w:tab w:leader="none" w:pos="1028"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each Restricted Subsidiary may repurchase Capital Stock issued by it that has been withheld in respect of taxes payable upon the vesting of equity awards pursuant to the Company and its Subsidiaries’ equity incentive plans or programs;</w:t>
      </w:r>
    </w:p>
    <w:p>
      <w:pPr>
        <w:spacing w:after="0" w:line="131" w:lineRule="exact"/>
        <w:rPr>
          <w:rFonts w:ascii="Times New Roman" w:cs="Times New Roman" w:eastAsia="Times New Roman" w:hAnsi="Times New Roman"/>
          <w:sz w:val="19"/>
          <w:szCs w:val="19"/>
          <w:color w:val="auto"/>
        </w:rPr>
      </w:pPr>
    </w:p>
    <w:p>
      <w:pPr>
        <w:ind w:left="-20" w:right="200" w:firstLine="639"/>
        <w:spacing w:after="0" w:line="279" w:lineRule="auto"/>
        <w:tabs>
          <w:tab w:leader="none" w:pos="985"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each Restricted Subsidiary may make Restricted Payments in the form of equity pursuant to and in accordance with equity compensation plans or programs and other benefit and compensation plans, programs or agreements for directors, officers, employees or advisors of the Company and its Subsidiaries;</w:t>
      </w:r>
    </w:p>
    <w:p>
      <w:pPr>
        <w:spacing w:after="0" w:line="148" w:lineRule="exact"/>
        <w:rPr>
          <w:rFonts w:ascii="Times New Roman" w:cs="Times New Roman" w:eastAsia="Times New Roman" w:hAnsi="Times New Roman"/>
          <w:sz w:val="19"/>
          <w:szCs w:val="19"/>
          <w:color w:val="auto"/>
        </w:rPr>
      </w:pPr>
    </w:p>
    <w:p>
      <w:pPr>
        <w:ind w:left="-20" w:right="40" w:firstLine="639"/>
        <w:spacing w:after="0" w:line="272" w:lineRule="auto"/>
        <w:tabs>
          <w:tab w:leader="none" w:pos="1082"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make non-cash repurchases of its Capital Stock occurring upon exercise of stock options or warrants or the settlement or vesting of other awards if such Capital Stock represents a portion of the exercise price of such options or warrants or similar equity incentive awards;</w:t>
      </w:r>
    </w:p>
    <w:p>
      <w:pPr>
        <w:spacing w:after="0" w:line="167" w:lineRule="exact"/>
        <w:rPr>
          <w:rFonts w:ascii="Times New Roman" w:cs="Times New Roman" w:eastAsia="Times New Roman" w:hAnsi="Times New Roman"/>
          <w:sz w:val="19"/>
          <w:szCs w:val="19"/>
          <w:color w:val="auto"/>
        </w:rPr>
      </w:pPr>
    </w:p>
    <w:p>
      <w:pPr>
        <w:ind w:left="-20" w:right="540" w:firstLine="639"/>
        <w:spacing w:after="0" w:line="283" w:lineRule="auto"/>
        <w:tabs>
          <w:tab w:leader="none" w:pos="1028"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each Restricted Subsidiary may purchase, redeem or otherwise acquire Capital Stock issued by it with the proceeds received from the substantially concurrent issue of new shares of its Capital Stock (other than Disqualified Capital Stock);</w:t>
      </w:r>
    </w:p>
    <w:p>
      <w:pPr>
        <w:spacing w:after="0" w:line="157" w:lineRule="exact"/>
        <w:rPr>
          <w:rFonts w:ascii="Times New Roman" w:cs="Times New Roman" w:eastAsia="Times New Roman" w:hAnsi="Times New Roman"/>
          <w:sz w:val="19"/>
          <w:szCs w:val="19"/>
          <w:color w:val="auto"/>
        </w:rPr>
      </w:pPr>
    </w:p>
    <w:p>
      <w:pPr>
        <w:ind w:left="-20" w:right="420" w:firstLine="639"/>
        <w:spacing w:after="0" w:line="297" w:lineRule="auto"/>
        <w:tabs>
          <w:tab w:leader="none" w:pos="1028"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or any Restricted Subsidiary may distribute rights pursuant to a stockholder rights plan or redeem such rights in accordance with the terms of such plan; and</w:t>
      </w:r>
    </w:p>
    <w:p>
      <w:pPr>
        <w:spacing w:after="0" w:line="131" w:lineRule="exact"/>
        <w:rPr>
          <w:rFonts w:ascii="Times New Roman" w:cs="Times New Roman" w:eastAsia="Times New Roman" w:hAnsi="Times New Roman"/>
          <w:sz w:val="19"/>
          <w:szCs w:val="19"/>
          <w:color w:val="auto"/>
        </w:rPr>
      </w:pPr>
    </w:p>
    <w:p>
      <w:pPr>
        <w:ind w:left="-20" w:firstLine="639"/>
        <w:spacing w:after="0" w:line="272" w:lineRule="auto"/>
        <w:tabs>
          <w:tab w:leader="none" w:pos="1028"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or any Restricted Subsidiary may engage in net-settled share transactions involving Capital Stock of the Company in connection with the payment of withholding taxes in connection with equity compensation plans or programs and other benefit and compensation plans, programs or agreements for directors, officers, employees or advisors.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40" w:top="1383" w:right="339" w:bottom="1440" w:gutter="0" w:footer="0" w:header="0"/>
        </w:sectPr>
      </w:pPr>
    </w:p>
    <w:bookmarkStart w:id="154" w:name="page155"/>
    <w:bookmarkEnd w:id="154"/>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7.09</w:t>
      </w:r>
      <w:r>
        <w:rPr>
          <w:sz w:val="20"/>
          <w:szCs w:val="20"/>
          <w:color w:val="auto"/>
        </w:rPr>
        <w:tab/>
      </w:r>
      <w:r>
        <w:rPr>
          <w:rFonts w:ascii="Times New Roman" w:cs="Times New Roman" w:eastAsia="Times New Roman" w:hAnsi="Times New Roman"/>
          <w:sz w:val="19"/>
          <w:szCs w:val="19"/>
          <w:u w:val="single" w:color="auto"/>
          <w:color w:val="auto"/>
        </w:rPr>
        <w:t>Investments and Acquisitions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40" w:firstLine="633"/>
        <w:spacing w:after="0" w:line="283" w:lineRule="auto"/>
        <w:rPr>
          <w:sz w:val="20"/>
          <w:szCs w:val="20"/>
          <w:color w:val="auto"/>
        </w:rPr>
      </w:pPr>
      <w:r>
        <w:rPr>
          <w:rFonts w:ascii="Times New Roman" w:cs="Times New Roman" w:eastAsia="Times New Roman" w:hAnsi="Times New Roman"/>
          <w:sz w:val="19"/>
          <w:szCs w:val="19"/>
          <w:color w:val="auto"/>
        </w:rPr>
        <w:t>Prior to the Springing Covenant End Date, the Company shall not, and shall not suffer or permit any Restricted Subsidiary to, directly or indirectly, make any Acquisition or hold or make any other Investment in any other Person, except:</w:t>
      </w:r>
    </w:p>
    <w:p>
      <w:pPr>
        <w:spacing w:after="0" w:line="157" w:lineRule="exact"/>
        <w:rPr>
          <w:sz w:val="20"/>
          <w:szCs w:val="20"/>
          <w:color w:val="auto"/>
        </w:rPr>
      </w:pPr>
    </w:p>
    <w:p>
      <w:pPr>
        <w:ind w:right="140" w:firstLine="639"/>
        <w:spacing w:after="0" w:line="283" w:lineRule="auto"/>
        <w:tabs>
          <w:tab w:leader="none" w:pos="1041"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existence on the Effective Date and commitments to make Investments existing on the Effective Date and listed on </w:t>
      </w:r>
      <w:r>
        <w:rPr>
          <w:rFonts w:ascii="Times New Roman" w:cs="Times New Roman" w:eastAsia="Times New Roman" w:hAnsi="Times New Roman"/>
          <w:sz w:val="19"/>
          <w:szCs w:val="19"/>
          <w:u w:val="single" w:color="auto"/>
          <w:color w:val="auto"/>
        </w:rPr>
        <w:t>Schedule 7.09</w:t>
      </w:r>
      <w:r>
        <w:rPr>
          <w:rFonts w:ascii="Times New Roman" w:cs="Times New Roman" w:eastAsia="Times New Roman" w:hAnsi="Times New Roman"/>
          <w:sz w:val="19"/>
          <w:szCs w:val="19"/>
          <w:color w:val="auto"/>
        </w:rPr>
        <w:t>;</w:t>
      </w:r>
    </w:p>
    <w:p>
      <w:pPr>
        <w:spacing w:after="0" w:line="157"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consisting of non-cash consideration received in connection with a Disposition not prohibited by the Loan Documents;</w:t>
      </w:r>
    </w:p>
    <w:p>
      <w:pPr>
        <w:spacing w:after="0" w:line="229" w:lineRule="exact"/>
        <w:rPr>
          <w:rFonts w:ascii="Times New Roman" w:cs="Times New Roman" w:eastAsia="Times New Roman" w:hAnsi="Times New Roman"/>
          <w:sz w:val="19"/>
          <w:szCs w:val="19"/>
          <w:color w:val="auto"/>
        </w:rPr>
      </w:pPr>
    </w:p>
    <w:p>
      <w:pPr>
        <w:ind w:left="1040" w:hanging="401"/>
        <w:spacing w:after="0"/>
        <w:tabs>
          <w:tab w:leader="none" w:pos="104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received in connection with the bankruptcy or reorganization of customers and suppliers in the ordinary course of</w:t>
      </w:r>
    </w:p>
    <w:p>
      <w:pPr>
        <w:spacing w:after="0" w:line="2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w:t>
      </w:r>
    </w:p>
    <w:p>
      <w:pPr>
        <w:spacing w:after="0" w:line="207" w:lineRule="exact"/>
        <w:rPr>
          <w:rFonts w:ascii="Times New Roman" w:cs="Times New Roman" w:eastAsia="Times New Roman" w:hAnsi="Times New Roman"/>
          <w:sz w:val="19"/>
          <w:szCs w:val="19"/>
          <w:color w:val="auto"/>
        </w:rPr>
      </w:pPr>
    </w:p>
    <w:p>
      <w:pPr>
        <w:ind w:firstLine="639"/>
        <w:spacing w:after="0" w:line="283" w:lineRule="auto"/>
        <w:tabs>
          <w:tab w:leader="none" w:pos="1052"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consisting of Contingent Obligations in respect of leases or of other obligations that do not constitute Indebtedness and Investments constituting Contingent Obligations in respect of Indebtedness to the extent such Indebtedness is not prohibited under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w:t>
      </w:r>
    </w:p>
    <w:p>
      <w:pPr>
        <w:spacing w:after="0" w:line="157" w:lineRule="exact"/>
        <w:rPr>
          <w:rFonts w:ascii="Times New Roman" w:cs="Times New Roman" w:eastAsia="Times New Roman" w:hAnsi="Times New Roman"/>
          <w:sz w:val="19"/>
          <w:szCs w:val="19"/>
          <w:color w:val="auto"/>
        </w:rPr>
      </w:pPr>
    </w:p>
    <w:p>
      <w:pPr>
        <w:ind w:left="1040" w:hanging="401"/>
        <w:spacing w:after="0"/>
        <w:tabs>
          <w:tab w:leader="none" w:pos="104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Cash Equivalents;</w:t>
      </w:r>
    </w:p>
    <w:p>
      <w:pPr>
        <w:spacing w:after="0" w:line="229" w:lineRule="exact"/>
        <w:rPr>
          <w:rFonts w:ascii="Times New Roman" w:cs="Times New Roman" w:eastAsia="Times New Roman" w:hAnsi="Times New Roman"/>
          <w:sz w:val="19"/>
          <w:szCs w:val="19"/>
          <w:color w:val="auto"/>
        </w:rPr>
      </w:pPr>
    </w:p>
    <w:p>
      <w:pPr>
        <w:ind w:right="60" w:firstLine="639"/>
        <w:spacing w:after="0" w:line="262" w:lineRule="auto"/>
        <w:tabs>
          <w:tab w:leader="none" w:pos="1019"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(x) any Insurance Subsidiary (including by any Subsidiary of such Insurance Subsidiary that is not itself an Insurance Subsidiary) in the ordinary course of business and consistent with the investment policy of such Insurance Subsidiary approved by the board of directors or equivalent body of such Insurance Subsidiary, of such Subsidiary of such Insurance Subsidiary, or of the Company and (y) by the Company in the ordinary course of business of the Company consistent with the investment policy approved by the board of directors of the Company;</w:t>
      </w:r>
    </w:p>
    <w:p>
      <w:pPr>
        <w:spacing w:after="0" w:line="179"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the Company or any Restricted Subsidiary in the Company or any Restricted Subsidiary;</w:t>
      </w:r>
    </w:p>
    <w:p>
      <w:pPr>
        <w:spacing w:after="0" w:line="216"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29" w:lineRule="exact"/>
        <w:rPr>
          <w:rFonts w:ascii="Times New Roman" w:cs="Times New Roman" w:eastAsia="Times New Roman" w:hAnsi="Times New Roman"/>
          <w:sz w:val="19"/>
          <w:szCs w:val="19"/>
          <w:color w:val="auto"/>
        </w:rPr>
      </w:pPr>
    </w:p>
    <w:p>
      <w:pPr>
        <w:ind w:left="1020" w:hanging="381"/>
        <w:spacing w:after="0"/>
        <w:tabs>
          <w:tab w:leader="none" w:pos="102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security deposits or pledges held or made in the ordinary course of business;</w:t>
      </w:r>
    </w:p>
    <w:p>
      <w:pPr>
        <w:spacing w:after="0" w:line="216" w:lineRule="exact"/>
        <w:rPr>
          <w:rFonts w:ascii="Times New Roman" w:cs="Times New Roman" w:eastAsia="Times New Roman" w:hAnsi="Times New Roman"/>
          <w:sz w:val="19"/>
          <w:szCs w:val="19"/>
          <w:color w:val="auto"/>
        </w:rPr>
      </w:pPr>
    </w:p>
    <w:p>
      <w:pPr>
        <w:ind w:right="160" w:firstLine="639"/>
        <w:spacing w:after="0" w:line="297" w:lineRule="auto"/>
        <w:tabs>
          <w:tab w:leader="none" w:pos="1009"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loans and advances in the ordinary course of business to employees for moving, relocation or travel purposes, in each case subject to compliance with the Requirements of Law;</w:t>
      </w:r>
    </w:p>
    <w:p>
      <w:pPr>
        <w:spacing w:after="0" w:line="131"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Swap Obligations;</w:t>
      </w:r>
    </w:p>
    <w:p>
      <w:pPr>
        <w:spacing w:after="0" w:line="229" w:lineRule="exact"/>
        <w:rPr>
          <w:rFonts w:ascii="Times New Roman" w:cs="Times New Roman" w:eastAsia="Times New Roman" w:hAnsi="Times New Roman"/>
          <w:sz w:val="19"/>
          <w:szCs w:val="19"/>
          <w:color w:val="auto"/>
        </w:rPr>
      </w:pPr>
    </w:p>
    <w:p>
      <w:pPr>
        <w:ind w:right="60" w:firstLine="639"/>
        <w:spacing w:after="0" w:line="272" w:lineRule="auto"/>
        <w:tabs>
          <w:tab w:leader="none" w:pos="1009"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immediately before and after giving effect to the making of such Investment, (x) no Default or Event of Default shall have occurred and be continuing, (y) the Company and its Restricted Subsidiaries shall be in compliance on a Pro Forma Basis with the Financial Covenants;</w:t>
      </w:r>
    </w:p>
    <w:p>
      <w:pPr>
        <w:spacing w:after="0" w:line="167" w:lineRule="exact"/>
        <w:rPr>
          <w:rFonts w:ascii="Times New Roman" w:cs="Times New Roman" w:eastAsia="Times New Roman" w:hAnsi="Times New Roman"/>
          <w:sz w:val="19"/>
          <w:szCs w:val="19"/>
          <w:color w:val="auto"/>
        </w:rPr>
      </w:pPr>
    </w:p>
    <w:p>
      <w:pPr>
        <w:ind w:left="1120" w:hanging="481"/>
        <w:spacing w:after="0"/>
        <w:tabs>
          <w:tab w:leader="none" w:pos="112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6"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29"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-79-</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55" w:name="page156"/>
    <w:bookmarkEnd w:id="155"/>
    <w:p>
      <w:pPr>
        <w:ind w:left="1060" w:hanging="421"/>
        <w:spacing w:after="0"/>
        <w:tabs>
          <w:tab w:leader="none" w:pos="106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29" w:lineRule="exact"/>
        <w:rPr>
          <w:rFonts w:ascii="Times New Roman" w:cs="Times New Roman" w:eastAsia="Times New Roman" w:hAnsi="Times New Roman"/>
          <w:sz w:val="19"/>
          <w:szCs w:val="19"/>
          <w:color w:val="auto"/>
        </w:rPr>
      </w:pPr>
    </w:p>
    <w:p>
      <w:pPr>
        <w:ind w:right="840" w:firstLine="639"/>
        <w:spacing w:after="0" w:line="283" w:lineRule="auto"/>
        <w:tabs>
          <w:tab w:leader="none" w:pos="1052"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as a result of (i) any transaction permitted by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 7.03(i)(B)</w:t>
      </w:r>
      <w:r>
        <w:rPr>
          <w:rFonts w:ascii="Times New Roman" w:cs="Times New Roman" w:eastAsia="Times New Roman" w:hAnsi="Times New Roman"/>
          <w:sz w:val="19"/>
          <w:szCs w:val="19"/>
          <w:color w:val="auto"/>
        </w:rPr>
        <w:t xml:space="preserve">) or (ii) any merger, consolidation, liquidation, dissolution or other winding-up of the Borrower or any of its Subsidiaries not prohibited by </w:t>
      </w:r>
      <w:r>
        <w:rPr>
          <w:rFonts w:ascii="Times New Roman" w:cs="Times New Roman" w:eastAsia="Times New Roman" w:hAnsi="Times New Roman"/>
          <w:sz w:val="19"/>
          <w:szCs w:val="19"/>
          <w:u w:val="single" w:color="auto"/>
          <w:color w:val="auto"/>
        </w:rPr>
        <w:t>Section 7.07</w:t>
      </w:r>
      <w:r>
        <w:rPr>
          <w:rFonts w:ascii="Times New Roman" w:cs="Times New Roman" w:eastAsia="Times New Roman" w:hAnsi="Times New Roman"/>
          <w:sz w:val="19"/>
          <w:szCs w:val="19"/>
          <w:color w:val="auto"/>
        </w:rPr>
        <w:t>.</w:t>
      </w:r>
    </w:p>
    <w:p>
      <w:pPr>
        <w:spacing w:after="0" w:line="157" w:lineRule="exact"/>
        <w:rPr>
          <w:rFonts w:ascii="Times New Roman" w:cs="Times New Roman" w:eastAsia="Times New Roman" w:hAnsi="Times New Roman"/>
          <w:sz w:val="19"/>
          <w:szCs w:val="19"/>
          <w:color w:val="auto"/>
        </w:rPr>
      </w:pPr>
    </w:p>
    <w:p>
      <w:pPr>
        <w:ind w:left="1020" w:hanging="381"/>
        <w:spacing w:after="0"/>
        <w:tabs>
          <w:tab w:leader="none" w:pos="102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resulting from any pledge permitted under </w:t>
      </w:r>
      <w:r>
        <w:rPr>
          <w:rFonts w:ascii="Times New Roman" w:cs="Times New Roman" w:eastAsia="Times New Roman" w:hAnsi="Times New Roman"/>
          <w:sz w:val="19"/>
          <w:szCs w:val="19"/>
          <w:u w:val="single" w:color="auto"/>
          <w:color w:val="auto"/>
        </w:rPr>
        <w:t>Section 7.02</w:t>
      </w:r>
      <w:r>
        <w:rPr>
          <w:rFonts w:ascii="Times New Roman" w:cs="Times New Roman" w:eastAsia="Times New Roman" w:hAnsi="Times New Roman"/>
          <w:sz w:val="19"/>
          <w:szCs w:val="19"/>
          <w:color w:val="auto"/>
        </w:rPr>
        <w:t>;</w:t>
      </w:r>
    </w:p>
    <w:p>
      <w:pPr>
        <w:spacing w:after="0" w:line="216" w:lineRule="exact"/>
        <w:rPr>
          <w:rFonts w:ascii="Times New Roman" w:cs="Times New Roman" w:eastAsia="Times New Roman" w:hAnsi="Times New Roman"/>
          <w:sz w:val="19"/>
          <w:szCs w:val="19"/>
          <w:color w:val="auto"/>
        </w:rPr>
      </w:pPr>
    </w:p>
    <w:p>
      <w:pPr>
        <w:ind w:left="1040" w:hanging="401"/>
        <w:spacing w:after="0"/>
        <w:tabs>
          <w:tab w:leader="none" w:pos="104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consisting of the redemption, purchase, repurchase or retirement of Capital Stock permitted under </w:t>
      </w:r>
      <w:r>
        <w:rPr>
          <w:rFonts w:ascii="Times New Roman" w:cs="Times New Roman" w:eastAsia="Times New Roman" w:hAnsi="Times New Roman"/>
          <w:sz w:val="19"/>
          <w:szCs w:val="19"/>
          <w:u w:val="single" w:color="auto"/>
          <w:color w:val="auto"/>
        </w:rPr>
        <w:t>Section 7.08</w:t>
      </w:r>
      <w:r>
        <w:rPr>
          <w:rFonts w:ascii="Times New Roman" w:cs="Times New Roman" w:eastAsia="Times New Roman" w:hAnsi="Times New Roman"/>
          <w:sz w:val="19"/>
          <w:szCs w:val="19"/>
          <w:color w:val="auto"/>
        </w:rPr>
        <w:t>;</w:t>
      </w:r>
    </w:p>
    <w:p>
      <w:pPr>
        <w:spacing w:after="0" w:line="229" w:lineRule="exact"/>
        <w:rPr>
          <w:rFonts w:ascii="Times New Roman" w:cs="Times New Roman" w:eastAsia="Times New Roman" w:hAnsi="Times New Roman"/>
          <w:sz w:val="19"/>
          <w:szCs w:val="19"/>
          <w:color w:val="auto"/>
        </w:rPr>
      </w:pPr>
    </w:p>
    <w:p>
      <w:pPr>
        <w:ind w:right="360" w:firstLine="639"/>
        <w:spacing w:after="0" w:line="297" w:lineRule="auto"/>
        <w:tabs>
          <w:tab w:leader="none" w:pos="1009"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received in connection with the settlement of delinquent accounts and disputes with customers and suppliers in the ordinary course of business;</w:t>
      </w:r>
    </w:p>
    <w:p>
      <w:pPr>
        <w:spacing w:after="0" w:line="131"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 Stock of the Federal Home Loan Bank required to be repurchased in connection with FHLB Indebtedness; and</w:t>
      </w:r>
    </w:p>
    <w:p>
      <w:pPr>
        <w:spacing w:after="0" w:line="229"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Acquisitions;</w:t>
      </w:r>
    </w:p>
    <w:p>
      <w:pPr>
        <w:spacing w:after="0" w:line="217"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Section 7.09 shall not apply at any time that the Index Debt is rated at least BBB- or Baa3 (as applicable) from at least two of the Rating Agencies.</w:t>
      </w:r>
    </w:p>
    <w:p>
      <w:pPr>
        <w:spacing w:after="0" w:line="14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7.10</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7.11</w:t>
      </w:r>
      <w:r>
        <w:rPr>
          <w:sz w:val="20"/>
          <w:szCs w:val="20"/>
          <w:color w:val="auto"/>
        </w:rPr>
        <w:tab/>
      </w:r>
      <w:r>
        <w:rPr>
          <w:rFonts w:ascii="Times New Roman" w:cs="Times New Roman" w:eastAsia="Times New Roman" w:hAnsi="Times New Roman"/>
          <w:sz w:val="19"/>
          <w:szCs w:val="19"/>
          <w:u w:val="single" w:color="auto"/>
          <w:color w:val="auto"/>
        </w:rPr>
        <w:t>Debt to Total Capitalization Ratio</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firstLine="633"/>
        <w:spacing w:after="0" w:line="283" w:lineRule="auto"/>
        <w:rPr>
          <w:sz w:val="20"/>
          <w:szCs w:val="20"/>
          <w:color w:val="auto"/>
        </w:rPr>
      </w:pPr>
      <w:r>
        <w:rPr>
          <w:rFonts w:ascii="Times New Roman" w:cs="Times New Roman" w:eastAsia="Times New Roman" w:hAnsi="Times New Roman"/>
          <w:sz w:val="19"/>
          <w:szCs w:val="19"/>
          <w:color w:val="auto"/>
        </w:rPr>
        <w:t>The Company and its Restricted Subsidiaries shall not permit the Debt to Total Capitalization Ratio to exceed 35.0% as of the last day of any Fiscal Quarter.</w:t>
      </w:r>
    </w:p>
    <w:p>
      <w:pPr>
        <w:spacing w:after="0" w:line="15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7.12</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7.13</w:t>
      </w:r>
      <w:r>
        <w:rPr>
          <w:sz w:val="20"/>
          <w:szCs w:val="20"/>
          <w:color w:val="auto"/>
        </w:rPr>
        <w:tab/>
      </w:r>
      <w:r>
        <w:rPr>
          <w:rFonts w:ascii="Times New Roman" w:cs="Times New Roman" w:eastAsia="Times New Roman" w:hAnsi="Times New Roman"/>
          <w:sz w:val="19"/>
          <w:szCs w:val="19"/>
          <w:u w:val="single" w:color="auto"/>
          <w:color w:val="auto"/>
        </w:rPr>
        <w:t>Minimum Consolidated Net Worth</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60" w:firstLine="633"/>
        <w:spacing w:after="0" w:line="262" w:lineRule="auto"/>
        <w:rPr>
          <w:sz w:val="20"/>
          <w:szCs w:val="20"/>
          <w:color w:val="auto"/>
        </w:rPr>
      </w:pPr>
      <w:r>
        <w:rPr>
          <w:rFonts w:ascii="Times New Roman" w:cs="Times New Roman" w:eastAsia="Times New Roman" w:hAnsi="Times New Roman"/>
          <w:sz w:val="19"/>
          <w:szCs w:val="19"/>
          <w:color w:val="auto"/>
        </w:rPr>
        <w:t>The Company shall not permit Consolidated Net Worth of the Company as of the last day of any Fiscal Quarter to be less than the sum of (without duplication) (i) $1,489,742,100, (ii) 50% of cumulative Consolidated Net Income of the Company and its Restricted Subsidiaries for each Fiscal Quarter of the Company (beginning with the Fiscal Quarter ending June 30, 2024) for which Consolidated Net Income is positive and (iii) 50% of any increase in the Consolidated Net Worth of the Company after March 31, 2024 resulting from the issuance of equity by or capital contributions to the Company or any of its Restricted Subsidiaries (excluding, for the avoidance of doubt, the impact of the issuance and exercise of warrants, options, and other employee stock awards).</w:t>
      </w:r>
    </w:p>
    <w:p>
      <w:pPr>
        <w:spacing w:after="0" w:line="17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7.14</w:t>
      </w:r>
      <w:r>
        <w:rPr>
          <w:sz w:val="20"/>
          <w:szCs w:val="20"/>
          <w:color w:val="auto"/>
        </w:rPr>
        <w:tab/>
      </w:r>
      <w:r>
        <w:rPr>
          <w:rFonts w:ascii="Times New Roman" w:cs="Times New Roman" w:eastAsia="Times New Roman" w:hAnsi="Times New Roman"/>
          <w:sz w:val="19"/>
          <w:szCs w:val="19"/>
          <w:u w:val="single" w:color="auto"/>
          <w:color w:val="auto"/>
        </w:rPr>
        <w:t>PMIERs Compliance</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360" w:firstLine="633"/>
        <w:spacing w:after="0" w:line="272" w:lineRule="auto"/>
        <w:rPr>
          <w:sz w:val="20"/>
          <w:szCs w:val="20"/>
          <w:color w:val="auto"/>
        </w:rPr>
      </w:pPr>
      <w:r>
        <w:rPr>
          <w:rFonts w:ascii="Times New Roman" w:cs="Times New Roman" w:eastAsia="Times New Roman" w:hAnsi="Times New Roman"/>
          <w:sz w:val="19"/>
          <w:szCs w:val="19"/>
          <w:color w:val="auto"/>
        </w:rPr>
        <w:t>NMIC shall at all times be in compliance with all applicable “financial requirements” imposed pursuant to PMIERs when and to the extent such financial requirements are effective, subject, for the avoidance of doubt, to any allowed transition period thereunder or any forbearance thereunder afforded by any Government-Sponsored Enterprise.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-80-</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56" w:name="page157"/>
    <w:bookmarkEnd w:id="156"/>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7.15</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7.16</w:t>
      </w:r>
      <w:r>
        <w:rPr>
          <w:sz w:val="20"/>
          <w:szCs w:val="20"/>
          <w:color w:val="auto"/>
        </w:rPr>
        <w:tab/>
      </w:r>
      <w:r>
        <w:rPr>
          <w:rFonts w:ascii="Times New Roman" w:cs="Times New Roman" w:eastAsia="Times New Roman" w:hAnsi="Times New Roman"/>
          <w:sz w:val="19"/>
          <w:szCs w:val="19"/>
          <w:u w:val="single" w:color="auto"/>
          <w:color w:val="auto"/>
        </w:rPr>
        <w:t>Changes in Fiscal Year</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40" w:firstLine="633"/>
        <w:spacing w:after="0" w:line="297" w:lineRule="auto"/>
        <w:rPr>
          <w:sz w:val="20"/>
          <w:szCs w:val="20"/>
          <w:color w:val="auto"/>
        </w:rPr>
      </w:pPr>
      <w:r>
        <w:rPr>
          <w:rFonts w:ascii="Times New Roman" w:cs="Times New Roman" w:eastAsia="Times New Roman" w:hAnsi="Times New Roman"/>
          <w:sz w:val="19"/>
          <w:szCs w:val="19"/>
          <w:color w:val="auto"/>
        </w:rPr>
        <w:t>The Company shall not, and shall not permit any of its Restricted Subsidiaries to change the last day of its fiscal year from December 31 of each year.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8</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EVENTS OF DEFAULT</w:t>
      </w:r>
    </w:p>
    <w:p>
      <w:pPr>
        <w:spacing w:after="0" w:line="21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8.01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Each of the following shall constitute an “</w:t>
      </w:r>
      <w:r>
        <w:rPr>
          <w:rFonts w:ascii="Times New Roman" w:cs="Times New Roman" w:eastAsia="Times New Roman" w:hAnsi="Times New Roman"/>
          <w:sz w:val="19"/>
          <w:szCs w:val="19"/>
          <w:b w:val="1"/>
          <w:bCs w:val="1"/>
          <w:color w:val="auto"/>
        </w:rPr>
        <w:t>Event of Default</w:t>
      </w:r>
      <w:r>
        <w:rPr>
          <w:rFonts w:ascii="Times New Roman" w:cs="Times New Roman" w:eastAsia="Times New Roman" w:hAnsi="Times New Roman"/>
          <w:sz w:val="19"/>
          <w:szCs w:val="19"/>
          <w:color w:val="auto"/>
        </w:rPr>
        <w:t>”:</w:t>
      </w:r>
    </w:p>
    <w:p>
      <w:pPr>
        <w:spacing w:after="0" w:line="234" w:lineRule="exact"/>
        <w:rPr>
          <w:sz w:val="20"/>
          <w:szCs w:val="20"/>
          <w:color w:val="auto"/>
        </w:rPr>
      </w:pPr>
    </w:p>
    <w:p>
      <w:pPr>
        <w:ind w:firstLine="639"/>
        <w:spacing w:after="0" w:line="268" w:lineRule="auto"/>
        <w:tabs>
          <w:tab w:leader="none" w:pos="1041"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Non-Payment</w:t>
      </w:r>
      <w:r>
        <w:rPr>
          <w:rFonts w:ascii="Times New Roman" w:cs="Times New Roman" w:eastAsia="Times New Roman" w:hAnsi="Times New Roman"/>
          <w:sz w:val="19"/>
          <w:szCs w:val="19"/>
          <w:color w:val="auto"/>
        </w:rPr>
        <w:t>. The Company fails to pay (i) when and as required to be paid herein, whether at the due date thereof or at a date fixed for prepayment thereof or otherwise, any amount of principal of any Loan, (ii) within three days after the same becomes due, any interest on any Loan or any fee due hereunder or under any other Loan Document, or (iii) within five days after the same becomes due, any other amount payable hereunder or under any other Loan Document; or</w:t>
      </w:r>
    </w:p>
    <w:p>
      <w:pPr>
        <w:spacing w:after="0" w:line="158" w:lineRule="exact"/>
        <w:rPr>
          <w:rFonts w:ascii="Times New Roman" w:cs="Times New Roman" w:eastAsia="Times New Roman" w:hAnsi="Times New Roman"/>
          <w:sz w:val="19"/>
          <w:szCs w:val="19"/>
          <w:color w:val="auto"/>
        </w:rPr>
      </w:pPr>
    </w:p>
    <w:p>
      <w:pPr>
        <w:ind w:right="80" w:firstLine="639"/>
        <w:spacing w:after="0" w:line="268" w:lineRule="auto"/>
        <w:tabs>
          <w:tab w:leader="none" w:pos="1052"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 or Warranty</w:t>
      </w:r>
      <w:r>
        <w:rPr>
          <w:rFonts w:ascii="Times New Roman" w:cs="Times New Roman" w:eastAsia="Times New Roman" w:hAnsi="Times New Roman"/>
          <w:sz w:val="19"/>
          <w:szCs w:val="19"/>
          <w:color w:val="auto"/>
        </w:rPr>
        <w:t>. Any representation or warranty by the Company or any of its Restricted Subsidiaries made or deemed made herein or pursuant to any other Loan Document, or contained in any certificate or document furnished by the Company or any Restricted Subsidiary thereof at any time pursuant to this Agreement or any other Loan Document is incorrect in any material respect on or as of the date made or deemed made; or</w:t>
      </w:r>
    </w:p>
    <w:p>
      <w:pPr>
        <w:spacing w:after="0" w:line="171" w:lineRule="exact"/>
        <w:rPr>
          <w:rFonts w:ascii="Times New Roman" w:cs="Times New Roman" w:eastAsia="Times New Roman" w:hAnsi="Times New Roman"/>
          <w:sz w:val="19"/>
          <w:szCs w:val="19"/>
          <w:color w:val="auto"/>
        </w:rPr>
      </w:pPr>
    </w:p>
    <w:p>
      <w:pPr>
        <w:ind w:left="1040" w:hanging="401"/>
        <w:spacing w:after="0"/>
        <w:tabs>
          <w:tab w:leader="none" w:pos="104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Specific Defaults</w:t>
      </w:r>
      <w:r>
        <w:rPr>
          <w:rFonts w:ascii="Times New Roman" w:cs="Times New Roman" w:eastAsia="Times New Roman" w:hAnsi="Times New Roman"/>
          <w:sz w:val="19"/>
          <w:szCs w:val="19"/>
          <w:color w:val="auto"/>
        </w:rPr>
        <w:t xml:space="preserve">. The Company fails to perform or observe any term, covenant or agreement contained in any of (i) </w:t>
      </w:r>
      <w:r>
        <w:rPr>
          <w:rFonts w:ascii="Times New Roman" w:cs="Times New Roman" w:eastAsia="Times New Roman" w:hAnsi="Times New Roman"/>
          <w:sz w:val="19"/>
          <w:szCs w:val="19"/>
          <w:u w:val="single" w:color="auto"/>
          <w:color w:val="auto"/>
        </w:rPr>
        <w:t>Section</w:t>
      </w:r>
    </w:p>
    <w:p>
      <w:pPr>
        <w:spacing w:after="0" w:line="28"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19"/>
          <w:szCs w:val="19"/>
          <w:u w:val="single" w:color="auto"/>
          <w:color w:val="auto"/>
        </w:rPr>
        <w:t>6.03(a)</w:t>
      </w:r>
      <w:r>
        <w:rPr>
          <w:rFonts w:ascii="Times New Roman" w:cs="Times New Roman" w:eastAsia="Times New Roman" w:hAnsi="Times New Roman"/>
          <w:sz w:val="19"/>
          <w:szCs w:val="19"/>
          <w:color w:val="auto"/>
        </w:rPr>
        <w:t xml:space="preserve"> (with respect to the occurrence of an Event of Default) or </w:t>
      </w:r>
      <w:r>
        <w:rPr>
          <w:rFonts w:ascii="Times New Roman" w:cs="Times New Roman" w:eastAsia="Times New Roman" w:hAnsi="Times New Roman"/>
          <w:sz w:val="19"/>
          <w:szCs w:val="19"/>
          <w:u w:val="single" w:color="auto"/>
          <w:color w:val="auto"/>
        </w:rPr>
        <w:t>Section 6.04(a)</w:t>
      </w:r>
      <w:r>
        <w:rPr>
          <w:rFonts w:ascii="Times New Roman" w:cs="Times New Roman" w:eastAsia="Times New Roman" w:hAnsi="Times New Roman"/>
          <w:sz w:val="19"/>
          <w:szCs w:val="19"/>
          <w:color w:val="auto"/>
        </w:rPr>
        <w:t xml:space="preserve"> (solely with respect to the Company), or </w:t>
      </w:r>
      <w:r>
        <w:rPr>
          <w:rFonts w:ascii="Times New Roman" w:cs="Times New Roman" w:eastAsia="Times New Roman" w:hAnsi="Times New Roman"/>
          <w:sz w:val="19"/>
          <w:szCs w:val="19"/>
          <w:u w:val="single" w:color="auto"/>
          <w:color w:val="auto"/>
        </w:rPr>
        <w:t>Article 7</w:t>
      </w:r>
      <w:r>
        <w:rPr>
          <w:rFonts w:ascii="Times New Roman" w:cs="Times New Roman" w:eastAsia="Times New Roman" w:hAnsi="Times New Roman"/>
          <w:sz w:val="19"/>
          <w:szCs w:val="19"/>
          <w:color w:val="auto"/>
        </w:rPr>
        <w:t xml:space="preserve">, until the date on which the Revolving Loans have been accelerated and the related Revolving Commitments have been terminated, in each case, by the Required Lenders pursuant to the last paragraph of </w:t>
      </w:r>
      <w:r>
        <w:rPr>
          <w:rFonts w:ascii="Times New Roman" w:cs="Times New Roman" w:eastAsia="Times New Roman" w:hAnsi="Times New Roman"/>
          <w:sz w:val="19"/>
          <w:szCs w:val="19"/>
          <w:u w:val="single" w:color="auto"/>
          <w:color w:val="auto"/>
        </w:rPr>
        <w:t>Section 8.02(c)</w:t>
      </w:r>
      <w:r>
        <w:rPr>
          <w:rFonts w:ascii="Times New Roman" w:cs="Times New Roman" w:eastAsia="Times New Roman" w:hAnsi="Times New Roman"/>
          <w:sz w:val="19"/>
          <w:szCs w:val="19"/>
          <w:color w:val="auto"/>
        </w:rPr>
        <w:t>; or</w:t>
      </w:r>
    </w:p>
    <w:p>
      <w:pPr>
        <w:spacing w:after="0" w:line="178" w:lineRule="exact"/>
        <w:rPr>
          <w:sz w:val="20"/>
          <w:szCs w:val="20"/>
          <w:color w:val="auto"/>
        </w:rPr>
      </w:pPr>
    </w:p>
    <w:p>
      <w:pPr>
        <w:ind w:firstLine="639"/>
        <w:spacing w:after="0" w:line="272" w:lineRule="auto"/>
        <w:tabs>
          <w:tab w:leader="none" w:pos="1052"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Defaults</w:t>
      </w:r>
      <w:r>
        <w:rPr>
          <w:rFonts w:ascii="Times New Roman" w:cs="Times New Roman" w:eastAsia="Times New Roman" w:hAnsi="Times New Roman"/>
          <w:sz w:val="19"/>
          <w:szCs w:val="19"/>
          <w:color w:val="auto"/>
        </w:rPr>
        <w:t>. The Company or any of its Restricted Subsidiaries fails to perform or observe any other term or covenant contained in this Agreement or any other Loan Document, and such default shall continue unremedied for a period of 30 days after the date upon which written notice thereof is given to the Company by the Agent or the Required Lenders; or</w:t>
      </w:r>
    </w:p>
    <w:p>
      <w:pPr>
        <w:spacing w:after="0" w:line="167" w:lineRule="exact"/>
        <w:rPr>
          <w:rFonts w:ascii="Times New Roman" w:cs="Times New Roman" w:eastAsia="Times New Roman" w:hAnsi="Times New Roman"/>
          <w:sz w:val="19"/>
          <w:szCs w:val="19"/>
          <w:color w:val="auto"/>
        </w:rPr>
      </w:pPr>
    </w:p>
    <w:p>
      <w:pPr>
        <w:ind w:right="20" w:firstLine="639"/>
        <w:spacing w:after="0" w:line="258" w:lineRule="auto"/>
        <w:tabs>
          <w:tab w:leader="none" w:pos="1041"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Cross-Default</w:t>
      </w:r>
      <w:r>
        <w:rPr>
          <w:rFonts w:ascii="Times New Roman" w:cs="Times New Roman" w:eastAsia="Times New Roman" w:hAnsi="Times New Roman"/>
          <w:sz w:val="19"/>
          <w:szCs w:val="19"/>
          <w:color w:val="auto"/>
        </w:rPr>
        <w:t>. (i) The Company or any Restricted Subsidiary (A) fails to make any payment in respect of any Indebtedness (other than in respect of Swap Contracts), having an aggregate principal amount of more than $45,000,000 (in the aggregate for all such Indebtedness), when due (whether by scheduled maturity, required prepayment, acceleration, demand, or otherwise); or (B) fails to perform or observe any other condition or covenant, or any other event shall occur or condition exist, under any agreement or instrument relating to any such Indebtedness if the effect of such failure, event or condition is to cause, or to permit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or, in the case of any such Indebtedness consisting of Contingent Obligations, to become payable or cash collateral in respect thereof to be demanded; or (ii) there occurs under any Swap Contract an Early Termination Date (as defined in such Swap Contract) resulting from (x) any event of default under such Swap Contract as to which the Company or any Restricted Subsidiary is the Defaulting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57" w:name="page158"/>
    <w:bookmarkEnd w:id="157"/>
    <w:p>
      <w:pPr>
        <w:ind w:right="40"/>
        <w:spacing w:after="0" w:line="272" w:lineRule="auto"/>
        <w:rPr>
          <w:sz w:val="20"/>
          <w:szCs w:val="20"/>
          <w:color w:val="auto"/>
        </w:rPr>
      </w:pPr>
      <w:r>
        <w:rPr>
          <w:rFonts w:ascii="Times New Roman" w:cs="Times New Roman" w:eastAsia="Times New Roman" w:hAnsi="Times New Roman"/>
          <w:sz w:val="19"/>
          <w:szCs w:val="19"/>
          <w:color w:val="auto"/>
        </w:rPr>
        <w:t>(as defined in such Swap Contract) or (y) any Termination Event (as so defined) as to which the Company or any Restricted Subsidiary is an Affected Party (as so defined), and, in either event, the Swap Termination Value owed by the Company or such Restricted Subsidiary as a result thereof is greater than $45,000,000 (in the aggregate for all such Swap Contracts); or</w:t>
      </w:r>
    </w:p>
    <w:p>
      <w:pPr>
        <w:spacing w:after="0" w:line="167" w:lineRule="exact"/>
        <w:rPr>
          <w:sz w:val="20"/>
          <w:szCs w:val="20"/>
          <w:color w:val="auto"/>
        </w:rPr>
      </w:pPr>
    </w:p>
    <w:p>
      <w:pPr>
        <w:ind w:right="140" w:firstLine="639"/>
        <w:spacing w:after="0" w:line="283" w:lineRule="auto"/>
        <w:tabs>
          <w:tab w:leader="none" w:pos="1019"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Inability to Pay Debts</w:t>
      </w:r>
      <w:r>
        <w:rPr>
          <w:rFonts w:ascii="Times New Roman" w:cs="Times New Roman" w:eastAsia="Times New Roman" w:hAnsi="Times New Roman"/>
          <w:sz w:val="19"/>
          <w:szCs w:val="19"/>
          <w:color w:val="auto"/>
        </w:rPr>
        <w:t>. The Company or any Restricted Subsidiary (other than an Immaterial Subsidiary) generally fails to pay its debts as they become due, subject to applicable grace periods, if any, whether at stated maturity or otherwise; or</w:t>
      </w:r>
    </w:p>
    <w:p>
      <w:pPr>
        <w:spacing w:after="0" w:line="157" w:lineRule="exact"/>
        <w:rPr>
          <w:rFonts w:ascii="Times New Roman" w:cs="Times New Roman" w:eastAsia="Times New Roman" w:hAnsi="Times New Roman"/>
          <w:sz w:val="19"/>
          <w:szCs w:val="19"/>
          <w:color w:val="auto"/>
        </w:rPr>
      </w:pPr>
    </w:p>
    <w:p>
      <w:pPr>
        <w:ind w:firstLine="639"/>
        <w:spacing w:after="0" w:line="257" w:lineRule="auto"/>
        <w:tabs>
          <w:tab w:leader="none" w:pos="1052"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Insolvency Proceedings</w:t>
      </w:r>
      <w:r>
        <w:rPr>
          <w:rFonts w:ascii="Times New Roman" w:cs="Times New Roman" w:eastAsia="Times New Roman" w:hAnsi="Times New Roman"/>
          <w:sz w:val="19"/>
          <w:szCs w:val="19"/>
          <w:color w:val="auto"/>
        </w:rPr>
        <w:t>. (i) The Company or any Restricted Subsidiary (other than an Immaterial Subsidiary) (A) commences any Insolvency Proceeding with respect to itself, (B) applies for or consents to the appointment of a receiver, trustee, custodian, conservator, liquidator, mortgagee in possession (or agent therefor), or other similar Person for itself or for a material and substantial part of its assets, or (C) takes any action to effectuate or authorize any of the foregoing; (ii) Any involuntary Insolvency Proceeding is commenced or filed against the Company or any Restricted Subsidiary (other than an Immaterial Subsidiary), or any writ, judgment, warrant of attachment, execution or similar process, is issued or levied against a material and substantial part of the Company’s or any Restricted Subsidiary’s (other than an Immaterial Subsidiary’s) properties, and any such proceeding or petition shall not be dismissed, or such writ, judgment, warrant of attachment, execution or similar process shall not be released, vacated or fully bonded within 60 days after commencement, filing or levy; (iii) the Company or any Restricted Subsidiary (other than an Immaterial Subsidiary) admits the material allegations of a petition against it in any Insolvency Proceeding, or an order for relief (or similar order under non-U.S. law) is ordered in any Insolvency Proceeding; (iv) the Company or any Restricted Subsidiary (other than an Immaterial Subsidiary) acquiesces in the appointment of a receiver, trustee, custodian, conservator, liquidator,</w:t>
      </w:r>
    </w:p>
    <w:p>
      <w:pPr>
        <w:spacing w:after="0"/>
        <w:rPr>
          <w:sz w:val="20"/>
          <w:szCs w:val="20"/>
          <w:color w:val="auto"/>
        </w:rPr>
      </w:pPr>
      <w:r>
        <w:rPr>
          <w:rFonts w:ascii="Times New Roman" w:cs="Times New Roman" w:eastAsia="Times New Roman" w:hAnsi="Times New Roman"/>
          <w:sz w:val="19"/>
          <w:szCs w:val="19"/>
          <w:color w:val="auto"/>
        </w:rPr>
        <w:t>mortgagee in possession (or agent therefor), or other similar Person for itself or a material and substantial portion of its property or business; or</w:t>
      </w:r>
    </w:p>
    <w:p>
      <w:pPr>
        <w:spacing w:after="0" w:line="13" w:lineRule="exact"/>
        <w:rPr>
          <w:sz w:val="20"/>
          <w:szCs w:val="20"/>
          <w:color w:val="auto"/>
        </w:rPr>
      </w:pPr>
    </w:p>
    <w:p>
      <w:pPr>
        <w:ind w:firstLine="6"/>
        <w:spacing w:after="0" w:line="273" w:lineRule="auto"/>
        <w:tabs>
          <w:tab w:leader="none" w:pos="274"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Restricted Subsidiary (other than an Immaterial Subsidiary) shall become subject to any conservation, rehabilitation or liquidation order, directive or mandate issued by any Governmental Authority; or</w:t>
      </w:r>
    </w:p>
    <w:p>
      <w:pPr>
        <w:spacing w:after="0" w:line="153" w:lineRule="exact"/>
        <w:rPr>
          <w:rFonts w:ascii="Times New Roman" w:cs="Times New Roman" w:eastAsia="Times New Roman" w:hAnsi="Times New Roman"/>
          <w:sz w:val="19"/>
          <w:szCs w:val="19"/>
          <w:color w:val="auto"/>
        </w:rPr>
      </w:pPr>
    </w:p>
    <w:p>
      <w:pPr>
        <w:ind w:right="240" w:firstLine="639"/>
        <w:spacing w:after="0" w:line="297" w:lineRule="auto"/>
        <w:tabs>
          <w:tab w:leader="none" w:pos="1052"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With respect to any Single Employer Pension Plan or Multiemployer Plan, any ERISA Event has occurred that, when taken together with all other such ERISA Events then outstanding, would reasonably be expected to have a Material Adverse Effect; or</w:t>
      </w:r>
    </w:p>
    <w:p>
      <w:pPr>
        <w:spacing w:after="0" w:line="131" w:lineRule="exact"/>
        <w:rPr>
          <w:rFonts w:ascii="Times New Roman" w:cs="Times New Roman" w:eastAsia="Times New Roman" w:hAnsi="Times New Roman"/>
          <w:sz w:val="19"/>
          <w:szCs w:val="19"/>
          <w:color w:val="auto"/>
        </w:rPr>
      </w:pPr>
    </w:p>
    <w:p>
      <w:pPr>
        <w:jc w:val="both"/>
        <w:ind w:right="60" w:firstLine="639"/>
        <w:spacing w:after="0" w:line="268" w:lineRule="auto"/>
        <w:tabs>
          <w:tab w:leader="none" w:pos="1009"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Material Judgments</w:t>
      </w:r>
      <w:r>
        <w:rPr>
          <w:rFonts w:ascii="Times New Roman" w:cs="Times New Roman" w:eastAsia="Times New Roman" w:hAnsi="Times New Roman"/>
          <w:sz w:val="19"/>
          <w:szCs w:val="19"/>
          <w:color w:val="auto"/>
        </w:rPr>
        <w:t>. One or more judgments or decrees shall be entered against the Company or any of its Restricted Subsidiaries involving in the aggregate a liability (to the extent not paid or covered by insurance as to which the relevant insurance company has not denied coverage) of $45,000,000 or more, and shall not have been paid, vacated, discharged, stayed or bonded pending appeal within 45 days from the entry thereof; or</w:t>
      </w:r>
    </w:p>
    <w:p>
      <w:pPr>
        <w:spacing w:after="0" w:line="171" w:lineRule="exact"/>
        <w:rPr>
          <w:rFonts w:ascii="Times New Roman" w:cs="Times New Roman" w:eastAsia="Times New Roman" w:hAnsi="Times New Roman"/>
          <w:sz w:val="19"/>
          <w:szCs w:val="19"/>
          <w:color w:val="auto"/>
        </w:rPr>
      </w:pPr>
    </w:p>
    <w:p>
      <w:pPr>
        <w:ind w:left="1020" w:hanging="381"/>
        <w:spacing w:after="0"/>
        <w:tabs>
          <w:tab w:leader="none" w:pos="1020"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6"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There occurs any Change of Control; or</w:t>
      </w:r>
    </w:p>
    <w:p>
      <w:pPr>
        <w:spacing w:after="0" w:line="229" w:lineRule="exact"/>
        <w:rPr>
          <w:rFonts w:ascii="Times New Roman" w:cs="Times New Roman" w:eastAsia="Times New Roman" w:hAnsi="Times New Roman"/>
          <w:sz w:val="19"/>
          <w:szCs w:val="19"/>
          <w:color w:val="auto"/>
        </w:rPr>
      </w:pPr>
    </w:p>
    <w:p>
      <w:pPr>
        <w:ind w:firstLine="639"/>
        <w:spacing w:after="0" w:line="268" w:lineRule="auto"/>
        <w:tabs>
          <w:tab w:leader="none" w:pos="1009"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Invalidity of Loan Documents</w:t>
      </w:r>
      <w:r>
        <w:rPr>
          <w:rFonts w:ascii="Times New Roman" w:cs="Times New Roman" w:eastAsia="Times New Roman" w:hAnsi="Times New Roman"/>
          <w:sz w:val="19"/>
          <w:szCs w:val="19"/>
          <w:color w:val="auto"/>
        </w:rPr>
        <w:t>. Any Loan Document, at any time after its execution and delivery and for any reason other than as expressly permitted hereunder or thereunder or satisfaction in full of all Obligations (other than unmatured contingent indemnification obligations), ceases to be a legal, valid and binding obligation of the Company; or the Company contests in writing the validity or enforceability against it of any Loan Document.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-82-</w:t>
      </w: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160"/>
          </w:cols>
          <w:pgMar w:left="320" w:top="1383" w:right="419" w:bottom="1440" w:gutter="0" w:footer="0" w:header="0"/>
        </w:sectPr>
      </w:pPr>
    </w:p>
    <w:bookmarkStart w:id="158" w:name="page159"/>
    <w:bookmarkEnd w:id="158"/>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8.02</w:t>
      </w:r>
      <w:r>
        <w:rPr>
          <w:sz w:val="20"/>
          <w:szCs w:val="20"/>
          <w:color w:val="auto"/>
        </w:rPr>
        <w:tab/>
      </w:r>
      <w:r>
        <w:rPr>
          <w:rFonts w:ascii="Times New Roman" w:cs="Times New Roman" w:eastAsia="Times New Roman" w:hAnsi="Times New Roman"/>
          <w:sz w:val="19"/>
          <w:szCs w:val="19"/>
          <w:u w:val="single" w:color="auto"/>
          <w:color w:val="auto"/>
        </w:rPr>
        <w:t>Remedies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620" w:firstLine="633"/>
        <w:spacing w:after="0" w:line="283" w:lineRule="auto"/>
        <w:rPr>
          <w:sz w:val="20"/>
          <w:szCs w:val="20"/>
          <w:color w:val="auto"/>
        </w:rPr>
      </w:pPr>
      <w:r>
        <w:rPr>
          <w:rFonts w:ascii="Times New Roman" w:cs="Times New Roman" w:eastAsia="Times New Roman" w:hAnsi="Times New Roman"/>
          <w:sz w:val="19"/>
          <w:szCs w:val="19"/>
          <w:color w:val="auto"/>
        </w:rPr>
        <w:t>If any Event of Default shall have occurred and be continuing, the Agent shall, at the request of, or may, with the consent of, the Required Lenders,</w:t>
      </w:r>
    </w:p>
    <w:p>
      <w:pPr>
        <w:spacing w:after="0" w:line="157" w:lineRule="exact"/>
        <w:rPr>
          <w:sz w:val="20"/>
          <w:szCs w:val="20"/>
          <w:color w:val="auto"/>
        </w:rPr>
      </w:pPr>
    </w:p>
    <w:p>
      <w:pPr>
        <w:ind w:left="1040" w:hanging="401"/>
        <w:spacing w:after="0"/>
        <w:tabs>
          <w:tab w:leader="none" w:pos="104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declare the obligation of each Lender to make extensions or conversions of the Loans to be terminated;</w:t>
      </w:r>
    </w:p>
    <w:p>
      <w:pPr>
        <w:spacing w:after="0" w:line="216" w:lineRule="exact"/>
        <w:rPr>
          <w:rFonts w:ascii="Times New Roman" w:cs="Times New Roman" w:eastAsia="Times New Roman" w:hAnsi="Times New Roman"/>
          <w:sz w:val="19"/>
          <w:szCs w:val="19"/>
          <w:color w:val="auto"/>
        </w:rPr>
      </w:pPr>
    </w:p>
    <w:p>
      <w:pPr>
        <w:ind w:firstLine="639"/>
        <w:spacing w:after="0" w:line="266" w:lineRule="auto"/>
        <w:tabs>
          <w:tab w:leader="none" w:pos="1052"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declare the unpaid principal amount of all outstanding Loans, all interest accrued and unpaid thereon and all other amounts owing or payable hereunder or under any other Loan Document to be immediately due and payable, whereupon the Maturity Date shall be accelerated to such date and such Loans, all interest accrued and unpaid thereon and all other amounts owing or payable hereunder or under any other Loan Document shall become immediately due and payable, without presentment, demand, protest or other notice of any kind, all of which are hereby expressly waived by the Company; and</w:t>
      </w:r>
    </w:p>
    <w:p>
      <w:pPr>
        <w:spacing w:after="0" w:line="160" w:lineRule="exact"/>
        <w:rPr>
          <w:rFonts w:ascii="Times New Roman" w:cs="Times New Roman" w:eastAsia="Times New Roman" w:hAnsi="Times New Roman"/>
          <w:sz w:val="19"/>
          <w:szCs w:val="19"/>
          <w:color w:val="auto"/>
        </w:rPr>
      </w:pPr>
    </w:p>
    <w:p>
      <w:pPr>
        <w:ind w:right="20" w:firstLine="639"/>
        <w:spacing w:after="0" w:line="266" w:lineRule="auto"/>
        <w:tabs>
          <w:tab w:leader="none" w:pos="1041"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exercise on behalf of itself and the Lenders all rights and remedies available to it and the Lenders under the Loan Documents or applicable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the occurrence of any event specified in </w:t>
      </w:r>
      <w:r>
        <w:rPr>
          <w:rFonts w:ascii="Times New Roman" w:cs="Times New Roman" w:eastAsia="Times New Roman" w:hAnsi="Times New Roman"/>
          <w:sz w:val="19"/>
          <w:szCs w:val="19"/>
          <w:u w:val="single" w:color="auto"/>
          <w:color w:val="auto"/>
        </w:rPr>
        <w:t>Section 8.01(g)</w:t>
      </w:r>
      <w:r>
        <w:rPr>
          <w:rFonts w:ascii="Times New Roman" w:cs="Times New Roman" w:eastAsia="Times New Roman" w:hAnsi="Times New Roman"/>
          <w:sz w:val="19"/>
          <w:szCs w:val="19"/>
          <w:color w:val="auto"/>
        </w:rPr>
        <w:t xml:space="preserve"> (upon the expiration of the 60-day period mentioned therein, if applicable), the obligation of each Lender to make and continue Loans shall automatically terminate and the unpaid principal amount of all outstanding Loans and all interest and other amounts as aforesaid shall automatically become due and payable without presentment, demand, protest or other notice of any kind, all of which are hereby expressly waived by the Company.</w:t>
      </w:r>
    </w:p>
    <w:p>
      <w:pPr>
        <w:spacing w:after="0" w:line="161"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8.03</w:t>
      </w:r>
      <w:r>
        <w:rPr>
          <w:sz w:val="20"/>
          <w:szCs w:val="20"/>
          <w:color w:val="auto"/>
        </w:rPr>
        <w:tab/>
      </w:r>
      <w:r>
        <w:rPr>
          <w:rFonts w:ascii="Times New Roman" w:cs="Times New Roman" w:eastAsia="Times New Roman" w:hAnsi="Times New Roman"/>
          <w:sz w:val="19"/>
          <w:szCs w:val="19"/>
          <w:u w:val="single" w:color="auto"/>
          <w:color w:val="auto"/>
        </w:rPr>
        <w:t>Rights Not Exclusive</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260" w:firstLine="633"/>
        <w:spacing w:after="0" w:line="272" w:lineRule="auto"/>
        <w:rPr>
          <w:sz w:val="20"/>
          <w:szCs w:val="20"/>
          <w:color w:val="auto"/>
        </w:rPr>
      </w:pPr>
      <w:r>
        <w:rPr>
          <w:rFonts w:ascii="Times New Roman" w:cs="Times New Roman" w:eastAsia="Times New Roman" w:hAnsi="Times New Roman"/>
          <w:sz w:val="19"/>
          <w:szCs w:val="19"/>
          <w:color w:val="auto"/>
        </w:rPr>
        <w:t>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6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b w:val="1"/>
          <w:bCs w:val="1"/>
          <w:color w:val="auto"/>
        </w:rPr>
        <w:t>ARTICLE 9</w:t>
      </w:r>
    </w:p>
    <w:p>
      <w:pPr>
        <w:spacing w:after="0" w:line="3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b w:val="1"/>
          <w:bCs w:val="1"/>
          <w:color w:val="auto"/>
        </w:rPr>
        <w:t>THE AGENT</w:t>
      </w:r>
    </w:p>
    <w:p>
      <w:pPr>
        <w:spacing w:after="0" w:line="20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9.01</w:t>
      </w:r>
      <w:r>
        <w:rPr>
          <w:sz w:val="20"/>
          <w:szCs w:val="20"/>
          <w:color w:val="auto"/>
        </w:rPr>
        <w:tab/>
      </w:r>
      <w:r>
        <w:rPr>
          <w:rFonts w:ascii="Times New Roman" w:cs="Times New Roman" w:eastAsia="Times New Roman" w:hAnsi="Times New Roman"/>
          <w:sz w:val="19"/>
          <w:szCs w:val="19"/>
          <w:u w:val="single" w:color="auto"/>
          <w:color w:val="auto"/>
        </w:rPr>
        <w:t>Appointment and Authority</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120" w:firstLine="633"/>
        <w:spacing w:after="0" w:line="266" w:lineRule="auto"/>
        <w:rPr>
          <w:sz w:val="20"/>
          <w:szCs w:val="20"/>
          <w:color w:val="auto"/>
        </w:rPr>
      </w:pPr>
      <w:r>
        <w:rPr>
          <w:rFonts w:ascii="Times New Roman" w:cs="Times New Roman" w:eastAsia="Times New Roman" w:hAnsi="Times New Roman"/>
          <w:sz w:val="19"/>
          <w:szCs w:val="19"/>
          <w:color w:val="auto"/>
        </w:rPr>
        <w:t xml:space="preserve">Each of the Lenders hereby irrevocably appoints RBC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Article (other than the rights of the Company and its Subsidiaries set forth in </w:t>
      </w:r>
      <w:r>
        <w:rPr>
          <w:rFonts w:ascii="Times New Roman" w:cs="Times New Roman" w:eastAsia="Times New Roman" w:hAnsi="Times New Roman"/>
          <w:sz w:val="19"/>
          <w:szCs w:val="19"/>
          <w:u w:val="single" w:color="auto"/>
          <w:color w:val="auto"/>
        </w:rPr>
        <w:t>Section 9.06</w:t>
      </w:r>
      <w:r>
        <w:rPr>
          <w:rFonts w:ascii="Times New Roman" w:cs="Times New Roman" w:eastAsia="Times New Roman" w:hAnsi="Times New Roman"/>
          <w:sz w:val="19"/>
          <w:szCs w:val="19"/>
          <w:color w:val="auto"/>
        </w:rPr>
        <w:t>) are solely for the benefit of the Agent and the Lenders, and the Company shall have no rights as a third party beneficiary of any of such provisions.</w:t>
      </w:r>
    </w:p>
    <w:p>
      <w:pPr>
        <w:spacing w:after="0" w:line="161"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9.02</w:t>
      </w:r>
      <w:r>
        <w:rPr>
          <w:sz w:val="20"/>
          <w:szCs w:val="20"/>
          <w:color w:val="auto"/>
        </w:rPr>
        <w:tab/>
      </w:r>
      <w:r>
        <w:rPr>
          <w:rFonts w:ascii="Times New Roman" w:cs="Times New Roman" w:eastAsia="Times New Roman" w:hAnsi="Times New Roman"/>
          <w:sz w:val="19"/>
          <w:szCs w:val="19"/>
          <w:u w:val="single" w:color="auto"/>
          <w:color w:val="auto"/>
        </w:rPr>
        <w:t>Rights as a Lender</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60" w:firstLine="633"/>
        <w:spacing w:after="0" w:line="262" w:lineRule="auto"/>
        <w:rPr>
          <w:sz w:val="20"/>
          <w:szCs w:val="20"/>
          <w:color w:val="auto"/>
        </w:rPr>
      </w:pPr>
      <w:r>
        <w:rPr>
          <w:rFonts w:ascii="Times New Roman" w:cs="Times New Roman" w:eastAsia="Times New Roman" w:hAnsi="Times New Roman"/>
          <w:sz w:val="19"/>
          <w:szCs w:val="19"/>
          <w:color w:val="auto"/>
        </w:rPr>
        <w:t>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act as the financial advisor or in any other advisory capacity for and generally engage in any kind of business with the Company or any Subsidiary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-83-</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180"/>
          </w:cols>
          <w:pgMar w:left="320" w:top="1383" w:right="3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9"/>
          <w:szCs w:val="19"/>
          <w:color w:val="auto"/>
        </w:rPr>
        <w:t>Affiliate thereof as if such Person were not the Agent hereunder and without any duty to account therefor to the Lenders.</w:t>
      </w:r>
    </w:p>
    <w:p>
      <w:pPr>
        <w:spacing w:after="0" w:line="23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9.03</w:t>
      </w:r>
      <w:r>
        <w:rPr>
          <w:sz w:val="20"/>
          <w:szCs w:val="20"/>
          <w:color w:val="auto"/>
        </w:rPr>
        <w:tab/>
      </w:r>
      <w:r>
        <w:rPr>
          <w:rFonts w:ascii="Times New Roman" w:cs="Times New Roman" w:eastAsia="Times New Roman" w:hAnsi="Times New Roman"/>
          <w:sz w:val="19"/>
          <w:szCs w:val="19"/>
          <w:u w:val="single" w:color="auto"/>
          <w:color w:val="auto"/>
        </w:rPr>
        <w:t>Exculpatory Provisions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No Agent-Related Person shall have any duties or obligations except those expressly set forth herein and in the other Loan Documents.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Without limiting the generality of the foregoing, no Agent-Related Person:</w:t>
      </w:r>
    </w:p>
    <w:p>
      <w:pPr>
        <w:spacing w:after="0" w:line="202" w:lineRule="exact"/>
        <w:rPr>
          <w:sz w:val="20"/>
          <w:szCs w:val="20"/>
          <w:color w:val="auto"/>
        </w:rPr>
      </w:pPr>
    </w:p>
    <w:p>
      <w:pPr>
        <w:ind w:left="1040" w:hanging="401"/>
        <w:spacing w:after="0"/>
        <w:tabs>
          <w:tab w:leader="none" w:pos="104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be subject to any fiduciary or other implied duties, regardless of whether a Default has occurred and is continuing;</w:t>
      </w:r>
    </w:p>
    <w:p>
      <w:pPr>
        <w:spacing w:after="0" w:line="229" w:lineRule="exact"/>
        <w:rPr>
          <w:rFonts w:ascii="Times New Roman" w:cs="Times New Roman" w:eastAsia="Times New Roman" w:hAnsi="Times New Roman"/>
          <w:sz w:val="19"/>
          <w:szCs w:val="19"/>
          <w:color w:val="auto"/>
        </w:rPr>
      </w:pPr>
    </w:p>
    <w:p>
      <w:pPr>
        <w:ind w:right="140" w:firstLine="639"/>
        <w:spacing w:after="0" w:line="262" w:lineRule="auto"/>
        <w:tabs>
          <w:tab w:leader="none" w:pos="105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have any duty to take any discretionary action or exercise any discretionary powers, except discretionary rights and powers expressly contemplated hereby or by the other Loan Documents that, with respect to the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Agent-Related Person shall be required to take any action that, in its opinion or the opinion of its counsel, may expose such Agent-Related Person to liability or that is contrary to any Loan Document or applicable law; and</w:t>
      </w:r>
    </w:p>
    <w:p>
      <w:pPr>
        <w:spacing w:after="0" w:line="179" w:lineRule="exact"/>
        <w:rPr>
          <w:rFonts w:ascii="Times New Roman" w:cs="Times New Roman" w:eastAsia="Times New Roman" w:hAnsi="Times New Roman"/>
          <w:sz w:val="19"/>
          <w:szCs w:val="19"/>
          <w:color w:val="auto"/>
        </w:rPr>
      </w:pPr>
    </w:p>
    <w:p>
      <w:pPr>
        <w:ind w:right="20" w:firstLine="639"/>
        <w:spacing w:after="0" w:line="272" w:lineRule="auto"/>
        <w:tabs>
          <w:tab w:leader="none" w:pos="1041"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except as expressly set forth herein and in the other Loan Documents, have any duty to disclose, shall be liable for the failure to disclose, any information relating to the Company or any of its Affiliates that is communicated to or obtained by the Person serving as the Agent, any Agent-Related Person or any of their respective Affiliates in any capacity.</w:t>
      </w:r>
    </w:p>
    <w:p>
      <w:pPr>
        <w:spacing w:after="0" w:line="167" w:lineRule="exact"/>
        <w:rPr>
          <w:sz w:val="20"/>
          <w:szCs w:val="20"/>
          <w:color w:val="auto"/>
        </w:rPr>
      </w:pPr>
    </w:p>
    <w:p>
      <w:pPr>
        <w:ind w:right="220" w:firstLine="633"/>
        <w:spacing w:after="0" w:line="262" w:lineRule="auto"/>
        <w:rPr>
          <w:sz w:val="20"/>
          <w:szCs w:val="20"/>
          <w:color w:val="auto"/>
        </w:rPr>
      </w:pPr>
      <w:r>
        <w:rPr>
          <w:rFonts w:ascii="Times New Roman" w:cs="Times New Roman" w:eastAsia="Times New Roman" w:hAnsi="Times New Roman"/>
          <w:sz w:val="19"/>
          <w:szCs w:val="19"/>
          <w:color w:val="auto"/>
        </w:rPr>
        <w:t xml:space="preserve">No Agent-Related Person shall be liable for any action taken or not taken by it (i) with the consent or at the request of the Required Lenders (or such other number or percentage of the Lenders as shall be necessary, or as such Agent-Related Person shall believe in good faith shall be necessary, under the circumstances as provided in </w:t>
      </w:r>
      <w:r>
        <w:rPr>
          <w:rFonts w:ascii="Times New Roman" w:cs="Times New Roman" w:eastAsia="Times New Roman" w:hAnsi="Times New Roman"/>
          <w:sz w:val="19"/>
          <w:szCs w:val="19"/>
          <w:u w:val="single" w:color="auto"/>
          <w:color w:val="auto"/>
        </w:rPr>
        <w:t>Sections 8.02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10.01</w:t>
      </w:r>
      <w:r>
        <w:rPr>
          <w:rFonts w:ascii="Times New Roman" w:cs="Times New Roman" w:eastAsia="Times New Roman" w:hAnsi="Times New Roman"/>
          <w:sz w:val="19"/>
          <w:szCs w:val="19"/>
          <w:color w:val="auto"/>
        </w:rPr>
        <w:t>) or (ii) in the absence of such Agent-Related Person’s own gross negligence or willful misconduct. No Agent-Related Person shall be deemed to have knowledge of any Default unless and until notice describing such Default is given to such Agent-Related Person by the Company or a Lender.</w:t>
      </w:r>
    </w:p>
    <w:p>
      <w:pPr>
        <w:spacing w:after="0" w:line="1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No Agent-Related Person shall be responsible for or have any duty to ascertain or inquire into (i) any statement, warranty or</w:t>
      </w:r>
    </w:p>
    <w:p>
      <w:pPr>
        <w:spacing w:after="0" w:line="2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 xml:space="preserve">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9"/>
          <w:szCs w:val="19"/>
          <w:u w:val="single" w:color="auto"/>
          <w:color w:val="auto"/>
        </w:rPr>
        <w:t>Article 4</w:t>
      </w:r>
      <w:r>
        <w:rPr>
          <w:rFonts w:ascii="Times New Roman" w:cs="Times New Roman" w:eastAsia="Times New Roman" w:hAnsi="Times New Roman"/>
          <w:sz w:val="19"/>
          <w:szCs w:val="19"/>
          <w:color w:val="auto"/>
        </w:rPr>
        <w:t xml:space="preserve"> or elsewhere herein, other than to confirm receipt of items expressly required to be delivered to such Agent-Related Person.</w:t>
      </w:r>
    </w:p>
    <w:p>
      <w:pPr>
        <w:spacing w:after="0" w:line="183"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9.04</w:t>
      </w:r>
      <w:r>
        <w:rPr>
          <w:sz w:val="20"/>
          <w:szCs w:val="20"/>
          <w:color w:val="auto"/>
        </w:rPr>
        <w:tab/>
      </w:r>
      <w:r>
        <w:rPr>
          <w:rFonts w:ascii="Times New Roman" w:cs="Times New Roman" w:eastAsia="Times New Roman" w:hAnsi="Times New Roman"/>
          <w:sz w:val="19"/>
          <w:szCs w:val="19"/>
          <w:u w:val="single" w:color="auto"/>
          <w:color w:val="auto"/>
        </w:rPr>
        <w:t>Reliance by Agent</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220" w:firstLine="633"/>
        <w:spacing w:after="0" w:line="268" w:lineRule="auto"/>
        <w:rPr>
          <w:sz w:val="20"/>
          <w:szCs w:val="20"/>
          <w:color w:val="auto"/>
        </w:rPr>
      </w:pPr>
      <w:r>
        <w:rPr>
          <w:rFonts w:ascii="Times New Roman" w:cs="Times New Roman" w:eastAsia="Times New Roman" w:hAnsi="Times New Roman"/>
          <w:sz w:val="19"/>
          <w:szCs w:val="19"/>
          <w:color w:val="auto"/>
        </w:rPr>
        <w:t>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-84-</w:t>
      </w: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20" w:top="1383" w:right="379" w:bottom="1440" w:gutter="0" w:footer="0" w:header="0"/>
        </w:sectPr>
      </w:pPr>
    </w:p>
    <w:bookmarkStart w:id="160" w:name="page161"/>
    <w:bookmarkEnd w:id="160"/>
    <w:p>
      <w:pPr>
        <w:spacing w:after="0" w:line="262" w:lineRule="auto"/>
        <w:rPr>
          <w:sz w:val="20"/>
          <w:szCs w:val="20"/>
          <w:color w:val="auto"/>
        </w:rPr>
      </w:pPr>
      <w:r>
        <w:rPr>
          <w:rFonts w:ascii="Times New Roman" w:cs="Times New Roman" w:eastAsia="Times New Roman" w:hAnsi="Times New Roman"/>
          <w:sz w:val="19"/>
          <w:szCs w:val="19"/>
          <w:color w:val="auto"/>
        </w:rPr>
        <w:t>Person, and shall not incur any liability for relying thereon. In determining compliance with any condition hereunder to the making of a Loan that by its terms must be fulfilled to the satisfaction of a Lender, the Agent may presume that such condition is satisfactory to such Lender unless the Agent shall have received notice to the contrary from such Lender prior to the making of such Loan. The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7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9.05</w:t>
      </w:r>
      <w:r>
        <w:rPr>
          <w:sz w:val="20"/>
          <w:szCs w:val="20"/>
          <w:color w:val="auto"/>
        </w:rPr>
        <w:tab/>
      </w:r>
      <w:r>
        <w:rPr>
          <w:rFonts w:ascii="Times New Roman" w:cs="Times New Roman" w:eastAsia="Times New Roman" w:hAnsi="Times New Roman"/>
          <w:sz w:val="19"/>
          <w:szCs w:val="19"/>
          <w:u w:val="single" w:color="auto"/>
          <w:color w:val="auto"/>
        </w:rPr>
        <w:t>Delegation of Duties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160" w:firstLine="633"/>
        <w:spacing w:after="0" w:line="262" w:lineRule="auto"/>
        <w:rPr>
          <w:sz w:val="20"/>
          <w:szCs w:val="20"/>
          <w:color w:val="auto"/>
        </w:rPr>
      </w:pPr>
      <w:r>
        <w:rPr>
          <w:rFonts w:ascii="Times New Roman" w:cs="Times New Roman" w:eastAsia="Times New Roman" w:hAnsi="Times New Roman"/>
          <w:sz w:val="19"/>
          <w:szCs w:val="19"/>
          <w:color w:val="auto"/>
        </w:rPr>
        <w:t>The Agent may perform any and all of its duties and exercise its rights and powers hereunder or under any other Loan Document by or through any one or more sub-agents appointed by the Agent. The Agent and any such sub-agent may perform any and all of its duties and exercise its rights and powers by or through their respective Related Parties. The exculpatory provisions of this Article shall apply to any such sub-agent and to the Related Parties of the Agent and any such sub-agent, and shall apply to their respective activities in connection with the syndication of the Facilities as well as activities as Agent.</w:t>
      </w:r>
    </w:p>
    <w:p>
      <w:pPr>
        <w:spacing w:after="0" w:line="179"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9.06</w:t>
      </w:r>
      <w:r>
        <w:rPr>
          <w:sz w:val="20"/>
          <w:szCs w:val="20"/>
          <w:color w:val="auto"/>
        </w:rPr>
        <w:tab/>
      </w:r>
      <w:r>
        <w:rPr>
          <w:rFonts w:ascii="Times New Roman" w:cs="Times New Roman" w:eastAsia="Times New Roman" w:hAnsi="Times New Roman"/>
          <w:sz w:val="19"/>
          <w:szCs w:val="19"/>
          <w:u w:val="single" w:color="auto"/>
          <w:color w:val="auto"/>
        </w:rPr>
        <w:t>Resignation of Agent</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60" w:firstLine="633"/>
        <w:spacing w:after="0" w:line="257" w:lineRule="auto"/>
        <w:rPr>
          <w:sz w:val="20"/>
          <w:szCs w:val="20"/>
          <w:color w:val="auto"/>
        </w:rPr>
      </w:pPr>
      <w:r>
        <w:rPr>
          <w:rFonts w:ascii="Times New Roman" w:cs="Times New Roman" w:eastAsia="Times New Roman" w:hAnsi="Times New Roman"/>
          <w:sz w:val="19"/>
          <w:szCs w:val="19"/>
          <w:color w:val="auto"/>
        </w:rPr>
        <w:t xml:space="preserve">The Agent may at any time give notice of its resignation to the Lenders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and in each case such successor shall require the consent of the Company at all times other than during the existence of an Event of Default under </w:t>
      </w:r>
      <w:r>
        <w:rPr>
          <w:rFonts w:ascii="Times New Roman" w:cs="Times New Roman" w:eastAsia="Times New Roman" w:hAnsi="Times New Roman"/>
          <w:sz w:val="19"/>
          <w:szCs w:val="19"/>
          <w:u w:val="single" w:color="auto"/>
          <w:color w:val="auto"/>
        </w:rPr>
        <w:t>Section 8.01(a)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(such consent not to be unreasonably withheld or delayed). If no such successor shall have been so appointed by the Required Lenders and shall have accepted such appointment within 30 days after the retiring Agent gives notice of its resignation, then the retiring Agent may on behalf of the Lenders, appoint a successor Agent meeting the qualifications set forth above;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Agent shall notify the Company and the Lenders that no qualifying Person has accepted such appointment, then such resignation shall nonetheless become effective in accordance with such notice and</w:t>
      </w:r>
    </w:p>
    <w:p>
      <w:pPr>
        <w:spacing w:after="0" w:line="3" w:lineRule="exact"/>
        <w:rPr>
          <w:sz w:val="20"/>
          <w:szCs w:val="20"/>
          <w:color w:val="auto"/>
        </w:rPr>
      </w:pPr>
    </w:p>
    <w:p>
      <w:pPr>
        <w:ind w:right="20" w:firstLine="6"/>
        <w:spacing w:after="0" w:line="256" w:lineRule="auto"/>
        <w:tabs>
          <w:tab w:leader="none" w:pos="274"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retiring Agent shall be discharged from its duties and obligations hereunder and under the other Loan Documents (except that in the case of any collateral security held by the Agent on behalf of the Lenders under any of the Loan Documents, the retiring Agent shall continue to hold such collateral security until such time as a successor Agent is appointed) and (2) all payments, communications and determinations provided to be made by, to or through the Agent shall instead be made by or to each Lender directly, until such time as the Required Lenders appoint a successor Agent, in consultation with the Company, as provided for above in this Section.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Section). The fees payable by the Company to a successor Agent shall be the same as those payable to its predecessor unless otherwise agreed between the Company and such successor. After the retiring Agent’s resignation hereunder and under the other Loan Documents, the provisions of this Article and </w:t>
      </w:r>
      <w:r>
        <w:rPr>
          <w:rFonts w:ascii="Times New Roman" w:cs="Times New Roman" w:eastAsia="Times New Roman" w:hAnsi="Times New Roman"/>
          <w:sz w:val="19"/>
          <w:szCs w:val="19"/>
          <w:u w:val="single" w:color="auto"/>
          <w:color w:val="auto"/>
        </w:rPr>
        <w:t>Sections 10.04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10.05</w:t>
      </w:r>
      <w:r>
        <w:rPr>
          <w:rFonts w:ascii="Times New Roman" w:cs="Times New Roman" w:eastAsia="Times New Roman" w:hAnsi="Times New Roman"/>
          <w:sz w:val="19"/>
          <w:szCs w:val="19"/>
          <w:color w:val="auto"/>
        </w:rPr>
        <w:t xml:space="preserve"> shall continue in effect for the benefit of such retiring Agent, its sub-agents and their respective Related Parties in respect of any actions taken or omitted to be taken by any of them while the retiring Agent was acting as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-85-</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61" w:name="page162"/>
    <w:bookmarkEnd w:id="161"/>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9.07</w:t>
      </w:r>
      <w:r>
        <w:rPr>
          <w:sz w:val="20"/>
          <w:szCs w:val="20"/>
          <w:color w:val="auto"/>
        </w:rPr>
        <w:tab/>
      </w:r>
      <w:r>
        <w:rPr>
          <w:rFonts w:ascii="Times New Roman" w:cs="Times New Roman" w:eastAsia="Times New Roman" w:hAnsi="Times New Roman"/>
          <w:sz w:val="19"/>
          <w:szCs w:val="19"/>
          <w:u w:val="single" w:color="auto"/>
          <w:color w:val="auto"/>
        </w:rPr>
        <w:t>Non-Reliance on Agent and Other Lenders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20" w:firstLine="633"/>
        <w:spacing w:after="0" w:line="262" w:lineRule="auto"/>
        <w:rPr>
          <w:sz w:val="20"/>
          <w:szCs w:val="20"/>
          <w:color w:val="auto"/>
        </w:rPr>
      </w:pPr>
      <w:r>
        <w:rPr>
          <w:rFonts w:ascii="Times New Roman" w:cs="Times New Roman" w:eastAsia="Times New Roman" w:hAnsi="Times New Roman"/>
          <w:sz w:val="19"/>
          <w:szCs w:val="19"/>
          <w:color w:val="auto"/>
        </w:rPr>
        <w:t>Each Lender acknowledges that it has, independently and without reliance upon any Agent-Related Person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Agent-Related Person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9.08</w:t>
      </w:r>
      <w:r>
        <w:rPr>
          <w:sz w:val="20"/>
          <w:szCs w:val="20"/>
          <w:color w:val="auto"/>
        </w:rPr>
        <w:tab/>
      </w:r>
      <w:r>
        <w:rPr>
          <w:rFonts w:ascii="Times New Roman" w:cs="Times New Roman" w:eastAsia="Times New Roman" w:hAnsi="Times New Roman"/>
          <w:sz w:val="19"/>
          <w:szCs w:val="19"/>
          <w:u w:val="single" w:color="auto"/>
          <w:color w:val="auto"/>
        </w:rPr>
        <w:t>No Other Duties, Etc.</w:t>
      </w:r>
    </w:p>
    <w:p>
      <w:pPr>
        <w:spacing w:after="0" w:line="230" w:lineRule="exact"/>
        <w:rPr>
          <w:sz w:val="20"/>
          <w:szCs w:val="20"/>
          <w:color w:val="auto"/>
        </w:rPr>
      </w:pPr>
    </w:p>
    <w:p>
      <w:pPr>
        <w:ind w:right="300" w:firstLine="633"/>
        <w:spacing w:after="0" w:line="272" w:lineRule="auto"/>
        <w:rPr>
          <w:sz w:val="20"/>
          <w:szCs w:val="20"/>
          <w:color w:val="auto"/>
        </w:rPr>
      </w:pPr>
      <w:r>
        <w:rPr>
          <w:rFonts w:ascii="Times New Roman" w:cs="Times New Roman" w:eastAsia="Times New Roman" w:hAnsi="Times New Roman"/>
          <w:sz w:val="19"/>
          <w:szCs w:val="19"/>
          <w:color w:val="auto"/>
        </w:rPr>
        <w:t>Anything herein to the contrary notwithstanding, the Joint Lead Arrangers and Co-Documentation Agents shall not have any powers, duties or responsibilities under this Agreement or any of the other Loan Documents, except in its capacity, as applicable, as the Agent or a Lender hereunder.</w:t>
      </w:r>
    </w:p>
    <w:p>
      <w:pPr>
        <w:spacing w:after="0" w:line="16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9.09</w:t>
      </w:r>
      <w:r>
        <w:rPr>
          <w:sz w:val="20"/>
          <w:szCs w:val="20"/>
          <w:color w:val="auto"/>
        </w:rPr>
        <w:tab/>
      </w:r>
      <w:r>
        <w:rPr>
          <w:rFonts w:ascii="Times New Roman" w:cs="Times New Roman" w:eastAsia="Times New Roman" w:hAnsi="Times New Roman"/>
          <w:sz w:val="19"/>
          <w:szCs w:val="19"/>
          <w:u w:val="single" w:color="auto"/>
          <w:color w:val="auto"/>
        </w:rPr>
        <w:t>Agent May File Proofs of Claim</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jc w:val="both"/>
        <w:ind w:right="80" w:firstLine="633"/>
        <w:spacing w:after="0" w:line="268" w:lineRule="auto"/>
        <w:rPr>
          <w:sz w:val="20"/>
          <w:szCs w:val="20"/>
          <w:color w:val="auto"/>
        </w:rPr>
      </w:pPr>
      <w:r>
        <w:rPr>
          <w:rFonts w:ascii="Times New Roman" w:cs="Times New Roman" w:eastAsia="Times New Roman" w:hAnsi="Times New Roman"/>
          <w:sz w:val="19"/>
          <w:szCs w:val="19"/>
          <w:color w:val="auto"/>
        </w:rPr>
        <w:t>In case of the pendency of any receivership, insolvency, liquidation, bankruptcy, reorganization, arrangement, adjustment, composition or other judicial proceeding relative to the Company, the Agent (irrespective of whether the principal of any Loan shall then be due and payable as herein expressed or by declaration or otherwise and irrespective of whether the Agent shall have made any demand on the Company) shall be entitled and empowered, by intervention in such proceeding or otherwise:</w:t>
      </w:r>
    </w:p>
    <w:p>
      <w:pPr>
        <w:spacing w:after="0" w:line="172" w:lineRule="exact"/>
        <w:rPr>
          <w:sz w:val="20"/>
          <w:szCs w:val="20"/>
          <w:color w:val="auto"/>
        </w:rPr>
      </w:pPr>
    </w:p>
    <w:p>
      <w:pPr>
        <w:ind w:right="180" w:firstLine="639"/>
        <w:spacing w:after="0" w:line="262" w:lineRule="auto"/>
        <w:tabs>
          <w:tab w:leader="none" w:pos="1041"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Agent (including any claim for the reasonable compensation, expenses, disbursements and advances of the Lenders and the Agent and their respective agents and counsel and all other amounts due the Lenders and the Agent under </w:t>
      </w:r>
      <w:r>
        <w:rPr>
          <w:rFonts w:ascii="Times New Roman" w:cs="Times New Roman" w:eastAsia="Times New Roman" w:hAnsi="Times New Roman"/>
          <w:sz w:val="19"/>
          <w:szCs w:val="19"/>
          <w:u w:val="single" w:color="auto"/>
          <w:color w:val="auto"/>
        </w:rPr>
        <w:t>Sections 2.10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10.05</w:t>
      </w:r>
      <w:r>
        <w:rPr>
          <w:rFonts w:ascii="Times New Roman" w:cs="Times New Roman" w:eastAsia="Times New Roman" w:hAnsi="Times New Roman"/>
          <w:sz w:val="19"/>
          <w:szCs w:val="19"/>
          <w:color w:val="auto"/>
        </w:rPr>
        <w:t>) allowed in such judicial proceeding; and</w:t>
      </w:r>
    </w:p>
    <w:p>
      <w:pPr>
        <w:spacing w:after="0" w:line="165" w:lineRule="exact"/>
        <w:rPr>
          <w:rFonts w:ascii="Times New Roman" w:cs="Times New Roman" w:eastAsia="Times New Roman" w:hAnsi="Times New Roman"/>
          <w:sz w:val="19"/>
          <w:szCs w:val="19"/>
          <w:color w:val="auto"/>
        </w:rPr>
      </w:pPr>
    </w:p>
    <w:p>
      <w:pPr>
        <w:ind w:firstLine="639"/>
        <w:spacing w:after="0" w:line="266" w:lineRule="auto"/>
        <w:tabs>
          <w:tab w:leader="none" w:pos="1052"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Agent and, in the event that the Agent shall consent to the making of such payments directly to the Lenders, to pay to the Agent any amount due for the reasonable compensation, expenses, disbursements and advances of the Agent and its agents and counsel, and any other amounts due the Agent under </w:t>
      </w:r>
      <w:r>
        <w:rPr>
          <w:rFonts w:ascii="Times New Roman" w:cs="Times New Roman" w:eastAsia="Times New Roman" w:hAnsi="Times New Roman"/>
          <w:sz w:val="19"/>
          <w:szCs w:val="19"/>
          <w:u w:val="single" w:color="auto"/>
          <w:color w:val="auto"/>
        </w:rPr>
        <w:t>Sections 2.10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10.05</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ind w:right="220" w:firstLine="633"/>
        <w:spacing w:after="0" w:line="279" w:lineRule="auto"/>
        <w:rPr>
          <w:sz w:val="20"/>
          <w:szCs w:val="20"/>
          <w:color w:val="auto"/>
        </w:rPr>
      </w:pPr>
      <w:r>
        <w:rPr>
          <w:rFonts w:ascii="Times New Roman" w:cs="Times New Roman" w:eastAsia="Times New Roman" w:hAnsi="Times New Roman"/>
          <w:sz w:val="19"/>
          <w:szCs w:val="19"/>
          <w:color w:val="auto"/>
        </w:rPr>
        <w:t>Nothing contained herein shall be deemed to authorize the Agent to authorize or consent to or accept or adopt on behalf of any Lender any plan of reorganization, arrangement, adjustment or composition affecting the Obligations or the rights of any Lender or to authorize the Agent to vote in respect of the claim of any Lender in any such proceeding.</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62" w:name="page163"/>
    <w:bookmarkEnd w:id="162"/>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9.10</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9.11</w:t>
      </w:r>
      <w:r>
        <w:rPr>
          <w:sz w:val="20"/>
          <w:szCs w:val="20"/>
          <w:color w:val="auto"/>
        </w:rPr>
        <w:tab/>
      </w:r>
      <w:r>
        <w:rPr>
          <w:rFonts w:ascii="Times New Roman" w:cs="Times New Roman" w:eastAsia="Times New Roman" w:hAnsi="Times New Roman"/>
          <w:sz w:val="19"/>
          <w:szCs w:val="19"/>
          <w:u w:val="single" w:color="auto"/>
          <w:color w:val="auto"/>
        </w:rPr>
        <w:t>Indemnification of Agent-Related Persons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firstLine="633"/>
        <w:spacing w:after="0" w:line="258" w:lineRule="auto"/>
        <w:rPr>
          <w:sz w:val="20"/>
          <w:szCs w:val="20"/>
          <w:color w:val="auto"/>
        </w:rPr>
      </w:pPr>
      <w:r>
        <w:rPr>
          <w:rFonts w:ascii="Times New Roman" w:cs="Times New Roman" w:eastAsia="Times New Roman" w:hAnsi="Times New Roman"/>
          <w:sz w:val="19"/>
          <w:szCs w:val="19"/>
          <w:color w:val="auto"/>
        </w:rPr>
        <w:t xml:space="preserve">Whether or not the transactions contemplated hereby are consummated, the Lenders shall indemnify upon demand each Agent-Related Person (to the extent not reimbursed by or on behalf of the Company and without limiting the obligation of the Company to do so), ratably according to their respective portions of the total Loans held on the date on which indemnification is sought, and hold harmless each Agent-Related Person from and against any and all Indemnified Liabilities incurred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be liable for the payment to any Agent-Related Person of any portion of such Indemnified Liabilities to the extent determined in a final, nonappealable judgment by a court of competent jurisdiction to have resulted from such Agent-Related Person’s own gross negligence or willful misconduct;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no action taken in accordance with the directions of the Required Lenders shall be deemed to constitute gross negligence or willful misconduct for purposes of this Section. Without limitation of the foregoing, each Lender shall reimburse each Agent-Related Person upon demand for its ratable share of any costs or out-of-pocket expenses (including Attorney Costs) incurred by such Agent-Related Person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such Agent-Related Person is not reimbursed for such expenses by or on behalf of the Company. The undertaking in this Section shall survive the payment of all other Obligations and the resignation of the Agent or any Agent-Related Person.</w:t>
      </w:r>
    </w:p>
    <w:p>
      <w:pPr>
        <w:spacing w:after="0" w:line="200" w:lineRule="exact"/>
        <w:rPr>
          <w:sz w:val="20"/>
          <w:szCs w:val="20"/>
          <w:color w:val="auto"/>
        </w:rPr>
      </w:pPr>
    </w:p>
    <w:p>
      <w:pPr>
        <w:spacing w:after="0" w:line="21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9"/>
          <w:szCs w:val="19"/>
          <w:color w:val="auto"/>
        </w:rPr>
        <w:t>Section 9.12</w:t>
      </w:r>
      <w:r>
        <w:rPr>
          <w:sz w:val="20"/>
          <w:szCs w:val="20"/>
          <w:color w:val="auto"/>
        </w:rPr>
        <w:tab/>
      </w:r>
      <w:r>
        <w:rPr>
          <w:rFonts w:ascii="Times New Roman" w:cs="Times New Roman" w:eastAsia="Times New Roman" w:hAnsi="Times New Roman"/>
          <w:sz w:val="19"/>
          <w:szCs w:val="19"/>
          <w:u w:val="single" w:color="auto"/>
          <w:color w:val="auto"/>
        </w:rPr>
        <w:t>Withholding Tax</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20" w:firstLine="633"/>
        <w:spacing w:after="0" w:line="257" w:lineRule="auto"/>
        <w:rPr>
          <w:sz w:val="20"/>
          <w:szCs w:val="20"/>
          <w:color w:val="auto"/>
        </w:rPr>
      </w:pPr>
      <w:r>
        <w:rPr>
          <w:rFonts w:ascii="Times New Roman" w:cs="Times New Roman" w:eastAsia="Times New Roman" w:hAnsi="Times New Roman"/>
          <w:sz w:val="19"/>
          <w:szCs w:val="19"/>
          <w:color w:val="auto"/>
        </w:rPr>
        <w:t xml:space="preserve">To the extent required by any applicable law, the Agent shall withhold from any payment to any Lender an amount equal to any applicable withholding Tax. If the IRS or any Governmental Authority asserts a claim that the Agent did not properly withhold Tax from any amount paid to or for the account of any Lender for any reason (including because the appropriate form was not delivered or was not properly executed, or because such Lender failed to notify the Agent of a change in circumstances that rendered the exemption from, or reduction of, withholding Tax ineffective), such Lender shall indemnify and hold harmless the Agent (to the extent that the Agent has not already been reimbursed by the Company and without limiting or expanding the obligation of the Company to do so) for all amounts paid, directly or indirectly, by the Agent as tax or otherwise, including any penalties, additions to Tax or interest thereon, together with all expenses incurred, including legal expenses and any out-of-pocket expenses, whether or not such Tax was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this Agreement or any other Loan Document against any amount due to the Agent under this </w:t>
      </w:r>
      <w:r>
        <w:rPr>
          <w:rFonts w:ascii="Times New Roman" w:cs="Times New Roman" w:eastAsia="Times New Roman" w:hAnsi="Times New Roman"/>
          <w:sz w:val="19"/>
          <w:szCs w:val="19"/>
          <w:u w:val="single" w:color="auto"/>
          <w:color w:val="auto"/>
        </w:rPr>
        <w:t>Article 9</w:t>
      </w:r>
      <w:r>
        <w:rPr>
          <w:rFonts w:ascii="Times New Roman" w:cs="Times New Roman" w:eastAsia="Times New Roman" w:hAnsi="Times New Roman"/>
          <w:sz w:val="19"/>
          <w:szCs w:val="19"/>
          <w:color w:val="auto"/>
        </w:rPr>
        <w:t xml:space="preserve">. The agreements in this </w:t>
      </w:r>
      <w:r>
        <w:rPr>
          <w:rFonts w:ascii="Times New Roman" w:cs="Times New Roman" w:eastAsia="Times New Roman" w:hAnsi="Times New Roman"/>
          <w:sz w:val="19"/>
          <w:szCs w:val="19"/>
          <w:u w:val="single" w:color="auto"/>
          <w:color w:val="auto"/>
        </w:rPr>
        <w:t>Article 9</w:t>
      </w:r>
      <w:r>
        <w:rPr>
          <w:rFonts w:ascii="Times New Roman" w:cs="Times New Roman" w:eastAsia="Times New Roman" w:hAnsi="Times New Roman"/>
          <w:sz w:val="19"/>
          <w:szCs w:val="19"/>
          <w:color w:val="auto"/>
        </w:rPr>
        <w:t xml:space="preserve"> shall survive the resignation and/or replacement of the Agent, any assignment of rights by, or the replacement of, a Lender, the termination of the Loans and the repayment, satisfaction or discharge of all obligations under this Agreement. Unless required by applicable laws, at no time shall the Agent have any obligation to file for or otherwise pursue on behalf of a Lender any refund of Taxes withheld or deducted from funds paid for the account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-87-</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63" w:name="page164"/>
    <w:bookmarkEnd w:id="163"/>
    <w:p>
      <w:pPr>
        <w:ind w:left="580"/>
        <w:spacing w:after="0"/>
        <w:tabs>
          <w:tab w:leader="none" w:pos="1720" w:val="left"/>
        </w:tabs>
        <w:rPr>
          <w:sz w:val="20"/>
          <w:szCs w:val="20"/>
          <w:color w:val="auto"/>
        </w:rPr>
      </w:pPr>
      <w:r>
        <w:rPr>
          <w:rFonts w:ascii="Times New Roman" w:cs="Times New Roman" w:eastAsia="Times New Roman" w:hAnsi="Times New Roman"/>
          <w:sz w:val="19"/>
          <w:szCs w:val="19"/>
          <w:color w:val="auto"/>
        </w:rPr>
        <w:t>Section 9.13</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jc w:val="both"/>
        <w:ind w:left="-60" w:firstLine="639"/>
        <w:spacing w:after="0" w:line="263" w:lineRule="auto"/>
        <w:tabs>
          <w:tab w:leader="none" w:pos="1029"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Agent, and the Joint Lead Arrangers and their respective Affiliates, and not, for the avoidance of doubt, to or for the benefit of the Company, that at least one of the following is and will be true:</w:t>
      </w:r>
    </w:p>
    <w:p>
      <w:pPr>
        <w:spacing w:after="0" w:line="176" w:lineRule="exact"/>
        <w:rPr>
          <w:rFonts w:ascii="Times New Roman" w:cs="Times New Roman" w:eastAsia="Times New Roman" w:hAnsi="Times New Roman"/>
          <w:sz w:val="19"/>
          <w:szCs w:val="19"/>
          <w:color w:val="auto"/>
        </w:rPr>
      </w:pPr>
    </w:p>
    <w:p>
      <w:pPr>
        <w:ind w:left="560" w:right="80" w:firstLine="889"/>
        <w:spacing w:after="0" w:line="297" w:lineRule="auto"/>
        <w:tabs>
          <w:tab w:leader="none" w:pos="1822"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 is not using “plan assets” (within the meaning of the Plan Asset Regulations) of one or more Benefit Plans in connection with the Loans or the Commitments,</w:t>
      </w:r>
    </w:p>
    <w:p>
      <w:pPr>
        <w:spacing w:after="0" w:line="131" w:lineRule="exact"/>
        <w:rPr>
          <w:rFonts w:ascii="Times New Roman" w:cs="Times New Roman" w:eastAsia="Times New Roman" w:hAnsi="Times New Roman"/>
          <w:sz w:val="19"/>
          <w:szCs w:val="19"/>
          <w:color w:val="auto"/>
        </w:rPr>
      </w:pPr>
    </w:p>
    <w:p>
      <w:pPr>
        <w:ind w:left="560" w:right="60" w:firstLine="889"/>
        <w:spacing w:after="0" w:line="262" w:lineRule="auto"/>
        <w:tabs>
          <w:tab w:leader="none" w:pos="1875"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and the conditions for exemptive relief thereunder are and will continue to be satisfied in connection therewith,</w:t>
      </w:r>
    </w:p>
    <w:p>
      <w:pPr>
        <w:spacing w:after="0" w:line="163" w:lineRule="exact"/>
        <w:rPr>
          <w:rFonts w:ascii="Times New Roman" w:cs="Times New Roman" w:eastAsia="Times New Roman" w:hAnsi="Times New Roman"/>
          <w:sz w:val="19"/>
          <w:szCs w:val="19"/>
          <w:color w:val="auto"/>
        </w:rPr>
      </w:pPr>
    </w:p>
    <w:p>
      <w:pPr>
        <w:ind w:left="560" w:firstLine="889"/>
        <w:spacing w:after="0" w:line="262" w:lineRule="auto"/>
        <w:tabs>
          <w:tab w:leader="none" w:pos="1929"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63" w:lineRule="exact"/>
        <w:rPr>
          <w:rFonts w:ascii="Times New Roman" w:cs="Times New Roman" w:eastAsia="Times New Roman" w:hAnsi="Times New Roman"/>
          <w:sz w:val="19"/>
          <w:szCs w:val="19"/>
          <w:color w:val="auto"/>
        </w:rPr>
      </w:pPr>
    </w:p>
    <w:p>
      <w:pPr>
        <w:ind w:left="1920" w:hanging="471"/>
        <w:spacing w:after="0"/>
        <w:tabs>
          <w:tab w:leader="none" w:pos="1920"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representation, warranty and covenant as may be agreed in writing between the Agent, in its sole discretion,</w:t>
      </w:r>
    </w:p>
    <w:p>
      <w:pPr>
        <w:spacing w:after="0" w:line="33" w:lineRule="exact"/>
        <w:rPr>
          <w:rFonts w:ascii="Times New Roman" w:cs="Times New Roman" w:eastAsia="Times New Roman" w:hAnsi="Times New Roman"/>
          <w:sz w:val="19"/>
          <w:szCs w:val="19"/>
          <w:color w:val="auto"/>
        </w:rPr>
      </w:pPr>
    </w:p>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such Lender.</w:t>
      </w:r>
    </w:p>
    <w:p>
      <w:pPr>
        <w:spacing w:after="0" w:line="215" w:lineRule="exact"/>
        <w:rPr>
          <w:rFonts w:ascii="Times New Roman" w:cs="Times New Roman" w:eastAsia="Times New Roman" w:hAnsi="Times New Roman"/>
          <w:sz w:val="19"/>
          <w:szCs w:val="19"/>
          <w:color w:val="auto"/>
        </w:rPr>
      </w:pPr>
    </w:p>
    <w:p>
      <w:pPr>
        <w:ind w:left="-60" w:right="240" w:firstLine="639"/>
        <w:spacing w:after="0" w:line="262" w:lineRule="auto"/>
        <w:tabs>
          <w:tab w:leader="none" w:pos="992"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unless </w:t>
      </w:r>
      <w:r>
        <w:rPr>
          <w:rFonts w:ascii="Times New Roman" w:cs="Times New Roman" w:eastAsia="Times New Roman" w:hAnsi="Times New Roman"/>
          <w:sz w:val="19"/>
          <w:szCs w:val="19"/>
          <w:u w:val="single" w:color="auto"/>
          <w:color w:val="auto"/>
        </w:rPr>
        <w:t>subclause (i)</w:t>
      </w:r>
      <w:r>
        <w:rPr>
          <w:rFonts w:ascii="Times New Roman" w:cs="Times New Roman" w:eastAsia="Times New Roman" w:hAnsi="Times New Roman"/>
          <w:sz w:val="19"/>
          <w:szCs w:val="19"/>
          <w:color w:val="auto"/>
        </w:rPr>
        <w:t xml:space="preserve"> in the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is true with respect to a Lender or such Lender has not provided another representation, warranty and covenant as provided in </w:t>
      </w:r>
      <w:r>
        <w:rPr>
          <w:rFonts w:ascii="Times New Roman" w:cs="Times New Roman" w:eastAsia="Times New Roman" w:hAnsi="Times New Roman"/>
          <w:sz w:val="19"/>
          <w:szCs w:val="19"/>
          <w:u w:val="single" w:color="auto"/>
          <w:color w:val="auto"/>
        </w:rPr>
        <w:t>subclause (iv)</w:t>
      </w:r>
      <w:r>
        <w:rPr>
          <w:rFonts w:ascii="Times New Roman" w:cs="Times New Roman" w:eastAsia="Times New Roman" w:hAnsi="Times New Roman"/>
          <w:sz w:val="19"/>
          <w:szCs w:val="19"/>
          <w:color w:val="auto"/>
        </w:rPr>
        <w:t xml:space="preserve"> in the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Agent, and the Joint Lead Arrangers and their respective Affiliates, and not, for the avoidance of doubt, to or for the benefit of the Company, that:</w:t>
      </w:r>
    </w:p>
    <w:p>
      <w:pPr>
        <w:spacing w:after="0" w:line="179" w:lineRule="exact"/>
        <w:rPr>
          <w:rFonts w:ascii="Times New Roman" w:cs="Times New Roman" w:eastAsia="Times New Roman" w:hAnsi="Times New Roman"/>
          <w:sz w:val="19"/>
          <w:szCs w:val="19"/>
          <w:color w:val="auto"/>
        </w:rPr>
      </w:pPr>
    </w:p>
    <w:p>
      <w:pPr>
        <w:ind w:left="560" w:right="40" w:firstLine="889"/>
        <w:spacing w:after="0" w:line="272" w:lineRule="auto"/>
        <w:tabs>
          <w:tab w:leader="none" w:pos="1822"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Agent, or any of the Joint Lead Arrangers or any of their respective Affiliates is a fiduciary with respect to the assets of such Lender (including in connection with the reservation or exercise of any rights by the Agent under this Agreement, any Loan Document or any documents related to hereto or thereto),</w:t>
      </w:r>
    </w:p>
    <w:p>
      <w:pPr>
        <w:spacing w:after="0" w:line="154" w:lineRule="exact"/>
        <w:rPr>
          <w:rFonts w:ascii="Times New Roman" w:cs="Times New Roman" w:eastAsia="Times New Roman" w:hAnsi="Times New Roman"/>
          <w:sz w:val="19"/>
          <w:szCs w:val="19"/>
          <w:color w:val="auto"/>
        </w:rPr>
      </w:pPr>
    </w:p>
    <w:p>
      <w:pPr>
        <w:ind w:left="560" w:right="100" w:firstLine="889"/>
        <w:spacing w:after="0" w:line="297" w:lineRule="auto"/>
        <w:tabs>
          <w:tab w:leader="none" w:pos="1875"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making the investment decision on behalf of such Lender with respect to the entrance into, participation in, administration of and performance of the Loans, the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-88-</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120"/>
          </w:cols>
          <w:pgMar w:left="380" w:top="1383" w:right="399" w:bottom="1440" w:gutter="0" w:footer="0" w:header="0"/>
        </w:sectPr>
      </w:pPr>
    </w:p>
    <w:bookmarkStart w:id="164" w:name="page165"/>
    <w:bookmarkEnd w:id="164"/>
    <w:p>
      <w:pPr>
        <w:jc w:val="both"/>
        <w:ind w:left="600" w:right="220"/>
        <w:spacing w:after="0" w:line="272" w:lineRule="auto"/>
        <w:rPr>
          <w:sz w:val="20"/>
          <w:szCs w:val="20"/>
          <w:color w:val="auto"/>
        </w:rPr>
      </w:pPr>
      <w:r>
        <w:rPr>
          <w:rFonts w:ascii="Times New Roman" w:cs="Times New Roman" w:eastAsia="Times New Roman" w:hAnsi="Times New Roman"/>
          <w:sz w:val="19"/>
          <w:szCs w:val="19"/>
          <w:color w:val="auto"/>
        </w:rPr>
        <w:t>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67" w:lineRule="exact"/>
        <w:rPr>
          <w:sz w:val="20"/>
          <w:szCs w:val="20"/>
          <w:color w:val="auto"/>
        </w:rPr>
      </w:pPr>
    </w:p>
    <w:p>
      <w:pPr>
        <w:ind w:left="600" w:right="120" w:firstLine="889"/>
        <w:spacing w:after="0" w:line="268" w:lineRule="auto"/>
        <w:tabs>
          <w:tab w:leader="none" w:pos="1969" w:val="left"/>
        </w:tabs>
        <w:numPr>
          <w:ilvl w:val="1"/>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spacing w:after="0" w:line="158" w:lineRule="exact"/>
        <w:rPr>
          <w:rFonts w:ascii="Times New Roman" w:cs="Times New Roman" w:eastAsia="Times New Roman" w:hAnsi="Times New Roman"/>
          <w:sz w:val="19"/>
          <w:szCs w:val="19"/>
          <w:color w:val="auto"/>
        </w:rPr>
      </w:pPr>
    </w:p>
    <w:p>
      <w:pPr>
        <w:jc w:val="both"/>
        <w:ind w:left="600" w:right="80" w:firstLine="889"/>
        <w:spacing w:after="0" w:line="268" w:lineRule="auto"/>
        <w:tabs>
          <w:tab w:leader="none" w:pos="1958" w:val="left"/>
        </w:tabs>
        <w:numPr>
          <w:ilvl w:val="1"/>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171" w:lineRule="exact"/>
        <w:rPr>
          <w:rFonts w:ascii="Times New Roman" w:cs="Times New Roman" w:eastAsia="Times New Roman" w:hAnsi="Times New Roman"/>
          <w:sz w:val="19"/>
          <w:szCs w:val="19"/>
          <w:color w:val="auto"/>
        </w:rPr>
      </w:pPr>
    </w:p>
    <w:p>
      <w:pPr>
        <w:ind w:left="600" w:right="180" w:firstLine="889"/>
        <w:spacing w:after="0" w:line="283" w:lineRule="auto"/>
        <w:tabs>
          <w:tab w:leader="none" w:pos="1905" w:val="left"/>
        </w:tabs>
        <w:numPr>
          <w:ilvl w:val="1"/>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fee or other compensation is being paid directly to the Agent, or the Joint Lead Arrangers or any of their respective Affiliates for investment advice (as opposed to other services) in connection with the Loans, the Commitments or this Agreement.</w:t>
      </w:r>
    </w:p>
    <w:p>
      <w:pPr>
        <w:spacing w:after="0" w:line="157" w:lineRule="exact"/>
        <w:rPr>
          <w:rFonts w:ascii="Times New Roman" w:cs="Times New Roman" w:eastAsia="Times New Roman" w:hAnsi="Times New Roman"/>
          <w:sz w:val="19"/>
          <w:szCs w:val="19"/>
          <w:color w:val="auto"/>
        </w:rPr>
      </w:pPr>
    </w:p>
    <w:p>
      <w:pPr>
        <w:ind w:left="-20" w:firstLine="639"/>
        <w:spacing w:after="0" w:line="258" w:lineRule="auto"/>
        <w:tabs>
          <w:tab w:leader="none" w:pos="1017"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Agent and the Joint Lead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1" w:lineRule="exact"/>
        <w:rPr>
          <w:sz w:val="20"/>
          <w:szCs w:val="20"/>
          <w:color w:val="auto"/>
        </w:rPr>
      </w:pPr>
    </w:p>
    <w:p>
      <w:pPr>
        <w:ind w:left="620"/>
        <w:spacing w:after="0"/>
        <w:tabs>
          <w:tab w:leader="none" w:pos="1760" w:val="left"/>
        </w:tabs>
        <w:rPr>
          <w:sz w:val="20"/>
          <w:szCs w:val="20"/>
          <w:color w:val="auto"/>
        </w:rPr>
      </w:pPr>
      <w:r>
        <w:rPr>
          <w:rFonts w:ascii="Times New Roman" w:cs="Times New Roman" w:eastAsia="Times New Roman" w:hAnsi="Times New Roman"/>
          <w:sz w:val="19"/>
          <w:szCs w:val="19"/>
          <w:color w:val="auto"/>
        </w:rPr>
        <w:t>Section 9.14</w:t>
      </w:r>
      <w:r>
        <w:rPr>
          <w:sz w:val="20"/>
          <w:szCs w:val="20"/>
          <w:color w:val="auto"/>
        </w:rPr>
        <w:tab/>
      </w:r>
      <w:r>
        <w:rPr>
          <w:rFonts w:ascii="Times New Roman" w:cs="Times New Roman" w:eastAsia="Times New Roman" w:hAnsi="Times New Roman"/>
          <w:sz w:val="19"/>
          <w:szCs w:val="19"/>
          <w:u w:val="single" w:color="auto"/>
          <w:color w:val="auto"/>
        </w:rPr>
        <w:t>Erroneous Payments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left="600" w:right="40" w:firstLine="889"/>
        <w:spacing w:after="0" w:line="258" w:lineRule="auto"/>
        <w:tabs>
          <w:tab w:leader="none" w:pos="191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hereby agrees that (x) if the Agent notifies such Lender that the Agent has determined in its sole discretion that any funds received by such Lender from the Agent or any of its Affiliates (whether as a payment, prepayment or repayment of principal, interest, fees or otherwise; individually and collectively, a “</w:t>
      </w:r>
      <w:r>
        <w:rPr>
          <w:rFonts w:ascii="Times New Roman" w:cs="Times New Roman" w:eastAsia="Times New Roman" w:hAnsi="Times New Roman"/>
          <w:sz w:val="19"/>
          <w:szCs w:val="19"/>
          <w:b w:val="1"/>
          <w:bCs w:val="1"/>
          <w:color w:val="auto"/>
        </w:rPr>
        <w:t>Payment</w:t>
      </w:r>
      <w:r>
        <w:rPr>
          <w:rFonts w:ascii="Times New Roman" w:cs="Times New Roman" w:eastAsia="Times New Roman" w:hAnsi="Times New Roman"/>
          <w:sz w:val="19"/>
          <w:szCs w:val="19"/>
          <w:color w:val="auto"/>
        </w:rPr>
        <w:t>”) were erroneously transmitted to such Lender (whether or not known to such Lender), and demands the return of such Payment (or a portion thereof), such Lender shall promptly, but in no event later than one Business Day thereafter, return to the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Agent at the greater of the NYFRB Rate and a rate determined by the Agent in accordance with banking industry rules on interbank compensation from time to time in effect, and (y) to the extent permitted by applicable law, such Lender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-89-</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40" w:top="1383" w:right="339" w:bottom="1440" w:gutter="0" w:footer="0" w:header="0"/>
        </w:sectPr>
      </w:pPr>
    </w:p>
    <w:bookmarkStart w:id="165" w:name="page166"/>
    <w:bookmarkEnd w:id="165"/>
    <w:p>
      <w:pPr>
        <w:ind w:left="620" w:right="80"/>
        <w:spacing w:after="0" w:line="268" w:lineRule="auto"/>
        <w:rPr>
          <w:sz w:val="20"/>
          <w:szCs w:val="20"/>
          <w:color w:val="auto"/>
        </w:rPr>
      </w:pPr>
      <w:r>
        <w:rPr>
          <w:rFonts w:ascii="Times New Roman" w:cs="Times New Roman" w:eastAsia="Times New Roman" w:hAnsi="Times New Roman"/>
          <w:sz w:val="19"/>
          <w:szCs w:val="19"/>
          <w:color w:val="auto"/>
        </w:rPr>
        <w:t xml:space="preserve">not assert, and hereby waives, as to the Agent, any claim, counterclaim, defense or right of set-off or recoupment with respect to any demand, claim or counterclaim by the Agent for the return of any Payments received, including without limitation any defense based on “discharge for value” or any similar doctrine. A notice of the Agent to any Lender under this </w:t>
      </w:r>
      <w:r>
        <w:rPr>
          <w:rFonts w:ascii="Times New Roman" w:cs="Times New Roman" w:eastAsia="Times New Roman" w:hAnsi="Times New Roman"/>
          <w:sz w:val="19"/>
          <w:szCs w:val="19"/>
          <w:u w:val="single" w:color="auto"/>
          <w:color w:val="auto"/>
        </w:rPr>
        <w:t>Section 9.14</w:t>
      </w:r>
      <w:r>
        <w:rPr>
          <w:rFonts w:ascii="Times New Roman" w:cs="Times New Roman" w:eastAsia="Times New Roman" w:hAnsi="Times New Roman"/>
          <w:sz w:val="19"/>
          <w:szCs w:val="19"/>
          <w:color w:val="auto"/>
        </w:rPr>
        <w:t xml:space="preserve"> shall be conclusive, absent manifest error.</w:t>
      </w:r>
    </w:p>
    <w:p>
      <w:pPr>
        <w:spacing w:after="0" w:line="158" w:lineRule="exact"/>
        <w:rPr>
          <w:sz w:val="20"/>
          <w:szCs w:val="20"/>
          <w:color w:val="auto"/>
        </w:rPr>
      </w:pPr>
    </w:p>
    <w:p>
      <w:pPr>
        <w:ind w:left="620" w:firstLine="889"/>
        <w:spacing w:after="0" w:line="260" w:lineRule="auto"/>
        <w:tabs>
          <w:tab w:leader="none" w:pos="1935"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hereby further agrees that if it receives a Payment from the Agent or any of its Affiliates (x) that is in a different amount than, or on a different date from, that specified in a notice of payment sent by the Agent (or any of its Affiliates) with respect to such Payment (a “</w:t>
      </w:r>
      <w:r>
        <w:rPr>
          <w:rFonts w:ascii="Times New Roman" w:cs="Times New Roman" w:eastAsia="Times New Roman" w:hAnsi="Times New Roman"/>
          <w:sz w:val="19"/>
          <w:szCs w:val="19"/>
          <w:b w:val="1"/>
          <w:bCs w:val="1"/>
          <w:color w:val="auto"/>
        </w:rPr>
        <w:t>Payment Notice</w:t>
      </w:r>
      <w:r>
        <w:rPr>
          <w:rFonts w:ascii="Times New Roman" w:cs="Times New Roman" w:eastAsia="Times New Roman" w:hAnsi="Times New Roman"/>
          <w:sz w:val="19"/>
          <w:szCs w:val="19"/>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Agent of such occurrence and, upon demand from the Agent, it shall promptly, but in no event later than one Business Day thereafter, return to the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Agent at the greater of the NYFRB Rate and a rate determined by the Agent in accordance with banking industry rules on interbank compensation from time to time in effect.</w:t>
      </w:r>
    </w:p>
    <w:p>
      <w:pPr>
        <w:spacing w:after="0" w:line="165" w:lineRule="exact"/>
        <w:rPr>
          <w:rFonts w:ascii="Times New Roman" w:cs="Times New Roman" w:eastAsia="Times New Roman" w:hAnsi="Times New Roman"/>
          <w:sz w:val="19"/>
          <w:szCs w:val="19"/>
          <w:color w:val="auto"/>
        </w:rPr>
      </w:pPr>
    </w:p>
    <w:p>
      <w:pPr>
        <w:jc w:val="both"/>
        <w:ind w:left="620" w:firstLine="889"/>
        <w:spacing w:after="0" w:line="268" w:lineRule="auto"/>
        <w:tabs>
          <w:tab w:leader="none" w:pos="1986"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hereby agrees that (x) in the event an erroneous Payment (or portion thereof) are not recovered from any Lender that has received such Payment (or portion thereof) for any reason, the Agent shall be subrogated to all the rights of such Lender with respect to such amount and (y) an erroneous Payment shall not pay, prepay, repay, discharge or otherwise satisfy any Obligations owed by the Company.</w:t>
      </w:r>
    </w:p>
    <w:p>
      <w:pPr>
        <w:spacing w:after="0" w:line="171" w:lineRule="exact"/>
        <w:rPr>
          <w:rFonts w:ascii="Times New Roman" w:cs="Times New Roman" w:eastAsia="Times New Roman" w:hAnsi="Times New Roman"/>
          <w:sz w:val="19"/>
          <w:szCs w:val="19"/>
          <w:color w:val="auto"/>
        </w:rPr>
      </w:pPr>
    </w:p>
    <w:p>
      <w:pPr>
        <w:ind w:left="620" w:right="280" w:firstLine="889"/>
        <w:spacing w:after="0" w:line="272" w:lineRule="auto"/>
        <w:tabs>
          <w:tab w:leader="none" w:pos="1978"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party’s obligations under this </w:t>
      </w:r>
      <w:r>
        <w:rPr>
          <w:rFonts w:ascii="Times New Roman" w:cs="Times New Roman" w:eastAsia="Times New Roman" w:hAnsi="Times New Roman"/>
          <w:sz w:val="19"/>
          <w:szCs w:val="19"/>
          <w:u w:val="single" w:color="auto"/>
          <w:color w:val="auto"/>
        </w:rPr>
        <w:t>Section 9.14</w:t>
      </w:r>
      <w:r>
        <w:rPr>
          <w:rFonts w:ascii="Times New Roman" w:cs="Times New Roman" w:eastAsia="Times New Roman" w:hAnsi="Times New Roman"/>
          <w:sz w:val="19"/>
          <w:szCs w:val="19"/>
          <w:color w:val="auto"/>
        </w:rPr>
        <w:t xml:space="preserve"> shall survive the resignation or replacement of the Agent or any transfer of rights or obligations by, or the replacement of, a Lender, the termination of the Revolving Commitments or the repayment, satisfaction or discharge of all Obligations under any Loan Document.</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ARTICLE 10</w:t>
      </w:r>
    </w:p>
    <w:p>
      <w:pPr>
        <w:spacing w:after="0" w:line="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215"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10.01</w:t>
      </w:r>
      <w:r>
        <w:rPr>
          <w:sz w:val="20"/>
          <w:szCs w:val="20"/>
          <w:color w:val="auto"/>
        </w:rPr>
        <w:tab/>
      </w:r>
      <w:r>
        <w:rPr>
          <w:rFonts w:ascii="Times New Roman" w:cs="Times New Roman" w:eastAsia="Times New Roman" w:hAnsi="Times New Roman"/>
          <w:sz w:val="19"/>
          <w:szCs w:val="19"/>
          <w:u w:val="single" w:color="auto"/>
          <w:color w:val="auto"/>
        </w:rPr>
        <w:t>Amendments and Waivers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20" w:firstLine="633"/>
        <w:spacing w:after="0" w:line="257" w:lineRule="auto"/>
        <w:rPr>
          <w:sz w:val="20"/>
          <w:szCs w:val="20"/>
          <w:color w:val="auto"/>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Sections 1.04(d)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3.05(b)</w:t>
      </w:r>
      <w:r>
        <w:rPr>
          <w:rFonts w:ascii="Times New Roman" w:cs="Times New Roman" w:eastAsia="Times New Roman" w:hAnsi="Times New Roman"/>
          <w:sz w:val="19"/>
          <w:szCs w:val="19"/>
          <w:color w:val="auto"/>
        </w:rPr>
        <w:t xml:space="preserve">, no amendment or waiver of any provision of this Agreement or any other Loan Document, and no consent to any departure by the Company, shall be effective unless in writing signed by the Required Lenders and the Company, and each such waiver or consent shall be effective only in the specific instance and for the specific purpose for which given;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Agent may, with the consent of the Company only, amend, modify or supplement this Agreement or any other Loan Document to cure any ambiguity, omission, defect or inconsistency (as reasonably determined by the Agent), so long as such amendment, modification or supplement does not adversely affect the rights of any Lender or the Lenders shall have received at least five Business Days’ prior written notice thereof and the Agent shall not have received, within five Business Days of the date of such notice to the Lenders, a written notice from the Required Lenders stating that the Required Lenders object to such amendment;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except as set forth in </w:t>
      </w:r>
      <w:r>
        <w:rPr>
          <w:rFonts w:ascii="Times New Roman" w:cs="Times New Roman" w:eastAsia="Times New Roman" w:hAnsi="Times New Roman"/>
          <w:sz w:val="19"/>
          <w:szCs w:val="19"/>
          <w:u w:val="single" w:color="auto"/>
          <w:color w:val="auto"/>
        </w:rPr>
        <w:t>Sections 1.04(d)</w:t>
      </w:r>
      <w:r>
        <w:rPr>
          <w:rFonts w:ascii="Times New Roman" w:cs="Times New Roman" w:eastAsia="Times New Roman" w:hAnsi="Times New Roman"/>
          <w:sz w:val="19"/>
          <w:szCs w:val="19"/>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3.05(b)</w:t>
      </w:r>
      <w:r>
        <w:rPr>
          <w:rFonts w:ascii="Times New Roman" w:cs="Times New Roman" w:eastAsia="Times New Roman" w:hAnsi="Times New Roman"/>
          <w:sz w:val="19"/>
          <w:szCs w:val="19"/>
          <w:color w:val="auto"/>
        </w:rPr>
        <w:t>, no such amendment, waiver or consent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-90-</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66" w:name="page167"/>
    <w:bookmarkEnd w:id="166"/>
    <w:p>
      <w:pPr>
        <w:ind w:right="140" w:firstLine="639"/>
        <w:spacing w:after="0" w:line="297" w:lineRule="auto"/>
        <w:tabs>
          <w:tab w:leader="none" w:pos="1041"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extend or increase the Commitment of any Lender (or reinstate any Commitment terminated pursuant to </w:t>
      </w:r>
      <w:r>
        <w:rPr>
          <w:rFonts w:ascii="Times New Roman" w:cs="Times New Roman" w:eastAsia="Times New Roman" w:hAnsi="Times New Roman"/>
          <w:sz w:val="19"/>
          <w:szCs w:val="19"/>
          <w:u w:val="single" w:color="auto"/>
          <w:color w:val="auto"/>
        </w:rPr>
        <w:t>Section 8.02</w:t>
      </w:r>
      <w:r>
        <w:rPr>
          <w:rFonts w:ascii="Times New Roman" w:cs="Times New Roman" w:eastAsia="Times New Roman" w:hAnsi="Times New Roman"/>
          <w:sz w:val="19"/>
          <w:szCs w:val="19"/>
          <w:color w:val="auto"/>
        </w:rPr>
        <w:t>) without the written consent of such Lender;</w:t>
      </w:r>
    </w:p>
    <w:p>
      <w:pPr>
        <w:spacing w:after="0" w:line="131" w:lineRule="exact"/>
        <w:rPr>
          <w:rFonts w:ascii="Times New Roman" w:cs="Times New Roman" w:eastAsia="Times New Roman" w:hAnsi="Times New Roman"/>
          <w:sz w:val="19"/>
          <w:szCs w:val="19"/>
          <w:color w:val="auto"/>
        </w:rPr>
      </w:pPr>
    </w:p>
    <w:p>
      <w:pPr>
        <w:ind w:firstLine="639"/>
        <w:spacing w:after="0" w:line="266" w:lineRule="auto"/>
        <w:tabs>
          <w:tab w:leader="none" w:pos="1052"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postpone or delay the maturity of the Loans, or any scheduled date of payment of the principal amount of the Loans, or any date for the payment of any interest, premium or fees due to the Lenders (or any of them) hereunder or under any other Loan Document, or reduce the amount of, waive or excuse any such payment, without the written consent of each Lender directly affected thereby (other than as a result of waiving (i) an Event of Default in accordance with the terms hereof, (ii) default interest hereunder) or (iii) a mandatory prepayment to be made hereunder;</w:t>
      </w:r>
    </w:p>
    <w:p>
      <w:pPr>
        <w:spacing w:after="0" w:line="160" w:lineRule="exact"/>
        <w:rPr>
          <w:rFonts w:ascii="Times New Roman" w:cs="Times New Roman" w:eastAsia="Times New Roman" w:hAnsi="Times New Roman"/>
          <w:sz w:val="19"/>
          <w:szCs w:val="19"/>
          <w:color w:val="auto"/>
        </w:rPr>
      </w:pPr>
    </w:p>
    <w:p>
      <w:pPr>
        <w:ind w:left="1040" w:hanging="401"/>
        <w:spacing w:after="0"/>
        <w:tabs>
          <w:tab w:leader="none" w:pos="104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 the definition of “Required Lenders” or “Pro Rata Share” without the consent of each Lender directly affected thereby;</w:t>
      </w:r>
    </w:p>
    <w:p>
      <w:pPr>
        <w:spacing w:after="0" w:line="229" w:lineRule="exact"/>
        <w:rPr>
          <w:rFonts w:ascii="Times New Roman" w:cs="Times New Roman" w:eastAsia="Times New Roman" w:hAnsi="Times New Roman"/>
          <w:sz w:val="19"/>
          <w:szCs w:val="19"/>
          <w:color w:val="auto"/>
        </w:rPr>
      </w:pPr>
    </w:p>
    <w:p>
      <w:pPr>
        <w:ind w:right="260" w:firstLine="639"/>
        <w:spacing w:after="0" w:line="283" w:lineRule="auto"/>
        <w:tabs>
          <w:tab w:leader="none" w:pos="1052"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 the definition of “Interest Period” to permit Interest Periods with a duration of longer than six months without the written consent of each Lender;</w:t>
      </w:r>
    </w:p>
    <w:p>
      <w:pPr>
        <w:spacing w:after="0" w:line="157" w:lineRule="exact"/>
        <w:rPr>
          <w:rFonts w:ascii="Times New Roman" w:cs="Times New Roman" w:eastAsia="Times New Roman" w:hAnsi="Times New Roman"/>
          <w:sz w:val="19"/>
          <w:szCs w:val="19"/>
          <w:color w:val="auto"/>
        </w:rPr>
      </w:pPr>
    </w:p>
    <w:p>
      <w:pPr>
        <w:ind w:left="1040" w:hanging="401"/>
        <w:spacing w:after="0"/>
        <w:tabs>
          <w:tab w:leader="none" w:pos="104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29" w:lineRule="exact"/>
        <w:rPr>
          <w:rFonts w:ascii="Times New Roman" w:cs="Times New Roman" w:eastAsia="Times New Roman" w:hAnsi="Times New Roman"/>
          <w:sz w:val="19"/>
          <w:szCs w:val="19"/>
          <w:color w:val="auto"/>
        </w:rPr>
      </w:pPr>
    </w:p>
    <w:p>
      <w:pPr>
        <w:ind w:left="1020" w:hanging="381"/>
        <w:spacing w:after="0"/>
        <w:tabs>
          <w:tab w:leader="none" w:pos="102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6"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amend this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without the written consent of each Lender;</w:t>
      </w:r>
    </w:p>
    <w:p>
      <w:pPr>
        <w:spacing w:after="0" w:line="229" w:lineRule="exact"/>
        <w:rPr>
          <w:rFonts w:ascii="Times New Roman" w:cs="Times New Roman" w:eastAsia="Times New Roman" w:hAnsi="Times New Roman"/>
          <w:sz w:val="19"/>
          <w:szCs w:val="19"/>
          <w:color w:val="auto"/>
        </w:rPr>
      </w:pPr>
    </w:p>
    <w:p>
      <w:pPr>
        <w:ind w:right="400" w:firstLine="639"/>
        <w:spacing w:after="0" w:line="283" w:lineRule="auto"/>
        <w:tabs>
          <w:tab w:leader="none" w:pos="1052"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2.18(d)</w:t>
      </w:r>
      <w:r>
        <w:rPr>
          <w:rFonts w:ascii="Times New Roman" w:cs="Times New Roman" w:eastAsia="Times New Roman" w:hAnsi="Times New Roman"/>
          <w:sz w:val="19"/>
          <w:szCs w:val="19"/>
          <w:color w:val="auto"/>
        </w:rPr>
        <w:t xml:space="preserve">, change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in a manner that would alter the pro rata sharing of payments required thereby without the written consent of each Lender;</w:t>
      </w:r>
    </w:p>
    <w:p>
      <w:pPr>
        <w:spacing w:after="0" w:line="157" w:lineRule="exact"/>
        <w:rPr>
          <w:rFonts w:ascii="Times New Roman" w:cs="Times New Roman" w:eastAsia="Times New Roman" w:hAnsi="Times New Roman"/>
          <w:sz w:val="19"/>
          <w:szCs w:val="19"/>
          <w:color w:val="auto"/>
        </w:rPr>
      </w:pPr>
    </w:p>
    <w:p>
      <w:pPr>
        <w:ind w:right="320" w:firstLine="639"/>
        <w:spacing w:after="0" w:line="297" w:lineRule="auto"/>
        <w:tabs>
          <w:tab w:leader="none" w:pos="1009"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 to the assignment or transfer by the Company of any of its rights and obligations under any Loan Document without the written consent of each Lender;</w:t>
      </w:r>
    </w:p>
    <w:p>
      <w:pPr>
        <w:spacing w:after="0" w:line="131" w:lineRule="exact"/>
        <w:rPr>
          <w:rFonts w:ascii="Times New Roman" w:cs="Times New Roman" w:eastAsia="Times New Roman" w:hAnsi="Times New Roman"/>
          <w:sz w:val="19"/>
          <w:szCs w:val="19"/>
          <w:color w:val="auto"/>
        </w:rPr>
      </w:pPr>
    </w:p>
    <w:p>
      <w:pPr>
        <w:ind w:left="1020" w:hanging="381"/>
        <w:spacing w:after="0"/>
        <w:tabs>
          <w:tab w:leader="none" w:pos="102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29" w:lineRule="exact"/>
        <w:rPr>
          <w:rFonts w:ascii="Times New Roman" w:cs="Times New Roman" w:eastAsia="Times New Roman" w:hAnsi="Times New Roman"/>
          <w:sz w:val="19"/>
          <w:szCs w:val="19"/>
          <w:color w:val="auto"/>
        </w:rPr>
      </w:pPr>
    </w:p>
    <w:p>
      <w:pPr>
        <w:ind w:right="260" w:firstLine="639"/>
        <w:spacing w:after="0" w:line="272" w:lineRule="auto"/>
        <w:tabs>
          <w:tab w:leader="none" w:pos="1052"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 modify, terminate or waive any provision of the Loan Documents as the same applies to the Agent or the Joint Lead Arrangers, or any other provision hereof as the same applies to the rights or obligations of the Agent or the Joint Lead Arrangers, in each case without the consent of the Agent or each of the Joint Lead Arrangers, as applicable; or</w:t>
      </w:r>
    </w:p>
    <w:p>
      <w:pPr>
        <w:spacing w:after="0" w:line="154" w:lineRule="exact"/>
        <w:rPr>
          <w:rFonts w:ascii="Times New Roman" w:cs="Times New Roman" w:eastAsia="Times New Roman" w:hAnsi="Times New Roman"/>
          <w:sz w:val="19"/>
          <w:szCs w:val="19"/>
          <w:color w:val="auto"/>
        </w:rPr>
      </w:pPr>
    </w:p>
    <w:p>
      <w:pPr>
        <w:ind w:left="1020" w:hanging="381"/>
        <w:spacing w:after="0"/>
        <w:tabs>
          <w:tab w:leader="none" w:pos="102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30" w:lineRule="exact"/>
        <w:rPr>
          <w:sz w:val="20"/>
          <w:szCs w:val="20"/>
          <w:color w:val="auto"/>
        </w:rPr>
      </w:pPr>
    </w:p>
    <w:p>
      <w:pPr>
        <w:ind w:right="60" w:firstLine="633"/>
        <w:spacing w:after="0" w:line="258"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 any waiver, amendment or modification of any Loan Document that by its terms affects only the rights or duties under the Loan Documents of Lenders holding Loans or Commitments under a particular Facility (but not the Lenders holding Loans or Commitments under any other Facility) may only be effected by an agreement or agreements in writing entered into by the Company and the requisite percentage in interest of such affected Lenders that would be required to consent thereto under this Section if such Facility were the only Facility hereunder at the time, (ii) any fee agreement referred to in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may be amended, or rights or privileges thereunder waived, in a writing executed by the parties thereto and shall not require the consent of any other Person and (iii) if the Agent and the Company acting together identify any ambiguity, omission, mistake, typographical error or other defect in any provision of this Agreement or any other Loan Document, then the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-91-</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67" w:name="page168"/>
    <w:bookmarkEnd w:id="167"/>
    <w:p>
      <w:pPr>
        <w:ind w:right="240" w:firstLine="633"/>
        <w:spacing w:after="0" w:line="297" w:lineRule="auto"/>
        <w:rPr>
          <w:sz w:val="20"/>
          <w:szCs w:val="20"/>
          <w:color w:val="auto"/>
        </w:rPr>
      </w:pPr>
      <w:r>
        <w:rPr>
          <w:rFonts w:ascii="Times New Roman" w:cs="Times New Roman" w:eastAsia="Times New Roman" w:hAnsi="Times New Roman"/>
          <w:sz w:val="19"/>
          <w:szCs w:val="19"/>
          <w:color w:val="auto"/>
        </w:rPr>
        <w:t xml:space="preserve">Notwithstanding anything to the contrary herein, no Defaulting Lender shall have any right to approve or disapprove any amendment, waiver or consent hereunder, except for any amendment, waiver or consent pursuant to </w:t>
      </w:r>
      <w:r>
        <w:rPr>
          <w:rFonts w:ascii="Times New Roman" w:cs="Times New Roman" w:eastAsia="Times New Roman" w:hAnsi="Times New Roman"/>
          <w:sz w:val="19"/>
          <w:szCs w:val="19"/>
          <w:u w:val="single" w:color="auto"/>
          <w:color w:val="auto"/>
        </w:rPr>
        <w:t>Section 10.01(a)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w:t>
      </w:r>
    </w:p>
    <w:p>
      <w:pPr>
        <w:spacing w:after="0" w:line="132"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10.02</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firstLine="639"/>
        <w:spacing w:after="0" w:line="262" w:lineRule="auto"/>
        <w:tabs>
          <w:tab w:leader="none" w:pos="1041"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expressly provided herein, all notices and other communications provided for hereunder shall be in writing (including by facsimile or electronic transmission). All such written notices shall be mailed, emailed, faxed or delivered to the applicable address, facsimile number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matter transmitted by the Company by facsimile (1) shall be immediately confirmed by a telephone call to the recipient at the number specified on </w:t>
      </w:r>
      <w:r>
        <w:rPr>
          <w:rFonts w:ascii="Times New Roman" w:cs="Times New Roman" w:eastAsia="Times New Roman" w:hAnsi="Times New Roman"/>
          <w:sz w:val="19"/>
          <w:szCs w:val="19"/>
          <w:u w:val="single" w:color="auto"/>
          <w:color w:val="auto"/>
        </w:rPr>
        <w:t>Schedule 10.02</w:t>
      </w:r>
      <w:r>
        <w:rPr>
          <w:rFonts w:ascii="Times New Roman" w:cs="Times New Roman" w:eastAsia="Times New Roman" w:hAnsi="Times New Roman"/>
          <w:sz w:val="19"/>
          <w:szCs w:val="19"/>
          <w:color w:val="auto"/>
        </w:rPr>
        <w:t xml:space="preserve">, and (2) shall be followed promptly by delivery of a hard copy original thereof) or (subject to </w:t>
      </w:r>
      <w:r>
        <w:rPr>
          <w:rFonts w:ascii="Times New Roman" w:cs="Times New Roman" w:eastAsia="Times New Roman" w:hAnsi="Times New Roman"/>
          <w:sz w:val="19"/>
          <w:szCs w:val="19"/>
          <w:u w:val="single" w:color="auto"/>
          <w:color w:val="auto"/>
        </w:rPr>
        <w:t>subsection (b)</w:t>
      </w:r>
      <w:r>
        <w:rPr>
          <w:rFonts w:ascii="Times New Roman" w:cs="Times New Roman" w:eastAsia="Times New Roman" w:hAnsi="Times New Roman"/>
          <w:sz w:val="19"/>
          <w:szCs w:val="19"/>
          <w:color w:val="auto"/>
        </w:rPr>
        <w:t xml:space="preserve"> below) electronic mail address, and all notices and other communications expressly permitted hereunder to be given by telephone shall be made to the applicable telephone number, as follows:</w:t>
      </w:r>
    </w:p>
    <w:p>
      <w:pPr>
        <w:spacing w:after="0" w:line="164" w:lineRule="exact"/>
        <w:rPr>
          <w:rFonts w:ascii="Times New Roman" w:cs="Times New Roman" w:eastAsia="Times New Roman" w:hAnsi="Times New Roman"/>
          <w:sz w:val="19"/>
          <w:szCs w:val="19"/>
          <w:color w:val="auto"/>
        </w:rPr>
      </w:pPr>
    </w:p>
    <w:p>
      <w:pPr>
        <w:ind w:left="620" w:right="60" w:firstLine="889"/>
        <w:spacing w:after="0" w:line="279" w:lineRule="auto"/>
        <w:tabs>
          <w:tab w:leader="none" w:pos="1882"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to the Company or the Agent, to the address, facsimile number, electronic mail address or telephone number specified for such Person on </w:t>
      </w:r>
      <w:r>
        <w:rPr>
          <w:rFonts w:ascii="Times New Roman" w:cs="Times New Roman" w:eastAsia="Times New Roman" w:hAnsi="Times New Roman"/>
          <w:sz w:val="19"/>
          <w:szCs w:val="19"/>
          <w:u w:val="single" w:color="auto"/>
          <w:color w:val="auto"/>
        </w:rPr>
        <w:t>Schedule 10.02</w:t>
      </w:r>
      <w:r>
        <w:rPr>
          <w:rFonts w:ascii="Times New Roman" w:cs="Times New Roman" w:eastAsia="Times New Roman" w:hAnsi="Times New Roman"/>
          <w:sz w:val="19"/>
          <w:szCs w:val="19"/>
          <w:color w:val="auto"/>
        </w:rPr>
        <w:t xml:space="preserve"> or to such other address, facsimile number, electronic mail address or telephone number as shall be designated by such party in a notice to the other parties;</w:t>
      </w:r>
    </w:p>
    <w:p>
      <w:pPr>
        <w:spacing w:after="0" w:line="148" w:lineRule="exact"/>
        <w:rPr>
          <w:rFonts w:ascii="Times New Roman" w:cs="Times New Roman" w:eastAsia="Times New Roman" w:hAnsi="Times New Roman"/>
          <w:sz w:val="19"/>
          <w:szCs w:val="19"/>
          <w:color w:val="auto"/>
        </w:rPr>
      </w:pPr>
    </w:p>
    <w:p>
      <w:pPr>
        <w:ind w:left="620" w:right="300" w:firstLine="889"/>
        <w:spacing w:after="0" w:line="272" w:lineRule="auto"/>
        <w:tabs>
          <w:tab w:leader="none" w:pos="1935"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Company and the Agent; and</w:t>
      </w:r>
    </w:p>
    <w:p>
      <w:pPr>
        <w:spacing w:after="0" w:line="167" w:lineRule="exact"/>
        <w:rPr>
          <w:rFonts w:ascii="Times New Roman" w:cs="Times New Roman" w:eastAsia="Times New Roman" w:hAnsi="Times New Roman"/>
          <w:sz w:val="19"/>
          <w:szCs w:val="19"/>
          <w:color w:val="auto"/>
        </w:rPr>
      </w:pPr>
    </w:p>
    <w:p>
      <w:pPr>
        <w:ind w:left="620" w:right="160" w:firstLine="889"/>
        <w:spacing w:after="0" w:line="272" w:lineRule="auto"/>
        <w:tabs>
          <w:tab w:leader="none" w:pos="1989"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to the Agent in respect of a supplement to the list of Disqualified Lenders as set forth in the definition thereof, such supplement to be delivered to the address, facsimile number, electronic mail address or telephone number specified for the Agent on </w:t>
      </w:r>
      <w:r>
        <w:rPr>
          <w:rFonts w:ascii="Times New Roman" w:cs="Times New Roman" w:eastAsia="Times New Roman" w:hAnsi="Times New Roman"/>
          <w:sz w:val="19"/>
          <w:szCs w:val="19"/>
          <w:u w:val="single" w:color="auto"/>
          <w:color w:val="auto"/>
        </w:rPr>
        <w:t>Schedule 10.02</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ind w:right="40" w:firstLine="633"/>
        <w:spacing w:after="0" w:line="262" w:lineRule="auto"/>
        <w:rPr>
          <w:sz w:val="20"/>
          <w:szCs w:val="20"/>
          <w:color w:val="auto"/>
        </w:rPr>
      </w:pPr>
      <w:r>
        <w:rPr>
          <w:rFonts w:ascii="Times New Roman" w:cs="Times New Roman" w:eastAsia="Times New Roman" w:hAnsi="Times New Roman"/>
          <w:sz w:val="19"/>
          <w:szCs w:val="19"/>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Business Days after deposit in the mails, postage prepaid; (C) if delivered by facsimile, when sent and receipt has been confirmed by telephone; and (D) if delivered by electronic mail (which form of delivery is subject to the provisions of </w:t>
      </w:r>
      <w:r>
        <w:rPr>
          <w:rFonts w:ascii="Times New Roman" w:cs="Times New Roman" w:eastAsia="Times New Roman" w:hAnsi="Times New Roman"/>
          <w:sz w:val="19"/>
          <w:szCs w:val="19"/>
          <w:u w:val="single" w:color="auto"/>
          <w:color w:val="auto"/>
        </w:rPr>
        <w:t>subsection (b)</w:t>
      </w:r>
      <w:r>
        <w:rPr>
          <w:rFonts w:ascii="Times New Roman" w:cs="Times New Roman" w:eastAsia="Times New Roman" w:hAnsi="Times New Roman"/>
          <w:sz w:val="19"/>
          <w:szCs w:val="19"/>
          <w:color w:val="auto"/>
        </w:rPr>
        <w:t xml:space="preserve"> below), when delivered;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notices and other communications to the Agent pursuant to </w:t>
      </w:r>
      <w:r>
        <w:rPr>
          <w:rFonts w:ascii="Times New Roman" w:cs="Times New Roman" w:eastAsia="Times New Roman" w:hAnsi="Times New Roman"/>
          <w:sz w:val="19"/>
          <w:szCs w:val="19"/>
          <w:u w:val="single" w:color="auto"/>
          <w:color w:val="auto"/>
        </w:rPr>
        <w:t>Article 2</w:t>
      </w:r>
      <w:r>
        <w:rPr>
          <w:rFonts w:ascii="Times New Roman" w:cs="Times New Roman" w:eastAsia="Times New Roman" w:hAnsi="Times New Roman"/>
          <w:sz w:val="19"/>
          <w:szCs w:val="19"/>
          <w:color w:val="auto"/>
        </w:rPr>
        <w:t xml:space="preserve"> shall not be effective until actually received by such Person. In no event shall a voicemail message be effective as a notice, communication or confirmation hereunder.</w:t>
      </w:r>
    </w:p>
    <w:p>
      <w:pPr>
        <w:spacing w:after="0" w:line="165" w:lineRule="exact"/>
        <w:rPr>
          <w:sz w:val="20"/>
          <w:szCs w:val="20"/>
          <w:color w:val="auto"/>
        </w:rPr>
      </w:pPr>
    </w:p>
    <w:p>
      <w:pPr>
        <w:ind w:left="1060" w:hanging="421"/>
        <w:spacing w:after="0"/>
        <w:tabs>
          <w:tab w:leader="none" w:pos="1060"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Communications</w:t>
      </w:r>
      <w:r>
        <w:rPr>
          <w:rFonts w:ascii="Times New Roman" w:cs="Times New Roman" w:eastAsia="Times New Roman" w:hAnsi="Times New Roman"/>
          <w:sz w:val="19"/>
          <w:szCs w:val="19"/>
          <w:color w:val="auto"/>
        </w:rPr>
        <w:t>:</w:t>
      </w:r>
    </w:p>
    <w:p>
      <w:pPr>
        <w:spacing w:after="0" w:line="229" w:lineRule="exact"/>
        <w:rPr>
          <w:rFonts w:ascii="Times New Roman" w:cs="Times New Roman" w:eastAsia="Times New Roman" w:hAnsi="Times New Roman"/>
          <w:sz w:val="19"/>
          <w:szCs w:val="19"/>
          <w:color w:val="auto"/>
        </w:rPr>
      </w:pPr>
    </w:p>
    <w:p>
      <w:pPr>
        <w:ind w:left="640" w:right="20" w:firstLine="632"/>
        <w:spacing w:after="0" w:line="260" w:lineRule="auto"/>
        <w:tabs>
          <w:tab w:leader="none" w:pos="1692"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Notices and other communications to the Agent and Lenders hereunder may be delivered or furnished by electronic communication (including e-mail and Internet or intranet websites, including the Platform) pursuant to procedures approved by the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notices to the Agent or any Lender pursuant to </w:t>
      </w:r>
      <w:r>
        <w:rPr>
          <w:rFonts w:ascii="Times New Roman" w:cs="Times New Roman" w:eastAsia="Times New Roman" w:hAnsi="Times New Roman"/>
          <w:sz w:val="19"/>
          <w:szCs w:val="19"/>
          <w:u w:val="single" w:color="auto"/>
          <w:color w:val="auto"/>
        </w:rPr>
        <w:t>Article 2</w:t>
      </w:r>
      <w:r>
        <w:rPr>
          <w:rFonts w:ascii="Times New Roman" w:cs="Times New Roman" w:eastAsia="Times New Roman" w:hAnsi="Times New Roman"/>
          <w:sz w:val="19"/>
          <w:szCs w:val="19"/>
          <w:color w:val="auto"/>
        </w:rPr>
        <w:t xml:space="preserve"> if such Person has notified the Agent and the Company that it is incapable of receiving notices under such Article by electronic communication. The Agent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 Unless the Agent otherwise prescribes, (i) notices and other communications sent to an e-mail address shall be deemed received upon the sender’s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-92-</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68" w:name="page169"/>
    <w:bookmarkEnd w:id="168"/>
    <w:p>
      <w:pPr>
        <w:ind w:left="580" w:right="20"/>
        <w:spacing w:after="0" w:line="262" w:lineRule="auto"/>
        <w:rPr>
          <w:sz w:val="20"/>
          <w:szCs w:val="20"/>
          <w:color w:val="auto"/>
        </w:rPr>
      </w:pPr>
      <w:r>
        <w:rPr>
          <w:rFonts w:ascii="Times New Roman" w:cs="Times New Roman" w:eastAsia="Times New Roman" w:hAnsi="Times New Roman"/>
          <w:sz w:val="19"/>
          <w:szCs w:val="19"/>
          <w:color w:val="auto"/>
        </w:rPr>
        <w:t xml:space="preserve">receipt of an acknowledgment from the intended recipient (such as by the “return receipt requested” function, as available, return e-mail or other written acknowledgment);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of notification that such notice or communication is available and identifying the website address therefor.</w:t>
      </w:r>
    </w:p>
    <w:p>
      <w:pPr>
        <w:spacing w:after="0" w:line="178" w:lineRule="exact"/>
        <w:rPr>
          <w:sz w:val="20"/>
          <w:szCs w:val="20"/>
          <w:color w:val="auto"/>
        </w:rPr>
      </w:pPr>
    </w:p>
    <w:p>
      <w:pPr>
        <w:ind w:left="580" w:firstLine="632"/>
        <w:spacing w:after="0" w:line="262" w:lineRule="auto"/>
        <w:tabs>
          <w:tab w:leader="none" w:pos="1632"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 event shall any Agent-Related Person have any liability to the Company, any Lender or any other Person for losses, costs, expenses or liabilities arising out of the Company’s or the Agent’s electronic transmission of Approved Electronic Communications, or the use by unintended recipients of Approved Electronic Communications distributed to such unintended recipients by such Agent-Related Person, except to the extent that such losses, costs, expenses or liabilities are determined by a court of competent jurisdiction by final and nonappealable judgment to have resulted from the gross negligence or willful misconduct of the Agent-Related Person.</w:t>
      </w:r>
    </w:p>
    <w:p>
      <w:pPr>
        <w:spacing w:after="0" w:line="164" w:lineRule="exact"/>
        <w:rPr>
          <w:rFonts w:ascii="Times New Roman" w:cs="Times New Roman" w:eastAsia="Times New Roman" w:hAnsi="Times New Roman"/>
          <w:sz w:val="19"/>
          <w:szCs w:val="19"/>
          <w:color w:val="auto"/>
        </w:rPr>
      </w:pPr>
    </w:p>
    <w:p>
      <w:pPr>
        <w:ind w:left="580" w:right="20" w:firstLine="632"/>
        <w:spacing w:after="0" w:line="262" w:lineRule="auto"/>
        <w:tabs>
          <w:tab w:leader="none" w:pos="1628"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Platform and any Approved Electronic Communications are provided “as is” and “as available.” None of the Agent-Related Persons warrant the accuracy, adequacy, or completeness of the Approved Electronic Communications or the Platform and each expressly disclaims liability for errors or omissions in the Platform and the Approved Electronic Communications. No warranty of any kind, express, implied or statutory, including any warranty of merchantability, fitness for a particular purpose, non-infringement of third party rights or freedom from viruses or other code defects is made by the Agent-Related Persons in connection with the Platform or the Approved Electronic Communications.</w:t>
      </w:r>
    </w:p>
    <w:p>
      <w:pPr>
        <w:spacing w:after="0" w:line="178" w:lineRule="exact"/>
        <w:rPr>
          <w:rFonts w:ascii="Times New Roman" w:cs="Times New Roman" w:eastAsia="Times New Roman" w:hAnsi="Times New Roman"/>
          <w:sz w:val="19"/>
          <w:szCs w:val="19"/>
          <w:color w:val="auto"/>
        </w:rPr>
      </w:pPr>
    </w:p>
    <w:p>
      <w:pPr>
        <w:ind w:left="580" w:right="100" w:firstLine="632"/>
        <w:spacing w:after="0" w:line="272" w:lineRule="auto"/>
        <w:tabs>
          <w:tab w:leader="none" w:pos="1628"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each of its Subsidiaries and each Lender agrees that the Agent may, but shall not be obligated to, store any Approved Electronic Communications on the Platform in accordance with the Agent’s customary document retention procedures and policies.</w:t>
      </w:r>
    </w:p>
    <w:p>
      <w:pPr>
        <w:spacing w:after="0" w:line="154" w:lineRule="exact"/>
        <w:rPr>
          <w:rFonts w:ascii="Times New Roman" w:cs="Times New Roman" w:eastAsia="Times New Roman" w:hAnsi="Times New Roman"/>
          <w:sz w:val="19"/>
          <w:szCs w:val="19"/>
          <w:color w:val="auto"/>
        </w:rPr>
      </w:pPr>
    </w:p>
    <w:p>
      <w:pPr>
        <w:ind w:left="580" w:right="180" w:firstLine="632"/>
        <w:spacing w:after="0" w:line="297" w:lineRule="auto"/>
        <w:tabs>
          <w:tab w:leader="none" w:pos="1621"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notice of Default or Event of Default may be provided by telephone if confirmed promptly thereafter by delivery of written notice thereof.</w:t>
      </w:r>
    </w:p>
    <w:p>
      <w:pPr>
        <w:spacing w:after="0" w:line="145" w:lineRule="exact"/>
        <w:rPr>
          <w:rFonts w:ascii="Times New Roman" w:cs="Times New Roman" w:eastAsia="Times New Roman" w:hAnsi="Times New Roman"/>
          <w:sz w:val="19"/>
          <w:szCs w:val="19"/>
          <w:color w:val="auto"/>
        </w:rPr>
      </w:pPr>
    </w:p>
    <w:p>
      <w:pPr>
        <w:ind w:left="-60" w:right="20" w:firstLine="639"/>
        <w:spacing w:after="0" w:line="258" w:lineRule="auto"/>
        <w:tabs>
          <w:tab w:leader="none" w:pos="977"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Agent-Related Persons and the Lenders shall be entitled to rely and act upon any notices purportedly given by or on behalf of the Company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each Agent-Related Person and each Lender from all losses, costs, out-of-pocket expenses and liabilities resulting from the reliance by such Agent-Related Person or such Lender on each notice purportedly given by or on behalf of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such Agent-Related Person, be available to the extent that such losses, costs, expenses or liabilities are determined by a court of competent jurisdiction by final and nonappealable judgment to have resulted from the gross negligence or willful misconduct of such Agent-Related Person. All telephonic notices to and other communications with the Agent may be recorded by the Agent, and each of the parties hereto hereby consents to such recording.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120"/>
          </w:cols>
          <w:pgMar w:left="380" w:top="1383" w:right="399" w:bottom="1440" w:gutter="0" w:footer="0" w:header="0"/>
        </w:sectPr>
      </w:pPr>
    </w:p>
    <w:bookmarkStart w:id="169" w:name="page170"/>
    <w:bookmarkEnd w:id="169"/>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10.03</w:t>
      </w:r>
      <w:r>
        <w:rPr>
          <w:sz w:val="20"/>
          <w:szCs w:val="20"/>
          <w:color w:val="auto"/>
        </w:rPr>
        <w:tab/>
      </w:r>
      <w:r>
        <w:rPr>
          <w:rFonts w:ascii="Times New Roman" w:cs="Times New Roman" w:eastAsia="Times New Roman" w:hAnsi="Times New Roman"/>
          <w:sz w:val="19"/>
          <w:szCs w:val="19"/>
          <w:u w:val="single" w:color="auto"/>
          <w:color w:val="auto"/>
        </w:rPr>
        <w:t>No Waiver; Cumulative Remedies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No failure to exercise and no delay in exercising, on the part of the Agent or any Lender, any right, remedy, power or privilege</w:t>
      </w:r>
    </w:p>
    <w:p>
      <w:pPr>
        <w:spacing w:after="0" w:line="28"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9"/>
          <w:szCs w:val="19"/>
          <w:color w:val="auto"/>
        </w:rPr>
        <w:t>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154"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10.04</w:t>
      </w:r>
      <w:r>
        <w:rPr>
          <w:sz w:val="20"/>
          <w:szCs w:val="20"/>
          <w:color w:val="auto"/>
        </w:rPr>
        <w:tab/>
      </w: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40" w:firstLine="633"/>
        <w:spacing w:after="0" w:line="256" w:lineRule="auto"/>
        <w:rPr>
          <w:sz w:val="20"/>
          <w:szCs w:val="20"/>
          <w:color w:val="auto"/>
        </w:rPr>
      </w:pPr>
      <w:r>
        <w:rPr>
          <w:rFonts w:ascii="Times New Roman" w:cs="Times New Roman" w:eastAsia="Times New Roman" w:hAnsi="Times New Roman"/>
          <w:sz w:val="19"/>
          <w:szCs w:val="19"/>
          <w:color w:val="auto"/>
        </w:rPr>
        <w:t xml:space="preserve">The Company agrees (a) to pay or reimburse each Agent-Related Person for all reasonable and documented out-of-pocket costs and expenses incurred in connection with the development, preparation, negotiation and execution of this Agreement and the other Loan Documents and any amendment, waiver, consent or other modification of the provisions hereof and thereof (whether or not the transactions contemplated hereby or thereby are consummated) and the consummation and administration of the transactions contemplated hereby and thereby, including all Attorney Costs, which shall be limited to the reasonable and documented out-of-pocket fees and reasonable disbursements of (x) one firm of counsel selected by the Agent and (y) if reasonably required by the Agent, one additional local counsel in each appropriate jurisdiction and/or one specialist counsel for each relevant specialty for all Agent-Related Persons taken together, and (b) to pay or reimburse each Agent-Related Person and each Lender for all out-of-pocket costs and expenses incurred in connection with the enforcement, attempted enforcement or preservation of any rights or remedies under this Agreement (including, but not limited to this </w:t>
      </w:r>
      <w:r>
        <w:rPr>
          <w:rFonts w:ascii="Times New Roman" w:cs="Times New Roman" w:eastAsia="Times New Roman" w:hAnsi="Times New Roman"/>
          <w:sz w:val="19"/>
          <w:szCs w:val="19"/>
          <w:u w:val="single" w:color="auto"/>
          <w:color w:val="auto"/>
        </w:rPr>
        <w:t>Section 10.04</w:t>
      </w:r>
      <w:r>
        <w:rPr>
          <w:rFonts w:ascii="Times New Roman" w:cs="Times New Roman" w:eastAsia="Times New Roman" w:hAnsi="Times New Roman"/>
          <w:sz w:val="19"/>
          <w:szCs w:val="19"/>
          <w:color w:val="auto"/>
        </w:rPr>
        <w:t xml:space="preserve">) or the other Loan Documents (including all such costs and expenses incurred during any “workout” or restructuring in respect of the Obligations and during any legal proceeding, including in any Insolvency Proceeding or appellate proceeding), including all Attorney Costs, which shall be limited to the reasonable and documented out-of-pocket fees disbursements of (x) one primary counsel for the Agent-Related Persons and all Lenders, (y) if reasonably required by the Agent, one additional local counsel in each appropriate jurisdiction and/or one specialist counsel for each relevant specialty for the Agent-Related Persons and all Lenders and (z) solely in the case of a conflict of interest where the Person affected by such conflict informs the Company of such conflict and thereafter retains its own counsel, one additional counsel to each group of similarly situated Agent-Related Persons or Lenders, taken as a whole. The foregoing costs and expenses shall include all search, filing, recording, title insurance and appraisal charges and fees and taxes related thereto and other out-of-pocket expenses incurred by each Agent-Related Person and the cost of independent public accountants and other outside experts (subject to the limitations above) retained by such Agent-Related Person or any Lender. Notwithstanding anything to the contrary in this Agreement, in no event shall the Attorney Costs and other costs and expenses required to be reimbursed pursuant to this </w:t>
      </w:r>
      <w:r>
        <w:rPr>
          <w:rFonts w:ascii="Times New Roman" w:cs="Times New Roman" w:eastAsia="Times New Roman" w:hAnsi="Times New Roman"/>
          <w:sz w:val="19"/>
          <w:szCs w:val="19"/>
          <w:u w:val="single" w:color="auto"/>
          <w:color w:val="auto"/>
        </w:rPr>
        <w:t>Section 10.04</w:t>
      </w:r>
      <w:r>
        <w:rPr>
          <w:rFonts w:ascii="Times New Roman" w:cs="Times New Roman" w:eastAsia="Times New Roman" w:hAnsi="Times New Roman"/>
          <w:sz w:val="19"/>
          <w:szCs w:val="19"/>
          <w:color w:val="auto"/>
        </w:rPr>
        <w:t xml:space="preserve"> or otherwise pursuant to this Agreement include the allocated cost of internal counsel, internal accountants, or other internal experts or employees. All amounts due under this Section shall be payable within ten Business Days after written demand therefor together with, if requested by the Company, backup documentation supporting such payment or reimbursement request. The agreements in this Section shall survive the repayment of the Loans and the other Obligations.</w:t>
      </w:r>
    </w:p>
    <w:p>
      <w:pPr>
        <w:spacing w:after="0" w:line="193"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10.05</w:t>
      </w:r>
      <w:r>
        <w:rPr>
          <w:sz w:val="20"/>
          <w:szCs w:val="20"/>
          <w:color w:val="auto"/>
        </w:rPr>
        <w:tab/>
      </w:r>
      <w:r>
        <w:rPr>
          <w:rFonts w:ascii="Times New Roman" w:cs="Times New Roman" w:eastAsia="Times New Roman" w:hAnsi="Times New Roman"/>
          <w:sz w:val="19"/>
          <w:szCs w:val="19"/>
          <w:u w:val="single" w:color="auto"/>
          <w:color w:val="auto"/>
        </w:rPr>
        <w:t>Company Indemnification; Limitation on Liability</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firstLine="639"/>
        <w:spacing w:after="0" w:line="269" w:lineRule="auto"/>
        <w:tabs>
          <w:tab w:leader="none" w:pos="1041"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Indemnification</w:t>
      </w:r>
      <w:r>
        <w:rPr>
          <w:rFonts w:ascii="Times New Roman" w:cs="Times New Roman" w:eastAsia="Times New Roman" w:hAnsi="Times New Roman"/>
          <w:sz w:val="19"/>
          <w:szCs w:val="19"/>
          <w:color w:val="auto"/>
        </w:rPr>
        <w:t>. Whether or not the transactions contemplated hereby are consummated, the Company shall indemnify and hold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harmless each Agent-Related Person, each Lender and their respective Affiliates, and the directors, officers, employees, counsel, agents, partners and attorneys-in-fact of such Persons and Affiliates involved with the refinancing or the Transactions (collectively, the “</w:t>
      </w:r>
      <w:r>
        <w:rPr>
          <w:rFonts w:ascii="Times New Roman" w:cs="Times New Roman" w:eastAsia="Times New Roman" w:hAnsi="Times New Roman"/>
          <w:sz w:val="19"/>
          <w:szCs w:val="19"/>
          <w:b w:val="1"/>
          <w:bCs w:val="1"/>
          <w:color w:val="auto"/>
        </w:rPr>
        <w:t>Indemnified Persons</w:t>
      </w:r>
      <w:r>
        <w:rPr>
          <w:rFonts w:ascii="Times New Roman" w:cs="Times New Roman" w:eastAsia="Times New Roman" w:hAnsi="Times New Roman"/>
          <w:sz w:val="19"/>
          <w:szCs w:val="19"/>
          <w:color w:val="auto"/>
        </w:rPr>
        <w:t>”) from and against any and all liabilities, obligations, losses, damages, penalties,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-94-</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70" w:name="page171"/>
    <w:bookmarkEnd w:id="170"/>
    <w:p>
      <w:pPr>
        <w:ind w:right="40"/>
        <w:spacing w:after="0" w:line="261" w:lineRule="auto"/>
        <w:rPr>
          <w:sz w:val="20"/>
          <w:szCs w:val="20"/>
          <w:color w:val="auto"/>
        </w:rPr>
      </w:pPr>
      <w:r>
        <w:rPr>
          <w:rFonts w:ascii="Times New Roman" w:cs="Times New Roman" w:eastAsia="Times New Roman" w:hAnsi="Times New Roman"/>
          <w:sz w:val="19"/>
          <w:szCs w:val="19"/>
          <w:color w:val="auto"/>
        </w:rPr>
        <w:t>claims, demands, actions, judgments, suits, charges and costs, expenses and disbursements (including reasonable Attorney Costs) of any kind or nature whatsoever (including those arising from or relating to any environmental matters) that may at any time be imposed on, incurred by or asserted against any such Indemnified Person by any third party or by the Company in any way relating to or arising out of or in connection with</w:t>
      </w:r>
    </w:p>
    <w:p>
      <w:pPr>
        <w:spacing w:after="0" w:line="1" w:lineRule="exact"/>
        <w:rPr>
          <w:sz w:val="20"/>
          <w:szCs w:val="20"/>
          <w:color w:val="auto"/>
        </w:rPr>
      </w:pPr>
    </w:p>
    <w:p>
      <w:pPr>
        <w:ind w:right="20" w:firstLine="6"/>
        <w:spacing w:after="0" w:line="255" w:lineRule="auto"/>
        <w:tabs>
          <w:tab w:leader="none" w:pos="231"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delivery, enforcement, performance or administration of any Loan Document or any other agreement, letter or instrument delivered in connection with the transactions contemplated thereby or the consummation of the transactions contemplated thereby, (ii) any Commitment or Loan or the use or proposed use of the proceeds therefrom, (iii) any Environmental Liability related to the Company or any of its Subsidiaries or (iv)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Indemnified Person is a party thereto (all the foregoing, collectively, the “</w:t>
      </w:r>
      <w:r>
        <w:rPr>
          <w:rFonts w:ascii="Times New Roman" w:cs="Times New Roman" w:eastAsia="Times New Roman" w:hAnsi="Times New Roman"/>
          <w:sz w:val="19"/>
          <w:szCs w:val="19"/>
          <w:b w:val="1"/>
          <w:bCs w:val="1"/>
          <w:color w:val="auto"/>
        </w:rPr>
        <w:t>Indemnified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Liabilities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such indemnity shall not, as to any Indemnified Person, be available to the extent that such liabilities, obligations,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losses, damages, penalties, claims, demands, actions, judgments, suits, costs, expenses or disbursements are determined by a court of competent jurisdiction by final and nonappealable judgment to have resulted from the gross negligence or willful misconduct of or a material breach of this Agreement by such Indemnified Person or any Related Party thereof or arise out of or is in connection with any claim, litigation, loss or proceeding not involving an act or omission of the Company or any of its Affiliates and that is brought by an Indemnified Person against another Indemnified Person (other than against the Agent or the Joint Lead Arrangers in its capacity as such)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such indemnity shall be limited, in the case of Attorney Costs and other legal fees and expenses, to (x) the reasonable and documented out-of-pocket fees and disbursements of one counsel for all Indemnified Persons, taken as a whole, and, solely in the case of a conflict of interest where the Indemnified Person affected by such conflict informs the Company of such conflict and thereafter retains its own counsel, one additional counsel to each group of similarly situated Indemnified Persons, taken as a whole, and (y) if reasonably necessary, one additional local counsel to such persons, taken as a whole, in any relevant jurisdiction and/or one additional specialty counsel to all such persons, taken as a whole.</w:t>
      </w:r>
    </w:p>
    <w:p>
      <w:pPr>
        <w:spacing w:after="0" w:line="191" w:lineRule="exact"/>
        <w:rPr>
          <w:rFonts w:ascii="Times New Roman" w:cs="Times New Roman" w:eastAsia="Times New Roman" w:hAnsi="Times New Roman"/>
          <w:sz w:val="19"/>
          <w:szCs w:val="19"/>
          <w:color w:val="auto"/>
        </w:rPr>
      </w:pPr>
    </w:p>
    <w:p>
      <w:pPr>
        <w:ind w:firstLine="639"/>
        <w:spacing w:after="0" w:line="260" w:lineRule="auto"/>
        <w:tabs>
          <w:tab w:leader="none" w:pos="1052"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Limitation on Liability</w:t>
      </w:r>
      <w:r>
        <w:rPr>
          <w:rFonts w:ascii="Times New Roman" w:cs="Times New Roman" w:eastAsia="Times New Roman" w:hAnsi="Times New Roman"/>
          <w:sz w:val="19"/>
          <w:szCs w:val="19"/>
          <w:color w:val="auto"/>
        </w:rPr>
        <w:t>. To the fullest extent permitted by applicable law, no Person party hereto shall assert (and each such Person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shall cause its Subsidiaries not to assert), and each such Person hereby waives, and acknowledges that no other such Person shall have, any claim against (i) any Agent-Related Person, Lender or any of their respective Affiliates, or any of the directors, officers, employees, counsel, agents, partners and attorneys-in-fact of such Persons or Affiliates involved with the refinancing or the Transactions or (ii) the Company or any of its Related Parties or any of their respective equity holders,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Commitment or the use of proceeds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waiver of special, indirect, consequential or punitive damages shall not limit the indemnification obligations of the Company under </w:t>
      </w:r>
      <w:r>
        <w:rPr>
          <w:rFonts w:ascii="Times New Roman" w:cs="Times New Roman" w:eastAsia="Times New Roman" w:hAnsi="Times New Roman"/>
          <w:sz w:val="19"/>
          <w:szCs w:val="19"/>
          <w:u w:val="single" w:color="auto"/>
          <w:color w:val="auto"/>
        </w:rPr>
        <w:t>Section 10.05(a)</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10.06</w:t>
      </w:r>
      <w:r>
        <w:rPr>
          <w:sz w:val="20"/>
          <w:szCs w:val="20"/>
          <w:color w:val="auto"/>
        </w:rPr>
        <w:tab/>
      </w:r>
      <w:r>
        <w:rPr>
          <w:rFonts w:ascii="Times New Roman" w:cs="Times New Roman" w:eastAsia="Times New Roman" w:hAnsi="Times New Roman"/>
          <w:sz w:val="19"/>
          <w:szCs w:val="19"/>
          <w:u w:val="single" w:color="auto"/>
          <w:color w:val="auto"/>
        </w:rPr>
        <w:t>Marshalling; Payments Set Aside</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40" w:firstLine="633"/>
        <w:spacing w:after="0" w:line="268" w:lineRule="auto"/>
        <w:rPr>
          <w:sz w:val="20"/>
          <w:szCs w:val="20"/>
          <w:color w:val="auto"/>
        </w:rPr>
      </w:pPr>
      <w:r>
        <w:rPr>
          <w:rFonts w:ascii="Times New Roman" w:cs="Times New Roman" w:eastAsia="Times New Roman" w:hAnsi="Times New Roman"/>
          <w:sz w:val="19"/>
          <w:szCs w:val="19"/>
          <w:color w:val="auto"/>
        </w:rPr>
        <w:t>Neither the Agent nor any Lender shall be under any obligation to marshal any assets in favor of the Company or any other Person or against or in payment of any or all of the Obligations. To the extent that the Company makes a payment to the Agent or the Lenders (or to the Agent, on behalf of the Lenders), or any Agent or Lender enforces any security interests or exercises any right of setoff, and such payment or the proceeds of such enforcement or the proceeds of such set-off or any part thereof are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-95-</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71" w:name="page172"/>
    <w:bookmarkEnd w:id="171"/>
    <w:p>
      <w:pPr>
        <w:ind w:right="40"/>
        <w:spacing w:after="0" w:line="262" w:lineRule="auto"/>
        <w:rPr>
          <w:sz w:val="20"/>
          <w:szCs w:val="20"/>
          <w:color w:val="auto"/>
        </w:rPr>
      </w:pPr>
      <w:r>
        <w:rPr>
          <w:rFonts w:ascii="Times New Roman" w:cs="Times New Roman" w:eastAsia="Times New Roman" w:hAnsi="Times New Roman"/>
          <w:sz w:val="19"/>
          <w:szCs w:val="19"/>
          <w:color w:val="auto"/>
        </w:rPr>
        <w:t>subsequently invalidated, declared to be fraudulent or preferential, set aside or required (including pursuant to any settlement entered into by the Agent or such Lender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Agent upon demand its Pro Rata Share of any amount so recovered from or repaid by the Agent.</w:t>
      </w:r>
    </w:p>
    <w:p>
      <w:pPr>
        <w:spacing w:after="0" w:line="17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10.07</w:t>
      </w:r>
      <w:r>
        <w:rPr>
          <w:sz w:val="20"/>
          <w:szCs w:val="20"/>
          <w:color w:val="auto"/>
        </w:rPr>
        <w:tab/>
      </w:r>
      <w:r>
        <w:rPr>
          <w:rFonts w:ascii="Times New Roman" w:cs="Times New Roman" w:eastAsia="Times New Roman" w:hAnsi="Times New Roman"/>
          <w:sz w:val="19"/>
          <w:szCs w:val="19"/>
          <w:u w:val="single" w:color="auto"/>
          <w:color w:val="auto"/>
        </w:rPr>
        <w:t>Assignments, Successors, Participations, Etc</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100" w:firstLine="639"/>
        <w:spacing w:after="0" w:line="258" w:lineRule="auto"/>
        <w:tabs>
          <w:tab w:leader="none" w:pos="1041"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 Generally</w:t>
      </w:r>
      <w:r>
        <w:rPr>
          <w:rFonts w:ascii="Times New Roman" w:cs="Times New Roman" w:eastAsia="Times New Roman" w:hAnsi="Times New Roman"/>
          <w:sz w:val="19"/>
          <w:szCs w:val="19"/>
          <w:color w:val="auto"/>
        </w:rPr>
        <w:t xml:space="preserve">. The provisions of this Agreement shall be binding upon and inure to the benefit of the parties hereto and their respective successors and assigns permitted hereby, except that the Company may not assign or otherwise transfer any of its rights or obligations hereunder without the prior written consent of the Agent and each Lender and no Lender may assign or otherwise transfer any of its rights or obligations hereunder except (i) to an Eligible Assignee in accordance with the provisions of </w:t>
      </w:r>
      <w:r>
        <w:rPr>
          <w:rFonts w:ascii="Times New Roman" w:cs="Times New Roman" w:eastAsia="Times New Roman" w:hAnsi="Times New Roman"/>
          <w:sz w:val="19"/>
          <w:szCs w:val="19"/>
          <w:u w:val="single" w:color="auto"/>
          <w:color w:val="auto"/>
        </w:rPr>
        <w:t>Section 10.07(b)</w:t>
      </w:r>
      <w:r>
        <w:rPr>
          <w:rFonts w:ascii="Times New Roman" w:cs="Times New Roman" w:eastAsia="Times New Roman" w:hAnsi="Times New Roman"/>
          <w:sz w:val="19"/>
          <w:szCs w:val="19"/>
          <w:color w:val="auto"/>
        </w:rPr>
        <w:t xml:space="preserve">, or (ii) by way of participation in accordance with the provisions of </w:t>
      </w:r>
      <w:r>
        <w:rPr>
          <w:rFonts w:ascii="Times New Roman" w:cs="Times New Roman" w:eastAsia="Times New Roman" w:hAnsi="Times New Roman"/>
          <w:sz w:val="19"/>
          <w:szCs w:val="19"/>
          <w:u w:val="single" w:color="auto"/>
          <w:color w:val="auto"/>
        </w:rPr>
        <w:t>Section 10.07(d)</w:t>
      </w:r>
      <w:r>
        <w:rPr>
          <w:rFonts w:ascii="Times New Roman" w:cs="Times New Roman" w:eastAsia="Times New Roman" w:hAnsi="Times New Roman"/>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(as defined below) to the extent provided in </w:t>
      </w:r>
      <w:r>
        <w:rPr>
          <w:rFonts w:ascii="Times New Roman" w:cs="Times New Roman" w:eastAsia="Times New Roman" w:hAnsi="Times New Roman"/>
          <w:sz w:val="19"/>
          <w:szCs w:val="19"/>
          <w:u w:val="single" w:color="auto"/>
          <w:color w:val="auto"/>
        </w:rPr>
        <w:t>Section 10.07(e)</w:t>
      </w:r>
      <w:r>
        <w:rPr>
          <w:rFonts w:ascii="Times New Roman" w:cs="Times New Roman" w:eastAsia="Times New Roman" w:hAnsi="Times New Roman"/>
          <w:sz w:val="19"/>
          <w:szCs w:val="19"/>
          <w:color w:val="auto"/>
        </w:rPr>
        <w:t xml:space="preserve"> and, to the extent expressly contemplated hereby, the Related Parties of each of the Agent and the Lenders) any legal or equitable right, remedy or claim under or by reason of this Agreement.</w:t>
      </w:r>
    </w:p>
    <w:p>
      <w:pPr>
        <w:spacing w:after="0" w:line="181" w:lineRule="exact"/>
        <w:rPr>
          <w:rFonts w:ascii="Times New Roman" w:cs="Times New Roman" w:eastAsia="Times New Roman" w:hAnsi="Times New Roman"/>
          <w:sz w:val="19"/>
          <w:szCs w:val="19"/>
          <w:color w:val="auto"/>
        </w:rPr>
      </w:pPr>
    </w:p>
    <w:p>
      <w:pPr>
        <w:jc w:val="both"/>
        <w:ind w:right="260" w:firstLine="639"/>
        <w:spacing w:after="0" w:line="272" w:lineRule="auto"/>
        <w:tabs>
          <w:tab w:leader="none" w:pos="1052"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Assignments by Lenders</w:t>
      </w:r>
      <w:r>
        <w:rPr>
          <w:rFonts w:ascii="Times New Roman" w:cs="Times New Roman" w:eastAsia="Times New Roman" w:hAnsi="Times New Roman"/>
          <w:sz w:val="19"/>
          <w:szCs w:val="19"/>
          <w:color w:val="auto"/>
        </w:rPr>
        <w:t>. Any Lender may at any time assign to one or more Eligible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pro rata assignments shall not be required));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67" w:lineRule="exact"/>
        <w:rPr>
          <w:rFonts w:ascii="Times New Roman" w:cs="Times New Roman" w:eastAsia="Times New Roman" w:hAnsi="Times New Roman"/>
          <w:sz w:val="19"/>
          <w:szCs w:val="19"/>
          <w:color w:val="auto"/>
        </w:rPr>
      </w:pPr>
    </w:p>
    <w:p>
      <w:pPr>
        <w:ind w:left="1880" w:hanging="371"/>
        <w:spacing w:after="0"/>
        <w:tabs>
          <w:tab w:leader="none" w:pos="1880"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6" w:lineRule="exact"/>
        <w:rPr>
          <w:rFonts w:ascii="Times New Roman" w:cs="Times New Roman" w:eastAsia="Times New Roman" w:hAnsi="Times New Roman"/>
          <w:sz w:val="19"/>
          <w:szCs w:val="19"/>
          <w:color w:val="auto"/>
        </w:rPr>
      </w:pPr>
    </w:p>
    <w:p>
      <w:pPr>
        <w:ind w:left="620" w:firstLine="889"/>
        <w:spacing w:after="0" w:line="258" w:lineRule="auto"/>
        <w:tabs>
          <w:tab w:leader="none" w:pos="1935"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assignments of Revolving Loans or Revolving Commitments, such assignment, shall be consented to by each of the Company and Agent (such consent not to be (x) unreasonably withheld or delayed or, (y) in the case of the Company, required at any time an Event of Default shall have occurred and then be continuing, or (z) required in the case of an assignment by an assigning Lender to an Affiliate or Approved Fund of such Lender or any other Revolving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Company shall be deemed to have consented to any such assignment of Revolving Loans or Revolving Commitments unless it shall object thereto by written notice to the Agent within ten (10) Business Days after having received written notice thereof and (B) except in the case of an assignment of the entire remaining amount of the assigning Lender’s Revolving Loans or Revolving Commitments or in the case of an assignment to a Lender or an Affiliate of a Lender or an Approved Fund with respect to a Lender, the aggregate amount of the Revolving Loans and Revolving Commitments of the assigning Lender subject to each such assignment, determined as of the date the Assignment and Assumption with respect to such assignment is delivered to the Agent or, if “Trade Date” is specified in the Assignment and Assumption, as of the Trade Date, shall not be less than $5,000,000, unless each of the Agent and, so long as no Event of Default has occurred and is continuing, the Company otherwise consents (each such consent not to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-96-</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72" w:name="page173"/>
    <w:bookmarkEnd w:id="172"/>
    <w:p>
      <w:pPr>
        <w:ind w:left="620" w:right="120" w:firstLine="889"/>
        <w:spacing w:after="0" w:line="297" w:lineRule="auto"/>
        <w:tabs>
          <w:tab w:leader="none" w:pos="1989"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partial assignment shall be made as an assignment of a proportionate part of all the assigning Lender’s rights and obligations under this Agreement with respect to the Loans or the Commitment assigned under the Facilities;</w:t>
      </w:r>
    </w:p>
    <w:p>
      <w:pPr>
        <w:spacing w:after="0" w:line="131" w:lineRule="exact"/>
        <w:rPr>
          <w:rFonts w:ascii="Times New Roman" w:cs="Times New Roman" w:eastAsia="Times New Roman" w:hAnsi="Times New Roman"/>
          <w:sz w:val="19"/>
          <w:szCs w:val="19"/>
          <w:color w:val="auto"/>
        </w:rPr>
      </w:pPr>
    </w:p>
    <w:p>
      <w:pPr>
        <w:ind w:left="620" w:right="40" w:firstLine="889"/>
        <w:spacing w:after="0" w:line="268" w:lineRule="auto"/>
        <w:tabs>
          <w:tab w:leader="none" w:pos="1978"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to each assignment shall execute and deliver to the Agent an Assignment and Assumption; such Assignment and Assumption to be (A) electronically executed and delivered to the Agent via an electronic settlement system then acceptable to the Agent (or, if previously agreed with the Agent, manually), and (B) delivered together with a processing and recordation fee of $3,500, unless waived or reduced by the Agent in its sole discretion; and</w:t>
      </w:r>
    </w:p>
    <w:p>
      <w:pPr>
        <w:spacing w:after="0" w:line="171" w:lineRule="exact"/>
        <w:rPr>
          <w:rFonts w:ascii="Times New Roman" w:cs="Times New Roman" w:eastAsia="Times New Roman" w:hAnsi="Times New Roman"/>
          <w:sz w:val="19"/>
          <w:szCs w:val="19"/>
          <w:color w:val="auto"/>
        </w:rPr>
      </w:pPr>
    </w:p>
    <w:p>
      <w:pPr>
        <w:ind w:left="620" w:right="140" w:firstLine="889"/>
        <w:spacing w:after="0" w:line="283" w:lineRule="auto"/>
        <w:tabs>
          <w:tab w:leader="none" w:pos="1925"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Eligible Assignee, if it shall not be a Lender, shall deliver to the Agent an administrative questionnaire, in the form prescribed by the Agent.</w:t>
      </w:r>
    </w:p>
    <w:p>
      <w:pPr>
        <w:spacing w:after="0" w:line="157" w:lineRule="exact"/>
        <w:rPr>
          <w:sz w:val="20"/>
          <w:szCs w:val="20"/>
          <w:color w:val="auto"/>
        </w:rPr>
      </w:pPr>
    </w:p>
    <w:p>
      <w:pPr>
        <w:ind w:right="20" w:firstLine="633"/>
        <w:spacing w:after="0" w:line="257" w:lineRule="auto"/>
        <w:rPr>
          <w:sz w:val="20"/>
          <w:szCs w:val="20"/>
          <w:color w:val="auto"/>
        </w:rPr>
      </w:pPr>
      <w:r>
        <w:rPr>
          <w:rFonts w:ascii="Times New Roman" w:cs="Times New Roman" w:eastAsia="Times New Roman" w:hAnsi="Times New Roman"/>
          <w:sz w:val="19"/>
          <w:szCs w:val="19"/>
          <w:color w:val="auto"/>
        </w:rPr>
        <w:t xml:space="preserve">Subject to acceptance and recording thereof by the Agent pursuant to </w:t>
      </w:r>
      <w:r>
        <w:rPr>
          <w:rFonts w:ascii="Times New Roman" w:cs="Times New Roman" w:eastAsia="Times New Roman" w:hAnsi="Times New Roman"/>
          <w:sz w:val="19"/>
          <w:szCs w:val="19"/>
          <w:u w:val="single" w:color="auto"/>
          <w:color w:val="auto"/>
        </w:rPr>
        <w:t>Section 10.07(d)</w:t>
      </w:r>
      <w:r>
        <w:rPr>
          <w:rFonts w:ascii="Times New Roman" w:cs="Times New Roman" w:eastAsia="Times New Roman" w:hAnsi="Times New Roman"/>
          <w:sz w:val="19"/>
          <w:szCs w:val="19"/>
          <w:color w:val="auto"/>
        </w:rPr>
        <w:t xml:space="preserve">,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Sections 3.01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10.05</w:t>
      </w:r>
      <w:r>
        <w:rPr>
          <w:rFonts w:ascii="Times New Roman" w:cs="Times New Roman" w:eastAsia="Times New Roman" w:hAnsi="Times New Roman"/>
          <w:sz w:val="19"/>
          <w:szCs w:val="19"/>
          <w:color w:val="auto"/>
        </w:rPr>
        <w:t xml:space="preserve"> with respect to facts and circumstances occurring prior to the effective date of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Company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19"/>
          <w:szCs w:val="19"/>
          <w:u w:val="single" w:color="auto"/>
          <w:color w:val="auto"/>
        </w:rPr>
        <w:t>Section 10.07(d)</w:t>
      </w:r>
      <w:r>
        <w:rPr>
          <w:rFonts w:ascii="Times New Roman" w:cs="Times New Roman" w:eastAsia="Times New Roman" w:hAnsi="Times New Roman"/>
          <w:sz w:val="19"/>
          <w:szCs w:val="19"/>
          <w:color w:val="auto"/>
        </w:rPr>
        <w:t>. The Agent shall not be responsible for monitoring the list of Disqualified Lenders and shall have no liability for non-compliance by any Lender.</w:t>
      </w:r>
    </w:p>
    <w:p>
      <w:pPr>
        <w:spacing w:after="0" w:line="186" w:lineRule="exact"/>
        <w:rPr>
          <w:sz w:val="20"/>
          <w:szCs w:val="20"/>
          <w:color w:val="auto"/>
        </w:rPr>
      </w:pPr>
    </w:p>
    <w:p>
      <w:pPr>
        <w:ind w:firstLine="639"/>
        <w:spacing w:after="0" w:line="259" w:lineRule="auto"/>
        <w:tabs>
          <w:tab w:leader="none" w:pos="1041"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The Agent, acting solely for this purpose as an agent of the Company, shall maintain at the Agent’s Office a copy of each Assignment and Assumption delivered to it and a register for the recordation of the names and addresses of the Lenders, and the Commitments of, and principal and interest amounts of the Loans owing to, each Lender pursuant to the terms hereof from time to time (the “</w:t>
      </w:r>
      <w:r>
        <w:rPr>
          <w:rFonts w:ascii="Times New Roman" w:cs="Times New Roman" w:eastAsia="Times New Roman" w:hAnsi="Times New Roman"/>
          <w:sz w:val="19"/>
          <w:szCs w:val="19"/>
          <w:b w:val="1"/>
          <w:bCs w:val="1"/>
          <w:color w:val="auto"/>
        </w:rPr>
        <w:t>Register</w:t>
      </w:r>
      <w:r>
        <w:rPr>
          <w:rFonts w:ascii="Times New Roman" w:cs="Times New Roman" w:eastAsia="Times New Roman" w:hAnsi="Times New Roman"/>
          <w:sz w:val="19"/>
          <w:szCs w:val="19"/>
          <w:color w:val="auto"/>
        </w:rPr>
        <w:t>”). The entries in the Register shall be conclusive absent manifest error, and the Company, the Agent and the Lenders shall treat each Person whose name is recorded in the Register pursuant to the terms hereof as a Lender hereunder for all purposes of this Agreement, notwithstanding notice to the contrary. The Register shall be available for inspection by the Company and each Lender (with respect to its own interests in the Facilities only) at any reasonable time and from time to time upon reasonable prior notice. No assignment shall be effective for purposes of this Agreement unless it has been recorded in the Register as provided in this paragraph.</w:t>
      </w:r>
    </w:p>
    <w:p>
      <w:pPr>
        <w:spacing w:after="0" w:line="184" w:lineRule="exact"/>
        <w:rPr>
          <w:rFonts w:ascii="Times New Roman" w:cs="Times New Roman" w:eastAsia="Times New Roman" w:hAnsi="Times New Roman"/>
          <w:sz w:val="19"/>
          <w:szCs w:val="19"/>
          <w:color w:val="auto"/>
        </w:rPr>
      </w:pPr>
    </w:p>
    <w:p>
      <w:pPr>
        <w:ind w:right="20" w:firstLine="639"/>
        <w:spacing w:after="0" w:line="262" w:lineRule="auto"/>
        <w:tabs>
          <w:tab w:leader="none" w:pos="1052"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Participations</w:t>
      </w:r>
      <w:r>
        <w:rPr>
          <w:rFonts w:ascii="Times New Roman" w:cs="Times New Roman" w:eastAsia="Times New Roman" w:hAnsi="Times New Roman"/>
          <w:sz w:val="19"/>
          <w:szCs w:val="19"/>
          <w:color w:val="auto"/>
        </w:rPr>
        <w:t>. Any Lender may at any time, without the consent of, or notice to, the Company or the Agent, sell participations to any Person (other than (i) a natural person (or holding company, investment vehicle or trust for, or owned and operated for the primary benefit of a natural person) (ii) the Company or any of the Company’s Affiliates or Subsidiaries, or (iii) a Defaulting Lender) (each, a “</w:t>
      </w:r>
      <w:r>
        <w:rPr>
          <w:rFonts w:ascii="Times New Roman" w:cs="Times New Roman" w:eastAsia="Times New Roman" w:hAnsi="Times New Roman"/>
          <w:sz w:val="19"/>
          <w:szCs w:val="19"/>
          <w:b w:val="1"/>
          <w:bCs w:val="1"/>
          <w:color w:val="auto"/>
        </w:rPr>
        <w:t>Participant</w:t>
      </w:r>
      <w:r>
        <w:rPr>
          <w:rFonts w:ascii="Times New Roman" w:cs="Times New Roman" w:eastAsia="Times New Roman" w:hAnsi="Times New Roman"/>
          <w:sz w:val="19"/>
          <w:szCs w:val="19"/>
          <w:color w:val="auto"/>
        </w:rPr>
        <w:t xml:space="preserve">”) in all or a portion of such Lender’s rights and/or obligations under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Lender’s obligations under this Agreement shall remain unchanged, (ii)</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-97-</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73" w:name="page174"/>
    <w:bookmarkEnd w:id="173"/>
    <w:p>
      <w:pPr>
        <w:spacing w:after="0" w:line="258" w:lineRule="auto"/>
        <w:rPr>
          <w:sz w:val="20"/>
          <w:szCs w:val="20"/>
          <w:color w:val="auto"/>
        </w:rPr>
      </w:pPr>
      <w:r>
        <w:rPr>
          <w:rFonts w:ascii="Times New Roman" w:cs="Times New Roman" w:eastAsia="Times New Roman" w:hAnsi="Times New Roman"/>
          <w:sz w:val="19"/>
          <w:szCs w:val="19"/>
          <w:color w:val="auto"/>
        </w:rPr>
        <w:t xml:space="preserve">such Lender shall remain solely responsible to the other parties hereto for the performance of such obligations and (iii) the Company, the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that directly affects such Participant. Except to the extent limited by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10.07(f)</w:t>
      </w:r>
      <w:r>
        <w:rPr>
          <w:rFonts w:ascii="Times New Roman" w:cs="Times New Roman" w:eastAsia="Times New Roman" w:hAnsi="Times New Roman"/>
          <w:sz w:val="19"/>
          <w:szCs w:val="19"/>
          <w:color w:val="auto"/>
        </w:rPr>
        <w:t xml:space="preserve">, the Company agrees that each Participant shall be entitled to the benefits of </w:t>
      </w:r>
      <w:r>
        <w:rPr>
          <w:rFonts w:ascii="Times New Roman" w:cs="Times New Roman" w:eastAsia="Times New Roman" w:hAnsi="Times New Roman"/>
          <w:sz w:val="19"/>
          <w:szCs w:val="19"/>
          <w:u w:val="single" w:color="auto"/>
          <w:color w:val="auto"/>
        </w:rPr>
        <w:t>Sections 3.01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(subject to the limitations and requirements of such Sections (including </w:t>
      </w:r>
      <w:r>
        <w:rPr>
          <w:rFonts w:ascii="Times New Roman" w:cs="Times New Roman" w:eastAsia="Times New Roman" w:hAnsi="Times New Roman"/>
          <w:sz w:val="19"/>
          <w:szCs w:val="19"/>
          <w:u w:val="single" w:color="auto"/>
          <w:color w:val="auto"/>
        </w:rPr>
        <w:t>Section 3.01(f)</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3.01(g)</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3.07</w:t>
      </w:r>
      <w:r>
        <w:rPr>
          <w:rFonts w:ascii="Times New Roman" w:cs="Times New Roman" w:eastAsia="Times New Roman" w:hAnsi="Times New Roman"/>
          <w:sz w:val="19"/>
          <w:szCs w:val="19"/>
          <w:color w:val="auto"/>
        </w:rPr>
        <w:t xml:space="preserve">), as if such Participant were a Lender) to the same extent as if it were a Lender and had acquired its interest by assignment pursuant to </w:t>
      </w:r>
      <w:r>
        <w:rPr>
          <w:rFonts w:ascii="Times New Roman" w:cs="Times New Roman" w:eastAsia="Times New Roman" w:hAnsi="Times New Roman"/>
          <w:sz w:val="19"/>
          <w:szCs w:val="19"/>
          <w:u w:val="single" w:color="auto"/>
          <w:color w:val="auto"/>
        </w:rPr>
        <w:t>Section 10.07(b)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shall not be entitled to receive any greater payment under </w:t>
      </w:r>
      <w:r>
        <w:rPr>
          <w:rFonts w:ascii="Times New Roman" w:cs="Times New Roman" w:eastAsia="Times New Roman" w:hAnsi="Times New Roman"/>
          <w:sz w:val="19"/>
          <w:szCs w:val="19"/>
          <w:u w:val="single" w:color="auto"/>
          <w:color w:val="auto"/>
        </w:rPr>
        <w:t>Sections 3.01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10.09</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as though it were a Lender.</w:t>
      </w:r>
    </w:p>
    <w:p>
      <w:pPr>
        <w:spacing w:after="0" w:line="200" w:lineRule="exact"/>
        <w:rPr>
          <w:sz w:val="20"/>
          <w:szCs w:val="20"/>
          <w:color w:val="auto"/>
        </w:rPr>
      </w:pPr>
    </w:p>
    <w:p>
      <w:pPr>
        <w:spacing w:after="0" w:line="202" w:lineRule="exact"/>
        <w:rPr>
          <w:sz w:val="20"/>
          <w:szCs w:val="20"/>
          <w:color w:val="auto"/>
        </w:rPr>
      </w:pPr>
    </w:p>
    <w:p>
      <w:pPr>
        <w:ind w:firstLine="633"/>
        <w:spacing w:after="0" w:line="260" w:lineRule="auto"/>
        <w:rPr>
          <w:sz w:val="20"/>
          <w:szCs w:val="20"/>
          <w:color w:val="auto"/>
        </w:rPr>
      </w:pPr>
      <w:r>
        <w:rPr>
          <w:rFonts w:ascii="Times New Roman" w:cs="Times New Roman" w:eastAsia="Times New Roman" w:hAnsi="Times New Roman"/>
          <w:sz w:val="19"/>
          <w:szCs w:val="19"/>
          <w:color w:val="auto"/>
        </w:rPr>
        <w:t xml:space="preserve">Each Lender that sells a participation pursuant to this </w:t>
      </w:r>
      <w:r>
        <w:rPr>
          <w:rFonts w:ascii="Times New Roman" w:cs="Times New Roman" w:eastAsia="Times New Roman" w:hAnsi="Times New Roman"/>
          <w:sz w:val="19"/>
          <w:szCs w:val="19"/>
          <w:u w:val="single" w:color="auto"/>
          <w:color w:val="auto"/>
        </w:rPr>
        <w:t>Section 10.07(e)</w:t>
      </w:r>
      <w:r>
        <w:rPr>
          <w:rFonts w:ascii="Times New Roman" w:cs="Times New Roman" w:eastAsia="Times New Roman" w:hAnsi="Times New Roman"/>
          <w:sz w:val="19"/>
          <w:szCs w:val="19"/>
          <w:color w:val="auto"/>
        </w:rPr>
        <w:t xml:space="preserve"> shall, acting solely for U.S. federal income tax purposes as a non-fiduciary agent of the Company, maintain a register on which it records the name and address of each participant and the principal amounts of each participant’s participation interest with respect to the Loans or other obligations under the Loan Documents (each, a “</w:t>
      </w:r>
      <w:r>
        <w:rPr>
          <w:rFonts w:ascii="Times New Roman" w:cs="Times New Roman" w:eastAsia="Times New Roman" w:hAnsi="Times New Roman"/>
          <w:sz w:val="19"/>
          <w:szCs w:val="19"/>
          <w:b w:val="1"/>
          <w:bCs w:val="1"/>
          <w:color w:val="auto"/>
        </w:rPr>
        <w:t>Participant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Register</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no Lender shall have any obligation to disclose all or any portion of the Participant Register to any Person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identity of any participant or any information relating to a participant’s interest in any Commitments, Loans or its other obligations under this Agreement) except to the extent that the relevant parties, acting reasonably and in good faith, determine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200" w:lineRule="exact"/>
        <w:rPr>
          <w:sz w:val="20"/>
          <w:szCs w:val="20"/>
          <w:color w:val="auto"/>
        </w:rPr>
      </w:pPr>
    </w:p>
    <w:p>
      <w:pPr>
        <w:spacing w:after="0" w:line="202" w:lineRule="exact"/>
        <w:rPr>
          <w:sz w:val="20"/>
          <w:szCs w:val="20"/>
          <w:color w:val="auto"/>
        </w:rPr>
      </w:pPr>
    </w:p>
    <w:p>
      <w:pPr>
        <w:ind w:right="200" w:firstLine="639"/>
        <w:spacing w:after="0" w:line="297" w:lineRule="auto"/>
        <w:tabs>
          <w:tab w:leader="none" w:pos="1041"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Limitations upon Participant Rights</w:t>
      </w:r>
      <w:r>
        <w:rPr>
          <w:rFonts w:ascii="Times New Roman" w:cs="Times New Roman" w:eastAsia="Times New Roman" w:hAnsi="Times New Roman"/>
          <w:sz w:val="19"/>
          <w:szCs w:val="19"/>
          <w:color w:val="auto"/>
        </w:rPr>
        <w:t xml:space="preserve">. A Participant shall not be entitled to receive any greater payment under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3.03</w:t>
      </w:r>
      <w:r>
        <w:rPr>
          <w:rFonts w:ascii="Times New Roman" w:cs="Times New Roman" w:eastAsia="Times New Roman" w:hAnsi="Times New Roman"/>
          <w:sz w:val="19"/>
          <w:szCs w:val="19"/>
          <w:color w:val="auto"/>
        </w:rPr>
        <w:t xml:space="preserve"> than the applicable Lender would have been entitled to receive with respect to the participation sold to such Participant.</w:t>
      </w:r>
    </w:p>
    <w:p>
      <w:pPr>
        <w:spacing w:after="0" w:line="131" w:lineRule="exact"/>
        <w:rPr>
          <w:rFonts w:ascii="Times New Roman" w:cs="Times New Roman" w:eastAsia="Times New Roman" w:hAnsi="Times New Roman"/>
          <w:sz w:val="19"/>
          <w:szCs w:val="19"/>
          <w:color w:val="auto"/>
        </w:rPr>
      </w:pPr>
    </w:p>
    <w:p>
      <w:pPr>
        <w:ind w:right="100" w:firstLine="639"/>
        <w:spacing w:after="0" w:line="268" w:lineRule="auto"/>
        <w:tabs>
          <w:tab w:leader="none" w:pos="1019"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Pledges</w:t>
      </w:r>
      <w:r>
        <w:rPr>
          <w:rFonts w:ascii="Times New Roman" w:cs="Times New Roman" w:eastAsia="Times New Roman" w:hAnsi="Times New Roman"/>
          <w:sz w:val="19"/>
          <w:szCs w:val="19"/>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71" w:lineRule="exact"/>
        <w:rPr>
          <w:rFonts w:ascii="Times New Roman" w:cs="Times New Roman" w:eastAsia="Times New Roman" w:hAnsi="Times New Roman"/>
          <w:sz w:val="19"/>
          <w:szCs w:val="19"/>
          <w:color w:val="auto"/>
        </w:rPr>
      </w:pPr>
    </w:p>
    <w:p>
      <w:pPr>
        <w:ind w:right="140" w:firstLine="639"/>
        <w:spacing w:after="0" w:line="268" w:lineRule="auto"/>
        <w:tabs>
          <w:tab w:leader="none" w:pos="1052"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Execution of Assignments</w:t>
      </w:r>
      <w:r>
        <w:rPr>
          <w:rFonts w:ascii="Times New Roman" w:cs="Times New Roman" w:eastAsia="Times New Roman" w:hAnsi="Times New Roman"/>
          <w:sz w:val="19"/>
          <w:szCs w:val="19"/>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-98-</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74" w:name="page175"/>
    <w:bookmarkEnd w:id="174"/>
    <w:p>
      <w:pPr>
        <w:ind w:right="280"/>
        <w:spacing w:after="0" w:line="297" w:lineRule="auto"/>
        <w:rPr>
          <w:sz w:val="20"/>
          <w:szCs w:val="20"/>
          <w:color w:val="auto"/>
        </w:rPr>
      </w:pPr>
      <w:r>
        <w:rPr>
          <w:rFonts w:ascii="Times New Roman" w:cs="Times New Roman" w:eastAsia="Times New Roman" w:hAnsi="Times New Roman"/>
          <w:sz w:val="19"/>
          <w:szCs w:val="19"/>
          <w:color w:val="auto"/>
        </w:rPr>
        <w:t>Signatures in Global and National Commerce Act, the New York State Electronic Signatures and Records Act, or any other similar state laws based on the Uniform Electronic Transactions Act.</w:t>
      </w:r>
    </w:p>
    <w:p>
      <w:pPr>
        <w:spacing w:after="0" w:line="132"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10.08</w:t>
      </w:r>
      <w:r>
        <w:rPr>
          <w:sz w:val="20"/>
          <w:szCs w:val="20"/>
          <w:color w:val="auto"/>
        </w:rPr>
        <w:tab/>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firstLine="633"/>
        <w:spacing w:after="0" w:line="255" w:lineRule="auto"/>
        <w:rPr>
          <w:sz w:val="20"/>
          <w:szCs w:val="20"/>
          <w:color w:val="auto"/>
        </w:rPr>
      </w:pPr>
      <w:r>
        <w:rPr>
          <w:rFonts w:ascii="Times New Roman" w:cs="Times New Roman" w:eastAsia="Times New Roman" w:hAnsi="Times New Roman"/>
          <w:sz w:val="19"/>
          <w:szCs w:val="19"/>
          <w:color w:val="auto"/>
        </w:rPr>
        <w:t>The Agent and each Lender shall maintain the confidentiality of all information regarding the Company or any Subsidiary or any of their respective businesses provided to it by the Company or any Subsidiary, or by the Agent on the Company’s or such Subsidiary’s behalf, in connection with this Agreement or any other Loan Document (the “</w:t>
      </w:r>
      <w:r>
        <w:rPr>
          <w:rFonts w:ascii="Times New Roman" w:cs="Times New Roman" w:eastAsia="Times New Roman" w:hAnsi="Times New Roman"/>
          <w:sz w:val="19"/>
          <w:szCs w:val="19"/>
          <w:b w:val="1"/>
          <w:bCs w:val="1"/>
          <w:color w:val="auto"/>
        </w:rPr>
        <w:t>Information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Agent or such Lender may disclose Information (a) to the extent such Information (i) was or becomes generally available to the public other than as a result of improper disclosure by the Agent or a Lender, or (ii) was or becomes available on a non-confidential basis from a source other than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source is not known by the Agent or such Lender to be prohibited from disclosing such Information to the Agent or such Lender by a legal, contractual or fiduciary obligation; (b) at the request or pursuant to any requirement of any Governmental Authority or representative thereof having jurisdiction over the Agent or such Lender (including the NAIC) or in connection with an examination of the Agent or such Lender by any such Governmental Authority; (c) pursuant to subpoena or other court process; (d) when required to do so in accordance with the provisions of any applicable Requirement of Law; (e) in connection with the exercise of any remedy hereunder or under any other Loan Document; (f) to the Agent’s or such Lender’s independent auditors and other professional advisors on a confidential basis; (g) to any Participant, Lender or Eligible Assignee, actual or potential;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Person is not a Disqualified Lender and agrees in writing to keep such Information confidential to the same extent required of the Lenders hereunder or on terms no less restrictive than those set forth in this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such writing may take the form of a customary and binding “click-through” agreement; (h) to its Affiliates and to their respective officers, directors, partners, members, employees, legal counsel, independent auditors and other advisors, experts or agents who need to know such Information and on a confidential basis (and to other Persons authorized by a Lender or the Agent to organize, present or disseminate such Information in connection with disclosures otherwise made in accordance with this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Affiliates and other Persons are not Disqualified Lenders and are otherwise bound by an obligation of confidentiality (including an employment agreement) to the Agent or such Lender sufficient to ensure compliance with the terms of this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 xml:space="preserve"> or have agreed to act in accordance with this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 xml:space="preserve">; (i) to any other party to this Agreement; (j) to any pledgee referred to in </w:t>
      </w:r>
      <w:r>
        <w:rPr>
          <w:rFonts w:ascii="Times New Roman" w:cs="Times New Roman" w:eastAsia="Times New Roman" w:hAnsi="Times New Roman"/>
          <w:sz w:val="19"/>
          <w:szCs w:val="19"/>
          <w:u w:val="single" w:color="auto"/>
          <w:color w:val="auto"/>
        </w:rPr>
        <w:t>Section 10.07(f)</w:t>
      </w:r>
      <w:r>
        <w:rPr>
          <w:rFonts w:ascii="Times New Roman" w:cs="Times New Roman" w:eastAsia="Times New Roman" w:hAnsi="Times New Roman"/>
          <w:sz w:val="19"/>
          <w:szCs w:val="19"/>
          <w:color w:val="auto"/>
        </w:rPr>
        <w:t xml:space="preserve"> or any direct or indirect, contractual counterparty or prospective counterparty (or such counterparty’s or prospective counterparty’s professional advisor) to any swap, derivative, or other transaction under which payments are to be made by reference to the Company or any of its Subsidiaries and its respective obligations, this Agreement or payments hereunder (so long as all parties, including all counterparties and advisors, agree to be bound by the provisions of this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 xml:space="preserve"> or other provisions at least as restrictive as this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 xml:space="preserve">); (k) to any rating agency when required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prior to any disclosure, such rating agency shall undertake in writing to preserve the confidentiality of any Information relating to the Company or any Subsidiary received by it from the Agent or any Lender; (l) on a confidential basis to the CUSIP Service Bureau or any similar agency in connection with the issuance and monitoring of CUSIP numbers with respect to the Loans; (m) to the extent that such Information was already in possession of the Agent or such Lender or is independently developed by the Agent or such Lender without the use of any Information and without violating the terms of this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 (n) for purposes of establishing a “due diligence” defense; and (o) with the prior written consent of the Borrower. In addition, the Agent and each Lender may disclose the existence of this Agreement to market data collectors, similar service providers to the lending industry, and service providers to the Agent and the Lenders in connection with the administration and management of this Agreement and the other Loan Documents.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-99-</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75" w:name="page176"/>
    <w:bookmarkEnd w:id="175"/>
    <w:p>
      <w:pPr>
        <w:jc w:val="both"/>
        <w:ind w:right="60"/>
        <w:spacing w:after="0" w:line="272" w:lineRule="auto"/>
        <w:rPr>
          <w:sz w:val="20"/>
          <w:szCs w:val="20"/>
          <w:color w:val="auto"/>
        </w:rPr>
      </w:pP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the disclosing party shall, to the extent not prohibited by any Requirement of Law, give prior notice of such disclosure to the Company so that the Company may seek a protective order or other appropriate remedy and/or waive compliance with the provisions of this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jc w:val="both"/>
        <w:ind w:right="100" w:firstLine="633"/>
        <w:spacing w:after="0" w:line="268" w:lineRule="auto"/>
        <w:rPr>
          <w:sz w:val="20"/>
          <w:szCs w:val="20"/>
          <w:color w:val="auto"/>
        </w:rPr>
      </w:pPr>
      <w:r>
        <w:rPr>
          <w:rFonts w:ascii="Times New Roman" w:cs="Times New Roman" w:eastAsia="Times New Roman" w:hAnsi="Times New Roman"/>
          <w:sz w:val="19"/>
          <w:szCs w:val="19"/>
          <w:color w:val="auto"/>
        </w:rPr>
        <w:t>Each of the Agent and the Lenders acknowledges that (x) the Information may include material non-public information concerning the Company or a Subsidiary, as the case may be, (y) it has developed compliance procedures regarding the use of material non-public information, and (z) it will handle such material non-public information in accordance with applicable Requirements of Law, including United States federal and state securities laws.</w:t>
      </w:r>
    </w:p>
    <w:p>
      <w:pPr>
        <w:spacing w:after="0" w:line="158"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10.09</w:t>
      </w:r>
      <w:r>
        <w:rPr>
          <w:sz w:val="20"/>
          <w:szCs w:val="20"/>
          <w:color w:val="auto"/>
        </w:rPr>
        <w:tab/>
      </w:r>
      <w:r>
        <w:rPr>
          <w:rFonts w:ascii="Times New Roman" w:cs="Times New Roman" w:eastAsia="Times New Roman" w:hAnsi="Times New Roman"/>
          <w:sz w:val="19"/>
          <w:szCs w:val="19"/>
          <w:u w:val="single" w:color="auto"/>
          <w:color w:val="auto"/>
        </w:rPr>
        <w:t>Set-off</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firstLine="633"/>
        <w:spacing w:after="0" w:line="258" w:lineRule="auto"/>
        <w:rPr>
          <w:sz w:val="20"/>
          <w:szCs w:val="20"/>
          <w:color w:val="auto"/>
        </w:rPr>
      </w:pPr>
      <w:r>
        <w:rPr>
          <w:rFonts w:ascii="Times New Roman" w:cs="Times New Roman" w:eastAsia="Times New Roman" w:hAnsi="Times New Roman"/>
          <w:sz w:val="19"/>
          <w:szCs w:val="19"/>
          <w:color w:val="auto"/>
        </w:rPr>
        <w:t xml:space="preserve">In addition to any rights and remedies of the Lenders provided by law, if an Event of Default shall have occurred and be continuing, each Lender and each of its Affiliates is authorized at any time and from time to time, without prior notice to the Company, any such notice being waived by the Company, to the fullest extent permitted by law, to set off and apply any and all deposits (general or special, time or demand, provisional or final) at any time held by, and other indebtedness at any time owing by, such Lender or Affiliate to or for the credit or the account of the Company against any and all Obligations owing to such Lender, now or hereafter existing, irrespective of whether or not the Agent or such Lender shall have made demand under this Agreement or any Loan Document and although such Obligations may be contingent or unmatured;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neither any Lender nor any of its Affiliates shall be entitled to exercise any such set off with respect to any trust, tax reserve or payroll account. Each Lender agrees to promptly notify the Company and the Agent after any such set-off and application made by such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and application. For the avoidance of doubt, upon the exercise by any Lender or any of its Affiliates of any right of setoff under this Agreement or any other Loan Document in respect of any of the Obligations, the Obligations shall be immediately and automatically reduced to the extent of the amount thereby set off and applied.</w:t>
      </w:r>
    </w:p>
    <w:p>
      <w:pPr>
        <w:spacing w:after="0" w:line="173"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10.10</w:t>
      </w:r>
      <w:r>
        <w:rPr>
          <w:sz w:val="20"/>
          <w:szCs w:val="20"/>
          <w:color w:val="auto"/>
        </w:rPr>
        <w:tab/>
      </w:r>
      <w:r>
        <w:rPr>
          <w:rFonts w:ascii="Times New Roman" w:cs="Times New Roman" w:eastAsia="Times New Roman" w:hAnsi="Times New Roman"/>
          <w:sz w:val="19"/>
          <w:szCs w:val="19"/>
          <w:u w:val="single" w:color="auto"/>
          <w:color w:val="auto"/>
        </w:rPr>
        <w:t>Notification of Addresses, Lending Offices, Etc</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140" w:firstLine="633"/>
        <w:spacing w:after="0" w:line="272" w:lineRule="auto"/>
        <w:rPr>
          <w:sz w:val="20"/>
          <w:szCs w:val="20"/>
          <w:color w:val="auto"/>
        </w:rPr>
      </w:pPr>
      <w:r>
        <w:rPr>
          <w:rFonts w:ascii="Times New Roman" w:cs="Times New Roman" w:eastAsia="Times New Roman" w:hAnsi="Times New Roman"/>
          <w:sz w:val="19"/>
          <w:szCs w:val="19"/>
          <w:color w:val="auto"/>
        </w:rPr>
        <w:t>Each Lender shall notify the Agent in writing of any changes in the address to which notices to the Lender should be directed, of addresses of any Lending Office, of payment instructions in respect of all payments to be made to it hereunder and of such other administrative information as the Agent shall reasonably request.</w:t>
      </w:r>
    </w:p>
    <w:p>
      <w:pPr>
        <w:spacing w:after="0" w:line="167"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9"/>
          <w:szCs w:val="19"/>
          <w:color w:val="auto"/>
        </w:rPr>
        <w:t>Section 10.11</w:t>
      </w:r>
      <w:r>
        <w:rPr>
          <w:sz w:val="20"/>
          <w:szCs w:val="20"/>
          <w:color w:val="auto"/>
        </w:rPr>
        <w:tab/>
      </w:r>
      <w:r>
        <w:rPr>
          <w:rFonts w:ascii="Times New Roman" w:cs="Times New Roman" w:eastAsia="Times New Roman" w:hAnsi="Times New Roman"/>
          <w:sz w:val="19"/>
          <w:szCs w:val="19"/>
          <w:u w:val="single" w:color="auto"/>
          <w:color w:val="auto"/>
        </w:rPr>
        <w:t>Effectiveness; Counterparts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This Agreement shall become effective upon the execution of a counterpart hereof by each of the parties hereto and receipt by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and the Agent of written notification of such execution and authorization of delivery thereof. This Agreement may be executed in 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number of separate counterparts, each of which, when so executed, shall be deemed an original, and all of said counterparts taken together shall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 deemed to constitute but one and the same instrument. Delivery of an executed counterpart of a signature page of (x) this Agreement, (y) 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Loan Document and/or (z) any document, amendment, approval, consent, information, notice, certificate, request, statement, disclosure 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authorization related to this Agreement, any other Loan Document and/or the transactions contemplated hereby and/or thereby (each, an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Ancillary Document</w:t>
      </w:r>
      <w:r>
        <w:rPr>
          <w:rFonts w:ascii="Times New Roman" w:cs="Times New Roman" w:eastAsia="Times New Roman" w:hAnsi="Times New Roman"/>
          <w:sz w:val="19"/>
          <w:szCs w:val="19"/>
          <w:color w:val="auto"/>
        </w:rPr>
        <w:t>”) that is an Electronic Signature transmitted by telecopy, emailed pdf. or any other electronic means that reproduces 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image of an actual executed signature page shall be effective as delivery of a manually executed counterpart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-100-</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76" w:name="page177"/>
    <w:bookmarkEnd w:id="176"/>
    <w:p>
      <w:pPr>
        <w:ind w:right="40"/>
        <w:spacing w:after="0" w:line="256" w:lineRule="auto"/>
        <w:rPr>
          <w:sz w:val="20"/>
          <w:szCs w:val="20"/>
          <w:color w:val="auto"/>
        </w:rPr>
      </w:pPr>
      <w:r>
        <w:rPr>
          <w:rFonts w:ascii="Times New Roman" w:cs="Times New Roman" w:eastAsia="Times New Roman" w:hAnsi="Times New Roman"/>
          <w:sz w:val="19"/>
          <w:szCs w:val="19"/>
          <w:color w:val="auto"/>
        </w:rPr>
        <w:t xml:space="preserve">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herein shall require the Agent to accept Electronic Signatures in any form or format without its prior written consent and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without limiting the foregoing, (i) to the extent the Agent has agreed to accept any Electronic Signature, the Agent and each of the Lenders shall be entitled to rely on such Electronic Signature purportedly given by or on behalf of the Company without further verification thereof and without any obligation to review the appearance or form of any such Electronic signature and (ii) upon the request of the Agent or any Lender, any Electronic Signature shall be promptly followed by a manually executed counterpart. Without limiting the generality of the foregoing, the Company hereby (A) agrees that, for all purposes, including without limitation, in connection with any workout, restructuring, enforcement of remedies, bankruptcy proceedings or litigation among the Agent, the Lenders and the Company,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Agent-Related Person for any liabilities arising solely from the Agent’s and/or any Lender’s reliance on or use of Electronic Signatures and/or transmissions by telecopy, emailed pdf. or any other electronic means that reproduces an image of an actual executed signature page, including any liabilities arising as a result of the failure of the Company to use any available security measures in connection with the execution, delivery or transmission of any Electronic Signature.</w:t>
      </w:r>
    </w:p>
    <w:p>
      <w:pPr>
        <w:spacing w:after="0" w:line="200" w:lineRule="exact"/>
        <w:rPr>
          <w:sz w:val="20"/>
          <w:szCs w:val="20"/>
          <w:color w:val="auto"/>
        </w:rPr>
      </w:pPr>
    </w:p>
    <w:p>
      <w:pPr>
        <w:spacing w:after="0" w:line="221"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10.12</w:t>
      </w:r>
      <w:r>
        <w:rPr>
          <w:sz w:val="20"/>
          <w:szCs w:val="20"/>
          <w:color w:val="auto"/>
        </w:rPr>
        <w:tab/>
      </w:r>
      <w:r>
        <w:rPr>
          <w:rFonts w:ascii="Times New Roman" w:cs="Times New Roman" w:eastAsia="Times New Roman" w:hAnsi="Times New Roman"/>
          <w:sz w:val="19"/>
          <w:szCs w:val="19"/>
          <w:u w:val="single" w:color="auto"/>
          <w:color w:val="auto"/>
        </w:rPr>
        <w:t>Survival of Representations and Warranties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180" w:firstLine="633"/>
        <w:spacing w:after="0" w:line="268" w:lineRule="auto"/>
        <w:rPr>
          <w:sz w:val="20"/>
          <w:szCs w:val="20"/>
          <w:color w:val="auto"/>
        </w:rPr>
      </w:pPr>
      <w:r>
        <w:rPr>
          <w:rFonts w:ascii="Times New Roman" w:cs="Times New Roman" w:eastAsia="Times New Roman" w:hAnsi="Times New Roman"/>
          <w:sz w:val="19"/>
          <w:szCs w:val="19"/>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Agent and each Lender, regardless of any investigation made by the Agent or any Lender or on their behalf, and shall continue in full force and effect as long as any Loan or any other Obligation hereunder shall remain unpaid or unsatisfied.</w:t>
      </w:r>
    </w:p>
    <w:p>
      <w:pPr>
        <w:spacing w:after="0" w:line="172"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10.13</w:t>
      </w:r>
      <w:r>
        <w:rPr>
          <w:sz w:val="20"/>
          <w:szCs w:val="20"/>
          <w:color w:val="auto"/>
        </w:rPr>
        <w:tab/>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If any provision of any Loan Document is invalid, illegal or unenforceable in any jurisdiction then, to the fullest extent permitted by law,</w:t>
      </w:r>
    </w:p>
    <w:p>
      <w:pPr>
        <w:spacing w:after="0" w:line="34" w:lineRule="exact"/>
        <w:rPr>
          <w:sz w:val="20"/>
          <w:szCs w:val="20"/>
          <w:color w:val="auto"/>
        </w:rPr>
      </w:pPr>
    </w:p>
    <w:p>
      <w:pPr>
        <w:ind w:right="1300" w:firstLine="6"/>
        <w:spacing w:after="0" w:line="281" w:lineRule="auto"/>
        <w:tabs>
          <w:tab w:leader="none" w:pos="231"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provision shall, as to such jurisdiction, be ineffective to the extent (but only to the extent) of such invalidity, illegality or unenforceability, (ii) the other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-101-</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77" w:name="page178"/>
    <w:bookmarkEnd w:id="177"/>
    <w:p>
      <w:pPr>
        <w:spacing w:after="0" w:line="272" w:lineRule="auto"/>
        <w:rPr>
          <w:sz w:val="20"/>
          <w:szCs w:val="20"/>
          <w:color w:val="auto"/>
        </w:rPr>
      </w:pPr>
      <w:r>
        <w:rPr>
          <w:rFonts w:ascii="Times New Roman" w:cs="Times New Roman" w:eastAsia="Times New Roman" w:hAnsi="Times New Roman"/>
          <w:sz w:val="19"/>
          <w:szCs w:val="19"/>
          <w:color w:val="auto"/>
        </w:rPr>
        <w:t>provisions of the Loan Documents shall remain in full force and effect in such jurisdiction and shall be liberally construed in favor of the Lenders in order to carry out the intentions of the parties thereto as nearly as may be possible and (iii) the invalidity, illegality or unenforceability of any such provision in any jurisdiction shall not affect the validity, legality or enforceability of such provision in any other jurisdiction.</w:t>
      </w:r>
    </w:p>
    <w:p>
      <w:pPr>
        <w:spacing w:after="0" w:line="167"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10.14</w:t>
      </w:r>
      <w:r>
        <w:rPr>
          <w:sz w:val="20"/>
          <w:szCs w:val="20"/>
          <w:color w:val="auto"/>
        </w:rPr>
        <w:tab/>
      </w:r>
      <w:r>
        <w:rPr>
          <w:rFonts w:ascii="Times New Roman" w:cs="Times New Roman" w:eastAsia="Times New Roman" w:hAnsi="Times New Roman"/>
          <w:sz w:val="19"/>
          <w:szCs w:val="19"/>
          <w:u w:val="single" w:color="auto"/>
          <w:color w:val="auto"/>
        </w:rPr>
        <w:t>Replacement of Defaulting Lenders and Non-Consenting Lenders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right="120" w:firstLine="633"/>
        <w:spacing w:after="0" w:line="266" w:lineRule="auto"/>
        <w:rPr>
          <w:sz w:val="20"/>
          <w:szCs w:val="20"/>
          <w:color w:val="auto"/>
        </w:rPr>
      </w:pPr>
      <w:r>
        <w:rPr>
          <w:rFonts w:ascii="Times New Roman" w:cs="Times New Roman" w:eastAsia="Times New Roman" w:hAnsi="Times New Roman"/>
          <w:sz w:val="19"/>
          <w:szCs w:val="19"/>
          <w:color w:val="auto"/>
        </w:rPr>
        <w:t xml:space="preserve">If any Lender is a Defaulting Lender or a Non-Consenting Lender, then the Company may, at its sole expense and effort, upon notice to such Lender and the Agent, require such Lender to assign and delegate, without recourse (in accordance with and subject to the restrictions contained in, and consents required by, </w:t>
      </w:r>
      <w:r>
        <w:rPr>
          <w:rFonts w:ascii="Times New Roman" w:cs="Times New Roman" w:eastAsia="Times New Roman" w:hAnsi="Times New Roman"/>
          <w:sz w:val="19"/>
          <w:szCs w:val="19"/>
          <w:u w:val="single" w:color="auto"/>
          <w:color w:val="auto"/>
        </w:rPr>
        <w:t>Section 10.07</w:t>
      </w:r>
      <w:r>
        <w:rPr>
          <w:rFonts w:ascii="Times New Roman" w:cs="Times New Roman" w:eastAsia="Times New Roman" w:hAnsi="Times New Roman"/>
          <w:sz w:val="19"/>
          <w:szCs w:val="19"/>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61" w:lineRule="exact"/>
        <w:rPr>
          <w:sz w:val="20"/>
          <w:szCs w:val="20"/>
          <w:color w:val="auto"/>
        </w:rPr>
      </w:pPr>
    </w:p>
    <w:p>
      <w:pPr>
        <w:ind w:left="1040" w:hanging="401"/>
        <w:spacing w:after="0"/>
        <w:tabs>
          <w:tab w:leader="none" w:pos="1040"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Agent shall have received the assignment fee specified in </w:t>
      </w:r>
      <w:r>
        <w:rPr>
          <w:rFonts w:ascii="Times New Roman" w:cs="Times New Roman" w:eastAsia="Times New Roman" w:hAnsi="Times New Roman"/>
          <w:sz w:val="19"/>
          <w:szCs w:val="19"/>
          <w:u w:val="single" w:color="auto"/>
          <w:color w:val="auto"/>
        </w:rPr>
        <w:t>Section 10.07(b)</w:t>
      </w:r>
      <w:r>
        <w:rPr>
          <w:rFonts w:ascii="Times New Roman" w:cs="Times New Roman" w:eastAsia="Times New Roman" w:hAnsi="Times New Roman"/>
          <w:sz w:val="19"/>
          <w:szCs w:val="19"/>
          <w:color w:val="auto"/>
        </w:rPr>
        <w:t>;</w:t>
      </w:r>
    </w:p>
    <w:p>
      <w:pPr>
        <w:spacing w:after="0" w:line="229" w:lineRule="exact"/>
        <w:rPr>
          <w:rFonts w:ascii="Times New Roman" w:cs="Times New Roman" w:eastAsia="Times New Roman" w:hAnsi="Times New Roman"/>
          <w:sz w:val="19"/>
          <w:szCs w:val="19"/>
          <w:color w:val="auto"/>
        </w:rPr>
      </w:pPr>
    </w:p>
    <w:p>
      <w:pPr>
        <w:jc w:val="both"/>
        <w:ind w:right="320" w:firstLine="639"/>
        <w:spacing w:after="0" w:line="265" w:lineRule="auto"/>
        <w:tabs>
          <w:tab w:leader="none" w:pos="1052"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Times New Roman" w:cs="Times New Roman" w:eastAsia="Times New Roman" w:hAnsi="Times New Roman"/>
          <w:sz w:val="19"/>
          <w:szCs w:val="19"/>
          <w:u w:val="single" w:color="auto"/>
          <w:color w:val="auto"/>
        </w:rPr>
        <w:t>Sections 2.09</w:t>
      </w:r>
      <w:r>
        <w:rPr>
          <w:rFonts w:ascii="Times New Roman" w:cs="Times New Roman" w:eastAsia="Times New Roman" w:hAnsi="Times New Roman"/>
          <w:sz w:val="19"/>
          <w:szCs w:val="19"/>
          <w:color w:val="auto"/>
        </w:rPr>
        <w:t>,</w:t>
      </w:r>
    </w:p>
    <w:p>
      <w:pPr>
        <w:spacing w:after="0" w:line="1" w:lineRule="exact"/>
        <w:rPr>
          <w:rFonts w:ascii="Times New Roman" w:cs="Times New Roman" w:eastAsia="Times New Roman" w:hAnsi="Times New Roman"/>
          <w:sz w:val="19"/>
          <w:szCs w:val="19"/>
          <w:color w:val="auto"/>
        </w:rPr>
      </w:pPr>
    </w:p>
    <w:p>
      <w:pPr>
        <w:ind w:right="120"/>
        <w:spacing w:after="0" w:line="27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3.01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from the assignee (to the extent of such outstanding principal and accrued interest and fees) or the Company (in the case of all other amounts).</w:t>
      </w:r>
    </w:p>
    <w:p>
      <w:pPr>
        <w:spacing w:after="0" w:line="154" w:lineRule="exact"/>
        <w:rPr>
          <w:sz w:val="20"/>
          <w:szCs w:val="20"/>
          <w:color w:val="auto"/>
        </w:rPr>
      </w:pPr>
    </w:p>
    <w:p>
      <w:pPr>
        <w:ind w:right="400" w:firstLine="633"/>
        <w:spacing w:after="0" w:line="297" w:lineRule="auto"/>
        <w:rPr>
          <w:sz w:val="20"/>
          <w:szCs w:val="20"/>
          <w:color w:val="auto"/>
        </w:rPr>
      </w:pPr>
      <w:r>
        <w:rPr>
          <w:rFonts w:ascii="Times New Roman" w:cs="Times New Roman" w:eastAsia="Times New Roman" w:hAnsi="Times New Roman"/>
          <w:sz w:val="19"/>
          <w:szCs w:val="19"/>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45" w:lineRule="exact"/>
        <w:rPr>
          <w:sz w:val="20"/>
          <w:szCs w:val="20"/>
          <w:color w:val="auto"/>
        </w:rPr>
      </w:pPr>
    </w:p>
    <w:p>
      <w:pPr>
        <w:ind w:right="380" w:firstLine="633"/>
        <w:spacing w:after="0" w:line="283" w:lineRule="auto"/>
        <w:rPr>
          <w:sz w:val="20"/>
          <w:szCs w:val="20"/>
          <w:color w:val="auto"/>
        </w:rPr>
      </w:pPr>
      <w:r>
        <w:rPr>
          <w:rFonts w:ascii="Times New Roman" w:cs="Times New Roman" w:eastAsia="Times New Roman" w:hAnsi="Times New Roman"/>
          <w:sz w:val="19"/>
          <w:szCs w:val="19"/>
          <w:color w:val="auto"/>
        </w:rPr>
        <w:t>No action by or consent of a Defaulting Lender or a Non-Consenting Lender shall be necessary in connection with such assignment, which shall be immediately and automatically effective upon payment of such purchase price.</w:t>
      </w:r>
    </w:p>
    <w:p>
      <w:pPr>
        <w:spacing w:after="0" w:line="157"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10.15</w:t>
      </w:r>
      <w:r>
        <w:rPr>
          <w:sz w:val="20"/>
          <w:szCs w:val="20"/>
          <w:color w:val="auto"/>
        </w:rPr>
        <w:tab/>
      </w:r>
      <w:r>
        <w:rPr>
          <w:rFonts w:ascii="Times New Roman" w:cs="Times New Roman" w:eastAsia="Times New Roman" w:hAnsi="Times New Roman"/>
          <w:sz w:val="19"/>
          <w:szCs w:val="19"/>
          <w:u w:val="single" w:color="auto"/>
          <w:color w:val="auto"/>
        </w:rPr>
        <w:t>Governing Law; Jurisdiction; Consent to Service of Process</w:t>
      </w:r>
      <w:r>
        <w:rPr>
          <w:rFonts w:ascii="Times New Roman" w:cs="Times New Roman" w:eastAsia="Times New Roman" w:hAnsi="Times New Roman"/>
          <w:sz w:val="19"/>
          <w:szCs w:val="19"/>
          <w:color w:val="auto"/>
        </w:rPr>
        <w:t>.</w:t>
      </w:r>
    </w:p>
    <w:p>
      <w:pPr>
        <w:spacing w:after="0" w:line="217" w:lineRule="exact"/>
        <w:rPr>
          <w:sz w:val="20"/>
          <w:szCs w:val="20"/>
          <w:color w:val="auto"/>
        </w:rPr>
      </w:pPr>
    </w:p>
    <w:p>
      <w:pPr>
        <w:ind w:left="1040" w:hanging="401"/>
        <w:spacing w:after="0"/>
        <w:tabs>
          <w:tab w:leader="none" w:pos="1040"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be construed in accordance with and governed by the law of the State of New York.</w:t>
      </w:r>
    </w:p>
    <w:p>
      <w:pPr>
        <w:spacing w:after="0" w:line="229" w:lineRule="exact"/>
        <w:rPr>
          <w:rFonts w:ascii="Times New Roman" w:cs="Times New Roman" w:eastAsia="Times New Roman" w:hAnsi="Times New Roman"/>
          <w:sz w:val="19"/>
          <w:szCs w:val="19"/>
          <w:color w:val="auto"/>
        </w:rPr>
      </w:pPr>
    </w:p>
    <w:p>
      <w:pPr>
        <w:ind w:right="60" w:firstLine="639"/>
        <w:spacing w:after="0" w:line="259" w:lineRule="auto"/>
        <w:tabs>
          <w:tab w:leader="none" w:pos="1052"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parties hereto irrevocably and unconditionally submits, for itself and its property, to the exclusive jurisdiction of the Supreme Court of the State of New York sitting in New York County and of the United States District Court of the Southern District of New York, and any relevant appellate court, in any action or proceeding arising out of or relating to any Loan Document, or for recognition or enforcement of any judgment, and each party hereto irrevocably and unconditionally agrees that all claims in respect of any such action or proceeding shall be heard and determined in such New York State court or, to the extent permitted by law, in such Federal court. Each party hereto agrees that a final judgment in any such action or proceeding shall be conclusive and may be enforced in other jurisdictions by suit on the judgment or in any other manner provided by law. Nothing in any Loan Document shall affect any right that any Lender or the Agent may otherwise have to bring any action or proceeding relating to any Loan Document against the Company or its properties in the courts of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78" w:name="page179"/>
    <w:bookmarkEnd w:id="178"/>
    <w:p>
      <w:pPr>
        <w:ind w:right="140" w:firstLine="639"/>
        <w:spacing w:after="0" w:line="268" w:lineRule="auto"/>
        <w:tabs>
          <w:tab w:leader="none" w:pos="1041"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of the parties hereto irrevocably and unconditionally waives, to the fullest extent it may legally and effectively do so, any objection that it may now or hereafter have to the laying of venue of any suit, action or proceeding arising out of or relating to any Loan Document in any court referred to in </w:t>
      </w:r>
      <w:r>
        <w:rPr>
          <w:rFonts w:ascii="Times New Roman" w:cs="Times New Roman" w:eastAsia="Times New Roman" w:hAnsi="Times New Roman"/>
          <w:sz w:val="19"/>
          <w:szCs w:val="19"/>
          <w:u w:val="single" w:color="auto"/>
          <w:color w:val="auto"/>
        </w:rPr>
        <w:t>subsection (b)</w:t>
      </w:r>
      <w:r>
        <w:rPr>
          <w:rFonts w:ascii="Times New Roman" w:cs="Times New Roman" w:eastAsia="Times New Roman" w:hAnsi="Times New Roman"/>
          <w:sz w:val="19"/>
          <w:szCs w:val="19"/>
          <w:color w:val="auto"/>
        </w:rPr>
        <w:t xml:space="preserve"> of this Section. Each party hereto irrevocably waives, to the fullest extent permitted by law, the defense of an inconvenient forum to the maintenance of any such suit, action or proceeding in any such court.</w:t>
      </w:r>
    </w:p>
    <w:p>
      <w:pPr>
        <w:spacing w:after="0" w:line="158" w:lineRule="exact"/>
        <w:rPr>
          <w:rFonts w:ascii="Times New Roman" w:cs="Times New Roman" w:eastAsia="Times New Roman" w:hAnsi="Times New Roman"/>
          <w:sz w:val="19"/>
          <w:szCs w:val="19"/>
          <w:color w:val="auto"/>
        </w:rPr>
      </w:pPr>
    </w:p>
    <w:p>
      <w:pPr>
        <w:ind w:right="260" w:firstLine="639"/>
        <w:spacing w:after="0" w:line="297" w:lineRule="auto"/>
        <w:tabs>
          <w:tab w:leader="none" w:pos="1052"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 hereto irrevocably consents to service of process in the manner provided for notices in </w:t>
      </w:r>
      <w:r>
        <w:rPr>
          <w:rFonts w:ascii="Times New Roman" w:cs="Times New Roman" w:eastAsia="Times New Roman" w:hAnsi="Times New Roman"/>
          <w:sz w:val="19"/>
          <w:szCs w:val="19"/>
          <w:u w:val="single" w:color="auto"/>
          <w:color w:val="auto"/>
        </w:rPr>
        <w:t>Section 10.02</w:t>
      </w:r>
      <w:r>
        <w:rPr>
          <w:rFonts w:ascii="Times New Roman" w:cs="Times New Roman" w:eastAsia="Times New Roman" w:hAnsi="Times New Roman"/>
          <w:sz w:val="19"/>
          <w:szCs w:val="19"/>
          <w:color w:val="auto"/>
        </w:rPr>
        <w:t>. Nothing in any Loan Document will affect the right of any party hereto to serve process in any other manner permitted by law.</w:t>
      </w:r>
    </w:p>
    <w:p>
      <w:pPr>
        <w:spacing w:after="0" w:line="145"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10.16</w:t>
      </w:r>
      <w:r>
        <w:rPr>
          <w:sz w:val="20"/>
          <w:szCs w:val="20"/>
          <w:color w:val="auto"/>
        </w:rPr>
        <w:tab/>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633"/>
        <w:spacing w:after="0" w:line="260" w:lineRule="auto"/>
        <w:rPr>
          <w:sz w:val="20"/>
          <w:szCs w:val="20"/>
          <w:color w:val="auto"/>
        </w:rPr>
      </w:pPr>
      <w:r>
        <w:rPr>
          <w:rFonts w:ascii="Times New Roman" w:cs="Times New Roman" w:eastAsia="Times New Roman" w:hAnsi="Times New Roman"/>
          <w:sz w:val="19"/>
          <w:szCs w:val="19"/>
          <w:color w:val="auto"/>
        </w:rPr>
        <w:t>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 THIS WAIVER SHALL APPLY TO ANY SUBSEQUENT AMENDMENTS, RENEWALS, SUPPLEMENTS OR MODIFICATIONS TO THIS AGREEMENT AND THE OTHER LOAN DOCUMENTS.</w:t>
      </w:r>
    </w:p>
    <w:p>
      <w:pPr>
        <w:spacing w:after="0" w:line="165"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10.17</w:t>
      </w:r>
      <w:r>
        <w:rPr>
          <w:sz w:val="20"/>
          <w:szCs w:val="20"/>
          <w:color w:val="auto"/>
        </w:rPr>
        <w:tab/>
      </w:r>
      <w:r>
        <w:rPr>
          <w:rFonts w:ascii="Times New Roman" w:cs="Times New Roman" w:eastAsia="Times New Roman" w:hAnsi="Times New Roman"/>
          <w:sz w:val="19"/>
          <w:szCs w:val="19"/>
          <w:u w:val="single" w:color="auto"/>
          <w:color w:val="auto"/>
        </w:rPr>
        <w:t>USA Patriot Act Notice</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40" w:firstLine="633"/>
        <w:spacing w:after="0" w:line="263" w:lineRule="auto"/>
        <w:rPr>
          <w:sz w:val="20"/>
          <w:szCs w:val="20"/>
          <w:color w:val="auto"/>
        </w:rPr>
      </w:pPr>
      <w:r>
        <w:rPr>
          <w:rFonts w:ascii="Times New Roman" w:cs="Times New Roman" w:eastAsia="Times New Roman" w:hAnsi="Times New Roman"/>
          <w:sz w:val="19"/>
          <w:szCs w:val="19"/>
          <w:color w:val="auto"/>
        </w:rPr>
        <w:t>Each Lender and the Agent (for itself and not on behalf of any Lender) hereby notifies the Company that pursuant to the requirements of the USA Patriot Act (Title III of Pub. L. 107-56 (signed into law October 26, 2001)) (the “</w:t>
      </w:r>
      <w:r>
        <w:rPr>
          <w:rFonts w:ascii="Times New Roman" w:cs="Times New Roman" w:eastAsia="Times New Roman" w:hAnsi="Times New Roman"/>
          <w:sz w:val="19"/>
          <w:szCs w:val="19"/>
          <w:b w:val="1"/>
          <w:bCs w:val="1"/>
          <w:color w:val="auto"/>
        </w:rPr>
        <w:t>Patriot Act</w:t>
      </w:r>
      <w:r>
        <w:rPr>
          <w:rFonts w:ascii="Times New Roman" w:cs="Times New Roman" w:eastAsia="Times New Roman" w:hAnsi="Times New Roman"/>
          <w:sz w:val="19"/>
          <w:szCs w:val="19"/>
          <w:color w:val="auto"/>
        </w:rPr>
        <w:t>”), it is required to obtain, verify and record information that identifies the Company, which information includes the name and address of the Company and other information that will allow such Lender or the Agent, as applicable, to identify the Company in accordance with the Patriot Act.</w:t>
      </w:r>
    </w:p>
    <w:p>
      <w:pPr>
        <w:spacing w:after="0" w:line="177"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10.18</w:t>
      </w:r>
      <w:r>
        <w:rPr>
          <w:sz w:val="20"/>
          <w:szCs w:val="20"/>
          <w:color w:val="auto"/>
        </w:rPr>
        <w:tab/>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120" w:firstLine="633"/>
        <w:spacing w:after="0" w:line="272" w:lineRule="auto"/>
        <w:rPr>
          <w:sz w:val="20"/>
          <w:szCs w:val="20"/>
          <w:color w:val="auto"/>
        </w:rPr>
      </w:pPr>
      <w:r>
        <w:rPr>
          <w:rFonts w:ascii="Times New Roman" w:cs="Times New Roman" w:eastAsia="Times New Roman" w:hAnsi="Times New Roman"/>
          <w:sz w:val="19"/>
          <w:szCs w:val="19"/>
          <w:color w:val="auto"/>
        </w:rPr>
        <w:t>This Agreement, together with the other Loan Documents and any separate agreements with respect to fees payable to the Agent, embodies the entire agreement and understanding among the Company, the Lenders and the Agent and supersedes all prior or contemporaneous agreements and understandings of such Persons, verbal or written, relating to the subject matter hereof and thereof.</w:t>
      </w:r>
    </w:p>
    <w:p>
      <w:pPr>
        <w:spacing w:after="0" w:line="154"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10.19</w:t>
      </w:r>
      <w:r>
        <w:rPr>
          <w:sz w:val="20"/>
          <w:szCs w:val="20"/>
          <w:color w:val="auto"/>
        </w:rPr>
        <w:tab/>
      </w:r>
      <w:r>
        <w:rPr>
          <w:rFonts w:ascii="Times New Roman" w:cs="Times New Roman" w:eastAsia="Times New Roman" w:hAnsi="Times New Roman"/>
          <w:sz w:val="19"/>
          <w:szCs w:val="19"/>
          <w:u w:val="single" w:color="auto"/>
          <w:color w:val="auto"/>
        </w:rPr>
        <w:t>Independence of Covenants</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420" w:firstLine="633"/>
        <w:spacing w:after="0" w:line="272" w:lineRule="auto"/>
        <w:rPr>
          <w:sz w:val="20"/>
          <w:szCs w:val="20"/>
          <w:color w:val="auto"/>
        </w:rPr>
      </w:pPr>
      <w:r>
        <w:rPr>
          <w:rFonts w:ascii="Times New Roman" w:cs="Times New Roman" w:eastAsia="Times New Roman" w:hAnsi="Times New Roman"/>
          <w:sz w:val="19"/>
          <w:szCs w:val="19"/>
          <w:color w:val="auto"/>
        </w:rPr>
        <w:t>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-103-</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40"/>
          </w:cols>
          <w:pgMar w:left="320" w:top="1383" w:right="339" w:bottom="1440" w:gutter="0" w:footer="0" w:header="0"/>
        </w:sectPr>
      </w:pPr>
    </w:p>
    <w:bookmarkStart w:id="179" w:name="page180"/>
    <w:bookmarkEnd w:id="179"/>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10.20</w:t>
      </w:r>
      <w:r>
        <w:rPr>
          <w:sz w:val="20"/>
          <w:szCs w:val="20"/>
          <w:color w:val="auto"/>
        </w:rPr>
        <w:tab/>
      </w:r>
      <w:r>
        <w:rPr>
          <w:rFonts w:ascii="Times New Roman" w:cs="Times New Roman" w:eastAsia="Times New Roman" w:hAnsi="Times New Roman"/>
          <w:sz w:val="19"/>
          <w:szCs w:val="19"/>
          <w:u w:val="single" w:color="auto"/>
          <w:color w:val="auto"/>
        </w:rPr>
        <w:t>Obligations Several; Independent Nature of Lenders’ Right</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ind w:right="60" w:firstLine="633"/>
        <w:spacing w:after="0" w:line="262" w:lineRule="auto"/>
        <w:rPr>
          <w:sz w:val="20"/>
          <w:szCs w:val="20"/>
          <w:color w:val="auto"/>
        </w:rPr>
      </w:pPr>
      <w:r>
        <w:rPr>
          <w:rFonts w:ascii="Times New Roman" w:cs="Times New Roman" w:eastAsia="Times New Roman" w:hAnsi="Times New Roman"/>
          <w:sz w:val="19"/>
          <w:szCs w:val="19"/>
          <w:color w:val="auto"/>
        </w:rPr>
        <w:t>The obligations of Lenders hereunder are several and no Lender shall be responsible for the obligations or Commitment of any other Lender hereunder. Nothing contained herein or in any other Loan Document, and no action taken by Lenders pursuant hereto or thereto, shall be deemed to constitute Lenders as a partnership, an association, a joint venture or any other kind of entity. The amounts payable at any time hereunder to each Lender shall be a separate and independent debt, and each Lender shall be entitled to protect and enforce its rights arising out hereof and it shall not be necessary for any other Lender to be joined as an additional party in any proceeding for such purpose.</w:t>
      </w:r>
    </w:p>
    <w:p>
      <w:pPr>
        <w:spacing w:after="0" w:line="17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10.21</w:t>
      </w:r>
      <w:r>
        <w:rPr>
          <w:sz w:val="20"/>
          <w:szCs w:val="20"/>
          <w:color w:val="auto"/>
        </w:rPr>
        <w:tab/>
      </w:r>
      <w:r>
        <w:rPr>
          <w:rFonts w:ascii="Times New Roman" w:cs="Times New Roman" w:eastAsia="Times New Roman" w:hAnsi="Times New Roman"/>
          <w:sz w:val="19"/>
          <w:szCs w:val="19"/>
          <w:u w:val="single" w:color="auto"/>
          <w:color w:val="auto"/>
        </w:rPr>
        <w:t>No Fiduciary Duty</w:t>
      </w:r>
      <w:r>
        <w:rPr>
          <w:rFonts w:ascii="Times New Roman" w:cs="Times New Roman" w:eastAsia="Times New Roman" w:hAnsi="Times New Roman"/>
          <w:sz w:val="19"/>
          <w:szCs w:val="19"/>
          <w:color w:val="auto"/>
        </w:rPr>
        <w:t>.</w:t>
      </w:r>
    </w:p>
    <w:p>
      <w:pPr>
        <w:spacing w:after="0" w:line="213" w:lineRule="exact"/>
        <w:rPr>
          <w:sz w:val="20"/>
          <w:szCs w:val="20"/>
          <w:color w:val="auto"/>
        </w:rPr>
      </w:pPr>
    </w:p>
    <w:p>
      <w:pPr>
        <w:ind w:firstLine="633"/>
        <w:spacing w:after="0" w:line="257" w:lineRule="auto"/>
        <w:rPr>
          <w:sz w:val="20"/>
          <w:szCs w:val="20"/>
          <w:color w:val="auto"/>
        </w:rPr>
      </w:pPr>
      <w:r>
        <w:rPr>
          <w:rFonts w:ascii="Times New Roman" w:cs="Times New Roman" w:eastAsia="Times New Roman" w:hAnsi="Times New Roman"/>
          <w:sz w:val="19"/>
          <w:szCs w:val="19"/>
          <w:color w:val="auto"/>
        </w:rPr>
        <w:t>The Agent, each Lender and their Affiliates (collectively, solely for purposes of this paragraph, the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may have economic interests that conflict with those of the Company, their stockholders and/or their affiliates. The Company agrees that nothing in the Loan Documents or otherwise will be deemed to create an advisory, fiduciary or agency relationship or fiduciary or other implied duty between any Lender, on the one hand, and the Company, its stockholders or its affiliates, on the other. The Company acknowledges and agrees that (i) the transactions contemplated by the Loan Documents (including the exercise of rights and remedies hereunder and thereunder) are arm’s-length commercial transactions between the Lenders, on the one hand, and the Company, on the other, and (ii) in connection therewith and with the process leading thereto, (x) no Lender has assumed an advisory or fiduciary responsibility in favor of the Company, its stockholders or its affiliates with respect to the transactions contemplated hereby (or the exercise of rights or remedies with respect thereto) or the process leading thereto (irrespective of whether any Lender has advised, is currently advising or will advise the Company, its stockholders or its Affiliates on other matters) or any other obligation to the Company except the obligations expressly set forth in the Loan Documents and (y) each Lender is acting solely as principal and not as the agent or fiduciary of the Company, its management, stockholders, creditors or any other Person. The Company acknowledges and agrees that it has consulted its own legal and financial advisors to the extent it deemed appropriate and that it is responsible for making its own independent judgment with respect to such transactions and the process leading thereto. The Company agrees that it will not claim that any Lender has rendered advisory services of any nature or respect, or owes a fiduciary or similar duty to the Company, in connection with such transaction or the process leading thereto.</w:t>
      </w:r>
    </w:p>
    <w:p>
      <w:pPr>
        <w:spacing w:after="0" w:line="188" w:lineRule="exact"/>
        <w:rPr>
          <w:sz w:val="20"/>
          <w:szCs w:val="20"/>
          <w:color w:val="auto"/>
        </w:rPr>
      </w:pPr>
    </w:p>
    <w:p>
      <w:pPr>
        <w:jc w:val="both"/>
        <w:ind w:right="140" w:firstLine="633"/>
        <w:spacing w:after="0" w:line="268" w:lineRule="auto"/>
        <w:rPr>
          <w:sz w:val="20"/>
          <w:szCs w:val="20"/>
          <w:color w:val="auto"/>
        </w:rPr>
      </w:pPr>
      <w:r>
        <w:rPr>
          <w:rFonts w:ascii="Times New Roman" w:cs="Times New Roman" w:eastAsia="Times New Roman" w:hAnsi="Times New Roman"/>
          <w:sz w:val="19"/>
          <w:szCs w:val="19"/>
          <w:color w:val="auto"/>
        </w:rPr>
        <w:t xml:space="preserve">Section 10.22 </w:t>
      </w:r>
      <w:r>
        <w:rPr>
          <w:rFonts w:ascii="Times New Roman" w:cs="Times New Roman" w:eastAsia="Times New Roman" w:hAnsi="Times New Roman"/>
          <w:sz w:val="19"/>
          <w:szCs w:val="19"/>
          <w:u w:val="single" w:color="auto"/>
          <w:color w:val="auto"/>
        </w:rPr>
        <w:t>Acknowledgement and Consent to Bail-In of Affected Financial Institutions</w:t>
      </w:r>
      <w:r>
        <w:rPr>
          <w:rFonts w:ascii="Times New Roman" w:cs="Times New Roman" w:eastAsia="Times New Roman" w:hAnsi="Times New Roman"/>
          <w:sz w:val="19"/>
          <w:szCs w:val="19"/>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58" w:lineRule="exact"/>
        <w:rPr>
          <w:sz w:val="20"/>
          <w:szCs w:val="20"/>
          <w:color w:val="auto"/>
        </w:rPr>
      </w:pPr>
    </w:p>
    <w:p>
      <w:pPr>
        <w:ind w:right="40" w:firstLine="639"/>
        <w:spacing w:after="0" w:line="297" w:lineRule="auto"/>
        <w:tabs>
          <w:tab w:leader="none" w:pos="1041"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application of any Write-Down and Conversion Powers by an the applicable Resolution Authority to any such liabilities arising hereunder which may be payable to it by any party hereto that is an Affected Financial Institution; and</w:t>
      </w:r>
    </w:p>
    <w:p>
      <w:pPr>
        <w:spacing w:after="0" w:line="145" w:lineRule="exact"/>
        <w:rPr>
          <w:rFonts w:ascii="Times New Roman" w:cs="Times New Roman" w:eastAsia="Times New Roman" w:hAnsi="Times New Roman"/>
          <w:sz w:val="19"/>
          <w:szCs w:val="19"/>
          <w:color w:val="auto"/>
        </w:rPr>
      </w:pPr>
    </w:p>
    <w:p>
      <w:pPr>
        <w:ind w:left="1060" w:hanging="421"/>
        <w:spacing w:after="0"/>
        <w:tabs>
          <w:tab w:leader="none" w:pos="1060"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effects of any Bail-In Action on any such liability, including, if applicable:</w:t>
      </w:r>
    </w:p>
    <w:p>
      <w:pPr>
        <w:spacing w:after="0" w:line="216" w:lineRule="exact"/>
        <w:rPr>
          <w:rFonts w:ascii="Times New Roman" w:cs="Times New Roman" w:eastAsia="Times New Roman" w:hAnsi="Times New Roman"/>
          <w:sz w:val="19"/>
          <w:szCs w:val="19"/>
          <w:color w:val="auto"/>
        </w:rPr>
      </w:pPr>
    </w:p>
    <w:p>
      <w:pPr>
        <w:ind w:left="1880" w:hanging="371"/>
        <w:spacing w:after="0"/>
        <w:tabs>
          <w:tab w:leader="none" w:pos="1880"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in full or in part or cancellation of any such liability;</w:t>
      </w:r>
    </w:p>
    <w:p>
      <w:pPr>
        <w:spacing w:after="0" w:line="229" w:lineRule="exact"/>
        <w:rPr>
          <w:rFonts w:ascii="Times New Roman" w:cs="Times New Roman" w:eastAsia="Times New Roman" w:hAnsi="Times New Roman"/>
          <w:sz w:val="19"/>
          <w:szCs w:val="19"/>
          <w:color w:val="auto"/>
        </w:rPr>
      </w:pPr>
    </w:p>
    <w:p>
      <w:pPr>
        <w:ind w:left="620" w:right="660" w:firstLine="889"/>
        <w:spacing w:after="0" w:line="283" w:lineRule="auto"/>
        <w:tabs>
          <w:tab w:leader="none" w:pos="1935"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entity, or a bridge institution that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-104-</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20"/>
          </w:cols>
          <w:pgMar w:left="320" w:top="1383" w:right="359" w:bottom="1440" w:gutter="0" w:footer="0" w:header="0"/>
        </w:sectPr>
      </w:pPr>
    </w:p>
    <w:bookmarkStart w:id="180" w:name="page181"/>
    <w:bookmarkEnd w:id="180"/>
    <w:p>
      <w:pPr>
        <w:ind w:left="620" w:right="160"/>
        <w:spacing w:after="0" w:line="297" w:lineRule="auto"/>
        <w:rPr>
          <w:sz w:val="20"/>
          <w:szCs w:val="20"/>
          <w:color w:val="auto"/>
        </w:rPr>
      </w:pPr>
      <w:r>
        <w:rPr>
          <w:rFonts w:ascii="Times New Roman" w:cs="Times New Roman" w:eastAsia="Times New Roman" w:hAnsi="Times New Roman"/>
          <w:sz w:val="19"/>
          <w:szCs w:val="19"/>
          <w:color w:val="auto"/>
        </w:rPr>
        <w:t>may be issued to it or otherwise conferred on it, and that such shares or other instruments of ownership will be accepted by it in lieu of any rights with respect to any such liability under this Agreement or any other Loan Document; or</w:t>
      </w:r>
    </w:p>
    <w:p>
      <w:pPr>
        <w:spacing w:after="0" w:line="132" w:lineRule="exact"/>
        <w:rPr>
          <w:sz w:val="20"/>
          <w:szCs w:val="20"/>
          <w:color w:val="auto"/>
        </w:rPr>
      </w:pPr>
    </w:p>
    <w:p>
      <w:pPr>
        <w:ind w:left="620" w:right="160" w:firstLine="889"/>
        <w:spacing w:after="0" w:line="297" w:lineRule="auto"/>
        <w:tabs>
          <w:tab w:leader="none" w:pos="1989"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the applicable Resolution Authority.</w:t>
      </w:r>
    </w:p>
    <w:p>
      <w:pPr>
        <w:spacing w:after="0" w:line="132" w:lineRule="exact"/>
        <w:rPr>
          <w:sz w:val="20"/>
          <w:szCs w:val="20"/>
          <w:color w:val="auto"/>
        </w:rPr>
      </w:pPr>
    </w:p>
    <w:p>
      <w:pPr>
        <w:ind w:firstLine="633"/>
        <w:spacing w:after="0" w:line="262" w:lineRule="auto"/>
        <w:rPr>
          <w:sz w:val="20"/>
          <w:szCs w:val="20"/>
          <w:color w:val="auto"/>
        </w:rPr>
      </w:pPr>
      <w:r>
        <w:rPr>
          <w:rFonts w:ascii="Times New Roman" w:cs="Times New Roman" w:eastAsia="Times New Roman" w:hAnsi="Times New Roman"/>
          <w:sz w:val="19"/>
          <w:szCs w:val="19"/>
          <w:color w:val="auto"/>
        </w:rPr>
        <w:t xml:space="preserve">Section 10.23 </w:t>
      </w:r>
      <w:r>
        <w:rPr>
          <w:rFonts w:ascii="Times New Roman" w:cs="Times New Roman" w:eastAsia="Times New Roman" w:hAnsi="Times New Roman"/>
          <w:sz w:val="19"/>
          <w:szCs w:val="19"/>
          <w:u w:val="single" w:color="auto"/>
          <w:color w:val="auto"/>
        </w:rPr>
        <w:t>Acknowledgement Regarding Any Supported QFCs</w:t>
      </w:r>
      <w:r>
        <w:rPr>
          <w:rFonts w:ascii="Times New Roman" w:cs="Times New Roman" w:eastAsia="Times New Roman" w:hAnsi="Times New Roman"/>
          <w:sz w:val="19"/>
          <w:szCs w:val="19"/>
          <w:color w:val="auto"/>
        </w:rPr>
        <w:t>. To the extent that the Loan Documents provide support, through a guarantee or otherwise, for Swap Contracts or any other agreement or instrument that is a QFC (such support “</w:t>
      </w:r>
      <w:r>
        <w:rPr>
          <w:rFonts w:ascii="Times New Roman" w:cs="Times New Roman" w:eastAsia="Times New Roman" w:hAnsi="Times New Roman"/>
          <w:sz w:val="19"/>
          <w:szCs w:val="19"/>
          <w:b w:val="1"/>
          <w:bCs w:val="1"/>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b w:val="1"/>
          <w:bCs w:val="1"/>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b w:val="1"/>
          <w:bCs w:val="1"/>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3" w:lineRule="exact"/>
        <w:rPr>
          <w:sz w:val="20"/>
          <w:szCs w:val="20"/>
          <w:color w:val="auto"/>
        </w:rPr>
      </w:pPr>
    </w:p>
    <w:p>
      <w:pPr>
        <w:ind w:firstLine="633"/>
        <w:spacing w:after="0" w:line="257" w:lineRule="auto"/>
        <w:rPr>
          <w:sz w:val="20"/>
          <w:szCs w:val="20"/>
          <w:color w:val="auto"/>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b w:val="1"/>
          <w:bCs w:val="1"/>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[SIGNATURE PAGES FOLLOW ON NEXT PAGE</w:t>
      </w:r>
      <w:r>
        <w:rPr>
          <w:rFonts w:ascii="Times New Roman" w:cs="Times New Roman" w:eastAsia="Times New Roman" w:hAnsi="Times New Roman"/>
          <w:sz w:val="19"/>
          <w:szCs w:val="19"/>
          <w:u w:val="single" w:color="auto"/>
          <w:color w:val="auto"/>
        </w:rPr>
        <w:t>]</w:t>
      </w:r>
    </w:p>
    <w:p>
      <w:pPr>
        <w:spacing w:after="0" w:line="28" w:lineRule="exact"/>
        <w:rPr>
          <w:sz w:val="20"/>
          <w:szCs w:val="20"/>
          <w:color w:val="auto"/>
        </w:rPr>
      </w:pPr>
    </w:p>
    <w:p>
      <w:pPr>
        <w:ind w:right="520" w:firstLine="633"/>
        <w:spacing w:after="0" w:line="273" w:lineRule="auto"/>
        <w:rPr>
          <w:sz w:val="20"/>
          <w:szCs w:val="20"/>
          <w:color w:val="auto"/>
        </w:rPr>
      </w:pPr>
      <w:r>
        <w:rPr>
          <w:rFonts w:ascii="Times New Roman" w:cs="Times New Roman" w:eastAsia="Times New Roman" w:hAnsi="Times New Roman"/>
          <w:sz w:val="19"/>
          <w:szCs w:val="19"/>
          <w:color w:val="auto"/>
        </w:rPr>
        <w:t>IN WITNESS WHEREOF, the parties hereto have caused this Agreement to be duly executed by their proper and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-105-</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11200"/>
          </w:cols>
          <w:pgMar w:left="320" w:top="1383" w:right="379" w:bottom="1440" w:gutter="0" w:footer="0" w:header="0"/>
        </w:sectPr>
      </w:pPr>
    </w:p>
    <w:bookmarkStart w:id="181" w:name="page182"/>
    <w:bookmarkEnd w:id="181"/>
    <w:p>
      <w:pPr>
        <w:ind w:left="2680"/>
        <w:spacing w:after="0"/>
        <w:rPr>
          <w:sz w:val="20"/>
          <w:szCs w:val="20"/>
          <w:color w:val="auto"/>
        </w:rPr>
      </w:pPr>
      <w:r>
        <w:rPr>
          <w:rFonts w:ascii="Times New Roman" w:cs="Times New Roman" w:eastAsia="Times New Roman" w:hAnsi="Times New Roman"/>
          <w:sz w:val="19"/>
          <w:szCs w:val="19"/>
          <w:b w:val="1"/>
          <w:bCs w:val="1"/>
          <w:color w:val="auto"/>
        </w:rPr>
        <w:t>NMI HOLDINGS, INC.</w:t>
      </w:r>
    </w:p>
    <w:p>
      <w:pPr>
        <w:spacing w:after="0" w:line="200" w:lineRule="exact"/>
        <w:rPr>
          <w:sz w:val="20"/>
          <w:szCs w:val="20"/>
          <w:color w:val="auto"/>
        </w:rPr>
      </w:pPr>
    </w:p>
    <w:p>
      <w:pPr>
        <w:spacing w:after="0" w:line="245" w:lineRule="exact"/>
        <w:rPr>
          <w:sz w:val="20"/>
          <w:szCs w:val="20"/>
          <w:color w:val="auto"/>
        </w:rPr>
      </w:pPr>
    </w:p>
    <w:p>
      <w:pPr>
        <w:ind w:left="2680"/>
        <w:spacing w:after="0"/>
        <w:tabs>
          <w:tab w:leader="none" w:pos="31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Adam Pollitzer</w:t>
      </w:r>
    </w:p>
    <w:p>
      <w:pPr>
        <w:spacing w:after="0" w:line="28" w:lineRule="exact"/>
        <w:rPr>
          <w:sz w:val="20"/>
          <w:szCs w:val="20"/>
          <w:color w:val="auto"/>
        </w:rPr>
      </w:pPr>
    </w:p>
    <w:p>
      <w:pPr>
        <w:ind w:left="2880"/>
        <w:spacing w:after="0"/>
        <w:tabs>
          <w:tab w:leader="none" w:pos="3560" w:val="left"/>
        </w:tabs>
        <w:rPr>
          <w:sz w:val="20"/>
          <w:szCs w:val="20"/>
          <w:color w:val="auto"/>
        </w:rPr>
      </w:pPr>
      <w:r>
        <w:rPr>
          <w:rFonts w:ascii="Times New Roman" w:cs="Times New Roman" w:eastAsia="Times New Roman" w:hAnsi="Times New Roman"/>
          <w:sz w:val="19"/>
          <w:szCs w:val="19"/>
          <w:color w:val="auto"/>
        </w:rPr>
        <w:t>Name:</w:t>
        <w:tab/>
        <w:t>Adam Pollitzer</w:t>
      </w:r>
    </w:p>
    <w:p>
      <w:pPr>
        <w:spacing w:after="0" w:line="12" w:lineRule="exact"/>
        <w:rPr>
          <w:sz w:val="20"/>
          <w:szCs w:val="20"/>
          <w:color w:val="auto"/>
        </w:rPr>
      </w:pPr>
    </w:p>
    <w:p>
      <w:pPr>
        <w:ind w:left="2880"/>
        <w:spacing w:after="0"/>
        <w:tabs>
          <w:tab w:leader="none" w:pos="3400" w:val="left"/>
        </w:tabs>
        <w:rPr>
          <w:sz w:val="20"/>
          <w:szCs w:val="20"/>
          <w:color w:val="auto"/>
        </w:rPr>
      </w:pPr>
      <w:r>
        <w:rPr>
          <w:rFonts w:ascii="Times New Roman" w:cs="Times New Roman" w:eastAsia="Times New Roman" w:hAnsi="Times New Roman"/>
          <w:sz w:val="19"/>
          <w:szCs w:val="19"/>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-106-</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9019"/>
          </w:cols>
          <w:pgMar w:left="1440" w:top="1379" w:right="1440" w:bottom="1440" w:gutter="0" w:footer="0" w:header="0"/>
        </w:sectPr>
      </w:pPr>
    </w:p>
    <w:bookmarkStart w:id="182" w:name="page183"/>
    <w:bookmarkEnd w:id="182"/>
    <w:p>
      <w:pPr>
        <w:ind w:left="2680"/>
        <w:spacing w:after="0"/>
        <w:rPr>
          <w:sz w:val="20"/>
          <w:szCs w:val="20"/>
          <w:color w:val="auto"/>
        </w:rPr>
      </w:pPr>
      <w:r>
        <w:rPr>
          <w:rFonts w:ascii="Times New Roman" w:cs="Times New Roman" w:eastAsia="Times New Roman" w:hAnsi="Times New Roman"/>
          <w:sz w:val="19"/>
          <w:szCs w:val="19"/>
          <w:b w:val="1"/>
          <w:bCs w:val="1"/>
          <w:color w:val="auto"/>
        </w:rPr>
        <w:t>ROYAL BANK OF CANADA</w:t>
      </w:r>
      <w:r>
        <w:rPr>
          <w:rFonts w:ascii="Times New Roman" w:cs="Times New Roman" w:eastAsia="Times New Roman" w:hAnsi="Times New Roman"/>
          <w:sz w:val="19"/>
          <w:szCs w:val="19"/>
          <w:color w:val="auto"/>
        </w:rPr>
        <w:t>,</w:t>
      </w:r>
    </w:p>
    <w:p>
      <w:pPr>
        <w:spacing w:after="0" w:line="3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as Agent</w:t>
      </w:r>
    </w:p>
    <w:p>
      <w:pPr>
        <w:spacing w:after="0" w:line="200" w:lineRule="exact"/>
        <w:rPr>
          <w:sz w:val="20"/>
          <w:szCs w:val="20"/>
          <w:color w:val="auto"/>
        </w:rPr>
      </w:pPr>
    </w:p>
    <w:p>
      <w:pPr>
        <w:spacing w:after="0" w:line="213" w:lineRule="exact"/>
        <w:rPr>
          <w:sz w:val="20"/>
          <w:szCs w:val="20"/>
          <w:color w:val="auto"/>
        </w:rPr>
      </w:pPr>
    </w:p>
    <w:p>
      <w:pPr>
        <w:ind w:left="2680"/>
        <w:spacing w:after="0"/>
        <w:tabs>
          <w:tab w:leader="none" w:pos="31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Susan Khokher</w:t>
      </w:r>
    </w:p>
    <w:p>
      <w:pPr>
        <w:spacing w:after="0" w:line="34" w:lineRule="exact"/>
        <w:rPr>
          <w:sz w:val="20"/>
          <w:szCs w:val="20"/>
          <w:color w:val="auto"/>
        </w:rPr>
      </w:pPr>
    </w:p>
    <w:p>
      <w:pPr>
        <w:ind w:left="2880"/>
        <w:spacing w:after="0"/>
        <w:tabs>
          <w:tab w:leader="none" w:pos="3560" w:val="left"/>
        </w:tabs>
        <w:rPr>
          <w:sz w:val="20"/>
          <w:szCs w:val="20"/>
          <w:color w:val="auto"/>
        </w:rPr>
      </w:pPr>
      <w:r>
        <w:rPr>
          <w:rFonts w:ascii="Times New Roman" w:cs="Times New Roman" w:eastAsia="Times New Roman" w:hAnsi="Times New Roman"/>
          <w:sz w:val="19"/>
          <w:szCs w:val="19"/>
          <w:color w:val="auto"/>
        </w:rPr>
        <w:t>Name:</w:t>
        <w:tab/>
        <w:t>Susan Khokher</w:t>
      </w:r>
    </w:p>
    <w:p>
      <w:pPr>
        <w:spacing w:after="0" w:line="13" w:lineRule="exact"/>
        <w:rPr>
          <w:sz w:val="20"/>
          <w:szCs w:val="20"/>
          <w:color w:val="auto"/>
        </w:rPr>
      </w:pPr>
    </w:p>
    <w:p>
      <w:pPr>
        <w:ind w:left="2880"/>
        <w:spacing w:after="0"/>
        <w:tabs>
          <w:tab w:leader="none" w:pos="3460" w:val="left"/>
        </w:tabs>
        <w:rPr>
          <w:sz w:val="20"/>
          <w:szCs w:val="20"/>
          <w:color w:val="auto"/>
        </w:rPr>
      </w:pPr>
      <w:r>
        <w:rPr>
          <w:rFonts w:ascii="Times New Roman" w:cs="Times New Roman" w:eastAsia="Times New Roman" w:hAnsi="Times New Roman"/>
          <w:sz w:val="19"/>
          <w:szCs w:val="19"/>
          <w:color w:val="auto"/>
        </w:rPr>
        <w:t>Title:</w:t>
        <w:tab/>
        <w:t>Manager, Agency</w:t>
      </w:r>
    </w:p>
    <w:p>
      <w:pPr>
        <w:sectPr>
          <w:pgSz w:w="11900" w:h="16838" w:orient="portrait"/>
          <w:cols w:equalWidth="0" w:num="1">
            <w:col w:w="9019"/>
          </w:cols>
          <w:pgMar w:left="1440" w:top="13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Credit Agreement]</w:t>
      </w:r>
    </w:p>
    <w:p>
      <w:pPr>
        <w:sectPr>
          <w:pgSz w:w="11900" w:h="16838" w:orient="portrait"/>
          <w:cols w:equalWidth="0" w:num="1">
            <w:col w:w="9019"/>
          </w:cols>
          <w:pgMar w:left="1440" w:top="1379" w:right="1440" w:bottom="1440" w:gutter="0" w:footer="0" w:header="0"/>
          <w:type w:val="continuous"/>
        </w:sectPr>
      </w:pPr>
    </w:p>
    <w:bookmarkStart w:id="183" w:name="page184"/>
    <w:bookmarkEnd w:id="183"/>
    <w:p>
      <w:pPr>
        <w:ind w:left="2680"/>
        <w:spacing w:after="0"/>
        <w:rPr>
          <w:sz w:val="20"/>
          <w:szCs w:val="20"/>
          <w:color w:val="auto"/>
        </w:rPr>
      </w:pPr>
      <w:r>
        <w:rPr>
          <w:rFonts w:ascii="Times New Roman" w:cs="Times New Roman" w:eastAsia="Times New Roman" w:hAnsi="Times New Roman"/>
          <w:sz w:val="19"/>
          <w:szCs w:val="19"/>
          <w:b w:val="1"/>
          <w:bCs w:val="1"/>
          <w:color w:val="auto"/>
        </w:rPr>
        <w:t>ROYAL BANK OF CANADA</w:t>
      </w:r>
      <w:r>
        <w:rPr>
          <w:rFonts w:ascii="Times New Roman" w:cs="Times New Roman" w:eastAsia="Times New Roman" w:hAnsi="Times New Roman"/>
          <w:sz w:val="19"/>
          <w:szCs w:val="19"/>
          <w:color w:val="auto"/>
        </w:rPr>
        <w:t>,</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as Lender</w:t>
      </w:r>
    </w:p>
    <w:p>
      <w:pPr>
        <w:spacing w:after="0" w:line="379" w:lineRule="exact"/>
        <w:rPr>
          <w:sz w:val="20"/>
          <w:szCs w:val="20"/>
          <w:color w:val="auto"/>
        </w:rPr>
      </w:pPr>
    </w:p>
    <w:p>
      <w:pPr>
        <w:ind w:left="2680"/>
        <w:spacing w:after="0"/>
        <w:tabs>
          <w:tab w:leader="none" w:pos="31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Kevin Bemben</w:t>
      </w:r>
    </w:p>
    <w:p>
      <w:pPr>
        <w:spacing w:after="0" w:line="34" w:lineRule="exact"/>
        <w:rPr>
          <w:sz w:val="20"/>
          <w:szCs w:val="20"/>
          <w:color w:val="auto"/>
        </w:rPr>
      </w:pPr>
    </w:p>
    <w:p>
      <w:pPr>
        <w:ind w:left="2880"/>
        <w:spacing w:after="0"/>
        <w:tabs>
          <w:tab w:leader="none" w:pos="3560" w:val="left"/>
        </w:tabs>
        <w:rPr>
          <w:sz w:val="20"/>
          <w:szCs w:val="20"/>
          <w:color w:val="auto"/>
        </w:rPr>
      </w:pPr>
      <w:r>
        <w:rPr>
          <w:rFonts w:ascii="Times New Roman" w:cs="Times New Roman" w:eastAsia="Times New Roman" w:hAnsi="Times New Roman"/>
          <w:sz w:val="19"/>
          <w:szCs w:val="19"/>
          <w:color w:val="auto"/>
        </w:rPr>
        <w:t>Name:</w:t>
        <w:tab/>
        <w:t>Kevin Bemben</w:t>
      </w:r>
    </w:p>
    <w:p>
      <w:pPr>
        <w:spacing w:after="0" w:line="19" w:lineRule="exact"/>
        <w:rPr>
          <w:sz w:val="20"/>
          <w:szCs w:val="20"/>
          <w:color w:val="auto"/>
        </w:rPr>
      </w:pPr>
    </w:p>
    <w:p>
      <w:pPr>
        <w:ind w:left="2880"/>
        <w:spacing w:after="0"/>
        <w:tabs>
          <w:tab w:leader="none" w:pos="3440" w:val="left"/>
        </w:tabs>
        <w:rPr>
          <w:sz w:val="20"/>
          <w:szCs w:val="20"/>
          <w:color w:val="auto"/>
        </w:rPr>
      </w:pPr>
      <w:r>
        <w:rPr>
          <w:rFonts w:ascii="Times New Roman" w:cs="Times New Roman" w:eastAsia="Times New Roman" w:hAnsi="Times New Roman"/>
          <w:sz w:val="19"/>
          <w:szCs w:val="19"/>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9019"/>
          </w:cols>
          <w:pgMar w:left="1440" w:top="1366" w:right="1440" w:bottom="1440"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US-DOCS\149531982.18</w:t>
      </w:r>
    </w:p>
    <w:p>
      <w:pPr>
        <w:sectPr>
          <w:pgSz w:w="11900" w:h="16838" w:orient="portrait"/>
          <w:cols w:equalWidth="0" w:num="1">
            <w:col w:w="9019"/>
          </w:cols>
          <w:pgMar w:left="1440" w:top="1366" w:right="1440" w:bottom="1440" w:gutter="0" w:footer="0" w:header="0"/>
          <w:type w:val="continuous"/>
        </w:sectPr>
      </w:pPr>
    </w:p>
    <w:bookmarkStart w:id="184" w:name="page185"/>
    <w:bookmarkEnd w:id="184"/>
    <w:p>
      <w:pPr>
        <w:ind w:left="2680"/>
        <w:spacing w:after="0"/>
        <w:rPr>
          <w:sz w:val="20"/>
          <w:szCs w:val="20"/>
          <w:color w:val="auto"/>
        </w:rPr>
      </w:pPr>
      <w:r>
        <w:rPr>
          <w:rFonts w:ascii="Times New Roman" w:cs="Times New Roman" w:eastAsia="Times New Roman" w:hAnsi="Times New Roman"/>
          <w:sz w:val="19"/>
          <w:szCs w:val="19"/>
          <w:b w:val="1"/>
          <w:bCs w:val="1"/>
          <w:color w:val="auto"/>
        </w:rPr>
        <w:t>BANK OF MONTREAL</w:t>
      </w:r>
      <w:r>
        <w:rPr>
          <w:rFonts w:ascii="Times New Roman" w:cs="Times New Roman" w:eastAsia="Times New Roman" w:hAnsi="Times New Roman"/>
          <w:sz w:val="19"/>
          <w:szCs w:val="19"/>
          <w:color w:val="auto"/>
        </w:rPr>
        <w:t>,</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as Revolving Lender</w:t>
      </w:r>
    </w:p>
    <w:p>
      <w:pPr>
        <w:spacing w:after="0" w:line="379" w:lineRule="exact"/>
        <w:rPr>
          <w:sz w:val="20"/>
          <w:szCs w:val="20"/>
          <w:color w:val="auto"/>
        </w:rPr>
      </w:pPr>
    </w:p>
    <w:p>
      <w:pPr>
        <w:ind w:left="2680"/>
        <w:spacing w:after="0"/>
        <w:tabs>
          <w:tab w:leader="none" w:pos="31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Collin Wagner</w:t>
      </w:r>
    </w:p>
    <w:p>
      <w:pPr>
        <w:spacing w:after="0" w:line="34" w:lineRule="exact"/>
        <w:rPr>
          <w:sz w:val="20"/>
          <w:szCs w:val="20"/>
          <w:color w:val="auto"/>
        </w:rPr>
      </w:pPr>
    </w:p>
    <w:p>
      <w:pPr>
        <w:ind w:left="2880"/>
        <w:spacing w:after="0"/>
        <w:tabs>
          <w:tab w:leader="none" w:pos="3560" w:val="left"/>
        </w:tabs>
        <w:rPr>
          <w:sz w:val="20"/>
          <w:szCs w:val="20"/>
          <w:color w:val="auto"/>
        </w:rPr>
      </w:pPr>
      <w:r>
        <w:rPr>
          <w:rFonts w:ascii="Times New Roman" w:cs="Times New Roman" w:eastAsia="Times New Roman" w:hAnsi="Times New Roman"/>
          <w:sz w:val="19"/>
          <w:szCs w:val="19"/>
          <w:color w:val="auto"/>
        </w:rPr>
        <w:t>Name:</w:t>
        <w:tab/>
        <w:t>Collin Wagner</w:t>
      </w:r>
    </w:p>
    <w:p>
      <w:pPr>
        <w:spacing w:after="0" w:line="19" w:lineRule="exact"/>
        <w:rPr>
          <w:sz w:val="20"/>
          <w:szCs w:val="20"/>
          <w:color w:val="auto"/>
        </w:rPr>
      </w:pPr>
    </w:p>
    <w:p>
      <w:pPr>
        <w:ind w:left="2880"/>
        <w:spacing w:after="0"/>
        <w:tabs>
          <w:tab w:leader="none" w:pos="3460" w:val="left"/>
        </w:tabs>
        <w:rPr>
          <w:sz w:val="20"/>
          <w:szCs w:val="20"/>
          <w:color w:val="auto"/>
        </w:rPr>
      </w:pPr>
      <w:r>
        <w:rPr>
          <w:rFonts w:ascii="Times New Roman" w:cs="Times New Roman" w:eastAsia="Times New Roman" w:hAnsi="Times New Roman"/>
          <w:sz w:val="19"/>
          <w:szCs w:val="19"/>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US-DOCS\149531982.18</w:t>
      </w:r>
    </w:p>
    <w:p>
      <w:pPr>
        <w:sectPr>
          <w:pgSz w:w="11900" w:h="16838" w:orient="portrait"/>
          <w:cols w:equalWidth="0" w:num="1">
            <w:col w:w="9019"/>
          </w:cols>
          <w:pgMar w:left="1440" w:top="1366" w:right="1440" w:bottom="1440" w:gutter="0" w:footer="0" w:header="0"/>
        </w:sectPr>
      </w:pPr>
    </w:p>
    <w:bookmarkStart w:id="185" w:name="page186"/>
    <w:bookmarkEnd w:id="185"/>
    <w:p>
      <w:pPr>
        <w:ind w:left="2680"/>
        <w:spacing w:after="0"/>
        <w:rPr>
          <w:sz w:val="20"/>
          <w:szCs w:val="20"/>
          <w:color w:val="auto"/>
        </w:rPr>
      </w:pPr>
      <w:r>
        <w:rPr>
          <w:rFonts w:ascii="Times New Roman" w:cs="Times New Roman" w:eastAsia="Times New Roman" w:hAnsi="Times New Roman"/>
          <w:sz w:val="19"/>
          <w:szCs w:val="19"/>
          <w:b w:val="1"/>
          <w:bCs w:val="1"/>
          <w:color w:val="auto"/>
        </w:rPr>
        <w:t>Citibank, N.A.</w:t>
      </w:r>
      <w:r>
        <w:rPr>
          <w:rFonts w:ascii="Times New Roman" w:cs="Times New Roman" w:eastAsia="Times New Roman" w:hAnsi="Times New Roman"/>
          <w:sz w:val="19"/>
          <w:szCs w:val="19"/>
          <w:color w:val="auto"/>
        </w:rPr>
        <w:t>,</w:t>
      </w:r>
    </w:p>
    <w:p>
      <w:pPr>
        <w:spacing w:after="0" w:line="3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as Revolving Lender</w:t>
      </w:r>
    </w:p>
    <w:p>
      <w:pPr>
        <w:spacing w:after="0" w:line="200" w:lineRule="exact"/>
        <w:rPr>
          <w:sz w:val="20"/>
          <w:szCs w:val="20"/>
          <w:color w:val="auto"/>
        </w:rPr>
      </w:pPr>
    </w:p>
    <w:p>
      <w:pPr>
        <w:spacing w:after="0" w:line="213" w:lineRule="exact"/>
        <w:rPr>
          <w:sz w:val="20"/>
          <w:szCs w:val="20"/>
          <w:color w:val="auto"/>
        </w:rPr>
      </w:pPr>
    </w:p>
    <w:p>
      <w:pPr>
        <w:ind w:left="2680"/>
        <w:spacing w:after="0"/>
        <w:tabs>
          <w:tab w:leader="none" w:pos="31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Robert Chesley</w:t>
      </w:r>
    </w:p>
    <w:p>
      <w:pPr>
        <w:spacing w:after="0" w:line="34" w:lineRule="exact"/>
        <w:rPr>
          <w:sz w:val="20"/>
          <w:szCs w:val="20"/>
          <w:color w:val="auto"/>
        </w:rPr>
      </w:pPr>
    </w:p>
    <w:p>
      <w:pPr>
        <w:ind w:left="2880"/>
        <w:spacing w:after="0"/>
        <w:tabs>
          <w:tab w:leader="none" w:pos="3560" w:val="left"/>
        </w:tabs>
        <w:rPr>
          <w:sz w:val="20"/>
          <w:szCs w:val="20"/>
          <w:color w:val="auto"/>
        </w:rPr>
      </w:pPr>
      <w:r>
        <w:rPr>
          <w:rFonts w:ascii="Times New Roman" w:cs="Times New Roman" w:eastAsia="Times New Roman" w:hAnsi="Times New Roman"/>
          <w:sz w:val="19"/>
          <w:szCs w:val="19"/>
          <w:color w:val="auto"/>
        </w:rPr>
        <w:t>Name:</w:t>
        <w:tab/>
        <w:t>Robert Chesley</w:t>
      </w:r>
    </w:p>
    <w:p>
      <w:pPr>
        <w:spacing w:after="0" w:line="13" w:lineRule="exact"/>
        <w:rPr>
          <w:sz w:val="20"/>
          <w:szCs w:val="20"/>
          <w:color w:val="auto"/>
        </w:rPr>
      </w:pPr>
    </w:p>
    <w:p>
      <w:pPr>
        <w:ind w:left="2880"/>
        <w:spacing w:after="0"/>
        <w:tabs>
          <w:tab w:leader="none" w:pos="3460" w:val="left"/>
        </w:tabs>
        <w:rPr>
          <w:sz w:val="20"/>
          <w:szCs w:val="20"/>
          <w:color w:val="auto"/>
        </w:rPr>
      </w:pPr>
      <w:r>
        <w:rPr>
          <w:rFonts w:ascii="Times New Roman" w:cs="Times New Roman" w:eastAsia="Times New Roman" w:hAnsi="Times New Roman"/>
          <w:sz w:val="19"/>
          <w:szCs w:val="19"/>
          <w:color w:val="auto"/>
        </w:rPr>
        <w:t>Title:</w:t>
        <w:tab/>
        <w:t>Vice President and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9019"/>
          </w:cols>
          <w:pgMar w:left="1440" w:top="1379" w:right="1440" w:bottom="1440" w:gutter="0" w:footer="0" w:header="0"/>
        </w:sectPr>
      </w:pPr>
    </w:p>
    <w:bookmarkStart w:id="186" w:name="page187"/>
    <w:bookmarkEnd w:id="186"/>
    <w:p>
      <w:pPr>
        <w:ind w:left="2680"/>
        <w:spacing w:after="0"/>
        <w:rPr>
          <w:sz w:val="20"/>
          <w:szCs w:val="20"/>
          <w:color w:val="auto"/>
        </w:rPr>
      </w:pPr>
      <w:r>
        <w:rPr>
          <w:rFonts w:ascii="Times New Roman" w:cs="Times New Roman" w:eastAsia="Times New Roman" w:hAnsi="Times New Roman"/>
          <w:sz w:val="19"/>
          <w:szCs w:val="19"/>
          <w:b w:val="1"/>
          <w:bCs w:val="1"/>
          <w:color w:val="auto"/>
        </w:rPr>
        <w:t>Truist Bank</w:t>
      </w:r>
      <w:r>
        <w:rPr>
          <w:rFonts w:ascii="Times New Roman" w:cs="Times New Roman" w:eastAsia="Times New Roman" w:hAnsi="Times New Roman"/>
          <w:sz w:val="19"/>
          <w:szCs w:val="19"/>
          <w:color w:val="auto"/>
        </w:rPr>
        <w:t>,</w:t>
      </w:r>
    </w:p>
    <w:p>
      <w:pPr>
        <w:spacing w:after="0" w:line="3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as Revolving Lender</w:t>
      </w:r>
    </w:p>
    <w:p>
      <w:pPr>
        <w:spacing w:after="0" w:line="200" w:lineRule="exact"/>
        <w:rPr>
          <w:sz w:val="20"/>
          <w:szCs w:val="20"/>
          <w:color w:val="auto"/>
        </w:rPr>
      </w:pPr>
    </w:p>
    <w:p>
      <w:pPr>
        <w:spacing w:after="0" w:line="213" w:lineRule="exact"/>
        <w:rPr>
          <w:sz w:val="20"/>
          <w:szCs w:val="20"/>
          <w:color w:val="auto"/>
        </w:rPr>
      </w:pPr>
    </w:p>
    <w:p>
      <w:pPr>
        <w:ind w:left="2680"/>
        <w:spacing w:after="0"/>
        <w:tabs>
          <w:tab w:leader="none" w:pos="31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Michael J. Landry</w:t>
      </w:r>
    </w:p>
    <w:p>
      <w:pPr>
        <w:spacing w:after="0" w:line="34" w:lineRule="exact"/>
        <w:rPr>
          <w:sz w:val="20"/>
          <w:szCs w:val="20"/>
          <w:color w:val="auto"/>
        </w:rPr>
      </w:pPr>
    </w:p>
    <w:p>
      <w:pPr>
        <w:ind w:left="2880"/>
        <w:spacing w:after="0"/>
        <w:tabs>
          <w:tab w:leader="none" w:pos="3560" w:val="left"/>
        </w:tabs>
        <w:rPr>
          <w:sz w:val="20"/>
          <w:szCs w:val="20"/>
          <w:color w:val="auto"/>
        </w:rPr>
      </w:pPr>
      <w:r>
        <w:rPr>
          <w:rFonts w:ascii="Times New Roman" w:cs="Times New Roman" w:eastAsia="Times New Roman" w:hAnsi="Times New Roman"/>
          <w:sz w:val="19"/>
          <w:szCs w:val="19"/>
          <w:color w:val="auto"/>
        </w:rPr>
        <w:t>Name:</w:t>
        <w:tab/>
        <w:t>Michael J. Landry</w:t>
      </w:r>
    </w:p>
    <w:p>
      <w:pPr>
        <w:spacing w:after="0" w:line="13" w:lineRule="exact"/>
        <w:rPr>
          <w:sz w:val="20"/>
          <w:szCs w:val="20"/>
          <w:color w:val="auto"/>
        </w:rPr>
      </w:pPr>
    </w:p>
    <w:p>
      <w:pPr>
        <w:ind w:left="2880"/>
        <w:spacing w:after="0"/>
        <w:tabs>
          <w:tab w:leader="none" w:pos="3460" w:val="left"/>
        </w:tabs>
        <w:rPr>
          <w:sz w:val="20"/>
          <w:szCs w:val="20"/>
          <w:color w:val="auto"/>
        </w:rPr>
      </w:pPr>
      <w:r>
        <w:rPr>
          <w:rFonts w:ascii="Times New Roman" w:cs="Times New Roman" w:eastAsia="Times New Roman" w:hAnsi="Times New Roman"/>
          <w:sz w:val="19"/>
          <w:szCs w:val="19"/>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US-DOCS\149531982.18</w:t>
      </w:r>
    </w:p>
    <w:p>
      <w:pPr>
        <w:sectPr>
          <w:pgSz w:w="11900" w:h="16838" w:orient="portrait"/>
          <w:cols w:equalWidth="0" w:num="1">
            <w:col w:w="9019"/>
          </w:cols>
          <w:pgMar w:left="1440" w:top="1379" w:right="1440" w:bottom="1440" w:gutter="0" w:footer="0" w:header="0"/>
        </w:sectPr>
      </w:pPr>
    </w:p>
    <w:bookmarkStart w:id="187" w:name="page188"/>
    <w:bookmarkEnd w:id="187"/>
    <w:p>
      <w:pPr>
        <w:ind w:left="2680"/>
        <w:spacing w:after="0"/>
        <w:rPr>
          <w:sz w:val="20"/>
          <w:szCs w:val="20"/>
          <w:color w:val="auto"/>
        </w:rPr>
      </w:pPr>
      <w:r>
        <w:rPr>
          <w:rFonts w:ascii="Times New Roman" w:cs="Times New Roman" w:eastAsia="Times New Roman" w:hAnsi="Times New Roman"/>
          <w:sz w:val="19"/>
          <w:szCs w:val="19"/>
          <w:b w:val="1"/>
          <w:bCs w:val="1"/>
          <w:color w:val="auto"/>
        </w:rPr>
        <w:t>GOLDMAN SACHS BANK USA</w:t>
      </w:r>
      <w:r>
        <w:rPr>
          <w:rFonts w:ascii="Times New Roman" w:cs="Times New Roman" w:eastAsia="Times New Roman" w:hAnsi="Times New Roman"/>
          <w:sz w:val="19"/>
          <w:szCs w:val="19"/>
          <w:color w:val="auto"/>
        </w:rPr>
        <w:t>,</w:t>
      </w:r>
    </w:p>
    <w:p>
      <w:pPr>
        <w:spacing w:after="0" w:line="3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as Revolving Lender</w:t>
      </w:r>
    </w:p>
    <w:p>
      <w:pPr>
        <w:spacing w:after="0" w:line="200" w:lineRule="exact"/>
        <w:rPr>
          <w:sz w:val="20"/>
          <w:szCs w:val="20"/>
          <w:color w:val="auto"/>
        </w:rPr>
      </w:pPr>
    </w:p>
    <w:p>
      <w:pPr>
        <w:spacing w:after="0" w:line="213" w:lineRule="exact"/>
        <w:rPr>
          <w:sz w:val="20"/>
          <w:szCs w:val="20"/>
          <w:color w:val="auto"/>
        </w:rPr>
      </w:pPr>
    </w:p>
    <w:p>
      <w:pPr>
        <w:ind w:left="2680"/>
        <w:spacing w:after="0"/>
        <w:tabs>
          <w:tab w:leader="none" w:pos="31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Andrew Vernon</w:t>
      </w:r>
    </w:p>
    <w:p>
      <w:pPr>
        <w:spacing w:after="0" w:line="34" w:lineRule="exact"/>
        <w:rPr>
          <w:sz w:val="20"/>
          <w:szCs w:val="20"/>
          <w:color w:val="auto"/>
        </w:rPr>
      </w:pPr>
    </w:p>
    <w:p>
      <w:pPr>
        <w:ind w:left="2880"/>
        <w:spacing w:after="0"/>
        <w:tabs>
          <w:tab w:leader="none" w:pos="356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Andrew Vernon</w:t>
      </w:r>
    </w:p>
    <w:p>
      <w:pPr>
        <w:spacing w:after="0" w:line="13" w:lineRule="exact"/>
        <w:rPr>
          <w:sz w:val="20"/>
          <w:szCs w:val="20"/>
          <w:color w:val="auto"/>
        </w:rPr>
      </w:pPr>
    </w:p>
    <w:p>
      <w:pPr>
        <w:ind w:left="2880"/>
        <w:spacing w:after="0"/>
        <w:tabs>
          <w:tab w:leader="none" w:pos="3440" w:val="left"/>
        </w:tabs>
        <w:rPr>
          <w:sz w:val="20"/>
          <w:szCs w:val="20"/>
          <w:color w:val="auto"/>
        </w:rPr>
      </w:pPr>
      <w:r>
        <w:rPr>
          <w:rFonts w:ascii="Times New Roman" w:cs="Times New Roman" w:eastAsia="Times New Roman" w:hAnsi="Times New Roman"/>
          <w:sz w:val="19"/>
          <w:szCs w:val="19"/>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9019"/>
          </w:cols>
          <w:pgMar w:left="1440" w:top="1379" w:right="1440" w:bottom="1440" w:gutter="0" w:footer="0" w:header="0"/>
        </w:sectPr>
      </w:pPr>
    </w:p>
    <w:bookmarkStart w:id="188" w:name="page189"/>
    <w:bookmarkEnd w:id="188"/>
    <w:p>
      <w:pPr>
        <w:ind w:left="2680"/>
        <w:spacing w:after="0"/>
        <w:rPr>
          <w:sz w:val="20"/>
          <w:szCs w:val="20"/>
          <w:color w:val="auto"/>
        </w:rPr>
      </w:pPr>
      <w:r>
        <w:rPr>
          <w:rFonts w:ascii="Times New Roman" w:cs="Times New Roman" w:eastAsia="Times New Roman" w:hAnsi="Times New Roman"/>
          <w:sz w:val="19"/>
          <w:szCs w:val="19"/>
          <w:b w:val="1"/>
          <w:bCs w:val="1"/>
          <w:color w:val="auto"/>
        </w:rPr>
        <w:t>The Huntington National Bank</w:t>
      </w:r>
      <w:r>
        <w:rPr>
          <w:rFonts w:ascii="Times New Roman" w:cs="Times New Roman" w:eastAsia="Times New Roman" w:hAnsi="Times New Roman"/>
          <w:sz w:val="19"/>
          <w:szCs w:val="19"/>
          <w:color w:val="auto"/>
        </w:rPr>
        <w:t>,</w:t>
      </w:r>
    </w:p>
    <w:p>
      <w:pPr>
        <w:spacing w:after="0" w:line="3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as Revolving Lender</w:t>
      </w:r>
    </w:p>
    <w:p>
      <w:pPr>
        <w:spacing w:after="0" w:line="200" w:lineRule="exact"/>
        <w:rPr>
          <w:sz w:val="20"/>
          <w:szCs w:val="20"/>
          <w:color w:val="auto"/>
        </w:rPr>
      </w:pPr>
    </w:p>
    <w:p>
      <w:pPr>
        <w:spacing w:after="0" w:line="213" w:lineRule="exact"/>
        <w:rPr>
          <w:sz w:val="20"/>
          <w:szCs w:val="20"/>
          <w:color w:val="auto"/>
        </w:rPr>
      </w:pPr>
    </w:p>
    <w:p>
      <w:pPr>
        <w:ind w:left="2680"/>
        <w:spacing w:after="0"/>
        <w:tabs>
          <w:tab w:leader="none" w:pos="31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Ryan Benefiel</w:t>
      </w:r>
    </w:p>
    <w:p>
      <w:pPr>
        <w:spacing w:after="0" w:line="34" w:lineRule="exact"/>
        <w:rPr>
          <w:sz w:val="20"/>
          <w:szCs w:val="20"/>
          <w:color w:val="auto"/>
        </w:rPr>
      </w:pPr>
    </w:p>
    <w:p>
      <w:pPr>
        <w:ind w:left="2880"/>
        <w:spacing w:after="0"/>
        <w:tabs>
          <w:tab w:leader="none" w:pos="3560" w:val="left"/>
        </w:tabs>
        <w:rPr>
          <w:sz w:val="20"/>
          <w:szCs w:val="20"/>
          <w:color w:val="auto"/>
        </w:rPr>
      </w:pPr>
      <w:r>
        <w:rPr>
          <w:rFonts w:ascii="Times New Roman" w:cs="Times New Roman" w:eastAsia="Times New Roman" w:hAnsi="Times New Roman"/>
          <w:sz w:val="19"/>
          <w:szCs w:val="19"/>
          <w:color w:val="auto"/>
        </w:rPr>
        <w:t>Name:</w:t>
        <w:tab/>
        <w:t>Ryan Benefiel</w:t>
      </w:r>
    </w:p>
    <w:p>
      <w:pPr>
        <w:spacing w:after="0" w:line="13" w:lineRule="exact"/>
        <w:rPr>
          <w:sz w:val="20"/>
          <w:szCs w:val="20"/>
          <w:color w:val="auto"/>
        </w:rPr>
      </w:pPr>
    </w:p>
    <w:p>
      <w:pPr>
        <w:ind w:left="2880"/>
        <w:spacing w:after="0"/>
        <w:tabs>
          <w:tab w:leader="none" w:pos="3460" w:val="left"/>
        </w:tabs>
        <w:rPr>
          <w:sz w:val="20"/>
          <w:szCs w:val="20"/>
          <w:color w:val="auto"/>
        </w:rPr>
      </w:pPr>
      <w:r>
        <w:rPr>
          <w:rFonts w:ascii="Times New Roman" w:cs="Times New Roman" w:eastAsia="Times New Roman" w:hAnsi="Times New Roman"/>
          <w:sz w:val="19"/>
          <w:szCs w:val="19"/>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9019"/>
          </w:cols>
          <w:pgMar w:left="1440" w:top="1379" w:right="1440" w:bottom="1440" w:gutter="0" w:footer="0" w:header="0"/>
        </w:sectPr>
      </w:pPr>
    </w:p>
    <w:bookmarkStart w:id="189" w:name="page190"/>
    <w:bookmarkEnd w:id="189"/>
    <w:p>
      <w:pPr>
        <w:ind w:left="2680"/>
        <w:spacing w:after="0"/>
        <w:rPr>
          <w:sz w:val="20"/>
          <w:szCs w:val="20"/>
          <w:color w:val="auto"/>
        </w:rPr>
      </w:pPr>
      <w:r>
        <w:rPr>
          <w:rFonts w:ascii="Times New Roman" w:cs="Times New Roman" w:eastAsia="Times New Roman" w:hAnsi="Times New Roman"/>
          <w:sz w:val="19"/>
          <w:szCs w:val="19"/>
          <w:b w:val="1"/>
          <w:bCs w:val="1"/>
          <w:color w:val="auto"/>
        </w:rPr>
        <w:t>U.S. BANK NATIONAL ASSOCIATION</w:t>
      </w:r>
      <w:r>
        <w:rPr>
          <w:rFonts w:ascii="Times New Roman" w:cs="Times New Roman" w:eastAsia="Times New Roman" w:hAnsi="Times New Roman"/>
          <w:sz w:val="19"/>
          <w:szCs w:val="19"/>
          <w:color w:val="auto"/>
        </w:rPr>
        <w:t>,</w:t>
      </w:r>
    </w:p>
    <w:p>
      <w:pPr>
        <w:spacing w:after="0" w:line="3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as Revolving Lender</w:t>
      </w:r>
    </w:p>
    <w:p>
      <w:pPr>
        <w:spacing w:after="0" w:line="200" w:lineRule="exact"/>
        <w:rPr>
          <w:sz w:val="20"/>
          <w:szCs w:val="20"/>
          <w:color w:val="auto"/>
        </w:rPr>
      </w:pPr>
    </w:p>
    <w:p>
      <w:pPr>
        <w:spacing w:after="0" w:line="213" w:lineRule="exact"/>
        <w:rPr>
          <w:sz w:val="20"/>
          <w:szCs w:val="20"/>
          <w:color w:val="auto"/>
        </w:rPr>
      </w:pPr>
    </w:p>
    <w:p>
      <w:pPr>
        <w:ind w:left="2680"/>
        <w:spacing w:after="0"/>
        <w:tabs>
          <w:tab w:leader="none" w:pos="31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Glenn Schuermann</w:t>
      </w:r>
    </w:p>
    <w:p>
      <w:pPr>
        <w:spacing w:after="0" w:line="34" w:lineRule="exact"/>
        <w:rPr>
          <w:sz w:val="20"/>
          <w:szCs w:val="20"/>
          <w:color w:val="auto"/>
        </w:rPr>
      </w:pPr>
    </w:p>
    <w:p>
      <w:pPr>
        <w:ind w:left="2880"/>
        <w:spacing w:after="0"/>
        <w:tabs>
          <w:tab w:leader="none" w:pos="3620" w:val="left"/>
        </w:tabs>
        <w:rPr>
          <w:sz w:val="20"/>
          <w:szCs w:val="20"/>
          <w:color w:val="auto"/>
        </w:rPr>
      </w:pPr>
      <w:r>
        <w:rPr>
          <w:rFonts w:ascii="Times New Roman" w:cs="Times New Roman" w:eastAsia="Times New Roman" w:hAnsi="Times New Roman"/>
          <w:sz w:val="19"/>
          <w:szCs w:val="19"/>
          <w:color w:val="auto"/>
        </w:rPr>
        <w:t>Name:</w:t>
        <w:tab/>
        <w:t>Glenn Schuermann</w:t>
      </w:r>
    </w:p>
    <w:p>
      <w:pPr>
        <w:spacing w:after="0" w:line="13" w:lineRule="exact"/>
        <w:rPr>
          <w:sz w:val="20"/>
          <w:szCs w:val="20"/>
          <w:color w:val="auto"/>
        </w:rPr>
      </w:pPr>
    </w:p>
    <w:p>
      <w:pPr>
        <w:ind w:left="2880"/>
        <w:spacing w:after="0"/>
        <w:tabs>
          <w:tab w:leader="none" w:pos="3460" w:val="left"/>
        </w:tabs>
        <w:rPr>
          <w:sz w:val="20"/>
          <w:szCs w:val="20"/>
          <w:color w:val="auto"/>
        </w:rPr>
      </w:pPr>
      <w:r>
        <w:rPr>
          <w:rFonts w:ascii="Times New Roman" w:cs="Times New Roman" w:eastAsia="Times New Roman" w:hAnsi="Times New Roman"/>
          <w:sz w:val="19"/>
          <w:szCs w:val="19"/>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US-DOCS\149531982.18</w:t>
      </w:r>
    </w:p>
    <w:p>
      <w:pPr>
        <w:sectPr>
          <w:pgSz w:w="11900" w:h="16838" w:orient="portrait"/>
          <w:cols w:equalWidth="0" w:num="1">
            <w:col w:w="9019"/>
          </w:cols>
          <w:pgMar w:left="1440" w:top="1379" w:right="1440" w:bottom="1440" w:gutter="0" w:footer="0" w:header="0"/>
        </w:sectPr>
      </w:pPr>
    </w:p>
    <w:bookmarkStart w:id="190" w:name="page191"/>
    <w:bookmarkEnd w:id="190"/>
    <w:p>
      <w:pPr>
        <w:ind w:left="1014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COMPLIANCE CERTIFICATE</w:t>
      </w:r>
    </w:p>
    <w:p>
      <w:pPr>
        <w:spacing w:after="0" w:line="22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1"/>
          <w:szCs w:val="21"/>
          <w:color w:val="auto"/>
        </w:rPr>
        <w:t>Financial Statement Date:____________</w:t>
      </w:r>
    </w:p>
    <w:p>
      <w:pPr>
        <w:spacing w:after="0" w:line="23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To:</w:t>
        <w:tab/>
        <w:t>Royal Bank of Canada, as Agent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20" w:lineRule="exact"/>
        <w:rPr>
          <w:sz w:val="20"/>
          <w:szCs w:val="20"/>
          <w:color w:val="auto"/>
        </w:rPr>
      </w:pPr>
    </w:p>
    <w:p>
      <w:pPr>
        <w:jc w:val="both"/>
        <w:ind w:firstLine="633"/>
        <w:spacing w:after="0" w:line="260" w:lineRule="auto"/>
        <w:rPr>
          <w:sz w:val="20"/>
          <w:szCs w:val="20"/>
          <w:color w:val="auto"/>
        </w:rPr>
      </w:pPr>
      <w:r>
        <w:rPr>
          <w:rFonts w:ascii="Times New Roman" w:cs="Times New Roman" w:eastAsia="Times New Roman" w:hAnsi="Times New Roman"/>
          <w:sz w:val="21"/>
          <w:szCs w:val="21"/>
          <w:color w:val="auto"/>
        </w:rPr>
        <w:t>Reference is made to that certain Credit Agreement, dated as of April 29, 2024 (as may be amended, restated, amended and restated, replaced, refinanced, supplemented or otherwise modified from time to time, the “</w:t>
      </w:r>
      <w:r>
        <w:rPr>
          <w:rFonts w:ascii="Times New Roman" w:cs="Times New Roman" w:eastAsia="Times New Roman" w:hAnsi="Times New Roman"/>
          <w:sz w:val="21"/>
          <w:szCs w:val="21"/>
          <w:b w:val="1"/>
          <w:bCs w:val="1"/>
          <w:color w:val="auto"/>
        </w:rPr>
        <w:t>Credit Agreement</w:t>
      </w:r>
      <w:r>
        <w:rPr>
          <w:rFonts w:ascii="Times New Roman" w:cs="Times New Roman" w:eastAsia="Times New Roman" w:hAnsi="Times New Roman"/>
          <w:sz w:val="21"/>
          <w:szCs w:val="21"/>
          <w:color w:val="auto"/>
        </w:rPr>
        <w:t xml:space="preserve">”), among </w:t>
      </w:r>
      <w:r>
        <w:rPr>
          <w:rFonts w:ascii="Times New Roman" w:cs="Times New Roman" w:eastAsia="Times New Roman" w:hAnsi="Times New Roman"/>
          <w:sz w:val="21"/>
          <w:szCs w:val="21"/>
          <w:b w:val="1"/>
          <w:bCs w:val="1"/>
          <w:color w:val="auto"/>
        </w:rPr>
        <w:t>NMI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HOLDINGS, INC.</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the Lenders from time to time party thereto and</w:t>
      </w:r>
      <w:r>
        <w:rPr>
          <w:rFonts w:ascii="Times New Roman" w:cs="Times New Roman" w:eastAsia="Times New Roman" w:hAnsi="Times New Roman"/>
          <w:sz w:val="21"/>
          <w:szCs w:val="21"/>
          <w:b w:val="1"/>
          <w:bCs w:val="1"/>
          <w:color w:val="auto"/>
        </w:rPr>
        <w:t xml:space="preserve"> ROYAL BANK OF CANADA</w:t>
      </w:r>
      <w:r>
        <w:rPr>
          <w:rFonts w:ascii="Times New Roman" w:cs="Times New Roman" w:eastAsia="Times New Roman" w:hAnsi="Times New Roman"/>
          <w:sz w:val="21"/>
          <w:szCs w:val="21"/>
          <w:color w:val="auto"/>
        </w:rPr>
        <w:t>, as administrative agent for the Lenders (in such capacity, including any successor thereto, the “</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Capitalized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used but not defined herein have the meanings given to such terms in the Credit Agreement.</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undersigned Responsible Officer of the Company hereby certifies, solely as a Responsible Officer of the Company and</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not in his/her individual capacity, as of the date hereof that he/she is the [ ] of the Company, and that, as such, he/she is authorized to execute and deliver this Compliance Certificate to the Agent on behalf of the Company, and that: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[Use following paragraph 1 for fiscal year-end financial statements]</w:t>
      </w:r>
    </w:p>
    <w:p>
      <w:pPr>
        <w:spacing w:after="0" w:line="235" w:lineRule="exact"/>
        <w:rPr>
          <w:sz w:val="20"/>
          <w:szCs w:val="20"/>
          <w:color w:val="auto"/>
        </w:rPr>
      </w:pPr>
    </w:p>
    <w:p>
      <w:pPr>
        <w:jc w:val="both"/>
        <w:ind w:firstLine="639"/>
        <w:spacing w:after="0" w:line="258" w:lineRule="auto"/>
        <w:tabs>
          <w:tab w:leader="none" w:pos="1019"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[The Company has delivered to the Agent, for further distribution to each Lender, in accordance with Section 6.01(a) of the Credit Agreement,][Attached hereto as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are] the year-end audited financial statements required by Section 6.01(a) of the Credit Agreement for the fiscal year of the Company ended as of the above date, together with the report and opinion of an independent certified public accountant required by such section, and (ii) attached hereto as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 xml:space="preserve"> is the certificate prepared by such independent certified public accountant with respect to such financial statements, as required by Section 6.02(b) of the Credit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[Use following paragraph 1 for fiscal quarter-end financial statements]</w:t>
      </w:r>
    </w:p>
    <w:p>
      <w:pPr>
        <w:spacing w:after="0" w:line="222" w:lineRule="exact"/>
        <w:rPr>
          <w:sz w:val="20"/>
          <w:szCs w:val="20"/>
          <w:color w:val="auto"/>
        </w:rPr>
      </w:pPr>
    </w:p>
    <w:p>
      <w:pPr>
        <w:jc w:val="both"/>
        <w:ind w:firstLine="639"/>
        <w:spacing w:after="0" w:line="260" w:lineRule="auto"/>
        <w:tabs>
          <w:tab w:leader="none" w:pos="1021"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has delivered to the Agent, for further distribution to each Lender, in accordance with Section 6.01(b) of the Credit Agreement,][Attached hereto as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are] the unaudited financial statements required by Section 6.01(b) of the Credit Agreement for the fiscal quarter of the Company ended as of the above date. Such financial statements fairly present in all material respects, in accordance with GAAP (subject to the absence of footnotes and year-end audit adjustments), the financial position, the results of operations and cash flows of the Company and its Subsidiaries as at such date and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A-9</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88" w:right="339" w:bottom="1440" w:gutter="0" w:footer="0" w:header="0"/>
        </w:sectPr>
      </w:pPr>
    </w:p>
    <w:bookmarkStart w:id="191" w:name="page192"/>
    <w:bookmarkEnd w:id="191"/>
    <w:p>
      <w:pPr>
        <w:jc w:val="both"/>
        <w:ind w:firstLine="639"/>
        <w:spacing w:after="0" w:line="266" w:lineRule="auto"/>
        <w:tabs>
          <w:tab w:leader="none" w:pos="1015"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undersigned has reviewed and is familiar with the terms of the Credit Agreement and has made, or has caused to be made under his/her supervision, a detailed review of the transactions and condition (financial or otherwise) of the Company during the accounting period covered by the attached financial statements.</w:t>
      </w:r>
    </w:p>
    <w:p>
      <w:pPr>
        <w:spacing w:after="0" w:line="173" w:lineRule="exact"/>
        <w:rPr>
          <w:rFonts w:ascii="Times New Roman" w:cs="Times New Roman" w:eastAsia="Times New Roman" w:hAnsi="Times New Roman"/>
          <w:sz w:val="21"/>
          <w:szCs w:val="21"/>
          <w:color w:val="auto"/>
        </w:rPr>
      </w:pPr>
    </w:p>
    <w:p>
      <w:pPr>
        <w:jc w:val="both"/>
        <w:ind w:firstLine="639"/>
        <w:spacing w:after="0" w:line="266" w:lineRule="auto"/>
        <w:tabs>
          <w:tab w:leader="none" w:pos="1137"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review of the activities of the Company during such fiscal period has been made under the supervision of the undersigned with a view to determining whether during such fiscal period the Company performed and observed all its obligations under the Loan Documents,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[select one.]</w:t>
      </w:r>
    </w:p>
    <w:p>
      <w:pPr>
        <w:spacing w:after="0" w:line="222" w:lineRule="exact"/>
        <w:rPr>
          <w:sz w:val="20"/>
          <w:szCs w:val="20"/>
          <w:color w:val="auto"/>
        </w:rPr>
      </w:pPr>
    </w:p>
    <w:p>
      <w:pPr>
        <w:ind w:firstLine="633"/>
        <w:spacing w:after="0" w:line="296" w:lineRule="auto"/>
        <w:rPr>
          <w:sz w:val="20"/>
          <w:szCs w:val="20"/>
          <w:color w:val="auto"/>
        </w:rPr>
      </w:pPr>
      <w:r>
        <w:rPr>
          <w:rFonts w:ascii="Times New Roman" w:cs="Times New Roman" w:eastAsia="Times New Roman" w:hAnsi="Times New Roman"/>
          <w:sz w:val="21"/>
          <w:szCs w:val="21"/>
          <w:color w:val="auto"/>
        </w:rPr>
        <w:t>[during such fiscal period, to the best knowledge of the undersigned, the Company performed and observed each covenant and condition of the Loan Documents applicable to it and no Default has occurred and is continuing.]</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–or–</w:t>
      </w:r>
    </w:p>
    <w:p>
      <w:pPr>
        <w:spacing w:after="0" w:line="222" w:lineRule="exact"/>
        <w:rPr>
          <w:sz w:val="20"/>
          <w:szCs w:val="20"/>
          <w:color w:val="auto"/>
        </w:rPr>
      </w:pPr>
    </w:p>
    <w:p>
      <w:pPr>
        <w:ind w:firstLine="633"/>
        <w:spacing w:after="0" w:line="283" w:lineRule="auto"/>
        <w:rPr>
          <w:sz w:val="20"/>
          <w:szCs w:val="20"/>
          <w:color w:val="auto"/>
        </w:rPr>
      </w:pPr>
      <w:r>
        <w:rPr>
          <w:rFonts w:ascii="Times New Roman" w:cs="Times New Roman" w:eastAsia="Times New Roman" w:hAnsi="Times New Roman"/>
          <w:sz w:val="21"/>
          <w:szCs w:val="21"/>
          <w:color w:val="auto"/>
        </w:rPr>
        <w:t>[the following covenants or conditions have not been performed or observed and the following is a list of each such Default and its nature and status:]</w:t>
      </w:r>
    </w:p>
    <w:p>
      <w:pPr>
        <w:spacing w:after="0" w:line="143" w:lineRule="exact"/>
        <w:rPr>
          <w:sz w:val="20"/>
          <w:szCs w:val="20"/>
          <w:color w:val="auto"/>
        </w:rPr>
      </w:pPr>
    </w:p>
    <w:p>
      <w:pPr>
        <w:ind w:firstLine="639"/>
        <w:spacing w:after="0" w:line="283" w:lineRule="auto"/>
        <w:tabs>
          <w:tab w:leader="none" w:pos="1023"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financial covenant analyses and information set forth on </w:t>
      </w:r>
      <w:r>
        <w:rPr>
          <w:rFonts w:ascii="Times New Roman" w:cs="Times New Roman" w:eastAsia="Times New Roman" w:hAnsi="Times New Roman"/>
          <w:sz w:val="21"/>
          <w:szCs w:val="21"/>
          <w:u w:val="single" w:color="auto"/>
          <w:color w:val="auto"/>
        </w:rPr>
        <w:t>Schedule 4</w:t>
      </w:r>
      <w:r>
        <w:rPr>
          <w:rFonts w:ascii="Times New Roman" w:cs="Times New Roman" w:eastAsia="Times New Roman" w:hAnsi="Times New Roman"/>
          <w:sz w:val="21"/>
          <w:szCs w:val="21"/>
          <w:color w:val="auto"/>
        </w:rPr>
        <w:t xml:space="preserve"> attached hereto are true and accurate on and as of the date of this Compliance Certificate.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A-10</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92" w:right="339" w:bottom="1440" w:gutter="0" w:footer="0" w:header="0"/>
        </w:sectPr>
      </w:pPr>
    </w:p>
    <w:bookmarkStart w:id="192" w:name="page193"/>
    <w:bookmarkEnd w:id="192"/>
    <w:p>
      <w:pPr>
        <w:ind w:firstLine="633"/>
        <w:spacing w:after="0" w:line="285" w:lineRule="auto"/>
        <w:rPr>
          <w:sz w:val="20"/>
          <w:szCs w:val="20"/>
          <w:color w:val="auto"/>
        </w:rPr>
      </w:pPr>
      <w:r>
        <w:rPr>
          <w:rFonts w:ascii="Times New Roman" w:cs="Times New Roman" w:eastAsia="Times New Roman" w:hAnsi="Times New Roman"/>
          <w:sz w:val="21"/>
          <w:szCs w:val="21"/>
          <w:i w:val="1"/>
          <w:iCs w:val="1"/>
          <w:color w:val="auto"/>
        </w:rPr>
        <w:t>IN WITNESS WHEREOF</w:t>
      </w:r>
      <w:r>
        <w:rPr>
          <w:rFonts w:ascii="Times New Roman" w:cs="Times New Roman" w:eastAsia="Times New Roman" w:hAnsi="Times New Roman"/>
          <w:sz w:val="21"/>
          <w:szCs w:val="21"/>
          <w:color w:val="auto"/>
        </w:rPr>
        <w:t>, the undersigned has executed this Compliance Certificate in his/her capacity as Responsible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Officer of the Company as of ___________.</w:t>
      </w:r>
    </w:p>
    <w:p>
      <w:pPr>
        <w:spacing w:after="0" w:line="16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b w:val="1"/>
          <w:bCs w:val="1"/>
          <w:color w:val="auto"/>
        </w:rPr>
        <w:t>NMI HOLDINGS, INC.</w:t>
      </w:r>
    </w:p>
    <w:p>
      <w:pPr>
        <w:spacing w:after="0" w:line="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By:</w:t>
      </w:r>
    </w:p>
    <w:p>
      <w:pPr>
        <w:spacing w:after="0" w:line="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-151765</wp:posOffset>
            </wp:positionV>
            <wp:extent cx="21272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2127250" cy="8255"/>
                    </a:xfrm>
                    <a:prstGeom prst="rect">
                      <a:avLst/>
                    </a:prstGeom>
                    <a:noFill/>
                  </pic:spPr>
                </pic:pic>
              </a:graphicData>
            </a:graphic>
          </wp:anchor>
        </w:drawing>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A-11</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90" w:right="339" w:bottom="1440" w:gutter="0" w:footer="0" w:header="0"/>
        </w:sectPr>
      </w:pPr>
    </w:p>
    <w:bookmarkStart w:id="193" w:name="page194"/>
    <w:bookmarkEnd w:id="193"/>
    <w:p>
      <w:pPr>
        <w:jc w:val="center"/>
        <w:ind w:right="19"/>
        <w:spacing w:after="0"/>
        <w:rPr>
          <w:sz w:val="20"/>
          <w:szCs w:val="20"/>
          <w:color w:val="auto"/>
        </w:rPr>
      </w:pPr>
      <w:r>
        <w:rPr>
          <w:rFonts w:ascii="Times New Roman" w:cs="Times New Roman" w:eastAsia="Times New Roman" w:hAnsi="Times New Roman"/>
          <w:sz w:val="21"/>
          <w:szCs w:val="21"/>
          <w:color w:val="auto"/>
        </w:rPr>
        <w:t>SCHEDULE 1</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TO THE COMPLIANCE CERTIFICATE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A-12</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9019"/>
          </w:cols>
          <w:pgMar w:left="1440" w:top="1391" w:right="1440" w:bottom="1440" w:gutter="0" w:footer="0" w:header="0"/>
        </w:sectPr>
      </w:pPr>
    </w:p>
    <w:bookmarkStart w:id="194" w:name="page195"/>
    <w:bookmarkEnd w:id="194"/>
    <w:p>
      <w:pPr>
        <w:jc w:val="center"/>
        <w:ind w:right="19"/>
        <w:spacing w:after="0"/>
        <w:rPr>
          <w:sz w:val="20"/>
          <w:szCs w:val="20"/>
          <w:color w:val="auto"/>
        </w:rPr>
      </w:pPr>
      <w:r>
        <w:rPr>
          <w:rFonts w:ascii="Times New Roman" w:cs="Times New Roman" w:eastAsia="Times New Roman" w:hAnsi="Times New Roman"/>
          <w:sz w:val="21"/>
          <w:szCs w:val="21"/>
          <w:color w:val="auto"/>
        </w:rPr>
        <w:t>SCHEDULE 2</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TO THE COMPLIANCE CERTIFICATE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A-13</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9019"/>
          </w:cols>
          <w:pgMar w:left="1440" w:top="1392" w:right="1440"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21"/>
          <w:szCs w:val="21"/>
          <w:color w:val="auto"/>
        </w:rPr>
        <w:t>SCHEDULE 3</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TO THE COMPLIANCE CERTIFICATE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A-14</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9019"/>
          </w:cols>
          <w:pgMar w:left="1440" w:top="1392" w:right="1440"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21"/>
          <w:szCs w:val="21"/>
          <w:color w:val="auto"/>
        </w:rPr>
        <w:t>SCHEDULE 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TO THE COMPLIANCE CERTIFICATE</w:t>
      </w:r>
      <w:r>
        <w:rPr>
          <w:rFonts w:ascii="Times New Roman" w:cs="Times New Roman" w:eastAsia="Times New Roman" w:hAnsi="Times New Roman"/>
          <w:sz w:val="27"/>
          <w:szCs w:val="27"/>
          <w:color w:val="auto"/>
          <w:vertAlign w:val="superscript"/>
        </w:rPr>
        <w:t>3</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the Fiscal Quarter/Year ended________________(“</w:t>
      </w:r>
      <w:r>
        <w:rPr>
          <w:rFonts w:ascii="Times New Roman" w:cs="Times New Roman" w:eastAsia="Times New Roman" w:hAnsi="Times New Roman"/>
          <w:sz w:val="21"/>
          <w:szCs w:val="21"/>
          <w:b w:val="1"/>
          <w:bCs w:val="1"/>
          <w:color w:val="auto"/>
        </w:rPr>
        <w:t>Statement Date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 xml:space="preserve">Section 7.11 </w:t>
      </w:r>
      <w:r>
        <w:rPr>
          <w:rFonts w:ascii="Times New Roman" w:cs="Times New Roman" w:eastAsia="Times New Roman" w:hAnsi="Times New Roman"/>
          <w:sz w:val="21"/>
          <w:szCs w:val="21"/>
          <w:color w:val="auto"/>
        </w:rPr>
        <w:t>— Debt to Total Capitalization Ratio</w:t>
      </w:r>
    </w:p>
    <w:p>
      <w:pPr>
        <w:spacing w:after="0" w:line="275" w:lineRule="exact"/>
        <w:rPr>
          <w:sz w:val="20"/>
          <w:szCs w:val="20"/>
          <w:color w:val="auto"/>
        </w:rPr>
      </w:pPr>
    </w:p>
    <w:p>
      <w:pPr>
        <w:ind w:left="520" w:hanging="449"/>
        <w:spacing w:after="0"/>
        <w:tabs>
          <w:tab w:leader="none" w:pos="520"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Maximum permitted:</w:t>
      </w:r>
    </w:p>
    <w:p>
      <w:pPr>
        <w:spacing w:after="0" w:line="7"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21"/>
          <w:szCs w:val="21"/>
          <w:color w:val="auto"/>
        </w:rPr>
        <w:t>35.0%</w:t>
      </w:r>
    </w:p>
    <w:p>
      <w:pPr>
        <w:spacing w:after="0" w:line="25" w:lineRule="exact"/>
        <w:rPr>
          <w:sz w:val="20"/>
          <w:szCs w:val="20"/>
          <w:color w:val="auto"/>
        </w:rPr>
      </w:pPr>
    </w:p>
    <w:p>
      <w:pPr>
        <w:ind w:left="520" w:hanging="449"/>
        <w:spacing w:after="0"/>
        <w:tabs>
          <w:tab w:leader="none" w:pos="52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Actual (measured as of the Statement Date):</w:t>
      </w:r>
    </w:p>
    <w:p>
      <w:pPr>
        <w:spacing w:after="0" w:line="272" w:lineRule="exact"/>
        <w:rPr>
          <w:rFonts w:ascii="Times New Roman" w:cs="Times New Roman" w:eastAsia="Times New Roman" w:hAnsi="Times New Roman"/>
          <w:sz w:val="21"/>
          <w:szCs w:val="21"/>
          <w:color w:val="auto"/>
        </w:rPr>
      </w:pPr>
    </w:p>
    <w:p>
      <w:pPr>
        <w:ind w:left="780" w:right="2220" w:hanging="471"/>
        <w:spacing w:after="0" w:line="282" w:lineRule="auto"/>
        <w:tabs>
          <w:tab w:leader="none" w:pos="940"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amount of all Indebtedness of the Company and its Restricted Subsidiaries outstanding on the Statement Date:</w:t>
      </w:r>
      <w:r>
        <w:rPr>
          <w:rFonts w:ascii="Times New Roman" w:cs="Times New Roman" w:eastAsia="Times New Roman" w:hAnsi="Times New Roman"/>
          <w:sz w:val="27"/>
          <w:szCs w:val="27"/>
          <w:color w:val="auto"/>
          <w:vertAlign w:val="superscript"/>
        </w:rPr>
        <w:t>4</w:t>
      </w:r>
    </w:p>
    <w:p>
      <w:pPr>
        <w:spacing w:after="0" w:line="116" w:lineRule="exact"/>
        <w:rPr>
          <w:rFonts w:ascii="Times New Roman" w:cs="Times New Roman" w:eastAsia="Times New Roman" w:hAnsi="Times New Roman"/>
          <w:sz w:val="21"/>
          <w:szCs w:val="21"/>
          <w:color w:val="auto"/>
        </w:rPr>
      </w:pPr>
    </w:p>
    <w:p>
      <w:pPr>
        <w:ind w:left="780" w:hanging="471"/>
        <w:spacing w:after="0"/>
        <w:tabs>
          <w:tab w:leader="none" w:pos="780"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Capitalization on the Statement Date:</w:t>
      </w:r>
    </w:p>
    <w:p>
      <w:pPr>
        <w:spacing w:after="0" w:line="272" w:lineRule="exact"/>
        <w:rPr>
          <w:rFonts w:ascii="Times New Roman" w:cs="Times New Roman" w:eastAsia="Times New Roman" w:hAnsi="Times New Roman"/>
          <w:sz w:val="21"/>
          <w:szCs w:val="21"/>
          <w:color w:val="auto"/>
        </w:rPr>
      </w:pPr>
    </w:p>
    <w:p>
      <w:pPr>
        <w:ind w:left="1040" w:hanging="494"/>
        <w:spacing w:after="0"/>
        <w:tabs>
          <w:tab w:leader="none" w:pos="1040" w:val="left"/>
        </w:tabs>
        <w:numPr>
          <w:ilvl w:val="2"/>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Shareholders’ Equity:</w:t>
      </w:r>
    </w:p>
    <w:p>
      <w:pPr>
        <w:spacing w:after="0" w:line="270" w:lineRule="exact"/>
        <w:rPr>
          <w:rFonts w:ascii="Times New Roman" w:cs="Times New Roman" w:eastAsia="Times New Roman" w:hAnsi="Times New Roman"/>
          <w:sz w:val="21"/>
          <w:szCs w:val="21"/>
          <w:color w:val="auto"/>
        </w:rPr>
      </w:pPr>
    </w:p>
    <w:p>
      <w:pPr>
        <w:ind w:left="1040" w:hanging="494"/>
        <w:spacing w:after="0"/>
        <w:tabs>
          <w:tab w:leader="none" w:pos="1040" w:val="left"/>
        </w:tabs>
        <w:numPr>
          <w:ilvl w:val="2"/>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sum of (b)(i) + (b)(ii)(A):</w:t>
      </w:r>
    </w:p>
    <w:p>
      <w:pPr>
        <w:spacing w:after="0" w:line="272" w:lineRule="exact"/>
        <w:rPr>
          <w:rFonts w:ascii="Times New Roman" w:cs="Times New Roman" w:eastAsia="Times New Roman" w:hAnsi="Times New Roman"/>
          <w:sz w:val="21"/>
          <w:szCs w:val="21"/>
          <w:color w:val="auto"/>
        </w:rPr>
      </w:pPr>
    </w:p>
    <w:p>
      <w:pPr>
        <w:ind w:left="520" w:hanging="449"/>
        <w:spacing w:after="0"/>
        <w:tabs>
          <w:tab w:leader="none" w:pos="52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Ratio of (b)(i) to (b)(ii)(B) (expressed as a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167005</wp:posOffset>
            </wp:positionV>
            <wp:extent cx="13652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136525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-159385</wp:posOffset>
            </wp:positionV>
            <wp:extent cx="13652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136525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-485775</wp:posOffset>
            </wp:positionV>
            <wp:extent cx="13652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136525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-812165</wp:posOffset>
            </wp:positionV>
            <wp:extent cx="13652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136525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-1139190</wp:posOffset>
            </wp:positionV>
            <wp:extent cx="13652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8980" w:type="dxa"/>
            <w:vAlign w:val="bottom"/>
          </w:tcPr>
          <w:p>
            <w:pPr>
              <w:jc w:val="center"/>
              <w:ind w:right="4574"/>
              <w:spacing w:after="0"/>
              <w:rPr>
                <w:sz w:val="20"/>
                <w:szCs w:val="20"/>
                <w:color w:val="auto"/>
              </w:rPr>
            </w:pPr>
            <w:r>
              <w:rPr>
                <w:rFonts w:ascii="Times New Roman" w:cs="Times New Roman" w:eastAsia="Times New Roman" w:hAnsi="Times New Roman"/>
                <w:sz w:val="21"/>
                <w:szCs w:val="21"/>
                <w:i w:val="1"/>
                <w:iCs w:val="1"/>
                <w:color w:val="auto"/>
              </w:rPr>
              <w:t xml:space="preserve">Section 7.13 </w:t>
            </w:r>
            <w:r>
              <w:rPr>
                <w:rFonts w:ascii="Times New Roman" w:cs="Times New Roman" w:eastAsia="Times New Roman" w:hAnsi="Times New Roman"/>
                <w:sz w:val="21"/>
                <w:szCs w:val="21"/>
                <w:color w:val="auto"/>
              </w:rPr>
              <w:t>— Minimum Consolidated Net Worth</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898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(a)  Consolidated Net Worth (measured as of the Statement Date):</w:t>
            </w:r>
          </w:p>
        </w:tc>
        <w:tc>
          <w:tcPr>
            <w:tcW w:w="2260" w:type="dxa"/>
            <w:vAlign w:val="bottom"/>
          </w:tcPr>
          <w:p>
            <w:pPr>
              <w:jc w:val="right"/>
              <w:ind w:right="74"/>
              <w:spacing w:after="0"/>
              <w:rPr>
                <w:sz w:val="20"/>
                <w:szCs w:val="20"/>
                <w:color w:val="auto"/>
              </w:rPr>
            </w:pPr>
            <w:r>
              <w:rPr>
                <w:rFonts w:ascii="Times New Roman" w:cs="Times New Roman" w:eastAsia="Times New Roman" w:hAnsi="Times New Roman"/>
                <w:sz w:val="21"/>
                <w:szCs w:val="21"/>
                <w:color w:val="auto"/>
              </w:rPr>
              <w:t>$  __________</w:t>
            </w:r>
          </w:p>
        </w:tc>
        <w:tc>
          <w:tcPr>
            <w:tcW w:w="0" w:type="dxa"/>
            <w:vAlign w:val="bottom"/>
          </w:tcPr>
          <w:p>
            <w:pPr>
              <w:spacing w:after="0"/>
              <w:rPr>
                <w:sz w:val="1"/>
                <w:szCs w:val="1"/>
                <w:color w:val="auto"/>
              </w:rPr>
            </w:pPr>
          </w:p>
        </w:tc>
      </w:tr>
      <w:tr>
        <w:trPr>
          <w:trHeight w:val="514"/>
        </w:trPr>
        <w:tc>
          <w:tcPr>
            <w:tcW w:w="898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(b)  Minimum Consolidated Net Worth:</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980" w:type="dxa"/>
            <w:vAlign w:val="bottom"/>
            <w:vMerge w:val="restart"/>
          </w:tcPr>
          <w:p>
            <w:pPr>
              <w:jc w:val="center"/>
              <w:ind w:right="4534"/>
              <w:spacing w:after="0"/>
              <w:rPr>
                <w:sz w:val="20"/>
                <w:szCs w:val="20"/>
                <w:color w:val="auto"/>
              </w:rPr>
            </w:pPr>
            <w:r>
              <w:rPr>
                <w:rFonts w:ascii="Times New Roman" w:cs="Times New Roman" w:eastAsia="Times New Roman" w:hAnsi="Times New Roman"/>
                <w:sz w:val="21"/>
                <w:szCs w:val="21"/>
                <w:color w:val="auto"/>
              </w:rPr>
              <w:t>(i)  Consolidated Net Worth Base Amount:</w:t>
            </w:r>
          </w:p>
        </w:tc>
        <w:tc>
          <w:tcPr>
            <w:tcW w:w="2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8980" w:type="dxa"/>
            <w:vAlign w:val="bottom"/>
            <w:vMerge w:val="continue"/>
          </w:tcPr>
          <w:p>
            <w:pPr>
              <w:spacing w:after="0"/>
              <w:rPr>
                <w:sz w:val="24"/>
                <w:szCs w:val="24"/>
                <w:color w:val="auto"/>
              </w:rPr>
            </w:pPr>
          </w:p>
        </w:tc>
        <w:tc>
          <w:tcPr>
            <w:tcW w:w="2260" w:type="dxa"/>
            <w:vAlign w:val="bottom"/>
          </w:tcPr>
          <w:p>
            <w:pPr>
              <w:jc w:val="right"/>
              <w:ind w:right="754"/>
              <w:spacing w:after="0"/>
              <w:rPr>
                <w:sz w:val="20"/>
                <w:szCs w:val="20"/>
                <w:color w:val="auto"/>
              </w:rPr>
            </w:pPr>
            <w:r>
              <w:rPr>
                <w:rFonts w:ascii="Times New Roman" w:cs="Times New Roman" w:eastAsia="Times New Roman" w:hAnsi="Times New Roman"/>
                <w:sz w:val="21"/>
                <w:szCs w:val="21"/>
                <w:color w:val="auto"/>
              </w:rPr>
              <w:t>$1,489,742,100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780" w:right="2320" w:hanging="471"/>
        <w:spacing w:after="0" w:line="252" w:lineRule="auto"/>
        <w:tabs>
          <w:tab w:leader="none" w:pos="777"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 of cumulative Consolidated Net Income of the Company and its Restricted Subsidiaries for each Fiscal Quarter (beginning with the Fiscal Quarter ending [June 30] 2024) for which Consolidated Net Income is positive:</w:t>
      </w:r>
    </w:p>
    <w:p>
      <w:pPr>
        <w:spacing w:after="0" w:line="2" w:lineRule="exact"/>
        <w:rPr>
          <w:sz w:val="20"/>
          <w:szCs w:val="20"/>
          <w:color w:val="auto"/>
        </w:rPr>
      </w:pPr>
    </w:p>
    <w:p>
      <w:pPr>
        <w:ind w:left="9680"/>
        <w:spacing w:after="0"/>
        <w:tabs>
          <w:tab w:leader="none" w:pos="9980" w:val="left"/>
        </w:tabs>
        <w:rPr>
          <w:sz w:val="20"/>
          <w:szCs w:val="20"/>
          <w:color w:val="auto"/>
        </w:rPr>
      </w:pPr>
      <w:r>
        <w:rPr>
          <w:rFonts w:ascii="Times New Roman" w:cs="Times New Roman" w:eastAsia="Times New Roman" w:hAnsi="Times New Roman"/>
          <w:sz w:val="21"/>
          <w:szCs w:val="21"/>
          <w:color w:val="auto"/>
        </w:rPr>
        <w:t>$</w:t>
        <w:tab/>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175260</wp:posOffset>
            </wp:positionV>
            <wp:extent cx="16751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308" w:lineRule="exact"/>
        <w:rPr>
          <w:sz w:val="20"/>
          <w:szCs w:val="20"/>
          <w:color w:val="auto"/>
        </w:rPr>
      </w:pPr>
    </w:p>
    <w:p>
      <w:pPr>
        <w:ind w:left="100" w:hanging="94"/>
        <w:spacing w:after="0"/>
        <w:tabs>
          <w:tab w:leader="none" w:pos="100" w:val="left"/>
        </w:tabs>
        <w:numPr>
          <w:ilvl w:val="0"/>
          <w:numId w:val="2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case of any inconsistency between the provisions of this Schedule and the provisions of the Credit Agreement, the Credit Agreement shall prevail.</w:t>
      </w:r>
    </w:p>
    <w:p>
      <w:pPr>
        <w:spacing w:after="0" w:line="154" w:lineRule="exact"/>
        <w:rPr>
          <w:sz w:val="20"/>
          <w:szCs w:val="20"/>
          <w:color w:val="auto"/>
        </w:rPr>
      </w:pPr>
    </w:p>
    <w:p>
      <w:pPr>
        <w:ind w:firstLine="6"/>
        <w:spacing w:after="0" w:line="223" w:lineRule="auto"/>
        <w:tabs>
          <w:tab w:leader="none" w:pos="105" w:val="left"/>
        </w:tabs>
        <w:numPr>
          <w:ilvl w:val="0"/>
          <w:numId w:val="2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Other than (i) Indebtedness owing to the Company or any of its Restricted Subsidiaries and (ii) Indebtedness of the kinds referred to in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the definition of “Indebtedness” and, for the avoidance of doubt, Securitization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A-15</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92" w:right="339" w:bottom="1440" w:gutter="0" w:footer="0" w:header="0"/>
        </w:sectPr>
      </w:pPr>
    </w:p>
    <w:bookmarkStart w:id="197" w:name="page198"/>
    <w:bookmarkEnd w:id="197"/>
    <w:p>
      <w:pPr>
        <w:spacing w:after="0" w:line="5" w:lineRule="exact"/>
        <w:rPr>
          <w:sz w:val="20"/>
          <w:szCs w:val="20"/>
          <w:color w:val="auto"/>
        </w:rPr>
      </w:pPr>
    </w:p>
    <w:p>
      <w:pPr>
        <w:jc w:val="both"/>
        <w:ind w:left="774" w:right="2140" w:hanging="471"/>
        <w:spacing w:after="0" w:line="230" w:lineRule="auto"/>
        <w:tabs>
          <w:tab w:leader="none" w:pos="830"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 of any increase in Consolidated Net Worth of the Company after March 31, 2024 resulting from the issuance of equity by or capital contributions to the Company or any of its Restricted Subsidiaries:</w:t>
      </w:r>
      <w:r>
        <w:rPr>
          <w:rFonts w:ascii="Times New Roman" w:cs="Times New Roman" w:eastAsia="Times New Roman" w:hAnsi="Times New Roman"/>
          <w:sz w:val="27"/>
          <w:szCs w:val="27"/>
          <w:color w:val="auto"/>
          <w:vertAlign w:val="superscript"/>
        </w:rPr>
        <w:t>5</w:t>
      </w:r>
    </w:p>
    <w:p>
      <w:pPr>
        <w:spacing w:after="0" w:line="2" w:lineRule="exact"/>
        <w:rPr>
          <w:sz w:val="20"/>
          <w:szCs w:val="20"/>
          <w:color w:val="auto"/>
        </w:rPr>
      </w:pPr>
    </w:p>
    <w:p>
      <w:pPr>
        <w:ind w:left="9674"/>
        <w:spacing w:after="0"/>
        <w:tabs>
          <w:tab w:leader="none" w:pos="9974" w:val="left"/>
        </w:tabs>
        <w:rPr>
          <w:sz w:val="20"/>
          <w:szCs w:val="20"/>
          <w:color w:val="auto"/>
        </w:rPr>
      </w:pPr>
      <w:r>
        <w:rPr>
          <w:rFonts w:ascii="Times New Roman" w:cs="Times New Roman" w:eastAsia="Times New Roman" w:hAnsi="Times New Roman"/>
          <w:sz w:val="21"/>
          <w:szCs w:val="21"/>
          <w:color w:val="auto"/>
        </w:rPr>
        <w:t>$</w:t>
        <w:tab/>
        <w:t>__________</w:t>
      </w:r>
    </w:p>
    <w:p>
      <w:pPr>
        <w:spacing w:after="0" w:line="25" w:lineRule="exact"/>
        <w:rPr>
          <w:sz w:val="20"/>
          <w:szCs w:val="20"/>
          <w:color w:val="auto"/>
        </w:rPr>
      </w:pPr>
    </w:p>
    <w:p>
      <w:pPr>
        <w:ind w:left="514" w:hanging="449"/>
        <w:spacing w:after="0"/>
        <w:tabs>
          <w:tab w:leader="none" w:pos="514"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Minimum Consolidated Net Worth</w:t>
      </w:r>
    </w:p>
    <w:p>
      <w:pPr>
        <w:spacing w:after="0" w:line="270" w:lineRule="exact"/>
        <w:rPr>
          <w:rFonts w:ascii="Times New Roman" w:cs="Times New Roman" w:eastAsia="Times New Roman" w:hAnsi="Times New Roman"/>
          <w:sz w:val="21"/>
          <w:szCs w:val="21"/>
          <w:color w:val="auto"/>
        </w:rPr>
      </w:pPr>
    </w:p>
    <w:p>
      <w:pPr>
        <w:ind w:left="714" w:hanging="411"/>
        <w:spacing w:after="0"/>
        <w:tabs>
          <w:tab w:leader="none" w:pos="714"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Sum of (b)(i) + (b)(ii) + (b)(iii):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5703570</wp:posOffset>
            </wp:positionH>
            <wp:positionV relativeFrom="paragraph">
              <wp:posOffset>-159385</wp:posOffset>
            </wp:positionV>
            <wp:extent cx="14319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ind w:left="9674"/>
        <w:spacing w:after="0"/>
        <w:tabs>
          <w:tab w:leader="none" w:pos="9974" w:val="left"/>
        </w:tabs>
        <w:rPr>
          <w:sz w:val="20"/>
          <w:szCs w:val="20"/>
          <w:color w:val="auto"/>
        </w:rPr>
      </w:pPr>
      <w:r>
        <w:rPr>
          <w:rFonts w:ascii="Times New Roman" w:cs="Times New Roman" w:eastAsia="Times New Roman" w:hAnsi="Times New Roman"/>
          <w:sz w:val="21"/>
          <w:szCs w:val="21"/>
          <w:color w:val="auto"/>
        </w:rPr>
        <w:t>$</w:t>
        <w:tab/>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502285</wp:posOffset>
            </wp:positionV>
            <wp:extent cx="16751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4" w:hanging="94"/>
        <w:spacing w:after="0"/>
        <w:tabs>
          <w:tab w:leader="none" w:pos="94" w:val="left"/>
        </w:tabs>
        <w:numPr>
          <w:ilvl w:val="0"/>
          <w:numId w:val="2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Excluding, for the avoidance of doubt, the impact of the issuance and exercise of warrants, options, and other employee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21"/>
          <w:szCs w:val="21"/>
          <w:color w:val="auto"/>
        </w:rPr>
        <w:t>A-16</w:t>
      </w:r>
    </w:p>
    <w:p>
      <w:pPr>
        <w:spacing w:after="0" w:line="17"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054"/>
          </w:cols>
          <w:pgMar w:left="326" w:top="1440" w:right="51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REVOLVING LOAN NOTE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w:t>
      </w:r>
    </w:p>
    <w:p>
      <w:pPr>
        <w:spacing w:after="0" w:line="229" w:lineRule="exact"/>
        <w:rPr>
          <w:sz w:val="20"/>
          <w:szCs w:val="20"/>
          <w:color w:val="auto"/>
        </w:rPr>
      </w:pPr>
    </w:p>
    <w:p>
      <w:pPr>
        <w:ind w:left="280" w:hanging="274"/>
        <w:spacing w:after="0"/>
        <w:tabs>
          <w:tab w:leader="none" w:pos="280" w:val="left"/>
        </w:tabs>
        <w:numPr>
          <w:ilvl w:val="0"/>
          <w:numId w:val="2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 202_  </w:t>
      </w:r>
      <w:r>
        <w:rPr>
          <w:rFonts w:ascii="Times New Roman" w:cs="Times New Roman" w:eastAsia="Times New Roman" w:hAnsi="Times New Roman"/>
          <w:sz w:val="21"/>
          <w:szCs w:val="21"/>
          <w:color w:val="auto"/>
        </w:rPr>
        <w:t>New York, New York</w:t>
      </w:r>
    </w:p>
    <w:p>
      <w:pPr>
        <w:spacing w:after="0" w:line="220" w:lineRule="exact"/>
        <w:rPr>
          <w:sz w:val="20"/>
          <w:szCs w:val="20"/>
          <w:color w:val="auto"/>
        </w:rPr>
      </w:pPr>
    </w:p>
    <w:p>
      <w:pPr>
        <w:jc w:val="both"/>
        <w:ind w:firstLine="633"/>
        <w:spacing w:after="0" w:line="268" w:lineRule="auto"/>
        <w:rPr>
          <w:sz w:val="20"/>
          <w:szCs w:val="20"/>
          <w:color w:val="auto"/>
        </w:rPr>
      </w:pPr>
      <w:r>
        <w:rPr>
          <w:rFonts w:ascii="Times New Roman" w:cs="Times New Roman" w:eastAsia="Times New Roman" w:hAnsi="Times New Roman"/>
          <w:sz w:val="21"/>
          <w:szCs w:val="21"/>
          <w:b w:val="1"/>
          <w:bCs w:val="1"/>
          <w:color w:val="auto"/>
        </w:rPr>
        <w:t>FOR VALUE RECEIVED, NMI HOLDINGS, INC.</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promises to pay</w:t>
      </w:r>
      <w:r>
        <w:rPr>
          <w:rFonts w:ascii="Times New Roman" w:cs="Times New Roman" w:eastAsia="Times New Roman" w:hAnsi="Times New Roman"/>
          <w:sz w:val="21"/>
          <w:szCs w:val="21"/>
          <w:b w:val="1"/>
          <w:bCs w:val="1"/>
          <w:color w:val="auto"/>
        </w:rPr>
        <w:t xml:space="preserve"> [NAME OF LENDER]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Payee</w:t>
      </w:r>
      <w:r>
        <w:rPr>
          <w:rFonts w:ascii="Times New Roman" w:cs="Times New Roman" w:eastAsia="Times New Roman" w:hAnsi="Times New Roman"/>
          <w:sz w:val="21"/>
          <w:szCs w:val="21"/>
          <w:color w:val="auto"/>
        </w:rPr>
        <w:t>”) or its registered assigns, on or before [ _______ ], the lesser of (a) $[__,___,___.__] and (b) the unpaid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principal amount of all advances made by Payee to the Company as Revolving Loans under the Credit Agreement referred to below.</w:t>
      </w:r>
    </w:p>
    <w:p>
      <w:pPr>
        <w:spacing w:after="0" w:line="158" w:lineRule="exact"/>
        <w:rPr>
          <w:sz w:val="20"/>
          <w:szCs w:val="20"/>
          <w:color w:val="auto"/>
        </w:rPr>
      </w:pPr>
    </w:p>
    <w:p>
      <w:pPr>
        <w:jc w:val="both"/>
        <w:ind w:firstLine="633"/>
        <w:spacing w:after="0" w:line="256" w:lineRule="auto"/>
        <w:rPr>
          <w:sz w:val="20"/>
          <w:szCs w:val="20"/>
          <w:color w:val="auto"/>
        </w:rPr>
      </w:pPr>
      <w:r>
        <w:rPr>
          <w:rFonts w:ascii="Times New Roman" w:cs="Times New Roman" w:eastAsia="Times New Roman" w:hAnsi="Times New Roman"/>
          <w:sz w:val="21"/>
          <w:szCs w:val="21"/>
          <w:color w:val="auto"/>
        </w:rPr>
        <w:t>The Company also promises to pay interest on the unpaid principal amount hereof, from the date hereof until paid in full, at the rates and at the times which shall be determined in accordance with the provisions of that certain Credit Agreement, dated as of April 29, 2024 (as may be amended, restated, amended and restated, replaced, refinanced, supplemented or otherwise modified from time to time, the “</w:t>
      </w:r>
      <w:r>
        <w:rPr>
          <w:rFonts w:ascii="Times New Roman" w:cs="Times New Roman" w:eastAsia="Times New Roman" w:hAnsi="Times New Roman"/>
          <w:sz w:val="21"/>
          <w:szCs w:val="21"/>
          <w:b w:val="1"/>
          <w:bCs w:val="1"/>
          <w:color w:val="auto"/>
        </w:rPr>
        <w:t>Credit Agreement</w:t>
      </w:r>
      <w:r>
        <w:rPr>
          <w:rFonts w:ascii="Times New Roman" w:cs="Times New Roman" w:eastAsia="Times New Roman" w:hAnsi="Times New Roman"/>
          <w:sz w:val="21"/>
          <w:szCs w:val="21"/>
          <w:color w:val="auto"/>
        </w:rPr>
        <w:t xml:space="preserve">”), among </w:t>
      </w:r>
      <w:r>
        <w:rPr>
          <w:rFonts w:ascii="Times New Roman" w:cs="Times New Roman" w:eastAsia="Times New Roman" w:hAnsi="Times New Roman"/>
          <w:sz w:val="21"/>
          <w:szCs w:val="21"/>
          <w:b w:val="1"/>
          <w:bCs w:val="1"/>
          <w:color w:val="auto"/>
        </w:rPr>
        <w:t>NMI HOLDINGS, INC.</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the Lenders from time to time party thereto and </w:t>
      </w:r>
      <w:r>
        <w:rPr>
          <w:rFonts w:ascii="Times New Roman" w:cs="Times New Roman" w:eastAsia="Times New Roman" w:hAnsi="Times New Roman"/>
          <w:sz w:val="21"/>
          <w:szCs w:val="21"/>
          <w:b w:val="1"/>
          <w:bCs w:val="1"/>
          <w:color w:val="auto"/>
        </w:rPr>
        <w:t>ROYAL BANK OF CANADA</w:t>
      </w:r>
      <w:r>
        <w:rPr>
          <w:rFonts w:ascii="Times New Roman" w:cs="Times New Roman" w:eastAsia="Times New Roman" w:hAnsi="Times New Roman"/>
          <w:sz w:val="21"/>
          <w:szCs w:val="21"/>
          <w:color w:val="auto"/>
        </w:rPr>
        <w:t>, as administrative agent for the Lenders (in such capacity, including any successor thereto, the “</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Capitalized terms used but not defined herein have the meanings given to such terms in the Credit Agreement.</w:t>
      </w:r>
    </w:p>
    <w:p>
      <w:pPr>
        <w:spacing w:after="0" w:line="188" w:lineRule="exact"/>
        <w:rPr>
          <w:sz w:val="20"/>
          <w:szCs w:val="20"/>
          <w:color w:val="auto"/>
        </w:rPr>
      </w:pPr>
    </w:p>
    <w:p>
      <w:pPr>
        <w:jc w:val="both"/>
        <w:ind w:firstLine="633"/>
        <w:spacing w:after="0" w:line="266" w:lineRule="auto"/>
        <w:rPr>
          <w:sz w:val="20"/>
          <w:szCs w:val="20"/>
          <w:color w:val="auto"/>
        </w:rPr>
      </w:pPr>
      <w:r>
        <w:rPr>
          <w:rFonts w:ascii="Times New Roman" w:cs="Times New Roman" w:eastAsia="Times New Roman" w:hAnsi="Times New Roman"/>
          <w:sz w:val="21"/>
          <w:szCs w:val="21"/>
          <w:color w:val="auto"/>
        </w:rPr>
        <w:t>This Revolving Loan Note is one of the “Revolving Loan Notes” and is issued pursuant to and entitled to the benefits of the Credit Agreement, to which reference is hereby made for a more complete statement of the terms and conditions under which the Loans evidenced hereby were made and are to be repaid.</w:t>
      </w:r>
    </w:p>
    <w:p>
      <w:pPr>
        <w:spacing w:after="0" w:line="160" w:lineRule="exact"/>
        <w:rPr>
          <w:sz w:val="20"/>
          <w:szCs w:val="20"/>
          <w:color w:val="auto"/>
        </w:rPr>
      </w:pPr>
    </w:p>
    <w:p>
      <w:pPr>
        <w:jc w:val="both"/>
        <w:ind w:firstLine="633"/>
        <w:spacing w:after="0" w:line="255" w:lineRule="auto"/>
        <w:rPr>
          <w:sz w:val="20"/>
          <w:szCs w:val="20"/>
          <w:color w:val="auto"/>
        </w:rPr>
      </w:pPr>
      <w:r>
        <w:rPr>
          <w:rFonts w:ascii="Times New Roman" w:cs="Times New Roman" w:eastAsia="Times New Roman" w:hAnsi="Times New Roman"/>
          <w:sz w:val="21"/>
          <w:szCs w:val="21"/>
          <w:color w:val="auto"/>
        </w:rPr>
        <w:t xml:space="preserve">All payments of principal and interest in respect of this Revolving Loan Note shall be made in dollars and in immediately available funds at the Agent’s Office or at such other place as shall be designated in writing for such purpose in accordance with the terms of the Credit Agreement. Unless and until an Assignment and Assumption effecting the assignment or transfer of the obligations evidenced hereby in accordance with the Credit Agreement shall have been accepted by the Agent and recorded in the Register, the Company, the Agent and Lenders shall treat Payee as the owner and holder of this Revolving Loan Note and the obligations evidenced hereby. Payee hereby agrees, by its acceptance hereof, that before disposing of this Revolving Loan Note or any part hereof it will make a notation hereon of all principal payments previously made hereunder and of the date to which interest hereon has been paid;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failure to make a notation of any payment made on this Revolving Loan Note shall not limit or otherwise affect the obligations of the Company hereunder with respect to payments of principal of or interest on this Revolving Loan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88" w:right="339" w:bottom="1440" w:gutter="0" w:footer="0" w:header="0"/>
        </w:sectPr>
      </w:pPr>
    </w:p>
    <w:bookmarkStart w:id="199" w:name="page200"/>
    <w:bookmarkEnd w:id="199"/>
    <w:p>
      <w:pPr>
        <w:jc w:val="both"/>
        <w:ind w:firstLine="633"/>
        <w:spacing w:after="0" w:line="283" w:lineRule="auto"/>
        <w:rPr>
          <w:sz w:val="20"/>
          <w:szCs w:val="20"/>
          <w:color w:val="auto"/>
        </w:rPr>
      </w:pPr>
      <w:r>
        <w:rPr>
          <w:rFonts w:ascii="Times New Roman" w:cs="Times New Roman" w:eastAsia="Times New Roman" w:hAnsi="Times New Roman"/>
          <w:sz w:val="21"/>
          <w:szCs w:val="21"/>
          <w:color w:val="auto"/>
        </w:rPr>
        <w:t>This Revolving Loan Note is subject to mandatory prepayment and to prepayment at the option of the Company, each as provided in the Credit Agreement.</w:t>
      </w:r>
    </w:p>
    <w:p>
      <w:pPr>
        <w:spacing w:after="0" w:line="143"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21"/>
          <w:szCs w:val="21"/>
          <w:color w:val="auto"/>
        </w:rPr>
        <w:t>THIS REVOLVING LOAN NOTE AND THE RIGHTS AND OBLIGATIONS OF THE COMPANY AND PAYEE HEREUNDER SHALL BE CONSTRUED IN ACCORDANCE WITH AND GOVERNED BY THE LAW OF THE STATE OF NEW YORK.</w:t>
      </w:r>
    </w:p>
    <w:p>
      <w:pPr>
        <w:spacing w:after="0" w:line="155" w:lineRule="exact"/>
        <w:rPr>
          <w:sz w:val="20"/>
          <w:szCs w:val="20"/>
          <w:color w:val="auto"/>
        </w:rPr>
      </w:pPr>
    </w:p>
    <w:p>
      <w:pPr>
        <w:jc w:val="both"/>
        <w:ind w:firstLine="633"/>
        <w:spacing w:after="0" w:line="266" w:lineRule="auto"/>
        <w:rPr>
          <w:sz w:val="20"/>
          <w:szCs w:val="20"/>
          <w:color w:val="auto"/>
        </w:rPr>
      </w:pPr>
      <w:r>
        <w:rPr>
          <w:rFonts w:ascii="Times New Roman" w:cs="Times New Roman" w:eastAsia="Times New Roman" w:hAnsi="Times New Roman"/>
          <w:sz w:val="21"/>
          <w:szCs w:val="21"/>
          <w:color w:val="auto"/>
        </w:rPr>
        <w:t>Upon the occurrence of an Event of Default, the unpaid balance of the principal amount of this Revolving Loan Note, together with all accrued and unpaid interest thereon, may become, or may be declared to be, due and payable in the manner, upon the conditions and with the effect provided in the Credit Agreement.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terms of this Revolving Loan Note are subject to amendment only in the manner provided in the Credit Agreement.</w:t>
      </w:r>
    </w:p>
    <w:p>
      <w:pPr>
        <w:spacing w:after="0" w:line="220" w:lineRule="exact"/>
        <w:rPr>
          <w:sz w:val="20"/>
          <w:szCs w:val="20"/>
          <w:color w:val="auto"/>
        </w:rPr>
      </w:pPr>
    </w:p>
    <w:p>
      <w:pPr>
        <w:jc w:val="both"/>
        <w:ind w:firstLine="633"/>
        <w:spacing w:after="0" w:line="260" w:lineRule="auto"/>
        <w:rPr>
          <w:sz w:val="20"/>
          <w:szCs w:val="20"/>
          <w:color w:val="auto"/>
        </w:rPr>
      </w:pPr>
      <w:r>
        <w:rPr>
          <w:rFonts w:ascii="Times New Roman" w:cs="Times New Roman" w:eastAsia="Times New Roman" w:hAnsi="Times New Roman"/>
          <w:sz w:val="21"/>
          <w:szCs w:val="21"/>
          <w:color w:val="auto"/>
        </w:rPr>
        <w:t>The Company promises to reimburse costs and expenses (including Attorney Costs) incurred by each Agent-Related Person in connection with the enforcement of this Revolving Loan Note, solely as and to the extent provided in the Credit Agreement. The Company and any endorsers of this Revolving Loan Note hereby waive acceptance, promptness, diligence, presentment, protest, demand and notice of protest, demand, dishonor and non-payment of this Revolving Loan Note.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B-1-2</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91" w:right="339" w:bottom="1440" w:gutter="0" w:footer="0" w:header="0"/>
        </w:sectPr>
      </w:pPr>
    </w:p>
    <w:bookmarkStart w:id="200" w:name="page201"/>
    <w:bookmarkEnd w:id="200"/>
    <w:p>
      <w:pPr>
        <w:ind w:firstLine="633"/>
        <w:spacing w:after="0" w:line="287"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Company has caused this Revolving Loan Note to be duly executed and delivered by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officer thereunto duly authorized as of the date and at the place first written above.</w:t>
      </w:r>
    </w:p>
    <w:p>
      <w:pPr>
        <w:spacing w:after="0" w:line="16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b w:val="1"/>
          <w:bCs w:val="1"/>
          <w:color w:val="auto"/>
        </w:rPr>
        <w:t>NMI HOLDINGS, INC.</w:t>
      </w:r>
    </w:p>
    <w:p>
      <w:pPr>
        <w:spacing w:after="0" w:line="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By:</w:t>
      </w:r>
    </w:p>
    <w:p>
      <w:pPr>
        <w:spacing w:after="0" w:line="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-151765</wp:posOffset>
            </wp:positionV>
            <wp:extent cx="21272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2127250" cy="8255"/>
                    </a:xfrm>
                    <a:prstGeom prst="rect">
                      <a:avLst/>
                    </a:prstGeom>
                    <a:noFill/>
                  </pic:spPr>
                </pic:pic>
              </a:graphicData>
            </a:graphic>
          </wp:anchor>
        </w:drawing>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B-1-3</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88"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21"/>
          <w:szCs w:val="21"/>
          <w:color w:val="auto"/>
        </w:rPr>
        <w:t>TRANSACTIONS 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REVOLVING LOAN NOTE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20" w:type="dxa"/>
            <w:vAlign w:val="bottom"/>
          </w:tcPr>
          <w:p>
            <w:pPr>
              <w:spacing w:after="0"/>
              <w:rPr>
                <w:sz w:val="21"/>
                <w:szCs w:val="21"/>
                <w:color w:val="auto"/>
              </w:rPr>
            </w:pPr>
          </w:p>
        </w:tc>
        <w:tc>
          <w:tcPr>
            <w:tcW w:w="2320" w:type="dxa"/>
            <w:vAlign w:val="bottom"/>
            <w:vMerge w:val="restart"/>
          </w:tcPr>
          <w:p>
            <w:pPr>
              <w:ind w:left="800"/>
              <w:spacing w:after="0"/>
              <w:rPr>
                <w:sz w:val="20"/>
                <w:szCs w:val="20"/>
                <w:color w:val="auto"/>
              </w:rPr>
            </w:pPr>
            <w:r>
              <w:rPr>
                <w:rFonts w:ascii="Times New Roman" w:cs="Times New Roman" w:eastAsia="Times New Roman" w:hAnsi="Times New Roman"/>
                <w:sz w:val="21"/>
                <w:szCs w:val="21"/>
                <w:color w:val="auto"/>
              </w:rPr>
              <w:t>Amount of Loan</w:t>
            </w:r>
          </w:p>
        </w:tc>
        <w:tc>
          <w:tcPr>
            <w:tcW w:w="2300" w:type="dxa"/>
            <w:vAlign w:val="bottom"/>
            <w:vMerge w:val="restart"/>
          </w:tcPr>
          <w:p>
            <w:pPr>
              <w:ind w:left="980"/>
              <w:spacing w:after="0"/>
              <w:rPr>
                <w:sz w:val="20"/>
                <w:szCs w:val="20"/>
                <w:color w:val="auto"/>
              </w:rPr>
            </w:pPr>
            <w:r>
              <w:rPr>
                <w:rFonts w:ascii="Times New Roman" w:cs="Times New Roman" w:eastAsia="Times New Roman" w:hAnsi="Times New Roman"/>
                <w:sz w:val="21"/>
                <w:szCs w:val="21"/>
                <w:color w:val="auto"/>
              </w:rPr>
              <w:t>Amount of</w:t>
            </w:r>
          </w:p>
        </w:tc>
        <w:tc>
          <w:tcPr>
            <w:tcW w:w="2480" w:type="dxa"/>
            <w:vAlign w:val="bottom"/>
          </w:tcPr>
          <w:p>
            <w:pPr>
              <w:ind w:left="900"/>
              <w:spacing w:after="0"/>
              <w:rPr>
                <w:sz w:val="20"/>
                <w:szCs w:val="20"/>
                <w:color w:val="auto"/>
              </w:rPr>
            </w:pPr>
            <w:r>
              <w:rPr>
                <w:rFonts w:ascii="Times New Roman" w:cs="Times New Roman" w:eastAsia="Times New Roman" w:hAnsi="Times New Roman"/>
                <w:sz w:val="21"/>
                <w:szCs w:val="21"/>
                <w:color w:val="auto"/>
              </w:rPr>
              <w:t>Outstanding</w:t>
            </w: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120" w:type="dxa"/>
            <w:vAlign w:val="bottom"/>
            <w:vMerge w:val="restart"/>
          </w:tcPr>
          <w:p>
            <w:pPr>
              <w:ind w:left="1220"/>
              <w:spacing w:after="0"/>
              <w:rPr>
                <w:sz w:val="20"/>
                <w:szCs w:val="20"/>
                <w:color w:val="auto"/>
              </w:rPr>
            </w:pPr>
            <w:r>
              <w:rPr>
                <w:rFonts w:ascii="Times New Roman" w:cs="Times New Roman" w:eastAsia="Times New Roman" w:hAnsi="Times New Roman"/>
                <w:sz w:val="21"/>
                <w:szCs w:val="21"/>
                <w:color w:val="auto"/>
              </w:rPr>
              <w:t>Date</w:t>
            </w:r>
          </w:p>
        </w:tc>
        <w:tc>
          <w:tcPr>
            <w:tcW w:w="2320" w:type="dxa"/>
            <w:vAlign w:val="bottom"/>
            <w:vMerge w:val="continue"/>
          </w:tcPr>
          <w:p>
            <w:pPr>
              <w:spacing w:after="0"/>
              <w:rPr>
                <w:sz w:val="18"/>
                <w:szCs w:val="18"/>
                <w:color w:val="auto"/>
              </w:rPr>
            </w:pPr>
          </w:p>
        </w:tc>
        <w:tc>
          <w:tcPr>
            <w:tcW w:w="2300" w:type="dxa"/>
            <w:vAlign w:val="bottom"/>
            <w:vMerge w:val="continue"/>
          </w:tcPr>
          <w:p>
            <w:pPr>
              <w:spacing w:after="0"/>
              <w:rPr>
                <w:sz w:val="18"/>
                <w:szCs w:val="18"/>
                <w:color w:val="auto"/>
              </w:rPr>
            </w:pPr>
          </w:p>
        </w:tc>
        <w:tc>
          <w:tcPr>
            <w:tcW w:w="2480" w:type="dxa"/>
            <w:vAlign w:val="bottom"/>
          </w:tcPr>
          <w:p>
            <w:pPr>
              <w:ind w:left="140"/>
              <w:spacing w:after="0" w:line="211" w:lineRule="exact"/>
              <w:rPr>
                <w:sz w:val="20"/>
                <w:szCs w:val="20"/>
                <w:color w:val="auto"/>
              </w:rPr>
            </w:pPr>
            <w:r>
              <w:rPr>
                <w:rFonts w:ascii="Times New Roman" w:cs="Times New Roman" w:eastAsia="Times New Roman" w:hAnsi="Times New Roman"/>
                <w:sz w:val="21"/>
                <w:szCs w:val="21"/>
                <w:color w:val="auto"/>
              </w:rPr>
              <w:t>Principal Balance This</w:t>
            </w:r>
          </w:p>
        </w:tc>
        <w:tc>
          <w:tcPr>
            <w:tcW w:w="2020" w:type="dxa"/>
            <w:vAlign w:val="bottom"/>
            <w:vMerge w:val="restart"/>
          </w:tcPr>
          <w:p>
            <w:pPr>
              <w:ind w:left="420"/>
              <w:spacing w:after="0"/>
              <w:rPr>
                <w:sz w:val="20"/>
                <w:szCs w:val="20"/>
                <w:color w:val="auto"/>
              </w:rPr>
            </w:pPr>
            <w:r>
              <w:rPr>
                <w:rFonts w:ascii="Times New Roman" w:cs="Times New Roman" w:eastAsia="Times New Roman" w:hAnsi="Times New Roman"/>
                <w:sz w:val="21"/>
                <w:szCs w:val="21"/>
                <w:color w:val="auto"/>
              </w:rPr>
              <w:t>Notation Made By</w:t>
            </w:r>
          </w:p>
        </w:tc>
        <w:tc>
          <w:tcPr>
            <w:tcW w:w="0" w:type="dxa"/>
            <w:vAlign w:val="bottom"/>
          </w:tcPr>
          <w:p>
            <w:pPr>
              <w:spacing w:after="0"/>
              <w:rPr>
                <w:sz w:val="1"/>
                <w:szCs w:val="1"/>
                <w:color w:val="auto"/>
              </w:rPr>
            </w:pPr>
          </w:p>
        </w:tc>
      </w:tr>
      <w:tr>
        <w:trPr>
          <w:trHeight w:val="276"/>
        </w:trPr>
        <w:tc>
          <w:tcPr>
            <w:tcW w:w="2120" w:type="dxa"/>
            <w:vAlign w:val="bottom"/>
            <w:tcBorders>
              <w:bottom w:val="single" w:sz="8" w:color="auto"/>
            </w:tcBorders>
            <w:vMerge w:val="continue"/>
          </w:tcPr>
          <w:p>
            <w:pPr>
              <w:spacing w:after="0"/>
              <w:rPr>
                <w:sz w:val="24"/>
                <w:szCs w:val="24"/>
                <w:color w:val="auto"/>
              </w:rPr>
            </w:pPr>
          </w:p>
        </w:tc>
        <w:tc>
          <w:tcPr>
            <w:tcW w:w="23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21"/>
                <w:szCs w:val="21"/>
                <w:color w:val="auto"/>
              </w:rPr>
              <w:t>Made This Date</w:t>
            </w:r>
          </w:p>
        </w:tc>
        <w:tc>
          <w:tcPr>
            <w:tcW w:w="2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Principal Paid This Date</w:t>
            </w:r>
          </w:p>
        </w:tc>
        <w:tc>
          <w:tcPr>
            <w:tcW w:w="24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21"/>
                <w:szCs w:val="21"/>
                <w:color w:val="auto"/>
              </w:rPr>
              <w:t>Date</w:t>
            </w:r>
          </w:p>
        </w:tc>
        <w:tc>
          <w:tcPr>
            <w:tcW w:w="20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B-1-4</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92"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1"/>
          <w:szCs w:val="21"/>
          <w:b w:val="1"/>
          <w:bCs w:val="1"/>
          <w:color w:val="auto"/>
        </w:rPr>
        <w:t>EXHIBIT C-1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LOAN NOTICE</w:t>
      </w:r>
    </w:p>
    <w:p>
      <w:pPr>
        <w:spacing w:after="0" w:line="224"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21"/>
          <w:szCs w:val="21"/>
          <w:color w:val="auto"/>
        </w:rPr>
        <w:t>Date: _____________, 202[ ]</w:t>
      </w:r>
    </w:p>
    <w:p>
      <w:pPr>
        <w:spacing w:after="0" w:line="23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To:</w:t>
        <w:tab/>
        <w:t>Royal Bank of Canada, as Agent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20" w:lineRule="exact"/>
        <w:rPr>
          <w:sz w:val="20"/>
          <w:szCs w:val="20"/>
          <w:color w:val="auto"/>
        </w:rPr>
      </w:pPr>
    </w:p>
    <w:p>
      <w:pPr>
        <w:jc w:val="both"/>
        <w:ind w:firstLine="633"/>
        <w:spacing w:after="0" w:line="260" w:lineRule="auto"/>
        <w:rPr>
          <w:sz w:val="20"/>
          <w:szCs w:val="20"/>
          <w:color w:val="auto"/>
        </w:rPr>
      </w:pPr>
      <w:r>
        <w:rPr>
          <w:rFonts w:ascii="Times New Roman" w:cs="Times New Roman" w:eastAsia="Times New Roman" w:hAnsi="Times New Roman"/>
          <w:sz w:val="21"/>
          <w:szCs w:val="21"/>
          <w:color w:val="auto"/>
        </w:rPr>
        <w:t>Reference is made to that certain Credit Agreement, dated as of April 29, 2024 (as may be amended, restated, amended and restated, replaced, refinanced, supplemented or otherwise modified from time to time, the “</w:t>
      </w:r>
      <w:r>
        <w:rPr>
          <w:rFonts w:ascii="Times New Roman" w:cs="Times New Roman" w:eastAsia="Times New Roman" w:hAnsi="Times New Roman"/>
          <w:sz w:val="21"/>
          <w:szCs w:val="21"/>
          <w:b w:val="1"/>
          <w:bCs w:val="1"/>
          <w:color w:val="auto"/>
        </w:rPr>
        <w:t>Credit Agreement</w:t>
      </w:r>
      <w:r>
        <w:rPr>
          <w:rFonts w:ascii="Times New Roman" w:cs="Times New Roman" w:eastAsia="Times New Roman" w:hAnsi="Times New Roman"/>
          <w:sz w:val="21"/>
          <w:szCs w:val="21"/>
          <w:color w:val="auto"/>
        </w:rPr>
        <w:t xml:space="preserve">”), among </w:t>
      </w:r>
      <w:r>
        <w:rPr>
          <w:rFonts w:ascii="Times New Roman" w:cs="Times New Roman" w:eastAsia="Times New Roman" w:hAnsi="Times New Roman"/>
          <w:sz w:val="21"/>
          <w:szCs w:val="21"/>
          <w:b w:val="1"/>
          <w:bCs w:val="1"/>
          <w:color w:val="auto"/>
        </w:rPr>
        <w:t>NMI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HOLDINGS, INC.</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the Lenders from time to time party thereto and</w:t>
      </w:r>
      <w:r>
        <w:rPr>
          <w:rFonts w:ascii="Times New Roman" w:cs="Times New Roman" w:eastAsia="Times New Roman" w:hAnsi="Times New Roman"/>
          <w:sz w:val="21"/>
          <w:szCs w:val="21"/>
          <w:b w:val="1"/>
          <w:bCs w:val="1"/>
          <w:color w:val="auto"/>
        </w:rPr>
        <w:t xml:space="preserve"> ROYAL BANK OF CANADA</w:t>
      </w:r>
      <w:r>
        <w:rPr>
          <w:rFonts w:ascii="Times New Roman" w:cs="Times New Roman" w:eastAsia="Times New Roman" w:hAnsi="Times New Roman"/>
          <w:sz w:val="21"/>
          <w:szCs w:val="21"/>
          <w:color w:val="auto"/>
        </w:rPr>
        <w:t>, as administrative agent for the Lenders (in such capacity, including any successor thereto, the “</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Capitalized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used but not defined herein have the meanings given to such terms in the Credit Agreement.</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Pursuant to Section 2.01 of the Credit Agreement, the Company desires that Lenders make the following Loans to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in accordance with the applicable terms and conditions of the Credit Agreement on [ _____ ] (the “</w:t>
      </w:r>
      <w:r>
        <w:rPr>
          <w:rFonts w:ascii="Times New Roman" w:cs="Times New Roman" w:eastAsia="Times New Roman" w:hAnsi="Times New Roman"/>
          <w:sz w:val="21"/>
          <w:szCs w:val="21"/>
          <w:b w:val="1"/>
          <w:bCs w:val="1"/>
          <w:color w:val="auto"/>
        </w:rPr>
        <w:t>Borrowing Date</w:t>
      </w:r>
      <w:r>
        <w:rPr>
          <w:rFonts w:ascii="Times New Roman" w:cs="Times New Roman" w:eastAsia="Times New Roman" w:hAnsi="Times New Roman"/>
          <w:sz w:val="21"/>
          <w:szCs w:val="21"/>
          <w:color w:val="auto"/>
        </w:rPr>
        <w:t>”):</w:t>
      </w:r>
    </w:p>
    <w:p>
      <w:pPr>
        <w:spacing w:after="0" w:line="223" w:lineRule="exact"/>
        <w:rPr>
          <w:sz w:val="20"/>
          <w:szCs w:val="20"/>
          <w:color w:val="auto"/>
        </w:rPr>
      </w:pPr>
    </w:p>
    <w:tbl>
      <w:tblPr>
        <w:tblLayout w:type="fixed"/>
        <w:tblInd w:w="240" w:type="dxa"/>
        <w:tblCellMar>
          <w:top w:w="0" w:type="dxa"/>
          <w:left w:w="0" w:type="dxa"/>
          <w:bottom w:w="0" w:type="dxa"/>
          <w:right w:w="0" w:type="dxa"/>
        </w:tblCellMar>
      </w:tblPr>
      <w:tr>
        <w:trPr>
          <w:trHeight w:val="242"/>
        </w:trPr>
        <w:tc>
          <w:tcPr>
            <w:tcW w:w="8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Revolving Loans</w:t>
            </w:r>
          </w:p>
        </w:tc>
        <w:tc>
          <w:tcPr>
            <w:tcW w:w="1980" w:type="dxa"/>
            <w:vAlign w:val="bottom"/>
          </w:tcPr>
          <w:p>
            <w:pPr>
              <w:spacing w:after="0"/>
              <w:rPr>
                <w:sz w:val="21"/>
                <w:szCs w:val="21"/>
                <w:color w:val="auto"/>
              </w:rPr>
            </w:pPr>
          </w:p>
        </w:tc>
      </w:tr>
      <w:tr>
        <w:trPr>
          <w:trHeight w:val="356"/>
        </w:trPr>
        <w:tc>
          <w:tcPr>
            <w:tcW w:w="760" w:type="dxa"/>
            <w:vAlign w:val="bottom"/>
          </w:tcPr>
          <w:p>
            <w:pPr>
              <w:ind w:left="460"/>
              <w:spacing w:after="0" w:line="211" w:lineRule="exact"/>
              <w:rPr>
                <w:sz w:val="20"/>
                <w:szCs w:val="20"/>
                <w:color w:val="auto"/>
              </w:rPr>
            </w:pPr>
            <w:r>
              <w:rPr>
                <w:rFonts w:ascii="MS PGothic" w:cs="MS PGothic" w:eastAsia="MS PGothic" w:hAnsi="MS PGothic"/>
                <w:sz w:val="21"/>
                <w:szCs w:val="21"/>
                <w:color w:val="auto"/>
              </w:rPr>
              <w:t>☐</w:t>
            </w:r>
          </w:p>
        </w:tc>
        <w:tc>
          <w:tcPr>
            <w:tcW w:w="73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Base Rate Loans: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$[___,___,___]</w:t>
            </w:r>
          </w:p>
        </w:tc>
      </w:tr>
      <w:tr>
        <w:trPr>
          <w:trHeight w:val="514"/>
        </w:trPr>
        <w:tc>
          <w:tcPr>
            <w:tcW w:w="760" w:type="dxa"/>
            <w:vAlign w:val="bottom"/>
          </w:tcPr>
          <w:p>
            <w:pPr>
              <w:ind w:left="460"/>
              <w:spacing w:after="0" w:line="211" w:lineRule="exact"/>
              <w:rPr>
                <w:sz w:val="20"/>
                <w:szCs w:val="20"/>
                <w:color w:val="auto"/>
              </w:rPr>
            </w:pPr>
            <w:r>
              <w:rPr>
                <w:rFonts w:ascii="MS PGothic" w:cs="MS PGothic" w:eastAsia="MS PGothic" w:hAnsi="MS PGothic"/>
                <w:sz w:val="21"/>
                <w:szCs w:val="21"/>
                <w:color w:val="auto"/>
              </w:rPr>
              <w:t>☐</w:t>
            </w:r>
          </w:p>
        </w:tc>
        <w:tc>
          <w:tcPr>
            <w:tcW w:w="73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Term Benchmark Loans, with an initial Interest Period of ________ month(s):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$[___,___,___]</w:t>
            </w: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hereby certifies that:</w:t>
      </w:r>
    </w:p>
    <w:p>
      <w:pPr>
        <w:spacing w:after="0" w:line="220" w:lineRule="exact"/>
        <w:rPr>
          <w:sz w:val="20"/>
          <w:szCs w:val="20"/>
          <w:color w:val="auto"/>
        </w:rPr>
      </w:pPr>
    </w:p>
    <w:p>
      <w:pPr>
        <w:ind w:firstLine="639"/>
        <w:spacing w:after="0" w:line="283" w:lineRule="auto"/>
        <w:tabs>
          <w:tab w:leader="none" w:pos="1098"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the Revolving Loans requested on the Borrowing Date, the aggregate Revolving Loans shall not exceed the Revolving Commitments then in effect;</w:t>
      </w:r>
    </w:p>
    <w:p>
      <w:pPr>
        <w:spacing w:after="0" w:line="142" w:lineRule="exact"/>
        <w:rPr>
          <w:rFonts w:ascii="Times New Roman" w:cs="Times New Roman" w:eastAsia="Times New Roman" w:hAnsi="Times New Roman"/>
          <w:sz w:val="21"/>
          <w:szCs w:val="21"/>
          <w:color w:val="auto"/>
        </w:rPr>
      </w:pPr>
    </w:p>
    <w:p>
      <w:pPr>
        <w:jc w:val="both"/>
        <w:ind w:firstLine="639"/>
        <w:spacing w:after="0" w:line="267" w:lineRule="auto"/>
        <w:tabs>
          <w:tab w:leader="none" w:pos="1152"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contained in Article 5 of the Credit Agreement (other than Sections 5.05, 5.11 and 5.17) or any other Loan Document, or which are contained in any document furnished at any time under or in connection therewith,</w:t>
      </w:r>
    </w:p>
    <w:p>
      <w:pPr>
        <w:spacing w:after="0" w:line="1" w:lineRule="exact"/>
        <w:rPr>
          <w:rFonts w:ascii="Times New Roman" w:cs="Times New Roman" w:eastAsia="Times New Roman" w:hAnsi="Times New Roman"/>
          <w:sz w:val="21"/>
          <w:szCs w:val="21"/>
          <w:color w:val="auto"/>
        </w:rPr>
      </w:pPr>
    </w:p>
    <w:p>
      <w:pPr>
        <w:jc w:val="both"/>
        <w:ind w:firstLine="6"/>
        <w:spacing w:after="0" w:line="252" w:lineRule="auto"/>
        <w:tabs>
          <w:tab w:leader="none" w:pos="312"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are not qualified as to materiality are true and correct, in each case as of the date hereof, in all material respects and (y) which are qualified as to materiality are true and correct, in each case, on and as of the date hereof, after giving effect to the Loans contemplated hereby, except to the extent such representations and warranties specifically refer to an earlier date, in which case such representations and warranties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88"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21"/>
          <w:szCs w:val="21"/>
          <w:color w:val="auto"/>
        </w:rPr>
        <w:t>true and correct in all material respects, or true and correct, as the case may be, on and as of such earlier date; and</w:t>
      </w:r>
    </w:p>
    <w:p>
      <w:pPr>
        <w:spacing w:after="0" w:line="220" w:lineRule="exact"/>
        <w:rPr>
          <w:sz w:val="20"/>
          <w:szCs w:val="20"/>
          <w:color w:val="auto"/>
        </w:rPr>
      </w:pPr>
    </w:p>
    <w:p>
      <w:pPr>
        <w:ind w:firstLine="639"/>
        <w:spacing w:after="0" w:line="283" w:lineRule="auto"/>
        <w:tabs>
          <w:tab w:leader="none" w:pos="1216"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have occurred and be continuing on the Borrowing Date immediately before or after giving effect to the Loans contemplated hereby.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account of the Company to which the proceeds of the Loans requested on the Borrowing Date are to be made available by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Agent to the Company are as follows: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Bank Name:</w:t>
      </w:r>
    </w:p>
    <w:p>
      <w:pPr>
        <w:spacing w:after="0" w:line="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Bank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-151765</wp:posOffset>
            </wp:positionV>
            <wp:extent cx="46062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4606290" cy="8255"/>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-151765</wp:posOffset>
            </wp:positionV>
            <wp:extent cx="4606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4606290" cy="8255"/>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-151765</wp:posOffset>
            </wp:positionV>
            <wp:extent cx="4606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4606290" cy="8255"/>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-151765</wp:posOffset>
            </wp:positionV>
            <wp:extent cx="46062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4606290" cy="8255"/>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15240</wp:posOffset>
            </wp:positionV>
            <wp:extent cx="46062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4606290" cy="8255"/>
                    </a:xfrm>
                    <a:prstGeom prst="rect">
                      <a:avLst/>
                    </a:prstGeom>
                    <a:noFill/>
                  </pic:spPr>
                </pic:pic>
              </a:graphicData>
            </a:graphic>
          </wp:anchor>
        </w:drawing>
        <w:drawing>
          <wp:anchor simplePos="0" relativeHeight="251657728" behindDoc="1" locked="0" layoutInCell="0" allowOverlap="1">
            <wp:simplePos x="0" y="0"/>
            <wp:positionH relativeFrom="column">
              <wp:posOffset>1963420</wp:posOffset>
            </wp:positionH>
            <wp:positionV relativeFrom="paragraph">
              <wp:posOffset>-151765</wp:posOffset>
            </wp:positionV>
            <wp:extent cx="46062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4606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0"/>
        <w:spacing w:after="0"/>
        <w:tabs>
          <w:tab w:leader="none" w:pos="6180" w:val="left"/>
        </w:tabs>
        <w:rPr>
          <w:sz w:val="20"/>
          <w:szCs w:val="20"/>
          <w:color w:val="auto"/>
        </w:rPr>
      </w:pPr>
      <w:r>
        <w:rPr>
          <w:rFonts w:ascii="Times New Roman" w:cs="Times New Roman" w:eastAsia="Times New Roman" w:hAnsi="Times New Roman"/>
          <w:sz w:val="21"/>
          <w:szCs w:val="21"/>
          <w:color w:val="auto"/>
        </w:rPr>
        <w:t>Date: _____________, 202__</w:t>
      </w:r>
      <w:r>
        <w:rPr>
          <w:sz w:val="20"/>
          <w:szCs w:val="20"/>
          <w:color w:val="auto"/>
        </w:rPr>
        <w:tab/>
      </w:r>
      <w:r>
        <w:rPr>
          <w:rFonts w:ascii="Times New Roman" w:cs="Times New Roman" w:eastAsia="Times New Roman" w:hAnsi="Times New Roman"/>
          <w:sz w:val="21"/>
          <w:szCs w:val="21"/>
          <w:b w:val="1"/>
          <w:bCs w:val="1"/>
          <w:color w:val="auto"/>
        </w:rPr>
        <w:t>NMI HOLDINGS, INC.</w:t>
      </w:r>
    </w:p>
    <w:p>
      <w:pPr>
        <w:spacing w:after="0" w:line="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1"/>
          <w:szCs w:val="21"/>
          <w:color w:val="auto"/>
        </w:rPr>
        <w:t>By:</w:t>
      </w:r>
    </w:p>
    <w:p>
      <w:pPr>
        <w:spacing w:after="0" w:line="2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-151765</wp:posOffset>
            </wp:positionV>
            <wp:extent cx="2730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2730500" cy="8255"/>
                    </a:xfrm>
                    <a:prstGeom prst="rect">
                      <a:avLst/>
                    </a:prstGeom>
                    <a:noFill/>
                  </pic:spPr>
                </pic:pic>
              </a:graphicData>
            </a:graphic>
          </wp:anchor>
        </w:drawing>
      </w:r>
    </w:p>
    <w:p>
      <w:pPr>
        <w:spacing w:after="0" w:line="1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C-1-2</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91"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21"/>
          <w:szCs w:val="21"/>
          <w:b w:val="1"/>
          <w:bCs w:val="1"/>
          <w:color w:val="auto"/>
        </w:rPr>
        <w:t>EXHIBIT C-2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CONVERSION/CONTINUATION NOTICE</w:t>
      </w:r>
    </w:p>
    <w:p>
      <w:pPr>
        <w:spacing w:after="0" w:line="224" w:lineRule="exact"/>
        <w:rPr>
          <w:sz w:val="20"/>
          <w:szCs w:val="20"/>
          <w:color w:val="auto"/>
        </w:rPr>
      </w:pPr>
    </w:p>
    <w:p>
      <w:pPr>
        <w:jc w:val="both"/>
        <w:ind w:firstLine="633"/>
        <w:spacing w:after="0" w:line="260" w:lineRule="auto"/>
        <w:rPr>
          <w:sz w:val="20"/>
          <w:szCs w:val="20"/>
          <w:color w:val="auto"/>
        </w:rPr>
      </w:pPr>
      <w:r>
        <w:rPr>
          <w:rFonts w:ascii="Times New Roman" w:cs="Times New Roman" w:eastAsia="Times New Roman" w:hAnsi="Times New Roman"/>
          <w:sz w:val="21"/>
          <w:szCs w:val="21"/>
          <w:color w:val="auto"/>
        </w:rPr>
        <w:t>Reference is made to that certain Credit Agreement, dated as of April 29, 2024 (as may be amended, restated, amended and restated, replaced, refinanced, supplemented or otherwise modified from time to time, the “</w:t>
      </w:r>
      <w:r>
        <w:rPr>
          <w:rFonts w:ascii="Times New Roman" w:cs="Times New Roman" w:eastAsia="Times New Roman" w:hAnsi="Times New Roman"/>
          <w:sz w:val="21"/>
          <w:szCs w:val="21"/>
          <w:b w:val="1"/>
          <w:bCs w:val="1"/>
          <w:color w:val="auto"/>
        </w:rPr>
        <w:t>Credit Agreement</w:t>
      </w:r>
      <w:r>
        <w:rPr>
          <w:rFonts w:ascii="Times New Roman" w:cs="Times New Roman" w:eastAsia="Times New Roman" w:hAnsi="Times New Roman"/>
          <w:sz w:val="21"/>
          <w:szCs w:val="21"/>
          <w:color w:val="auto"/>
        </w:rPr>
        <w:t xml:space="preserve">”), among </w:t>
      </w:r>
      <w:r>
        <w:rPr>
          <w:rFonts w:ascii="Times New Roman" w:cs="Times New Roman" w:eastAsia="Times New Roman" w:hAnsi="Times New Roman"/>
          <w:sz w:val="21"/>
          <w:szCs w:val="21"/>
          <w:b w:val="1"/>
          <w:bCs w:val="1"/>
          <w:color w:val="auto"/>
        </w:rPr>
        <w:t>NMI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HOLDINGS, INC.</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the Lenders from time to time party thereto and</w:t>
      </w:r>
      <w:r>
        <w:rPr>
          <w:rFonts w:ascii="Times New Roman" w:cs="Times New Roman" w:eastAsia="Times New Roman" w:hAnsi="Times New Roman"/>
          <w:sz w:val="21"/>
          <w:szCs w:val="21"/>
          <w:b w:val="1"/>
          <w:bCs w:val="1"/>
          <w:color w:val="auto"/>
        </w:rPr>
        <w:t xml:space="preserve"> ROYAL BANK OF CANADA</w:t>
      </w:r>
      <w:r>
        <w:rPr>
          <w:rFonts w:ascii="Times New Roman" w:cs="Times New Roman" w:eastAsia="Times New Roman" w:hAnsi="Times New Roman"/>
          <w:sz w:val="21"/>
          <w:szCs w:val="21"/>
          <w:color w:val="auto"/>
        </w:rPr>
        <w:t>, as administrative agent for the Lenders (in such capacity, including any successor thereto, the “</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Capitalized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used but not defined herein have the meanings given to such terms in the Credit Agreement.</w:t>
      </w:r>
    </w:p>
    <w:p>
      <w:pPr>
        <w:spacing w:after="0" w:line="169" w:lineRule="exact"/>
        <w:rPr>
          <w:sz w:val="20"/>
          <w:szCs w:val="20"/>
          <w:color w:val="auto"/>
        </w:rPr>
      </w:pPr>
    </w:p>
    <w:p>
      <w:pPr>
        <w:ind w:firstLine="633"/>
        <w:spacing w:after="0" w:line="296" w:lineRule="auto"/>
        <w:rPr>
          <w:sz w:val="20"/>
          <w:szCs w:val="20"/>
          <w:color w:val="auto"/>
        </w:rPr>
      </w:pPr>
      <w:r>
        <w:rPr>
          <w:rFonts w:ascii="Times New Roman" w:cs="Times New Roman" w:eastAsia="Times New Roman" w:hAnsi="Times New Roman"/>
          <w:sz w:val="21"/>
          <w:szCs w:val="21"/>
          <w:color w:val="auto"/>
        </w:rPr>
        <w:t>Pursuant to Section 2.05 of the Credit Agreement, the Company desires to convert or to continue the following Loans, each such conversion and/or continuation to be effective as of [ ]:</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$[___,___,___] Term Benchmark Loans to be continued with Interest Period of [____] month(s)</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$[___,___,___] Base Rate Loans to be converted to Term Benchmark Loans with Interest Period of [____] month(s)</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$[___,___,___] Term Benchmark Loans to be converted to Base Rate Loans</w:t>
      </w:r>
    </w:p>
    <w:p>
      <w:pPr>
        <w:sectPr>
          <w:pgSz w:w="11900" w:h="16838" w:orient="portrait"/>
          <w:cols w:equalWidth="0" w:num="1">
            <w:col w:w="11240"/>
          </w:cols>
          <w:pgMar w:left="320" w:top="13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Date: _____________, 202_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NMI HOLDINGS,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3" w:lineRule="exact"/>
        <w:rPr>
          <w:sz w:val="20"/>
          <w:szCs w:val="20"/>
          <w:color w:val="auto"/>
        </w:rPr>
      </w:pPr>
    </w:p>
    <w:p>
      <w:pPr>
        <w:sectPr>
          <w:pgSz w:w="11900" w:h="16838" w:orient="portrait"/>
          <w:cols w:equalWidth="0" w:num="2">
            <w:col w:w="5480" w:space="720"/>
            <w:col w:w="5040"/>
          </w:cols>
          <w:pgMar w:left="320" w:top="1388" w:right="339" w:bottom="1440" w:gutter="0" w:footer="0" w:header="0"/>
          <w:type w:val="continuous"/>
        </w:sectPr>
      </w:pPr>
    </w:p>
    <w:p>
      <w:pPr>
        <w:ind w:left="69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-151765</wp:posOffset>
            </wp:positionV>
            <wp:extent cx="2730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2730500" cy="8255"/>
                    </a:xfrm>
                    <a:prstGeom prst="rect">
                      <a:avLst/>
                    </a:prstGeom>
                    <a:noFill/>
                  </pic:spPr>
                </pic:pic>
              </a:graphicData>
            </a:graphic>
          </wp:anchor>
        </w:drawing>
      </w:r>
    </w:p>
    <w:p>
      <w:pPr>
        <w:spacing w:after="0" w:line="1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C-2-1</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88" w:right="339" w:bottom="1440" w:gutter="0" w:footer="0" w:header="0"/>
          <w:type w:val="continuous"/>
        </w:sectPr>
      </w:pPr>
    </w:p>
    <w:bookmarkStart w:id="205" w:name="page206"/>
    <w:bookmarkEnd w:id="205"/>
    <w:p>
      <w:pPr>
        <w:jc w:val="right"/>
        <w:spacing w:after="0"/>
        <w:rPr>
          <w:sz w:val="20"/>
          <w:szCs w:val="20"/>
          <w:color w:val="auto"/>
        </w:rPr>
      </w:pPr>
      <w:r>
        <w:rPr>
          <w:rFonts w:ascii="Times New Roman" w:cs="Times New Roman" w:eastAsia="Times New Roman" w:hAnsi="Times New Roman"/>
          <w:sz w:val="21"/>
          <w:szCs w:val="21"/>
          <w:b w:val="1"/>
          <w:bCs w:val="1"/>
          <w:color w:val="auto"/>
        </w:rPr>
        <w:t>EXHIBIT 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ASSIGNMENT AND ASSUMPTION</w:t>
      </w:r>
    </w:p>
    <w:p>
      <w:pPr>
        <w:spacing w:after="0" w:line="220" w:lineRule="exact"/>
        <w:rPr>
          <w:sz w:val="20"/>
          <w:szCs w:val="20"/>
          <w:color w:val="auto"/>
        </w:rPr>
      </w:pPr>
    </w:p>
    <w:p>
      <w:pPr>
        <w:jc w:val="both"/>
        <w:ind w:firstLine="633"/>
        <w:spacing w:after="0"/>
        <w:rPr>
          <w:sz w:val="20"/>
          <w:szCs w:val="20"/>
          <w:color w:val="auto"/>
        </w:rPr>
      </w:pPr>
      <w:r>
        <w:rPr>
          <w:rFonts w:ascii="Times New Roman" w:cs="Times New Roman" w:eastAsia="Times New Roman" w:hAnsi="Times New Roman"/>
          <w:sz w:val="21"/>
          <w:szCs w:val="21"/>
          <w:color w:val="auto"/>
        </w:rPr>
        <w:t>This Assignment and Assumption (this “</w:t>
      </w:r>
      <w:r>
        <w:rPr>
          <w:rFonts w:ascii="Times New Roman" w:cs="Times New Roman" w:eastAsia="Times New Roman" w:hAnsi="Times New Roman"/>
          <w:sz w:val="21"/>
          <w:szCs w:val="21"/>
          <w:b w:val="1"/>
          <w:bCs w:val="1"/>
          <w:color w:val="auto"/>
        </w:rPr>
        <w:t>Assignment and Assumption</w:t>
      </w:r>
      <w:r>
        <w:rPr>
          <w:rFonts w:ascii="Times New Roman" w:cs="Times New Roman" w:eastAsia="Times New Roman" w:hAnsi="Times New Roman"/>
          <w:sz w:val="21"/>
          <w:szCs w:val="21"/>
          <w:color w:val="auto"/>
        </w:rPr>
        <w:t>”) is dated as of the Effective Date set forth below and is entered into by and between [the][each]</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Assignor identified in item 1 below ([the][each, an] “</w:t>
      </w:r>
      <w:r>
        <w:rPr>
          <w:rFonts w:ascii="Times New Roman" w:cs="Times New Roman" w:eastAsia="Times New Roman" w:hAnsi="Times New Roman"/>
          <w:sz w:val="21"/>
          <w:szCs w:val="21"/>
          <w:b w:val="1"/>
          <w:bCs w:val="1"/>
          <w:color w:val="auto"/>
        </w:rPr>
        <w:t>Assignor</w:t>
      </w:r>
      <w:r>
        <w:rPr>
          <w:rFonts w:ascii="Times New Roman" w:cs="Times New Roman" w:eastAsia="Times New Roman" w:hAnsi="Times New Roman"/>
          <w:sz w:val="21"/>
          <w:szCs w:val="21"/>
          <w:color w:val="auto"/>
        </w:rPr>
        <w:t xml:space="preserve"> ”) and [the][each]</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xml:space="preserve"> Assignee identified in item 2 below ([the][each, an] “</w:t>
      </w:r>
      <w:r>
        <w:rPr>
          <w:rFonts w:ascii="Times New Roman" w:cs="Times New Roman" w:eastAsia="Times New Roman" w:hAnsi="Times New Roman"/>
          <w:sz w:val="21"/>
          <w:szCs w:val="21"/>
          <w:b w:val="1"/>
          <w:bCs w:val="1"/>
          <w:color w:val="auto"/>
        </w:rPr>
        <w:t>Assignee</w:t>
      </w:r>
      <w:r>
        <w:rPr>
          <w:rFonts w:ascii="Times New Roman" w:cs="Times New Roman" w:eastAsia="Times New Roman" w:hAnsi="Times New Roman"/>
          <w:sz w:val="21"/>
          <w:szCs w:val="21"/>
          <w:color w:val="auto"/>
        </w:rPr>
        <w:t>”). [It is understood and agreed that the rights and obligations of [the Assignors][the Assignees]</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1"/>
          <w:szCs w:val="21"/>
          <w:color w:val="auto"/>
        </w:rPr>
        <w:t xml:space="preserve"> hereunder are several and not joint.]</w:t>
      </w:r>
      <w:r>
        <w:rPr>
          <w:rFonts w:ascii="Times New Roman" w:cs="Times New Roman" w:eastAsia="Times New Roman" w:hAnsi="Times New Roman"/>
          <w:sz w:val="27"/>
          <w:szCs w:val="27"/>
          <w:color w:val="auto"/>
          <w:vertAlign w:val="superscript"/>
        </w:rPr>
        <w:t>4</w:t>
      </w:r>
      <w:r>
        <w:rPr>
          <w:rFonts w:ascii="Times New Roman" w:cs="Times New Roman" w:eastAsia="Times New Roman" w:hAnsi="Times New Roman"/>
          <w:sz w:val="21"/>
          <w:szCs w:val="21"/>
          <w:color w:val="auto"/>
        </w:rPr>
        <w:t xml:space="preserve"> Capitalized terms used but not defined herein shall have the meanings given to them in the Credit Agreement identified below (as amended, the “</w:t>
      </w:r>
      <w:r>
        <w:rPr>
          <w:rFonts w:ascii="Times New Roman" w:cs="Times New Roman" w:eastAsia="Times New Roman" w:hAnsi="Times New Roman"/>
          <w:sz w:val="21"/>
          <w:szCs w:val="21"/>
          <w:b w:val="1"/>
          <w:bCs w:val="1"/>
          <w:color w:val="auto"/>
        </w:rPr>
        <w:t>Credit Agreement</w:t>
      </w:r>
      <w:r>
        <w:rPr>
          <w:rFonts w:ascii="Times New Roman" w:cs="Times New Roman" w:eastAsia="Times New Roman" w:hAnsi="Times New Roman"/>
          <w:sz w:val="21"/>
          <w:szCs w:val="21"/>
          <w:color w:val="auto"/>
        </w:rPr>
        <w:t xml:space="preserve">”), receipt of a copy of which is hereby acknowledged by [the][each] Assignee. The Standard Terms and Conditions set forth in </w:t>
      </w:r>
      <w:r>
        <w:rPr>
          <w:rFonts w:ascii="Times New Roman" w:cs="Times New Roman" w:eastAsia="Times New Roman" w:hAnsi="Times New Roman"/>
          <w:sz w:val="21"/>
          <w:szCs w:val="21"/>
          <w:u w:val="single" w:color="auto"/>
          <w:color w:val="auto"/>
        </w:rPr>
        <w:t>Annex 1</w:t>
      </w:r>
      <w:r>
        <w:rPr>
          <w:rFonts w:ascii="Times New Roman" w:cs="Times New Roman" w:eastAsia="Times New Roman" w:hAnsi="Times New Roman"/>
          <w:sz w:val="21"/>
          <w:szCs w:val="21"/>
          <w:color w:val="auto"/>
        </w:rPr>
        <w:t xml:space="preserve"> attached hereto are hereby agreed to and incorporated herein by reference and made a part of this Assignment and Assumption as if set forth herein in full.</w:t>
      </w:r>
    </w:p>
    <w:p>
      <w:pPr>
        <w:spacing w:after="0" w:line="200" w:lineRule="exact"/>
        <w:rPr>
          <w:sz w:val="20"/>
          <w:szCs w:val="20"/>
          <w:color w:val="auto"/>
        </w:rPr>
      </w:pPr>
    </w:p>
    <w:p>
      <w:pPr>
        <w:spacing w:after="0" w:line="218" w:lineRule="exact"/>
        <w:rPr>
          <w:sz w:val="20"/>
          <w:szCs w:val="20"/>
          <w:color w:val="auto"/>
        </w:rPr>
      </w:pPr>
    </w:p>
    <w:p>
      <w:pPr>
        <w:jc w:val="both"/>
        <w:ind w:firstLine="633"/>
        <w:spacing w:after="0" w:line="254" w:lineRule="auto"/>
        <w:rPr>
          <w:sz w:val="20"/>
          <w:szCs w:val="20"/>
          <w:color w:val="auto"/>
        </w:rPr>
      </w:pPr>
      <w:r>
        <w:rPr>
          <w:rFonts w:ascii="Times New Roman" w:cs="Times New Roman" w:eastAsia="Times New Roman" w:hAnsi="Times New Roman"/>
          <w:sz w:val="21"/>
          <w:szCs w:val="21"/>
          <w:color w:val="auto"/>
        </w:rPr>
        <w:t xml:space="preserve">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set forth in </w:t>
      </w:r>
      <w:r>
        <w:rPr>
          <w:rFonts w:ascii="Times New Roman" w:cs="Times New Roman" w:eastAsia="Times New Roman" w:hAnsi="Times New Roman"/>
          <w:sz w:val="21"/>
          <w:szCs w:val="21"/>
          <w:u w:val="single" w:color="auto"/>
          <w:color w:val="auto"/>
        </w:rPr>
        <w:t>Annex 1</w:t>
      </w:r>
      <w:r>
        <w:rPr>
          <w:rFonts w:ascii="Times New Roman" w:cs="Times New Roman" w:eastAsia="Times New Roman" w:hAnsi="Times New Roman"/>
          <w:sz w:val="21"/>
          <w:szCs w:val="21"/>
          <w:color w:val="auto"/>
        </w:rPr>
        <w:t xml:space="preserve"> hereto and the Credit Agreement, as of the Effective Date inserted by the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Times New Roman" w:cs="Times New Roman" w:eastAsia="Times New Roman" w:hAnsi="Times New Roman"/>
          <w:sz w:val="21"/>
          <w:szCs w:val="21"/>
          <w:b w:val="1"/>
          <w:bCs w:val="1"/>
          <w:color w:val="auto"/>
        </w:rPr>
        <w:t>Assigned Interest</w:t>
      </w:r>
      <w:r>
        <w:rPr>
          <w:rFonts w:ascii="Times New Roman" w:cs="Times New Roman" w:eastAsia="Times New Roman" w:hAnsi="Times New Roman"/>
          <w:sz w:val="21"/>
          <w:szCs w:val="21"/>
          <w:color w:val="auto"/>
        </w:rPr>
        <w:t>”). Each such sale and assignment is without recourse to [the][any] Assignor and, except as expressly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16751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57" w:lineRule="exact"/>
        <w:rPr>
          <w:sz w:val="20"/>
          <w:szCs w:val="20"/>
          <w:color w:val="auto"/>
        </w:rPr>
      </w:pPr>
    </w:p>
    <w:p>
      <w:pPr>
        <w:ind w:firstLine="639"/>
        <w:spacing w:after="0" w:line="223" w:lineRule="auto"/>
        <w:tabs>
          <w:tab w:leader="none" w:pos="753" w:val="left"/>
        </w:tabs>
        <w:numPr>
          <w:ilvl w:val="0"/>
          <w:numId w:val="2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155" w:lineRule="exact"/>
        <w:rPr>
          <w:sz w:val="20"/>
          <w:szCs w:val="20"/>
          <w:color w:val="auto"/>
        </w:rPr>
      </w:pPr>
    </w:p>
    <w:p>
      <w:pPr>
        <w:ind w:firstLine="639"/>
        <w:spacing w:after="0" w:line="223" w:lineRule="auto"/>
        <w:tabs>
          <w:tab w:leader="none" w:pos="760" w:val="left"/>
        </w:tabs>
        <w:numPr>
          <w:ilvl w:val="0"/>
          <w:numId w:val="2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120" w:lineRule="exact"/>
        <w:rPr>
          <w:sz w:val="20"/>
          <w:szCs w:val="20"/>
          <w:color w:val="auto"/>
        </w:rPr>
      </w:pPr>
    </w:p>
    <w:p>
      <w:pPr>
        <w:ind w:left="740" w:hanging="101"/>
        <w:spacing w:after="0"/>
        <w:tabs>
          <w:tab w:leader="none" w:pos="740" w:val="left"/>
        </w:tabs>
        <w:numPr>
          <w:ilvl w:val="0"/>
          <w:numId w:val="2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Select as appropriate.</w:t>
      </w:r>
    </w:p>
    <w:p>
      <w:pPr>
        <w:spacing w:after="0" w:line="131" w:lineRule="exact"/>
        <w:rPr>
          <w:sz w:val="20"/>
          <w:szCs w:val="20"/>
          <w:color w:val="auto"/>
        </w:rPr>
      </w:pPr>
    </w:p>
    <w:p>
      <w:pPr>
        <w:ind w:left="740" w:hanging="101"/>
        <w:spacing w:after="0"/>
        <w:tabs>
          <w:tab w:leader="none" w:pos="740" w:val="left"/>
        </w:tabs>
        <w:numPr>
          <w:ilvl w:val="0"/>
          <w:numId w:val="2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 bracketed language if there are either multiple Assignors or multiple Assignees.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88"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21"/>
          <w:szCs w:val="21"/>
          <w:color w:val="auto"/>
        </w:rPr>
        <w:t>in this Assignment and Assumption, without representation or warranty by [the] [any] Assignor.</w:t>
      </w:r>
    </w:p>
    <w:p>
      <w:pPr>
        <w:spacing w:after="0" w:line="220" w:lineRule="exact"/>
        <w:rPr>
          <w:sz w:val="20"/>
          <w:szCs w:val="20"/>
          <w:color w:val="auto"/>
        </w:rPr>
      </w:pPr>
    </w:p>
    <w:p>
      <w:pPr>
        <w:ind w:left="1000" w:hanging="361"/>
        <w:spacing w:after="0"/>
        <w:tabs>
          <w:tab w:leader="none" w:pos="100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Assignor[s]: ____________________</w:t>
      </w:r>
    </w:p>
    <w:p>
      <w:pPr>
        <w:spacing w:after="0" w:line="220" w:lineRule="exact"/>
        <w:rPr>
          <w:rFonts w:ascii="Times New Roman" w:cs="Times New Roman" w:eastAsia="Times New Roman" w:hAnsi="Times New Roman"/>
          <w:sz w:val="21"/>
          <w:szCs w:val="21"/>
          <w:color w:val="auto"/>
        </w:rPr>
      </w:pPr>
    </w:p>
    <w:p>
      <w:pPr>
        <w:ind w:left="1000" w:hanging="361"/>
        <w:spacing w:after="0"/>
        <w:tabs>
          <w:tab w:leader="none" w:pos="100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Assignee[s]: ____________________</w:t>
      </w:r>
    </w:p>
    <w:p>
      <w:pPr>
        <w:spacing w:after="0" w:line="2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[for each Assignee, indicate [Affiliate][Approved Fund] of [</w:t>
      </w:r>
      <w:r>
        <w:rPr>
          <w:rFonts w:ascii="Times New Roman" w:cs="Times New Roman" w:eastAsia="Times New Roman" w:hAnsi="Times New Roman"/>
          <w:sz w:val="21"/>
          <w:szCs w:val="21"/>
          <w:i w:val="1"/>
          <w:iCs w:val="1"/>
          <w:color w:val="auto"/>
        </w:rPr>
        <w:t>identify Lender</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1000" w:hanging="361"/>
        <w:spacing w:after="0"/>
        <w:tabs>
          <w:tab w:leader="none" w:pos="1000"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NMI Holdings, Inc.</w:t>
      </w:r>
    </w:p>
    <w:p>
      <w:pPr>
        <w:spacing w:after="0" w:line="220" w:lineRule="exact"/>
        <w:rPr>
          <w:rFonts w:ascii="Times New Roman" w:cs="Times New Roman" w:eastAsia="Times New Roman" w:hAnsi="Times New Roman"/>
          <w:sz w:val="21"/>
          <w:szCs w:val="21"/>
          <w:color w:val="auto"/>
        </w:rPr>
      </w:pPr>
    </w:p>
    <w:p>
      <w:pPr>
        <w:ind w:left="1000" w:hanging="361"/>
        <w:spacing w:after="0"/>
        <w:tabs>
          <w:tab w:leader="none" w:pos="1000"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Royal Bank of Canada, as the administrative agent under the Credit Agreement</w:t>
      </w:r>
    </w:p>
    <w:p>
      <w:pPr>
        <w:spacing w:after="0" w:line="220" w:lineRule="exact"/>
        <w:rPr>
          <w:rFonts w:ascii="Times New Roman" w:cs="Times New Roman" w:eastAsia="Times New Roman" w:hAnsi="Times New Roman"/>
          <w:sz w:val="21"/>
          <w:szCs w:val="21"/>
          <w:color w:val="auto"/>
        </w:rPr>
      </w:pPr>
    </w:p>
    <w:p>
      <w:pPr>
        <w:ind w:left="1280" w:hanging="641"/>
        <w:spacing w:after="0" w:line="283" w:lineRule="auto"/>
        <w:tabs>
          <w:tab w:leader="none" w:pos="1047"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Credit Agreement: Credit Agreement, dated as of April 29, 2024, among NMI Holdings, Inc., the Lenders from time to time party thereto and Royal Bank of Canada, as Agent.</w:t>
      </w:r>
    </w:p>
    <w:p>
      <w:pPr>
        <w:spacing w:after="0" w:line="155" w:lineRule="exact"/>
        <w:rPr>
          <w:rFonts w:ascii="Times New Roman" w:cs="Times New Roman" w:eastAsia="Times New Roman" w:hAnsi="Times New Roman"/>
          <w:sz w:val="21"/>
          <w:szCs w:val="21"/>
          <w:color w:val="auto"/>
        </w:rPr>
      </w:pPr>
    </w:p>
    <w:p>
      <w:pPr>
        <w:ind w:left="1000" w:hanging="361"/>
        <w:spacing w:after="0"/>
        <w:tabs>
          <w:tab w:leader="none" w:pos="1000"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Assigned Interest[s]: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00" w:type="dxa"/>
            <w:vAlign w:val="bottom"/>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rPr>
              <w:t>Aggregate Amount of</w:t>
            </w:r>
          </w:p>
        </w:tc>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 of Commitment/</w:t>
            </w:r>
          </w:p>
        </w:tc>
        <w:tc>
          <w:tcPr>
            <w:tcW w:w="17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Percentage Assigned of</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6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900" w:type="dxa"/>
            <w:vAlign w:val="bottom"/>
          </w:tcPr>
          <w:p>
            <w:pPr>
              <w:jc w:val="center"/>
              <w:ind w:left="166"/>
              <w:spacing w:after="0" w:line="132" w:lineRule="exact"/>
              <w:rPr>
                <w:sz w:val="20"/>
                <w:szCs w:val="20"/>
                <w:color w:val="auto"/>
              </w:rPr>
            </w:pPr>
            <w:r>
              <w:rPr>
                <w:rFonts w:ascii="Times New Roman" w:cs="Times New Roman" w:eastAsia="Times New Roman" w:hAnsi="Times New Roman"/>
                <w:sz w:val="14"/>
                <w:szCs w:val="14"/>
                <w:b w:val="1"/>
                <w:bCs w:val="1"/>
                <w:color w:val="auto"/>
                <w:w w:val="99"/>
              </w:rPr>
              <w:t>Commitment/Loans of</w:t>
            </w:r>
          </w:p>
        </w:tc>
        <w:tc>
          <w:tcPr>
            <w:tcW w:w="16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6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Assignor[s]</w:t>
            </w:r>
            <w:r>
              <w:rPr>
                <w:rFonts w:ascii="Times New Roman" w:cs="Times New Roman" w:eastAsia="Times New Roman" w:hAnsi="Times New Roman"/>
                <w:sz w:val="18"/>
                <w:szCs w:val="18"/>
                <w:b w:val="1"/>
                <w:bCs w:val="1"/>
                <w:color w:val="auto"/>
                <w:vertAlign w:val="superscript"/>
              </w:rPr>
              <w:t>5</w:t>
            </w:r>
          </w:p>
        </w:tc>
        <w:tc>
          <w:tcPr>
            <w:tcW w:w="16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Assignee[s]</w:t>
            </w:r>
            <w:r>
              <w:rPr>
                <w:rFonts w:ascii="Times New Roman" w:cs="Times New Roman" w:eastAsia="Times New Roman" w:hAnsi="Times New Roman"/>
                <w:sz w:val="18"/>
                <w:szCs w:val="18"/>
                <w:b w:val="1"/>
                <w:bCs w:val="1"/>
                <w:color w:val="auto"/>
                <w:vertAlign w:val="superscript"/>
              </w:rPr>
              <w:t>6</w:t>
            </w:r>
          </w:p>
        </w:tc>
        <w:tc>
          <w:tcPr>
            <w:tcW w:w="13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Facility </w:t>
            </w:r>
            <w:r>
              <w:rPr>
                <w:rFonts w:ascii="Times New Roman" w:cs="Times New Roman" w:eastAsia="Times New Roman" w:hAnsi="Times New Roman"/>
                <w:sz w:val="18"/>
                <w:szCs w:val="18"/>
                <w:b w:val="1"/>
                <w:bCs w:val="1"/>
                <w:color w:val="auto"/>
                <w:vertAlign w:val="superscript"/>
              </w:rPr>
              <w:t>7</w:t>
            </w:r>
          </w:p>
        </w:tc>
        <w:tc>
          <w:tcPr>
            <w:tcW w:w="1900" w:type="dxa"/>
            <w:vAlign w:val="bottom"/>
          </w:tcPr>
          <w:p>
            <w:pPr>
              <w:jc w:val="center"/>
              <w:ind w:left="166"/>
              <w:spacing w:after="0" w:line="145" w:lineRule="exact"/>
              <w:rPr>
                <w:sz w:val="20"/>
                <w:szCs w:val="20"/>
                <w:color w:val="auto"/>
              </w:rPr>
            </w:pPr>
            <w:r>
              <w:rPr>
                <w:rFonts w:ascii="Times New Roman" w:cs="Times New Roman" w:eastAsia="Times New Roman" w:hAnsi="Times New Roman"/>
                <w:sz w:val="14"/>
                <w:szCs w:val="14"/>
                <w:b w:val="1"/>
                <w:bCs w:val="1"/>
                <w:color w:val="auto"/>
              </w:rPr>
              <w:t>the Applicable Facility for</w:t>
            </w:r>
          </w:p>
        </w:tc>
        <w:tc>
          <w:tcPr>
            <w:tcW w:w="160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Loans of the Applicable</w:t>
            </w:r>
          </w:p>
        </w:tc>
        <w:tc>
          <w:tcPr>
            <w:tcW w:w="170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Commitment/ Loans of</w:t>
            </w:r>
          </w:p>
        </w:tc>
        <w:tc>
          <w:tcPr>
            <w:tcW w:w="15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CUSIP Number</w:t>
            </w:r>
          </w:p>
        </w:tc>
        <w:tc>
          <w:tcPr>
            <w:tcW w:w="0" w:type="dxa"/>
            <w:vAlign w:val="bottom"/>
          </w:tcPr>
          <w:p>
            <w:pPr>
              <w:spacing w:after="0"/>
              <w:rPr>
                <w:sz w:val="1"/>
                <w:szCs w:val="1"/>
                <w:color w:val="auto"/>
              </w:rPr>
            </w:pPr>
          </w:p>
        </w:tc>
      </w:tr>
      <w:tr>
        <w:trPr>
          <w:trHeight w:val="211"/>
        </w:trPr>
        <w:tc>
          <w:tcPr>
            <w:tcW w:w="160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w w:val="99"/>
              </w:rPr>
              <w:t>All Lenders</w:t>
            </w:r>
          </w:p>
        </w:tc>
        <w:tc>
          <w:tcPr>
            <w:tcW w:w="1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Facility Assigned</w:t>
            </w:r>
            <w:r>
              <w:rPr>
                <w:rFonts w:ascii="Times New Roman" w:cs="Times New Roman" w:eastAsia="Times New Roman" w:hAnsi="Times New Roman"/>
                <w:sz w:val="18"/>
                <w:szCs w:val="18"/>
                <w:b w:val="1"/>
                <w:bCs w:val="1"/>
                <w:color w:val="auto"/>
                <w:vertAlign w:val="superscript"/>
              </w:rPr>
              <w:t>8</w:t>
            </w:r>
          </w:p>
        </w:tc>
        <w:tc>
          <w:tcPr>
            <w:tcW w:w="1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the Applicable Facility</w:t>
            </w:r>
            <w:r>
              <w:rPr>
                <w:rFonts w:ascii="Times New Roman" w:cs="Times New Roman" w:eastAsia="Times New Roman" w:hAnsi="Times New Roman"/>
                <w:sz w:val="18"/>
                <w:szCs w:val="18"/>
                <w:b w:val="1"/>
                <w:bCs w:val="1"/>
                <w:color w:val="auto"/>
                <w:vertAlign w:val="superscript"/>
              </w:rPr>
              <w:t>9</w:t>
            </w: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0"/>
        </w:trPr>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00" w:type="dxa"/>
            <w:vAlign w:val="bottom"/>
          </w:tcPr>
          <w:p>
            <w:pPr>
              <w:jc w:val="right"/>
              <w:ind w:right="1406"/>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1445"/>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00" w:type="dxa"/>
            <w:vAlign w:val="bottom"/>
          </w:tcPr>
          <w:p>
            <w:pPr>
              <w:jc w:val="right"/>
              <w:ind w:right="1406"/>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1445"/>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00" w:type="dxa"/>
            <w:vAlign w:val="bottom"/>
          </w:tcPr>
          <w:p>
            <w:pPr>
              <w:jc w:val="right"/>
              <w:ind w:right="1406"/>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1445"/>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640"/>
        <w:spacing w:after="0"/>
        <w:tabs>
          <w:tab w:leader="none" w:pos="1060" w:val="left"/>
          <w:tab w:leader="none" w:pos="2260" w:val="left"/>
        </w:tabs>
        <w:rPr>
          <w:sz w:val="20"/>
          <w:szCs w:val="20"/>
          <w:color w:val="auto"/>
        </w:rPr>
      </w:pPr>
      <w:r>
        <w:rPr>
          <w:rFonts w:ascii="Times New Roman" w:cs="Times New Roman" w:eastAsia="Times New Roman" w:hAnsi="Times New Roman"/>
          <w:sz w:val="21"/>
          <w:szCs w:val="21"/>
          <w:color w:val="auto"/>
        </w:rPr>
        <w:t>[7.</w:t>
        <w:tab/>
        <w:t>Trade Date:</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157480</wp:posOffset>
            </wp:positionV>
            <wp:extent cx="16751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79" w:lineRule="exact"/>
        <w:rPr>
          <w:sz w:val="20"/>
          <w:szCs w:val="20"/>
          <w:color w:val="auto"/>
        </w:rPr>
      </w:pPr>
    </w:p>
    <w:p>
      <w:pPr>
        <w:ind w:left="740" w:hanging="101"/>
        <w:spacing w:after="0"/>
        <w:tabs>
          <w:tab w:leader="none" w:pos="740" w:val="left"/>
        </w:tabs>
        <w:numPr>
          <w:ilvl w:val="0"/>
          <w:numId w:val="2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List each Assignor, as appropriate.</w:t>
      </w:r>
    </w:p>
    <w:p>
      <w:pPr>
        <w:spacing w:after="0" w:line="118" w:lineRule="exact"/>
        <w:rPr>
          <w:sz w:val="20"/>
          <w:szCs w:val="20"/>
          <w:color w:val="auto"/>
        </w:rPr>
      </w:pPr>
    </w:p>
    <w:p>
      <w:pPr>
        <w:ind w:left="740" w:hanging="101"/>
        <w:spacing w:after="0"/>
        <w:tabs>
          <w:tab w:leader="none" w:pos="740" w:val="left"/>
        </w:tabs>
        <w:numPr>
          <w:ilvl w:val="0"/>
          <w:numId w:val="2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List each Assignee, as appropriate.</w:t>
      </w:r>
    </w:p>
    <w:p>
      <w:pPr>
        <w:spacing w:after="0" w:line="118" w:lineRule="exact"/>
        <w:rPr>
          <w:sz w:val="20"/>
          <w:szCs w:val="20"/>
          <w:color w:val="auto"/>
        </w:rPr>
      </w:pPr>
    </w:p>
    <w:p>
      <w:pPr>
        <w:ind w:left="740" w:hanging="101"/>
        <w:spacing w:after="0"/>
        <w:tabs>
          <w:tab w:leader="none" w:pos="740" w:val="left"/>
        </w:tabs>
        <w:numPr>
          <w:ilvl w:val="0"/>
          <w:numId w:val="2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Fill in the appropriate terminology for the applicable Facility for the Loans that are being assigned under this Assignment.</w:t>
      </w:r>
    </w:p>
    <w:p>
      <w:pPr>
        <w:spacing w:after="0" w:line="167" w:lineRule="exact"/>
        <w:rPr>
          <w:sz w:val="20"/>
          <w:szCs w:val="20"/>
          <w:color w:val="auto"/>
        </w:rPr>
      </w:pPr>
    </w:p>
    <w:p>
      <w:pPr>
        <w:ind w:firstLine="639"/>
        <w:spacing w:after="0" w:line="223" w:lineRule="auto"/>
        <w:tabs>
          <w:tab w:leader="none" w:pos="757" w:val="left"/>
        </w:tabs>
        <w:numPr>
          <w:ilvl w:val="0"/>
          <w:numId w:val="2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 this column and in the column immediately to the right to be adjusted by the counterparties to take into account any payments or prepayments made between the Trade Date and the Effective Date.</w:t>
      </w:r>
    </w:p>
    <w:p>
      <w:pPr>
        <w:spacing w:after="0" w:line="120" w:lineRule="exact"/>
        <w:rPr>
          <w:sz w:val="20"/>
          <w:szCs w:val="20"/>
          <w:color w:val="auto"/>
        </w:rPr>
      </w:pPr>
    </w:p>
    <w:p>
      <w:pPr>
        <w:ind w:left="740" w:hanging="101"/>
        <w:spacing w:after="0"/>
        <w:tabs>
          <w:tab w:leader="none" w:pos="740" w:val="left"/>
        </w:tabs>
        <w:numPr>
          <w:ilvl w:val="0"/>
          <w:numId w:val="2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Set forth, to at least 9 decimals, as a percentage of the Commitment/Loans of the Applicable Facility for all Lenders.</w:t>
      </w:r>
    </w:p>
    <w:p>
      <w:pPr>
        <w:spacing w:after="0" w:line="118" w:lineRule="exact"/>
        <w:rPr>
          <w:sz w:val="20"/>
          <w:szCs w:val="20"/>
          <w:color w:val="auto"/>
        </w:rPr>
      </w:pPr>
    </w:p>
    <w:p>
      <w:pPr>
        <w:ind w:left="800" w:hanging="161"/>
        <w:spacing w:after="0"/>
        <w:tabs>
          <w:tab w:leader="none" w:pos="800" w:val="left"/>
        </w:tabs>
        <w:numPr>
          <w:ilvl w:val="0"/>
          <w:numId w:val="2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completed if the Assignor(s) and the Assignee(s) intend that the minimum assignment amount is to be determined as of the Trade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D-2</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92"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21"/>
          <w:szCs w:val="21"/>
          <w:color w:val="auto"/>
        </w:rPr>
        <w:t>Effective Date:_______________________, 20__ [TO BE INSERTED BY AGENT AND WHICH SHALL BE THE EFFECTIVE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OF RECORDATION OF TRANSFER IN THE REGISTER THEREFOR.]</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terms set forth in this Assignment and Assumption are hereby agreed to:</w:t>
      </w:r>
    </w:p>
    <w:p>
      <w:pPr>
        <w:spacing w:after="0" w:line="25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ASSIGNOR</w:t>
      </w:r>
    </w:p>
    <w:p>
      <w:pPr>
        <w:ind w:left="3880"/>
        <w:spacing w:after="0"/>
        <w:rPr>
          <w:sz w:val="20"/>
          <w:szCs w:val="20"/>
          <w:color w:val="auto"/>
        </w:rPr>
      </w:pPr>
      <w:r>
        <w:rPr>
          <w:rFonts w:ascii="Times New Roman" w:cs="Times New Roman" w:eastAsia="Times New Roman" w:hAnsi="Times New Roman"/>
          <w:sz w:val="21"/>
          <w:szCs w:val="21"/>
          <w:color w:val="auto"/>
        </w:rPr>
        <w:t>[NAME OF ASSIGNOR][S]</w:t>
      </w:r>
    </w:p>
    <w:p>
      <w:pPr>
        <w:spacing w:after="0" w:line="1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By:</w:t>
      </w:r>
    </w:p>
    <w:p>
      <w:pPr>
        <w:spacing w:after="0" w:line="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-151765</wp:posOffset>
            </wp:positionV>
            <wp:extent cx="21272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2127250" cy="8255"/>
                    </a:xfrm>
                    <a:prstGeom prst="rect">
                      <a:avLst/>
                    </a:prstGeom>
                    <a:noFill/>
                  </pic:spPr>
                </pic:pic>
              </a:graphicData>
            </a:graphic>
          </wp:anchor>
        </w:drawing>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Title:</w:t>
      </w:r>
    </w:p>
    <w:p>
      <w:pPr>
        <w:spacing w:after="0" w:line="34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ASSIGNEE</w:t>
      </w:r>
    </w:p>
    <w:p>
      <w:pPr>
        <w:ind w:left="3880"/>
        <w:spacing w:after="0"/>
        <w:rPr>
          <w:sz w:val="20"/>
          <w:szCs w:val="20"/>
          <w:color w:val="auto"/>
        </w:rPr>
      </w:pPr>
      <w:r>
        <w:rPr>
          <w:rFonts w:ascii="Times New Roman" w:cs="Times New Roman" w:eastAsia="Times New Roman" w:hAnsi="Times New Roman"/>
          <w:sz w:val="21"/>
          <w:szCs w:val="21"/>
          <w:color w:val="auto"/>
        </w:rPr>
        <w:t>[NAME OF ASSIGNEE][S]</w:t>
      </w:r>
    </w:p>
    <w:p>
      <w:pPr>
        <w:spacing w:after="0" w:line="1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By:</w:t>
      </w:r>
    </w:p>
    <w:p>
      <w:pPr>
        <w:spacing w:after="0" w:line="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-151765</wp:posOffset>
            </wp:positionV>
            <wp:extent cx="21272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2127250" cy="8255"/>
                    </a:xfrm>
                    <a:prstGeom prst="rect">
                      <a:avLst/>
                    </a:prstGeom>
                    <a:noFill/>
                  </pic:spPr>
                </pic:pic>
              </a:graphicData>
            </a:graphic>
          </wp:anchor>
        </w:drawing>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Title:</w:t>
      </w:r>
    </w:p>
    <w:p>
      <w:pPr>
        <w:spacing w:after="0" w:line="3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[Consented to and] Accepted:</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ROYAL BANK OF CANADA, as Agent</w:t>
      </w:r>
      <w:r>
        <w:rPr>
          <w:rFonts w:ascii="Times New Roman" w:cs="Times New Roman" w:eastAsia="Times New Roman" w:hAnsi="Times New Roman"/>
          <w:sz w:val="27"/>
          <w:szCs w:val="27"/>
          <w:color w:val="auto"/>
          <w:vertAlign w:val="superscript"/>
        </w:rPr>
        <w:t>11</w:t>
      </w:r>
    </w:p>
    <w:p>
      <w:pPr>
        <w:spacing w:after="0" w:line="3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-151765</wp:posOffset>
            </wp:positionV>
            <wp:extent cx="32245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3224530" cy="8255"/>
                    </a:xfrm>
                    <a:prstGeom prst="rect">
                      <a:avLst/>
                    </a:prstGeom>
                    <a:noFill/>
                  </pic:spPr>
                </pic:pic>
              </a:graphicData>
            </a:graphic>
          </wp:anchor>
        </w:drawing>
      </w:r>
    </w:p>
    <w:p>
      <w:pPr>
        <w:spacing w:after="0" w:line="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Title:</w:t>
      </w:r>
    </w:p>
    <w:p>
      <w:pPr>
        <w:spacing w:after="0" w:line="3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[Consented to:]</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[NMI HOLDINGS, INC., as the Company</w:t>
      </w:r>
      <w:r>
        <w:rPr>
          <w:rFonts w:ascii="Times New Roman" w:cs="Times New Roman" w:eastAsia="Times New Roman" w:hAnsi="Times New Roman"/>
          <w:sz w:val="27"/>
          <w:szCs w:val="27"/>
          <w:color w:val="auto"/>
          <w:vertAlign w:val="superscript"/>
        </w:rPr>
        <w:t>12</w:t>
      </w:r>
    </w:p>
    <w:p>
      <w:pPr>
        <w:spacing w:after="0" w:line="3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-151765</wp:posOffset>
            </wp:positionV>
            <wp:extent cx="32245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3224530" cy="8255"/>
                    </a:xfrm>
                    <a:prstGeom prst="rect">
                      <a:avLst/>
                    </a:prstGeom>
                    <a:noFill/>
                  </pic:spPr>
                </pic:pic>
              </a:graphicData>
            </a:graphic>
          </wp:anchor>
        </w:drawing>
      </w:r>
    </w:p>
    <w:p>
      <w:pPr>
        <w:spacing w:after="0" w:line="15" w:lineRule="exact"/>
        <w:rPr>
          <w:sz w:val="20"/>
          <w:szCs w:val="20"/>
          <w:color w:val="auto"/>
        </w:rPr>
      </w:pPr>
    </w:p>
    <w:p>
      <w:pPr>
        <w:ind w:left="860"/>
        <w:spacing w:after="0"/>
        <w:tabs>
          <w:tab w:leader="none" w:pos="15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333375</wp:posOffset>
            </wp:positionV>
            <wp:extent cx="16751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800" w:hanging="161"/>
        <w:spacing w:after="0"/>
        <w:tabs>
          <w:tab w:leader="none" w:pos="800" w:val="left"/>
        </w:tabs>
        <w:numPr>
          <w:ilvl w:val="0"/>
          <w:numId w:val="2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added only if the consent of the Agent is required by the terms of the Credit Agreement.</w:t>
      </w:r>
    </w:p>
    <w:p>
      <w:pPr>
        <w:spacing w:after="0" w:line="117" w:lineRule="exact"/>
        <w:rPr>
          <w:rFonts w:ascii="Times New Roman" w:cs="Times New Roman" w:eastAsia="Times New Roman" w:hAnsi="Times New Roman"/>
          <w:sz w:val="23"/>
          <w:szCs w:val="23"/>
          <w:color w:val="auto"/>
          <w:vertAlign w:val="superscript"/>
        </w:rPr>
      </w:pPr>
    </w:p>
    <w:p>
      <w:pPr>
        <w:ind w:left="800" w:hanging="161"/>
        <w:spacing w:after="0"/>
        <w:tabs>
          <w:tab w:leader="none" w:pos="800" w:val="left"/>
        </w:tabs>
        <w:numPr>
          <w:ilvl w:val="0"/>
          <w:numId w:val="2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added only if the consent of the Company is required by the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D-3</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20"/>
          </w:cols>
          <w:pgMar w:left="320" w:top="1392" w:right="35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21"/>
          <w:szCs w:val="21"/>
          <w:b w:val="1"/>
          <w:bCs w:val="1"/>
          <w:color w:val="auto"/>
        </w:rPr>
        <w:t>ANNEX 1 TO ASSIGNMENT AND ASSUMPTION</w:t>
      </w:r>
    </w:p>
    <w:p>
      <w:pPr>
        <w:spacing w:after="0" w:line="22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b w:val="1"/>
          <w:bCs w:val="1"/>
          <w:color w:val="auto"/>
        </w:rPr>
        <w:t>STANDARD TERMS AND CONDITIONS FOR</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ASSIGNMENT AND ASSUMPTION</w:t>
      </w:r>
    </w:p>
    <w:p>
      <w:pPr>
        <w:spacing w:after="0" w:line="207" w:lineRule="exact"/>
        <w:rPr>
          <w:sz w:val="20"/>
          <w:szCs w:val="20"/>
          <w:color w:val="auto"/>
        </w:rPr>
      </w:pPr>
    </w:p>
    <w:p>
      <w:pPr>
        <w:ind w:left="1000" w:hanging="361"/>
        <w:spacing w:after="0"/>
        <w:tabs>
          <w:tab w:leader="none" w:pos="1000"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Representations and Warranties.</w:t>
      </w:r>
    </w:p>
    <w:p>
      <w:pPr>
        <w:spacing w:after="0" w:line="220" w:lineRule="exact"/>
        <w:rPr>
          <w:sz w:val="20"/>
          <w:szCs w:val="20"/>
          <w:color w:val="auto"/>
        </w:rPr>
      </w:pPr>
    </w:p>
    <w:p>
      <w:pPr>
        <w:ind w:firstLine="633"/>
        <w:spacing w:after="0" w:line="261"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i w:val="1"/>
          <w:iCs w:val="1"/>
          <w:color w:val="auto"/>
        </w:rPr>
        <w:t>Assignor[s]</w:t>
      </w:r>
      <w:r>
        <w:rPr>
          <w:rFonts w:ascii="Times New Roman" w:cs="Times New Roman" w:eastAsia="Times New Roman" w:hAnsi="Times New Roman"/>
          <w:sz w:val="21"/>
          <w:szCs w:val="21"/>
          <w:color w:val="auto"/>
        </w:rPr>
        <w:t>. [The][Each] Assignor (a) represents and warrants that (i) it is the legal and beneficial owner of [the][the relevant] Assigned Interest, (ii) [the][such] Assigned Interest is free and clear of any lien, encumbrance or other adverse claim and</w:t>
      </w:r>
    </w:p>
    <w:p>
      <w:pPr>
        <w:spacing w:after="0" w:line="2" w:lineRule="exact"/>
        <w:rPr>
          <w:sz w:val="20"/>
          <w:szCs w:val="20"/>
          <w:color w:val="auto"/>
        </w:rPr>
      </w:pPr>
    </w:p>
    <w:p>
      <w:pPr>
        <w:jc w:val="both"/>
        <w:ind w:firstLine="6"/>
        <w:spacing w:after="0" w:line="252" w:lineRule="auto"/>
        <w:tabs>
          <w:tab w:leader="none" w:pos="369"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77" w:lineRule="exact"/>
        <w:rPr>
          <w:sz w:val="20"/>
          <w:szCs w:val="20"/>
          <w:color w:val="auto"/>
        </w:rPr>
      </w:pPr>
    </w:p>
    <w:p>
      <w:pPr>
        <w:jc w:val="both"/>
        <w:ind w:firstLine="633"/>
        <w:spacing w:after="0" w:line="254"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i w:val="1"/>
          <w:iCs w:val="1"/>
          <w:color w:val="auto"/>
        </w:rPr>
        <w:t>Assignee[s]</w:t>
      </w:r>
      <w:r>
        <w:rPr>
          <w:rFonts w:ascii="Times New Roman" w:cs="Times New Roman" w:eastAsia="Times New Roman" w:hAnsi="Times New Roman"/>
          <w:sz w:val="21"/>
          <w:szCs w:val="21"/>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of an Eligible Assignee under the Credit Agreement (subject to such consents, if any, as may be required under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Section 6.01 thereof, as applicable, and such other documents and information as it deems appropriate to make its own credit analysis and decision to enter into this Assignment and Assumption and to purchase [the][such] Assigned Interest, (vi) it has, independently and without reliance upon the Agent or any other Lender and based on such documents and information as it has deemed appropriate, made its own credit analysis and decision to enter into this Assignment and Assumption and to purchase [the] [such] Assigned Interest, and (vii) attached hereto is any documentation required to be delivered by it pursuant to the terms of the Credit Agreement, duly completed and executed by [the][such] Assignee; and (b) agrees that (i) it will, independently and without reliance upon the Agent, [the] [any] Assignor or any other Lender, and based on such documents and information as it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D-4</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88" w:right="339" w:bottom="1440" w:gutter="0" w:footer="0" w:header="0"/>
        </w:sectPr>
      </w:pPr>
    </w:p>
    <w:bookmarkStart w:id="209" w:name="page210"/>
    <w:bookmarkEnd w:id="209"/>
    <w:p>
      <w:pPr>
        <w:jc w:val="both"/>
        <w:spacing w:after="0" w:line="266" w:lineRule="auto"/>
        <w:rPr>
          <w:sz w:val="20"/>
          <w:szCs w:val="20"/>
          <w:color w:val="auto"/>
        </w:rPr>
      </w:pPr>
      <w:r>
        <w:rPr>
          <w:rFonts w:ascii="Times New Roman" w:cs="Times New Roman" w:eastAsia="Times New Roman" w:hAnsi="Times New Roman"/>
          <w:sz w:val="21"/>
          <w:szCs w:val="21"/>
          <w:color w:val="auto"/>
        </w:rPr>
        <w:t>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1" w:lineRule="exact"/>
        <w:rPr>
          <w:sz w:val="20"/>
          <w:szCs w:val="20"/>
          <w:color w:val="auto"/>
        </w:rPr>
      </w:pPr>
    </w:p>
    <w:p>
      <w:pPr>
        <w:jc w:val="both"/>
        <w:ind w:firstLine="639"/>
        <w:spacing w:after="0" w:line="261" w:lineRule="auto"/>
        <w:tabs>
          <w:tab w:leader="none" w:pos="1095"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Payments</w:t>
      </w:r>
      <w:r>
        <w:rPr>
          <w:rFonts w:ascii="Times New Roman" w:cs="Times New Roman" w:eastAsia="Times New Roman" w:hAnsi="Times New Roman"/>
          <w:sz w:val="21"/>
          <w:szCs w:val="21"/>
          <w:color w:val="auto"/>
        </w:rPr>
        <w:t>. From and after the Effective Date, the Agent shall make all payments in respect of [the][each] Assigned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62" w:lineRule="exact"/>
        <w:rPr>
          <w:rFonts w:ascii="Times New Roman" w:cs="Times New Roman" w:eastAsia="Times New Roman" w:hAnsi="Times New Roman"/>
          <w:sz w:val="21"/>
          <w:szCs w:val="21"/>
          <w:color w:val="auto"/>
        </w:rPr>
      </w:pPr>
    </w:p>
    <w:p>
      <w:pPr>
        <w:jc w:val="both"/>
        <w:ind w:firstLine="639"/>
        <w:spacing w:after="0" w:line="255" w:lineRule="auto"/>
        <w:tabs>
          <w:tab w:leader="none" w:pos="1081"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 Provisions</w:t>
      </w:r>
      <w:r>
        <w:rPr>
          <w:rFonts w:ascii="Times New Roman" w:cs="Times New Roman" w:eastAsia="Times New Roman" w:hAnsi="Times New Roman"/>
          <w:sz w:val="21"/>
          <w:szCs w:val="21"/>
          <w:color w:val="auto"/>
        </w:rPr>
        <w:t>. This Assignment and Assumption shall be binding upon, and inure to the benefit of, the parties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construed in accordance with and governed by the law of the State of New York. The words “execution,” “signed,” “signature,” and words of like import in this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D-5</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91" w:right="339" w:bottom="1440" w:gutter="0" w:footer="0" w:header="0"/>
        </w:sectPr>
      </w:pPr>
    </w:p>
    <w:bookmarkStart w:id="210" w:name="page211"/>
    <w:bookmarkEnd w:id="210"/>
    <w:p>
      <w:pPr>
        <w:ind w:left="9980"/>
        <w:spacing w:after="0"/>
        <w:rPr>
          <w:sz w:val="20"/>
          <w:szCs w:val="20"/>
          <w:color w:val="auto"/>
        </w:rPr>
      </w:pPr>
      <w:r>
        <w:rPr>
          <w:rFonts w:ascii="Times New Roman" w:cs="Times New Roman" w:eastAsia="Times New Roman" w:hAnsi="Times New Roman"/>
          <w:sz w:val="20"/>
          <w:szCs w:val="20"/>
          <w:b w:val="1"/>
          <w:bCs w:val="1"/>
          <w:color w:val="auto"/>
        </w:rPr>
        <w:t>EXHIBIT E-1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UNITED STATES TAX COMPLIANCE CERTIFICATE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 Foreign Lenders That Are Not Partnerships For U.S. Federal Income Tax Purposes)</w:t>
      </w:r>
    </w:p>
    <w:p>
      <w:pPr>
        <w:spacing w:after="0" w:line="23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21"/>
          <w:szCs w:val="21"/>
          <w:color w:val="auto"/>
        </w:rPr>
        <w:t>Reference is made to that certain Credit Agreement, dated as of April 29, 2024 (as may be amended, restated, amended and restated, replaced, refinanced, supplemented or otherwise modified from time to time, the “</w:t>
      </w:r>
      <w:r>
        <w:rPr>
          <w:rFonts w:ascii="Times New Roman" w:cs="Times New Roman" w:eastAsia="Times New Roman" w:hAnsi="Times New Roman"/>
          <w:sz w:val="21"/>
          <w:szCs w:val="21"/>
          <w:b w:val="1"/>
          <w:bCs w:val="1"/>
          <w:color w:val="auto"/>
        </w:rPr>
        <w:t>Credit Agreement</w:t>
      </w:r>
      <w:r>
        <w:rPr>
          <w:rFonts w:ascii="Times New Roman" w:cs="Times New Roman" w:eastAsia="Times New Roman" w:hAnsi="Times New Roman"/>
          <w:sz w:val="21"/>
          <w:szCs w:val="21"/>
          <w:color w:val="auto"/>
        </w:rPr>
        <w:t xml:space="preserve">”), among </w:t>
      </w:r>
      <w:r>
        <w:rPr>
          <w:rFonts w:ascii="Times New Roman" w:cs="Times New Roman" w:eastAsia="Times New Roman" w:hAnsi="Times New Roman"/>
          <w:sz w:val="21"/>
          <w:szCs w:val="21"/>
          <w:b w:val="1"/>
          <w:bCs w:val="1"/>
          <w:color w:val="auto"/>
        </w:rPr>
        <w:t>NMI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HOLDINGS, INC.</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the Lenders from time to time party thereto and</w:t>
      </w:r>
      <w:r>
        <w:rPr>
          <w:rFonts w:ascii="Times New Roman" w:cs="Times New Roman" w:eastAsia="Times New Roman" w:hAnsi="Times New Roman"/>
          <w:sz w:val="21"/>
          <w:szCs w:val="21"/>
          <w:b w:val="1"/>
          <w:bCs w:val="1"/>
          <w:color w:val="auto"/>
        </w:rPr>
        <w:t xml:space="preserve"> ROYAL BANK OF CANADA</w:t>
      </w:r>
      <w:r>
        <w:rPr>
          <w:rFonts w:ascii="Times New Roman" w:cs="Times New Roman" w:eastAsia="Times New Roman" w:hAnsi="Times New Roman"/>
          <w:sz w:val="21"/>
          <w:szCs w:val="21"/>
          <w:color w:val="auto"/>
        </w:rPr>
        <w:t>, as administrative agent for the Lenders (in such capacity, including any successor thereto, the “</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Capitalized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used but not defined herein have the meanings given to such terms in the Credit Agreement.</w:t>
      </w:r>
    </w:p>
    <w:p>
      <w:pPr>
        <w:spacing w:after="0" w:line="18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21"/>
          <w:szCs w:val="21"/>
          <w:color w:val="auto"/>
        </w:rPr>
        <w:t>Pursuant to the provisions of Section 3.01(f)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Company within the meaning of Section 871(h)(3)(B) of the Code, and (iv) it is not a “controlled foreign corporation” related to the Company as described in Section 881(c)(3)(C) of the Code.</w:t>
      </w:r>
    </w:p>
    <w:p>
      <w:pPr>
        <w:spacing w:after="0" w:line="171" w:lineRule="exact"/>
        <w:rPr>
          <w:sz w:val="20"/>
          <w:szCs w:val="20"/>
          <w:color w:val="auto"/>
        </w:rPr>
      </w:pPr>
    </w:p>
    <w:p>
      <w:pPr>
        <w:jc w:val="both"/>
        <w:ind w:firstLine="633"/>
        <w:spacing w:after="0" w:line="260" w:lineRule="auto"/>
        <w:rPr>
          <w:sz w:val="20"/>
          <w:szCs w:val="20"/>
          <w:color w:val="auto"/>
        </w:rPr>
      </w:pPr>
      <w:r>
        <w:rPr>
          <w:rFonts w:ascii="Times New Roman" w:cs="Times New Roman" w:eastAsia="Times New Roman" w:hAnsi="Times New Roman"/>
          <w:sz w:val="21"/>
          <w:szCs w:val="21"/>
          <w:color w:val="auto"/>
        </w:rPr>
        <w:t>The undersigned has furnished Agent and the Company with a certificate of its non-U.S. person status on IRS Form W-8BEN or IRS Form W-8BEN-E. By executing this certificate, the undersigned agrees that (1) if the information provided on this certificate changes, the undersigned shall promptly so inform the Company and the Agent and (2) the undersigned shall furnish the Company and the Agent a properly completed and currently effective certificate in either the calendar year in which payment is to be made by the Company or the Agent to the undersigned, or in either of the two calendar years preceding such payment.</w:t>
      </w:r>
    </w:p>
    <w:p>
      <w:pPr>
        <w:spacing w:after="0" w:line="16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6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[Lender]</w:t>
      </w:r>
    </w:p>
    <w:p>
      <w:pPr>
        <w:spacing w:after="0" w:line="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By:</w:t>
      </w:r>
    </w:p>
    <w:p>
      <w:pPr>
        <w:spacing w:after="0" w:line="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-151765</wp:posOffset>
            </wp:positionV>
            <wp:extent cx="21272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2127250" cy="8255"/>
                    </a:xfrm>
                    <a:prstGeom prst="rect">
                      <a:avLst/>
                    </a:prstGeom>
                    <a:noFill/>
                  </pic:spPr>
                </pic:pic>
              </a:graphicData>
            </a:graphic>
          </wp:anchor>
        </w:drawing>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E-1-1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87"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1"/>
          <w:szCs w:val="21"/>
          <w:color w:val="auto"/>
        </w:rPr>
        <w:t>Dated: _______________________, 202[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E-1-2</w:t>
      </w:r>
    </w:p>
    <w:p>
      <w:pPr>
        <w:spacing w:after="0" w:line="17"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0139"/>
          </w:cols>
          <w:pgMar w:left="320" w:top="1392" w:right="1440"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21"/>
          <w:szCs w:val="21"/>
          <w:b w:val="1"/>
          <w:bCs w:val="1"/>
          <w:color w:val="auto"/>
        </w:rPr>
        <w:t>EXHIBIT E-2</w:t>
      </w:r>
    </w:p>
    <w:p>
      <w:pPr>
        <w:spacing w:after="0" w:line="22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b w:val="1"/>
          <w:bCs w:val="1"/>
          <w:color w:val="auto"/>
        </w:rPr>
        <w:t>FORM OF UNITED STATES TAX COMPLIANCE CERTIFICATE</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(For Foreign Participants That Are Not Partnerships For</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U.S. Federal Income Tax Purposes)</w:t>
      </w:r>
    </w:p>
    <w:p>
      <w:pPr>
        <w:spacing w:after="0" w:line="208" w:lineRule="exact"/>
        <w:rPr>
          <w:sz w:val="20"/>
          <w:szCs w:val="20"/>
          <w:color w:val="auto"/>
        </w:rPr>
      </w:pPr>
    </w:p>
    <w:p>
      <w:pPr>
        <w:jc w:val="both"/>
        <w:ind w:firstLine="633"/>
        <w:spacing w:after="0" w:line="260" w:lineRule="auto"/>
        <w:rPr>
          <w:sz w:val="20"/>
          <w:szCs w:val="20"/>
          <w:color w:val="auto"/>
        </w:rPr>
      </w:pPr>
      <w:r>
        <w:rPr>
          <w:rFonts w:ascii="Times New Roman" w:cs="Times New Roman" w:eastAsia="Times New Roman" w:hAnsi="Times New Roman"/>
          <w:sz w:val="21"/>
          <w:szCs w:val="21"/>
          <w:color w:val="auto"/>
        </w:rPr>
        <w:t>Reference is made to that certain Credit Agreement, dated as of April 29, 2024 (as may be amended, restated, amended and restated, replaced, refinanced, supplemented or otherwise modified from time to time, the “</w:t>
      </w:r>
      <w:r>
        <w:rPr>
          <w:rFonts w:ascii="Times New Roman" w:cs="Times New Roman" w:eastAsia="Times New Roman" w:hAnsi="Times New Roman"/>
          <w:sz w:val="21"/>
          <w:szCs w:val="21"/>
          <w:b w:val="1"/>
          <w:bCs w:val="1"/>
          <w:color w:val="auto"/>
        </w:rPr>
        <w:t>Credit Agreement</w:t>
      </w:r>
      <w:r>
        <w:rPr>
          <w:rFonts w:ascii="Times New Roman" w:cs="Times New Roman" w:eastAsia="Times New Roman" w:hAnsi="Times New Roman"/>
          <w:sz w:val="21"/>
          <w:szCs w:val="21"/>
          <w:color w:val="auto"/>
        </w:rPr>
        <w:t xml:space="preserve">”), among </w:t>
      </w:r>
      <w:r>
        <w:rPr>
          <w:rFonts w:ascii="Times New Roman" w:cs="Times New Roman" w:eastAsia="Times New Roman" w:hAnsi="Times New Roman"/>
          <w:sz w:val="21"/>
          <w:szCs w:val="21"/>
          <w:b w:val="1"/>
          <w:bCs w:val="1"/>
          <w:color w:val="auto"/>
        </w:rPr>
        <w:t>NMI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HOLDINGS, INC.</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the Lenders from time to time party thereto and</w:t>
      </w:r>
      <w:r>
        <w:rPr>
          <w:rFonts w:ascii="Times New Roman" w:cs="Times New Roman" w:eastAsia="Times New Roman" w:hAnsi="Times New Roman"/>
          <w:sz w:val="21"/>
          <w:szCs w:val="21"/>
          <w:b w:val="1"/>
          <w:bCs w:val="1"/>
          <w:color w:val="auto"/>
        </w:rPr>
        <w:t xml:space="preserve"> ROYAL BANK OF CANADA</w:t>
      </w:r>
      <w:r>
        <w:rPr>
          <w:rFonts w:ascii="Times New Roman" w:cs="Times New Roman" w:eastAsia="Times New Roman" w:hAnsi="Times New Roman"/>
          <w:sz w:val="21"/>
          <w:szCs w:val="21"/>
          <w:color w:val="auto"/>
        </w:rPr>
        <w:t>, as administrative agent for the Lenders (in such capacity, including any successor thereto, the “</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Capitalized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used but not defined herein have the meanings given to such terms in the Credit Agreement.</w:t>
      </w:r>
    </w:p>
    <w:p>
      <w:pPr>
        <w:spacing w:after="0" w:line="16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21"/>
          <w:szCs w:val="21"/>
          <w:color w:val="auto"/>
        </w:rPr>
        <w:t>Pursuant to the provisions of Section 3.01(f) and 10.07(d)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Company within the meaning of Section 871(h)(3)(B) of the Code, and (iv) it is not a “controlled foreign corporation” related to the Company as described in Section 881(c)(3)(C) of the Code.</w:t>
      </w:r>
    </w:p>
    <w:p>
      <w:pPr>
        <w:spacing w:after="0" w:line="18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21"/>
          <w:szCs w:val="21"/>
          <w:color w:val="auto"/>
        </w:rPr>
        <w:t>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payment is to be made to the undersigned, or in either of the two calendar years preceding such payment.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[Participant]</w:t>
      </w:r>
    </w:p>
    <w:p>
      <w:pPr>
        <w:spacing w:after="0" w:line="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By:</w:t>
      </w:r>
    </w:p>
    <w:p>
      <w:pPr>
        <w:spacing w:after="0" w:line="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-151765</wp:posOffset>
            </wp:positionV>
            <wp:extent cx="21272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2127250" cy="8255"/>
                    </a:xfrm>
                    <a:prstGeom prst="rect">
                      <a:avLst/>
                    </a:prstGeom>
                    <a:noFill/>
                  </pic:spPr>
                </pic:pic>
              </a:graphicData>
            </a:graphic>
          </wp:anchor>
        </w:drawing>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E-2-1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88" w:right="339" w:bottom="1440" w:gutter="0" w:footer="0" w:header="0"/>
        </w:sectPr>
      </w:pPr>
    </w:p>
    <w:bookmarkStart w:id="213" w:name="page214"/>
    <w:bookmarkEnd w:id="213"/>
    <w:p>
      <w:pPr>
        <w:ind w:left="3880"/>
        <w:spacing w:after="0"/>
        <w:rPr>
          <w:sz w:val="20"/>
          <w:szCs w:val="20"/>
          <w:color w:val="auto"/>
        </w:rPr>
      </w:pPr>
      <w:r>
        <w:rPr>
          <w:rFonts w:ascii="Times New Roman" w:cs="Times New Roman" w:eastAsia="Times New Roman" w:hAnsi="Times New Roman"/>
          <w:sz w:val="21"/>
          <w:szCs w:val="21"/>
          <w:color w:val="auto"/>
        </w:rPr>
        <w:t>[Address]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_______________________, 202[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E-2-2</w:t>
      </w:r>
    </w:p>
    <w:p>
      <w:pPr>
        <w:spacing w:after="0" w:line="17"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0139"/>
          </w:cols>
          <w:pgMar w:left="320" w:top="1418" w:right="1440"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21"/>
          <w:szCs w:val="21"/>
          <w:b w:val="1"/>
          <w:bCs w:val="1"/>
          <w:color w:val="auto"/>
        </w:rPr>
        <w:t>EXHIBIT E-3</w:t>
      </w:r>
    </w:p>
    <w:p>
      <w:pPr>
        <w:spacing w:after="0" w:line="22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b w:val="1"/>
          <w:bCs w:val="1"/>
          <w:color w:val="auto"/>
        </w:rPr>
        <w:t>FORM OF UNITED STATES TAX COMPLIANCE CERTIFICATE</w:t>
      </w:r>
    </w:p>
    <w:p>
      <w:pPr>
        <w:spacing w:after="0" w:line="22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(For Foreign Participants That Are Partnerships For</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U.S. Federal Income Tax Purposes)</w:t>
      </w:r>
    </w:p>
    <w:p>
      <w:pPr>
        <w:spacing w:after="0" w:line="208" w:lineRule="exact"/>
        <w:rPr>
          <w:sz w:val="20"/>
          <w:szCs w:val="20"/>
          <w:color w:val="auto"/>
        </w:rPr>
      </w:pPr>
    </w:p>
    <w:p>
      <w:pPr>
        <w:jc w:val="both"/>
        <w:ind w:firstLine="633"/>
        <w:spacing w:after="0" w:line="260" w:lineRule="auto"/>
        <w:rPr>
          <w:sz w:val="20"/>
          <w:szCs w:val="20"/>
          <w:color w:val="auto"/>
        </w:rPr>
      </w:pPr>
      <w:r>
        <w:rPr>
          <w:rFonts w:ascii="Times New Roman" w:cs="Times New Roman" w:eastAsia="Times New Roman" w:hAnsi="Times New Roman"/>
          <w:sz w:val="21"/>
          <w:szCs w:val="21"/>
          <w:color w:val="auto"/>
        </w:rPr>
        <w:t>Reference is made to that certain Credit Agreement, dated as of April 29, 2024 (as may be amended, restated, amended and restated, replaced, refinanced, supplemented or otherwise modified from time to time, the “</w:t>
      </w:r>
      <w:r>
        <w:rPr>
          <w:rFonts w:ascii="Times New Roman" w:cs="Times New Roman" w:eastAsia="Times New Roman" w:hAnsi="Times New Roman"/>
          <w:sz w:val="21"/>
          <w:szCs w:val="21"/>
          <w:b w:val="1"/>
          <w:bCs w:val="1"/>
          <w:color w:val="auto"/>
        </w:rPr>
        <w:t>Credit Agreement</w:t>
      </w:r>
      <w:r>
        <w:rPr>
          <w:rFonts w:ascii="Times New Roman" w:cs="Times New Roman" w:eastAsia="Times New Roman" w:hAnsi="Times New Roman"/>
          <w:sz w:val="21"/>
          <w:szCs w:val="21"/>
          <w:color w:val="auto"/>
        </w:rPr>
        <w:t xml:space="preserve">”), among </w:t>
      </w:r>
      <w:r>
        <w:rPr>
          <w:rFonts w:ascii="Times New Roman" w:cs="Times New Roman" w:eastAsia="Times New Roman" w:hAnsi="Times New Roman"/>
          <w:sz w:val="21"/>
          <w:szCs w:val="21"/>
          <w:b w:val="1"/>
          <w:bCs w:val="1"/>
          <w:color w:val="auto"/>
        </w:rPr>
        <w:t>NMI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HOLDINGS, INC.</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the Lenders from time to time party thereto and</w:t>
      </w:r>
      <w:r>
        <w:rPr>
          <w:rFonts w:ascii="Times New Roman" w:cs="Times New Roman" w:eastAsia="Times New Roman" w:hAnsi="Times New Roman"/>
          <w:sz w:val="21"/>
          <w:szCs w:val="21"/>
          <w:b w:val="1"/>
          <w:bCs w:val="1"/>
          <w:color w:val="auto"/>
        </w:rPr>
        <w:t xml:space="preserve"> ROYAL BANK OF CANADA</w:t>
      </w:r>
      <w:r>
        <w:rPr>
          <w:rFonts w:ascii="Times New Roman" w:cs="Times New Roman" w:eastAsia="Times New Roman" w:hAnsi="Times New Roman"/>
          <w:sz w:val="21"/>
          <w:szCs w:val="21"/>
          <w:color w:val="auto"/>
        </w:rPr>
        <w:t>, as administrative agent for the Lenders (in such capacity, including any successor thereto, the “</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Capitalized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used but not defined herein have the meanings given to such terms in the Credit Agreement.</w:t>
      </w:r>
    </w:p>
    <w:p>
      <w:pPr>
        <w:spacing w:after="0" w:line="169" w:lineRule="exact"/>
        <w:rPr>
          <w:sz w:val="20"/>
          <w:szCs w:val="20"/>
          <w:color w:val="auto"/>
        </w:rPr>
      </w:pPr>
    </w:p>
    <w:p>
      <w:pPr>
        <w:jc w:val="both"/>
        <w:ind w:firstLine="633"/>
        <w:spacing w:after="0" w:line="254" w:lineRule="auto"/>
        <w:rPr>
          <w:sz w:val="20"/>
          <w:szCs w:val="20"/>
          <w:color w:val="auto"/>
        </w:rPr>
      </w:pPr>
      <w:r>
        <w:rPr>
          <w:rFonts w:ascii="Times New Roman" w:cs="Times New Roman" w:eastAsia="Times New Roman" w:hAnsi="Times New Roman"/>
          <w:sz w:val="21"/>
          <w:szCs w:val="21"/>
          <w:color w:val="auto"/>
        </w:rPr>
        <w:t>Pursuant to the provisions of Section 3.01(f) and 10.07(d)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Company within the meaning of Section 871(h)(3)(B) of the Code, and (v) none of its direct or indirect partners/members is a “controlled foreign corporation” related to the Company as described in Section 881(c)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(3)(C) of the Code.</w:t>
      </w:r>
    </w:p>
    <w:p>
      <w:pPr>
        <w:spacing w:after="0" w:line="196" w:lineRule="exact"/>
        <w:rPr>
          <w:sz w:val="20"/>
          <w:szCs w:val="20"/>
          <w:color w:val="auto"/>
        </w:rPr>
      </w:pPr>
    </w:p>
    <w:p>
      <w:pPr>
        <w:jc w:val="both"/>
        <w:ind w:firstLine="633"/>
        <w:spacing w:after="0" w:line="256" w:lineRule="auto"/>
        <w:rPr>
          <w:sz w:val="20"/>
          <w:szCs w:val="20"/>
          <w:color w:val="auto"/>
        </w:rPr>
      </w:pPr>
      <w:r>
        <w:rPr>
          <w:rFonts w:ascii="Times New Roman" w:cs="Times New Roman" w:eastAsia="Times New Roman" w:hAnsi="Times New Roman"/>
          <w:sz w:val="21"/>
          <w:szCs w:val="21"/>
          <w:color w:val="auto"/>
        </w:rPr>
        <w:t>The undersigned has furnished its participating Lender with IRS Form W-8IMY accompanied by one of the following forms from each of its partners/members that is claiming the portfolio interest exemption: (i) an IRS Form W-8BEN or an IRS Form W-8BEN-E or (ii) an IRS Form W-8IMY accompanied by an IRS Form W-8BEN or an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payment is to be made to the undersigned, or in either of the two calendar years preceding such payment.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E-3-1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88" w:right="339" w:bottom="1440" w:gutter="0" w:footer="0" w:header="0"/>
        </w:sectPr>
      </w:pPr>
    </w:p>
    <w:bookmarkStart w:id="215" w:name="page216"/>
    <w:bookmarkEnd w:id="215"/>
    <w:p>
      <w:pPr>
        <w:ind w:left="3880"/>
        <w:spacing w:after="0"/>
        <w:rPr>
          <w:sz w:val="20"/>
          <w:szCs w:val="20"/>
          <w:color w:val="auto"/>
        </w:rPr>
      </w:pPr>
      <w:r>
        <w:rPr>
          <w:rFonts w:ascii="Times New Roman" w:cs="Times New Roman" w:eastAsia="Times New Roman" w:hAnsi="Times New Roman"/>
          <w:sz w:val="21"/>
          <w:szCs w:val="21"/>
          <w:color w:val="auto"/>
        </w:rPr>
        <w:t>[Participant]</w:t>
      </w:r>
    </w:p>
    <w:p>
      <w:pPr>
        <w:spacing w:after="0" w:line="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By:</w:t>
      </w:r>
    </w:p>
    <w:p>
      <w:pPr>
        <w:spacing w:after="0" w:line="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-151765</wp:posOffset>
            </wp:positionV>
            <wp:extent cx="21272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2127250" cy="8255"/>
                    </a:xfrm>
                    <a:prstGeom prst="rect">
                      <a:avLst/>
                    </a:prstGeom>
                    <a:noFill/>
                  </pic:spPr>
                </pic:pic>
              </a:graphicData>
            </a:graphic>
          </wp:anchor>
        </w:drawing>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37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[Address]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_______________________, 202[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E-3-2</w:t>
      </w:r>
    </w:p>
    <w:p>
      <w:pPr>
        <w:spacing w:after="0" w:line="17"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0139"/>
          </w:cols>
          <w:pgMar w:left="320" w:top="1418" w:right="1440"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21"/>
          <w:szCs w:val="21"/>
          <w:b w:val="1"/>
          <w:bCs w:val="1"/>
          <w:color w:val="auto"/>
        </w:rPr>
        <w:t>EXHIBIT E-4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UNITED STATES TAX COMPLIANCE CERTIFICATE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 Foreign Lenders That Are Partnerships For U.S. Federal Income Tax Purposes)</w:t>
      </w:r>
    </w:p>
    <w:p>
      <w:pPr>
        <w:spacing w:after="0" w:line="23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21"/>
          <w:szCs w:val="21"/>
          <w:color w:val="auto"/>
        </w:rPr>
        <w:t>Reference is made to that certain Credit Agreement, dated as of April 29, 2024 (as may be amended, restated, amended and restated, replaced, refinanced, supplemented or otherwise modified from time to time, the “</w:t>
      </w:r>
      <w:r>
        <w:rPr>
          <w:rFonts w:ascii="Times New Roman" w:cs="Times New Roman" w:eastAsia="Times New Roman" w:hAnsi="Times New Roman"/>
          <w:sz w:val="21"/>
          <w:szCs w:val="21"/>
          <w:b w:val="1"/>
          <w:bCs w:val="1"/>
          <w:color w:val="auto"/>
        </w:rPr>
        <w:t>Credit Agreement</w:t>
      </w:r>
      <w:r>
        <w:rPr>
          <w:rFonts w:ascii="Times New Roman" w:cs="Times New Roman" w:eastAsia="Times New Roman" w:hAnsi="Times New Roman"/>
          <w:sz w:val="21"/>
          <w:szCs w:val="21"/>
          <w:color w:val="auto"/>
        </w:rPr>
        <w:t xml:space="preserve">”), among </w:t>
      </w:r>
      <w:r>
        <w:rPr>
          <w:rFonts w:ascii="Times New Roman" w:cs="Times New Roman" w:eastAsia="Times New Roman" w:hAnsi="Times New Roman"/>
          <w:sz w:val="21"/>
          <w:szCs w:val="21"/>
          <w:b w:val="1"/>
          <w:bCs w:val="1"/>
          <w:color w:val="auto"/>
        </w:rPr>
        <w:t>NMI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HOLDINGS, INC.</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the Lenders from time to time party thereto and</w:t>
      </w:r>
      <w:r>
        <w:rPr>
          <w:rFonts w:ascii="Times New Roman" w:cs="Times New Roman" w:eastAsia="Times New Roman" w:hAnsi="Times New Roman"/>
          <w:sz w:val="21"/>
          <w:szCs w:val="21"/>
          <w:b w:val="1"/>
          <w:bCs w:val="1"/>
          <w:color w:val="auto"/>
        </w:rPr>
        <w:t xml:space="preserve"> ROYAL BANK OF CANADA</w:t>
      </w:r>
      <w:r>
        <w:rPr>
          <w:rFonts w:ascii="Times New Roman" w:cs="Times New Roman" w:eastAsia="Times New Roman" w:hAnsi="Times New Roman"/>
          <w:sz w:val="21"/>
          <w:szCs w:val="21"/>
          <w:color w:val="auto"/>
        </w:rPr>
        <w:t>, as administrative agent for the Lenders (in such capacity, including any successor thereto, the “</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Capitalized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used but not defined herein have the meanings given to such terms in the Credit Agreement.</w:t>
      </w:r>
    </w:p>
    <w:p>
      <w:pPr>
        <w:spacing w:after="0" w:line="18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21"/>
          <w:szCs w:val="21"/>
          <w:color w:val="auto"/>
        </w:rPr>
        <w:t>Pursuant to the provisions of Section 3.01(f)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Company within the meaning of Section 871(h)(3)(B) of the Code, and (v) none of its direct or indirect partners/members is a “controlled foreign corporation” related to the Company as described in Section 881(c)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(3)(C) of the Code.</w:t>
      </w:r>
    </w:p>
    <w:p>
      <w:pPr>
        <w:spacing w:after="0" w:line="19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21"/>
          <w:szCs w:val="21"/>
          <w:color w:val="auto"/>
        </w:rPr>
        <w:t>The undersigned has furnished the Agent and the Company with IRS Form W-8IMY accompanied by one of the following forms from each of its partners/members that is claiming the portfolio interest exemption: (i) an IRS Form W-8BEN or an IRS Form W-8BEN-E or (ii) an IRS Form W-8IMY accompanied by an IRS Form W-8BEN or an IRS Form W-8BEN-E from each of such partner’s/member’s beneficial owners that is claiming the portfolio interest exemption. By executing this certificate, the undersigned agrees that (1) if the information provided on this certificate changes, the undersigned shall promptly so inform the Company and the Agent and (2) the undersigned shall have at all times furnished the Company and the Agent in writing with a properly completed and currently effective certificate in either the calendar year in which payment is to be made by the Company or the Agent to the undersigned, or in either of the two calendar years preceding such payment.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1240"/>
          </w:cols>
          <w:pgMar w:left="320" w:top="1388" w:right="339" w:bottom="1440" w:gutter="0" w:footer="0" w:header="0"/>
        </w:sectPr>
      </w:pPr>
    </w:p>
    <w:bookmarkStart w:id="217" w:name="page218"/>
    <w:bookmarkEnd w:id="217"/>
    <w:p>
      <w:pPr>
        <w:ind w:left="3880"/>
        <w:spacing w:after="0"/>
        <w:rPr>
          <w:sz w:val="20"/>
          <w:szCs w:val="20"/>
          <w:color w:val="auto"/>
        </w:rPr>
      </w:pPr>
      <w:r>
        <w:rPr>
          <w:rFonts w:ascii="Times New Roman" w:cs="Times New Roman" w:eastAsia="Times New Roman" w:hAnsi="Times New Roman"/>
          <w:sz w:val="21"/>
          <w:szCs w:val="21"/>
          <w:color w:val="auto"/>
        </w:rPr>
        <w:t>[Lender]</w:t>
      </w:r>
    </w:p>
    <w:p>
      <w:pPr>
        <w:spacing w:after="0" w:line="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By:</w:t>
      </w:r>
    </w:p>
    <w:p>
      <w:pPr>
        <w:spacing w:after="0" w:line="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-151765</wp:posOffset>
            </wp:positionV>
            <wp:extent cx="21272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2127250" cy="8255"/>
                    </a:xfrm>
                    <a:prstGeom prst="rect">
                      <a:avLst/>
                    </a:prstGeom>
                    <a:noFill/>
                  </pic:spPr>
                </pic:pic>
              </a:graphicData>
            </a:graphic>
          </wp:anchor>
        </w:drawing>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37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[Address]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_______________________, 202[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4"/>
          <w:szCs w:val="14"/>
          <w:color w:val="auto"/>
        </w:rPr>
        <w:t>US-DOCS\149532001.4</w:t>
      </w:r>
    </w:p>
    <w:p>
      <w:pPr>
        <w:sectPr>
          <w:pgSz w:w="11900" w:h="16838" w:orient="portrait"/>
          <w:cols w:equalWidth="0" w:num="1">
            <w:col w:w="10139"/>
          </w:cols>
          <w:pgMar w:left="320" w:top="1418" w:right="1440"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Guaranteed Securities by Subsidiary Guarantor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securities issued by the Company and guaranteed by NMI Services, Inc., a wholly-owned subsidiary of the Company (Subsidiary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311150</wp:posOffset>
            </wp:positionV>
            <wp:extent cx="7127240" cy="6362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7127240" cy="63627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7.375% senior secured notes due June 19, 2025.</w:t>
      </w:r>
    </w:p>
    <w:p>
      <w:pPr>
        <w:spacing w:after="0" w:line="57" w:lineRule="exact"/>
        <w:rPr>
          <w:sz w:val="20"/>
          <w:szCs w:val="20"/>
          <w:color w:val="auto"/>
        </w:rPr>
      </w:pPr>
    </w:p>
    <w:p>
      <w:pPr>
        <w:ind w:left="40" w:right="40"/>
        <w:spacing w:after="0" w:line="254" w:lineRule="auto"/>
        <w:rPr>
          <w:sz w:val="20"/>
          <w:szCs w:val="20"/>
          <w:color w:val="auto"/>
        </w:rPr>
      </w:pPr>
      <w:r>
        <w:rPr>
          <w:rFonts w:ascii="Times New Roman" w:cs="Times New Roman" w:eastAsia="Times New Roman" w:hAnsi="Times New Roman"/>
          <w:sz w:val="18"/>
          <w:szCs w:val="18"/>
          <w:color w:val="auto"/>
        </w:rPr>
        <w:t>Variable interest senior secured revolving credit facility due earlier of (x) November 29, 2025 or (y) if any existing senior secured notes remaining outstanding on such date, February 28, 2025.</w:t>
      </w:r>
    </w:p>
    <w:p>
      <w:pPr>
        <w:sectPr>
          <w:pgSz w:w="11900" w:h="16838" w:orient="portrait"/>
          <w:cols w:equalWidth="0" w:num="1">
            <w:col w:w="11240"/>
          </w:cols>
          <w:pgMar w:left="320" w:top="343"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S. Pollitzer, certify that:</w:t>
      </w:r>
    </w:p>
    <w:p>
      <w:pPr>
        <w:spacing w:after="0" w:line="110" w:lineRule="exact"/>
        <w:rPr>
          <w:sz w:val="20"/>
          <w:szCs w:val="20"/>
          <w:color w:val="auto"/>
        </w:rPr>
      </w:pPr>
    </w:p>
    <w:p>
      <w:pPr>
        <w:ind w:left="320" w:hanging="314"/>
        <w:spacing w:after="0"/>
        <w:tabs>
          <w:tab w:leader="none" w:pos="3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NMI Holdings, Inc.;</w:t>
      </w:r>
    </w:p>
    <w:p>
      <w:pPr>
        <w:spacing w:after="0" w:line="162" w:lineRule="exact"/>
        <w:rPr>
          <w:rFonts w:ascii="Times New Roman" w:cs="Times New Roman" w:eastAsia="Times New Roman" w:hAnsi="Times New Roman"/>
          <w:sz w:val="18"/>
          <w:szCs w:val="18"/>
          <w:color w:val="auto"/>
        </w:rPr>
      </w:pPr>
    </w:p>
    <w:p>
      <w:pPr>
        <w:ind w:left="320" w:hanging="314"/>
        <w:spacing w:after="0" w:line="333" w:lineRule="auto"/>
        <w:tabs>
          <w:tab w:leader="none" w:pos="3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6"/>
          <w:szCs w:val="16"/>
          <w:color w:val="auto"/>
        </w:rPr>
      </w:pPr>
    </w:p>
    <w:p>
      <w:pPr>
        <w:ind w:left="320" w:hanging="314"/>
        <w:spacing w:after="0" w:line="269" w:lineRule="auto"/>
        <w:tabs>
          <w:tab w:leader="none" w:pos="3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left="320" w:hanging="314"/>
        <w:spacing w:after="0" w:line="257" w:lineRule="auto"/>
        <w:tabs>
          <w:tab w:leader="none" w:pos="3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1"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4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8"/>
          <w:szCs w:val="18"/>
          <w:color w:val="auto"/>
        </w:rPr>
      </w:pPr>
    </w:p>
    <w:p>
      <w:pPr>
        <w:ind w:left="960" w:hanging="321"/>
        <w:spacing w:after="0" w:line="269" w:lineRule="auto"/>
        <w:tabs>
          <w:tab w:leader="none" w:pos="951"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4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320" w:hanging="314"/>
        <w:spacing w:after="0" w:line="269" w:lineRule="auto"/>
        <w:tabs>
          <w:tab w:leader="none" w:pos="3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960" w:hanging="321"/>
        <w:spacing w:after="0" w:line="269" w:lineRule="auto"/>
        <w:tabs>
          <w:tab w:leader="none" w:pos="951"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8"/>
          <w:szCs w:val="18"/>
          <w:color w:val="auto"/>
        </w:rPr>
      </w:pPr>
    </w:p>
    <w:p>
      <w:pPr>
        <w:ind w:left="960" w:right="180" w:hanging="321"/>
        <w:spacing w:after="0" w:line="269" w:lineRule="auto"/>
        <w:tabs>
          <w:tab w:leader="none" w:pos="94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4"/>
              </w:rPr>
              <w:t>April 30, 2024</w:t>
            </w:r>
          </w:p>
        </w:tc>
        <w:tc>
          <w:tcPr>
            <w:tcW w:w="3060" w:type="dxa"/>
            <w:vAlign w:val="bottom"/>
          </w:tcPr>
          <w:p>
            <w:pPr>
              <w:spacing w:after="0"/>
              <w:rPr>
                <w:sz w:val="18"/>
                <w:szCs w:val="18"/>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 Pollitzer</w:t>
            </w:r>
          </w:p>
        </w:tc>
      </w:tr>
      <w:tr>
        <w:trPr>
          <w:trHeight w:val="239"/>
        </w:trPr>
        <w:tc>
          <w:tcPr>
            <w:tcW w:w="1020" w:type="dxa"/>
            <w:vAlign w:val="bottom"/>
          </w:tcPr>
          <w:p>
            <w:pPr>
              <w:spacing w:after="0"/>
              <w:rPr>
                <w:sz w:val="20"/>
                <w:szCs w:val="20"/>
                <w:color w:val="auto"/>
              </w:rPr>
            </w:pPr>
          </w:p>
        </w:tc>
        <w:tc>
          <w:tcPr>
            <w:tcW w:w="580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Adam S. Pollitzer</w:t>
            </w:r>
          </w:p>
        </w:tc>
      </w:tr>
      <w:tr>
        <w:trPr>
          <w:trHeight w:val="224"/>
        </w:trPr>
        <w:tc>
          <w:tcPr>
            <w:tcW w:w="1020" w:type="dxa"/>
            <w:vAlign w:val="bottom"/>
          </w:tcPr>
          <w:p>
            <w:pPr>
              <w:spacing w:after="0"/>
              <w:rPr>
                <w:sz w:val="19"/>
                <w:szCs w:val="19"/>
                <w:color w:val="auto"/>
              </w:rPr>
            </w:pPr>
          </w:p>
        </w:tc>
        <w:tc>
          <w:tcPr>
            <w:tcW w:w="580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9"/>
        </w:trPr>
        <w:tc>
          <w:tcPr>
            <w:tcW w:w="1020" w:type="dxa"/>
            <w:vAlign w:val="bottom"/>
          </w:tcPr>
          <w:p>
            <w:pPr>
              <w:spacing w:after="0"/>
              <w:rPr>
                <w:sz w:val="19"/>
                <w:szCs w:val="19"/>
                <w:color w:val="auto"/>
              </w:rPr>
            </w:pPr>
          </w:p>
        </w:tc>
        <w:tc>
          <w:tcPr>
            <w:tcW w:w="580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72"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Ravi Mallela, certify that:</w:t>
      </w:r>
    </w:p>
    <w:p>
      <w:pPr>
        <w:spacing w:after="0" w:line="162" w:lineRule="exact"/>
        <w:rPr>
          <w:sz w:val="20"/>
          <w:szCs w:val="20"/>
          <w:color w:val="auto"/>
        </w:rPr>
      </w:pPr>
    </w:p>
    <w:p>
      <w:pPr>
        <w:ind w:left="320" w:hanging="314"/>
        <w:spacing w:after="0"/>
        <w:tabs>
          <w:tab w:leader="none" w:pos="3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NMI Holdings, Inc.;</w:t>
      </w:r>
    </w:p>
    <w:p>
      <w:pPr>
        <w:spacing w:after="0" w:line="162" w:lineRule="exact"/>
        <w:rPr>
          <w:rFonts w:ascii="Times New Roman" w:cs="Times New Roman" w:eastAsia="Times New Roman" w:hAnsi="Times New Roman"/>
          <w:sz w:val="18"/>
          <w:szCs w:val="18"/>
          <w:color w:val="auto"/>
        </w:rPr>
      </w:pPr>
    </w:p>
    <w:p>
      <w:pPr>
        <w:ind w:left="320" w:hanging="314"/>
        <w:spacing w:after="0" w:line="333" w:lineRule="auto"/>
        <w:tabs>
          <w:tab w:leader="none" w:pos="32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6"/>
          <w:szCs w:val="16"/>
          <w:color w:val="auto"/>
        </w:rPr>
      </w:pPr>
    </w:p>
    <w:p>
      <w:pPr>
        <w:ind w:left="320" w:hanging="314"/>
        <w:spacing w:after="0" w:line="269" w:lineRule="auto"/>
        <w:tabs>
          <w:tab w:leader="none" w:pos="3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ind w:left="320" w:hanging="314"/>
        <w:spacing w:after="0" w:line="269" w:lineRule="auto"/>
        <w:tabs>
          <w:tab w:leader="none" w:pos="3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Times New Roman" w:cs="Times New Roman" w:eastAsia="Times New Roman" w:hAnsi="Times New Roman"/>
          <w:sz w:val="18"/>
          <w:szCs w:val="18"/>
          <w:color w:val="auto"/>
        </w:rPr>
      </w:pPr>
    </w:p>
    <w:p>
      <w:pPr>
        <w:jc w:val="both"/>
        <w:ind w:left="800" w:hanging="320"/>
        <w:spacing w:after="0" w:line="257" w:lineRule="auto"/>
        <w:tabs>
          <w:tab w:leader="none" w:pos="79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8"/>
          <w:szCs w:val="18"/>
          <w:color w:val="auto"/>
        </w:rPr>
      </w:pPr>
    </w:p>
    <w:p>
      <w:pPr>
        <w:jc w:val="both"/>
        <w:ind w:left="800" w:hanging="320"/>
        <w:spacing w:after="0" w:line="257" w:lineRule="auto"/>
        <w:tabs>
          <w:tab w:leader="none" w:pos="78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8"/>
          <w:szCs w:val="18"/>
          <w:color w:val="auto"/>
        </w:rPr>
      </w:pPr>
    </w:p>
    <w:p>
      <w:pPr>
        <w:ind w:left="800" w:hanging="320"/>
        <w:spacing w:after="0" w:line="269" w:lineRule="auto"/>
        <w:tabs>
          <w:tab w:leader="none" w:pos="79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Times New Roman" w:cs="Times New Roman" w:eastAsia="Times New Roman" w:hAnsi="Times New Roman"/>
          <w:sz w:val="18"/>
          <w:szCs w:val="18"/>
          <w:color w:val="auto"/>
        </w:rPr>
      </w:pPr>
    </w:p>
    <w:p>
      <w:pPr>
        <w:jc w:val="both"/>
        <w:ind w:left="800" w:hanging="320"/>
        <w:spacing w:after="0" w:line="257" w:lineRule="auto"/>
        <w:tabs>
          <w:tab w:leader="none" w:pos="78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320" w:hanging="314"/>
        <w:spacing w:after="0" w:line="269" w:lineRule="auto"/>
        <w:tabs>
          <w:tab w:leader="none" w:pos="3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800" w:hanging="320"/>
        <w:spacing w:after="0" w:line="269" w:lineRule="auto"/>
        <w:tabs>
          <w:tab w:leader="none" w:pos="79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8"/>
          <w:szCs w:val="18"/>
          <w:color w:val="auto"/>
        </w:rPr>
      </w:pPr>
    </w:p>
    <w:p>
      <w:pPr>
        <w:ind w:left="800" w:hanging="320"/>
        <w:spacing w:after="0" w:line="269" w:lineRule="auto"/>
        <w:tabs>
          <w:tab w:leader="none" w:pos="78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April 30, 2024</w:t>
            </w:r>
          </w:p>
        </w:tc>
        <w:tc>
          <w:tcPr>
            <w:tcW w:w="4600" w:type="dxa"/>
            <w:vAlign w:val="bottom"/>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Ravi Mallela</w:t>
            </w:r>
          </w:p>
        </w:tc>
      </w:tr>
      <w:tr>
        <w:trPr>
          <w:trHeight w:val="239"/>
        </w:trPr>
        <w:tc>
          <w:tcPr>
            <w:tcW w:w="1040" w:type="dxa"/>
            <w:vAlign w:val="bottom"/>
          </w:tcPr>
          <w:p>
            <w:pPr>
              <w:spacing w:after="0"/>
              <w:rPr>
                <w:sz w:val="20"/>
                <w:szCs w:val="20"/>
                <w:color w:val="auto"/>
              </w:rPr>
            </w:pPr>
          </w:p>
        </w:tc>
        <w:tc>
          <w:tcPr>
            <w:tcW w:w="7220" w:type="dxa"/>
            <w:vAlign w:val="bottom"/>
            <w:gridSpan w:val="2"/>
          </w:tcPr>
          <w:p>
            <w:pPr>
              <w:ind w:left="4600"/>
              <w:spacing w:after="0"/>
              <w:rPr>
                <w:sz w:val="20"/>
                <w:szCs w:val="20"/>
                <w:color w:val="auto"/>
              </w:rPr>
            </w:pPr>
            <w:r>
              <w:rPr>
                <w:rFonts w:ascii="Times New Roman" w:cs="Times New Roman" w:eastAsia="Times New Roman" w:hAnsi="Times New Roman"/>
                <w:sz w:val="18"/>
                <w:szCs w:val="18"/>
                <w:color w:val="auto"/>
              </w:rPr>
              <w:t>Ravi Mallela</w:t>
            </w:r>
          </w:p>
        </w:tc>
      </w:tr>
      <w:tr>
        <w:trPr>
          <w:trHeight w:val="224"/>
        </w:trPr>
        <w:tc>
          <w:tcPr>
            <w:tcW w:w="1040" w:type="dxa"/>
            <w:vAlign w:val="bottom"/>
          </w:tcPr>
          <w:p>
            <w:pPr>
              <w:spacing w:after="0"/>
              <w:rPr>
                <w:sz w:val="19"/>
                <w:szCs w:val="19"/>
                <w:color w:val="auto"/>
              </w:rPr>
            </w:pPr>
          </w:p>
        </w:tc>
        <w:tc>
          <w:tcPr>
            <w:tcW w:w="7220" w:type="dxa"/>
            <w:vAlign w:val="bottom"/>
            <w:gridSpan w:val="2"/>
          </w:tcPr>
          <w:p>
            <w:pPr>
              <w:ind w:left="46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1040" w:type="dxa"/>
            <w:vAlign w:val="bottom"/>
          </w:tcPr>
          <w:p>
            <w:pPr>
              <w:spacing w:after="0"/>
              <w:rPr>
                <w:sz w:val="19"/>
                <w:szCs w:val="19"/>
                <w:color w:val="auto"/>
              </w:rPr>
            </w:pPr>
          </w:p>
        </w:tc>
        <w:tc>
          <w:tcPr>
            <w:tcW w:w="7220" w:type="dxa"/>
            <w:vAlign w:val="bottom"/>
            <w:gridSpan w:val="2"/>
          </w:tcPr>
          <w:p>
            <w:pPr>
              <w:ind w:left="460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72"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9"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NMI Holdings, Inc. (the "Company") on Form 10-Q for the quarter ended September 30, 2023,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April 30, 2024</w:t>
      </w:r>
    </w:p>
    <w:p>
      <w:pPr>
        <w:spacing w:after="0" w:line="2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u w:val="single" w:color="auto"/>
          <w:color w:val="auto"/>
        </w:rPr>
        <w:t>/s/ Adam S. Pollitzer</w:t>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Adam S. Pollitzer</w:t>
      </w:r>
    </w:p>
    <w:p>
      <w:pPr>
        <w:spacing w:after="0" w:line="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April 30, 2024</w:t>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Ravi Mallela</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Ravi Mallela</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1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9B0904"/>
    <w:multiLevelType w:val="hybridMultilevel"/>
    <w:lvl w:ilvl="0">
      <w:lvlJc w:val="left"/>
      <w:lvlText w:val="☒"/>
      <w:numFmt w:val="bullet"/>
      <w:start w:val="1"/>
    </w:lvl>
  </w:abstractNum>
  <w:abstractNum w:abstractNumId="1">
    <w:nsid w:val="6AA7B75C"/>
    <w:multiLevelType w:val="hybridMultilevel"/>
    <w:lvl w:ilvl="0">
      <w:lvlJc w:val="left"/>
      <w:lvlText w:val="☐"/>
      <w:numFmt w:val="bullet"/>
      <w:start w:val="1"/>
    </w:lvl>
  </w:abstractNum>
  <w:abstractNum w:abstractNumId="2">
    <w:nsid w:val="1DF029D3"/>
    <w:multiLevelType w:val="hybridMultilevel"/>
    <w:lvl w:ilvl="0">
      <w:lvlJc w:val="left"/>
      <w:lvlText w:val="•"/>
      <w:numFmt w:val="bullet"/>
      <w:start w:val="1"/>
    </w:lvl>
  </w:abstractNum>
  <w:abstractNum w:abstractNumId="3">
    <w:nsid w:val="5675FF36"/>
    <w:multiLevelType w:val="hybridMultilevel"/>
    <w:lvl w:ilvl="0">
      <w:lvlJc w:val="left"/>
      <w:lvlText w:val="•"/>
      <w:numFmt w:val="bullet"/>
      <w:start w:val="1"/>
    </w:lvl>
  </w:abstractNum>
  <w:abstractNum w:abstractNumId="4">
    <w:nsid w:val="3DD15094"/>
    <w:multiLevelType w:val="hybridMultilevel"/>
    <w:lvl w:ilvl="0">
      <w:lvlJc w:val="left"/>
      <w:lvlText w:val="(%1)"/>
      <w:numFmt w:val="decimal"/>
      <w:start w:val="1"/>
    </w:lvl>
  </w:abstractNum>
  <w:abstractNum w:abstractNumId="5">
    <w:nsid w:val="3DB012B3"/>
    <w:multiLevelType w:val="hybridMultilevel"/>
    <w:lvl w:ilvl="0">
      <w:lvlJc w:val="left"/>
      <w:lvlText w:val="(%1)"/>
      <w:numFmt w:val="decimal"/>
      <w:start w:val="1"/>
    </w:lvl>
  </w:abstractNum>
  <w:abstractNum w:abstractNumId="6">
    <w:nsid w:val="2708C9AF"/>
    <w:multiLevelType w:val="hybridMultilevel"/>
    <w:lvl w:ilvl="0">
      <w:lvlJc w:val="left"/>
      <w:lvlText w:val="(%1)"/>
      <w:numFmt w:val="decimal"/>
      <w:start w:val="1"/>
    </w:lvl>
  </w:abstractNum>
  <w:abstractNum w:abstractNumId="7">
    <w:nsid w:val="5B25ACE2"/>
    <w:multiLevelType w:val="hybridMultilevel"/>
    <w:lvl w:ilvl="0">
      <w:lvlJc w:val="left"/>
      <w:lvlText w:val="(%1)"/>
      <w:numFmt w:val="decimal"/>
      <w:start w:val="1"/>
    </w:lvl>
  </w:abstractNum>
  <w:abstractNum w:abstractNumId="8">
    <w:nsid w:val="175DFCF0"/>
    <w:multiLevelType w:val="hybridMultilevel"/>
    <w:lvl w:ilvl="0">
      <w:lvlJc w:val="left"/>
      <w:lvlText w:val="(%1)"/>
      <w:numFmt w:val="decimal"/>
      <w:start w:val="1"/>
    </w:lvl>
  </w:abstractNum>
  <w:abstractNum w:abstractNumId="9">
    <w:nsid w:val="4F97E3E4"/>
    <w:multiLevelType w:val="hybridMultilevel"/>
    <w:lvl w:ilvl="0">
      <w:lvlJc w:val="left"/>
      <w:lvlText w:val="(%1)"/>
      <w:numFmt w:val="decimal"/>
      <w:start w:val="1"/>
    </w:lvl>
  </w:abstractNum>
  <w:abstractNum w:abstractNumId="10">
    <w:nsid w:val="53B0A9E"/>
    <w:multiLevelType w:val="hybridMultilevel"/>
    <w:lvl w:ilvl="0">
      <w:lvlJc w:val="left"/>
      <w:lvlText w:val="•"/>
      <w:numFmt w:val="bullet"/>
      <w:start w:val="1"/>
    </w:lvl>
  </w:abstractNum>
  <w:abstractNum w:abstractNumId="11">
    <w:nsid w:val="34FD6B4F"/>
    <w:multiLevelType w:val="hybridMultilevel"/>
    <w:lvl w:ilvl="0">
      <w:lvlJc w:val="left"/>
      <w:lvlText w:val="(%1)"/>
      <w:numFmt w:val="decimal"/>
      <w:start w:val="1"/>
    </w:lvl>
  </w:abstractNum>
  <w:abstractNum w:abstractNumId="12">
    <w:nsid w:val="5915FF32"/>
    <w:multiLevelType w:val="hybridMultilevel"/>
    <w:lvl w:ilvl="0">
      <w:lvlJc w:val="left"/>
      <w:lvlText w:val="(%1)"/>
      <w:numFmt w:val="decimal"/>
      <w:start w:val="1"/>
    </w:lvl>
  </w:abstractNum>
  <w:abstractNum w:abstractNumId="13">
    <w:nsid w:val="56438D15"/>
    <w:multiLevelType w:val="hybridMultilevel"/>
    <w:lvl w:ilvl="0">
      <w:lvlJc w:val="left"/>
      <w:lvlText w:val="(%1)"/>
      <w:numFmt w:val="decimal"/>
      <w:start w:val="1"/>
    </w:lvl>
  </w:abstractNum>
  <w:abstractNum w:abstractNumId="14">
    <w:nsid w:val="519E3149"/>
    <w:multiLevelType w:val="hybridMultilevel"/>
    <w:lvl w:ilvl="0">
      <w:lvlJc w:val="left"/>
      <w:lvlText w:val="(%1)"/>
      <w:numFmt w:val="decimal"/>
      <w:start w:val="1"/>
    </w:lvl>
  </w:abstractNum>
  <w:abstractNum w:abstractNumId="15">
    <w:nsid w:val="2C6E4AFD"/>
    <w:multiLevelType w:val="hybridMultilevel"/>
    <w:lvl w:ilvl="0">
      <w:lvlJc w:val="left"/>
      <w:lvlText w:val="(%1)"/>
      <w:numFmt w:val="decimal"/>
      <w:start w:val="1"/>
    </w:lvl>
  </w:abstractNum>
  <w:abstractNum w:abstractNumId="16">
    <w:nsid w:val="17A1B582"/>
    <w:multiLevelType w:val="hybridMultilevel"/>
    <w:lvl w:ilvl="0">
      <w:lvlJc w:val="left"/>
      <w:lvlText w:val="(%1)"/>
      <w:numFmt w:val="decimal"/>
      <w:start w:val="3"/>
    </w:lvl>
  </w:abstractNum>
  <w:abstractNum w:abstractNumId="17">
    <w:nsid w:val="4DF72E4E"/>
    <w:multiLevelType w:val="hybridMultilevel"/>
    <w:lvl w:ilvl="0">
      <w:lvlJc w:val="left"/>
      <w:lvlText w:val="(%1)"/>
      <w:numFmt w:val="decimal"/>
      <w:start w:val="1"/>
    </w:lvl>
  </w:abstractNum>
  <w:abstractNum w:abstractNumId="18">
    <w:nsid w:val="5046B5A9"/>
    <w:multiLevelType w:val="hybridMultilevel"/>
    <w:lvl w:ilvl="0">
      <w:lvlJc w:val="left"/>
      <w:lvlText w:val="(%1)"/>
      <w:numFmt w:val="decimal"/>
      <w:start w:val="1"/>
    </w:lvl>
  </w:abstractNum>
  <w:abstractNum w:abstractNumId="19">
    <w:nsid w:val="5D888A08"/>
    <w:multiLevelType w:val="hybridMultilevel"/>
    <w:lvl w:ilvl="0">
      <w:lvlJc w:val="left"/>
      <w:lvlText w:val="(%1)"/>
      <w:numFmt w:val="decimal"/>
      <w:start w:val="1"/>
    </w:lvl>
  </w:abstractNum>
  <w:abstractNum w:abstractNumId="20">
    <w:nsid w:val="2A082C70"/>
    <w:multiLevelType w:val="hybridMultilevel"/>
    <w:lvl w:ilvl="0">
      <w:lvlJc w:val="left"/>
      <w:lvlText w:val="•"/>
      <w:numFmt w:val="bullet"/>
      <w:start w:val="1"/>
    </w:lvl>
  </w:abstractNum>
  <w:abstractNum w:abstractNumId="21">
    <w:nsid w:val="5EC6AFD4"/>
    <w:multiLevelType w:val="hybridMultilevel"/>
    <w:lvl w:ilvl="0">
      <w:lvlJc w:val="left"/>
      <w:lvlText w:val="•"/>
      <w:numFmt w:val="bullet"/>
      <w:start w:val="1"/>
    </w:lvl>
  </w:abstractNum>
  <w:abstractNum w:abstractNumId="22">
    <w:nsid w:val="19E21BB2"/>
    <w:multiLevelType w:val="hybridMultilevel"/>
    <w:lvl w:ilvl="0">
      <w:lvlJc w:val="left"/>
      <w:lvlText w:val="(%1)"/>
      <w:numFmt w:val="decimal"/>
      <w:start w:val="1"/>
    </w:lvl>
  </w:abstractNum>
  <w:abstractNum w:abstractNumId="23">
    <w:nsid w:val="75E0858A"/>
    <w:multiLevelType w:val="hybridMultilevel"/>
    <w:lvl w:ilvl="0">
      <w:lvlJc w:val="left"/>
      <w:lvlText w:val="(%1)"/>
      <w:numFmt w:val="decimal"/>
      <w:start w:val="1"/>
    </w:lvl>
  </w:abstractNum>
  <w:abstractNum w:abstractNumId="24">
    <w:nsid w:val="57A61A29"/>
    <w:multiLevelType w:val="hybridMultilevel"/>
    <w:lvl w:ilvl="0">
      <w:lvlJc w:val="left"/>
      <w:lvlText w:val="•"/>
      <w:numFmt w:val="bullet"/>
      <w:start w:val="1"/>
    </w:lvl>
  </w:abstractNum>
  <w:abstractNum w:abstractNumId="25">
    <w:nsid w:val="5399C654"/>
    <w:multiLevelType w:val="hybridMultilevel"/>
    <w:lvl w:ilvl="0">
      <w:lvlJc w:val="left"/>
      <w:lvlText w:val="(%1)"/>
      <w:numFmt w:val="decimal"/>
      <w:start w:val="1"/>
    </w:lvl>
  </w:abstractNum>
  <w:abstractNum w:abstractNumId="26">
    <w:nsid w:val="20EE1348"/>
    <w:multiLevelType w:val="hybridMultilevel"/>
    <w:lvl w:ilvl="0">
      <w:lvlJc w:val="left"/>
      <w:lvlText w:val="%1"/>
      <w:numFmt w:val="decimal"/>
      <w:start w:val="101"/>
    </w:lvl>
  </w:abstractNum>
  <w:abstractNum w:abstractNumId="27">
    <w:nsid w:val="4427069A"/>
    <w:multiLevelType w:val="hybridMultilevel"/>
    <w:lvl w:ilvl="0">
      <w:lvlJc w:val="left"/>
      <w:lvlText w:val="(%1)"/>
      <w:numFmt w:val="lowerRoman"/>
      <w:start w:val="3"/>
    </w:lvl>
  </w:abstractNum>
  <w:abstractNum w:abstractNumId="28">
    <w:nsid w:val="B37E80A"/>
    <w:multiLevelType w:val="hybridMultilevel"/>
    <w:lvl w:ilvl="0">
      <w:lvlJc w:val="left"/>
      <w:lvlText w:val="(%1)"/>
      <w:numFmt w:val="lowerRoman"/>
      <w:start w:val="5"/>
    </w:lvl>
  </w:abstractNum>
  <w:abstractNum w:abstractNumId="29">
    <w:nsid w:val="2157F6BC"/>
    <w:multiLevelType w:val="hybridMultilevel"/>
    <w:lvl w:ilvl="0">
      <w:lvlJc w:val="left"/>
      <w:lvlText w:val="*"/>
      <w:numFmt w:val="bullet"/>
      <w:start w:val="1"/>
    </w:lvl>
    <w:lvl w:ilvl="1">
      <w:lvlJc w:val="left"/>
      <w:lvlText w:val="%2"/>
      <w:numFmt w:val="decimal"/>
      <w:start w:val="104"/>
    </w:lvl>
  </w:abstractNum>
  <w:abstractNum w:abstractNumId="30">
    <w:nsid w:val="704E1DD5"/>
    <w:multiLevelType w:val="hybridMultilevel"/>
    <w:lvl w:ilvl="0">
      <w:lvlJc w:val="left"/>
      <w:lvlText w:val="~"/>
      <w:numFmt w:val="bullet"/>
      <w:start w:val="1"/>
    </w:lvl>
  </w:abstractNum>
  <w:abstractNum w:abstractNumId="31">
    <w:nsid w:val="57D2F10E"/>
    <w:multiLevelType w:val="hybridMultilevel"/>
    <w:lvl w:ilvl="0">
      <w:lvlJc w:val="left"/>
      <w:lvlText w:val="+"/>
      <w:numFmt w:val="bullet"/>
      <w:start w:val="1"/>
    </w:lvl>
  </w:abstractNum>
  <w:abstractNum w:abstractNumId="32">
    <w:nsid w:val="BFFAE18"/>
    <w:multiLevelType w:val="hybridMultilevel"/>
    <w:lvl w:ilvl="0">
      <w:lvlJc w:val="left"/>
      <w:lvlText w:val="#"/>
      <w:numFmt w:val="bullet"/>
      <w:start w:val="1"/>
    </w:lvl>
  </w:abstractNum>
  <w:abstractNum w:abstractNumId="33">
    <w:nsid w:val="E3E47A8"/>
    <w:multiLevelType w:val="hybridMultilevel"/>
    <w:lvl w:ilvl="0">
      <w:lvlJc w:val="left"/>
      <w:lvlText w:val="(%1)"/>
      <w:numFmt w:val="lowerLetter"/>
      <w:start w:val="1"/>
    </w:lvl>
  </w:abstractNum>
  <w:abstractNum w:abstractNumId="34">
    <w:nsid w:val="2E48F044"/>
    <w:multiLevelType w:val="hybridMultilevel"/>
    <w:lvl w:ilvl="0">
      <w:lvlJc w:val="left"/>
      <w:lvlText w:val="(%1)"/>
      <w:numFmt w:val="lowerLetter"/>
      <w:start w:val="10"/>
    </w:lvl>
  </w:abstractNum>
  <w:abstractNum w:abstractNumId="35">
    <w:nsid w:val="49D0FEAC"/>
    <w:multiLevelType w:val="hybridMultilevel"/>
    <w:lvl w:ilvl="0">
      <w:lvlJc w:val="left"/>
      <w:lvlText w:val="(%1)"/>
      <w:numFmt w:val="lowerLetter"/>
      <w:start w:val="13"/>
    </w:lvl>
  </w:abstractNum>
  <w:abstractNum w:abstractNumId="36">
    <w:nsid w:val="4BEE5A5B"/>
    <w:multiLevelType w:val="hybridMultilevel"/>
    <w:lvl w:ilvl="0">
      <w:lvlJc w:val="left"/>
      <w:lvlText w:val="(%1)"/>
      <w:numFmt w:val="lowerLetter"/>
      <w:start w:val="22"/>
    </w:lvl>
  </w:abstractNum>
  <w:abstractNum w:abstractNumId="37">
    <w:nsid w:val="5551B9F3"/>
    <w:multiLevelType w:val="hybridMultilevel"/>
    <w:lvl w:ilvl="0">
      <w:lvlJc w:val="left"/>
      <w:lvlText w:val="(%1)"/>
      <w:numFmt w:val="lowerLetter"/>
      <w:start w:val="25"/>
    </w:lvl>
  </w:abstractNum>
  <w:abstractNum w:abstractNumId="38">
    <w:nsid w:val="24F6AB8E"/>
    <w:multiLevelType w:val="hybridMultilevel"/>
    <w:lvl w:ilvl="0">
      <w:lvlJc w:val="left"/>
      <w:lvlText w:val="(%1)"/>
      <w:numFmt w:val="lowerLetter"/>
      <w:start w:val="26"/>
    </w:lvl>
  </w:abstractNum>
  <w:abstractNum w:abstractNumId="39">
    <w:nsid w:val="634C574C"/>
    <w:multiLevelType w:val="hybridMultilevel"/>
    <w:lvl w:ilvl="0">
      <w:lvlJc w:val="left"/>
      <w:lvlText w:val="(%1)"/>
      <w:numFmt w:val="lowerLetter"/>
      <w:start w:val="27"/>
    </w:lvl>
  </w:abstractNum>
  <w:abstractNum w:abstractNumId="40">
    <w:nsid w:val="24E99DD7"/>
    <w:multiLevelType w:val="hybridMultilevel"/>
    <w:lvl w:ilvl="0">
      <w:lvlJc w:val="left"/>
      <w:lvlText w:val="(%1)"/>
      <w:numFmt w:val="lowerLetter"/>
      <w:start w:val="29"/>
    </w:lvl>
  </w:abstractNum>
  <w:abstractNum w:abstractNumId="41">
    <w:nsid w:val="2A31B62D"/>
    <w:multiLevelType w:val="hybridMultilevel"/>
    <w:lvl w:ilvl="0">
      <w:lvlJc w:val="left"/>
      <w:lvlText w:val="(%1)"/>
      <w:numFmt w:val="lowerLetter"/>
      <w:start w:val="39"/>
    </w:lvl>
  </w:abstractNum>
  <w:abstractNum w:abstractNumId="42">
    <w:nsid w:val="1849C29B"/>
    <w:multiLevelType w:val="hybridMultilevel"/>
    <w:lvl w:ilvl="0">
      <w:lvlJc w:val="left"/>
      <w:lvlText w:val="(%1)"/>
      <w:numFmt w:val="lowerLetter"/>
      <w:start w:val="50"/>
    </w:lvl>
  </w:abstractNum>
  <w:abstractNum w:abstractNumId="43">
    <w:nsid w:val="7DFF9D09"/>
    <w:multiLevelType w:val="hybridMultilevel"/>
    <w:lvl w:ilvl="0">
      <w:lvlJc w:val="left"/>
      <w:lvlText w:val="(%1)"/>
      <w:numFmt w:val="lowerLetter"/>
      <w:start w:val="1"/>
    </w:lvl>
  </w:abstractNum>
  <w:abstractNum w:abstractNumId="44">
    <w:nsid w:val="754342"/>
    <w:multiLevelType w:val="hybridMultilevel"/>
    <w:lvl w:ilvl="0">
      <w:lvlJc w:val="left"/>
      <w:lvlText w:val="%1"/>
      <w:numFmt w:val="lowerLetter"/>
      <w:start w:val="1"/>
    </w:lvl>
    <w:lvl w:ilvl="1">
      <w:lvlJc w:val="left"/>
      <w:lvlText w:val="(%2)"/>
      <w:numFmt w:val="lowerRoman"/>
      <w:start w:val="1"/>
    </w:lvl>
  </w:abstractNum>
  <w:abstractNum w:abstractNumId="45">
    <w:nsid w:val="69E7F3E5"/>
    <w:multiLevelType w:val="hybridMultilevel"/>
    <w:lvl w:ilvl="0">
      <w:lvlJc w:val="left"/>
      <w:lvlText w:val="(%1)"/>
      <w:numFmt w:val="lowerLetter"/>
      <w:start w:val="2"/>
    </w:lvl>
    <w:lvl w:ilvl="1">
      <w:lvlJc w:val="left"/>
      <w:lvlText w:val="(%2)"/>
      <w:numFmt w:val="lowerRoman"/>
      <w:start w:val="1"/>
    </w:lvl>
  </w:abstractNum>
  <w:abstractNum w:abstractNumId="46">
    <w:nsid w:val="2A6DE806"/>
    <w:multiLevelType w:val="hybridMultilevel"/>
    <w:lvl w:ilvl="0">
      <w:lvlJc w:val="left"/>
      <w:lvlText w:val="%1"/>
      <w:numFmt w:val="lowerLetter"/>
      <w:start w:val="1"/>
    </w:lvl>
    <w:lvl w:ilvl="1">
      <w:lvlJc w:val="left"/>
      <w:lvlText w:val="(%2)"/>
      <w:numFmt w:val="lowerLetter"/>
      <w:start w:val="35"/>
    </w:lvl>
  </w:abstractNum>
  <w:abstractNum w:abstractNumId="47">
    <w:nsid w:val="1816F8C4"/>
    <w:multiLevelType w:val="hybridMultilevel"/>
    <w:lvl w:ilvl="0">
      <w:lvlJc w:val="left"/>
      <w:lvlText w:val="(%1)"/>
      <w:numFmt w:val="lowerLetter"/>
      <w:start w:val="3"/>
    </w:lvl>
    <w:lvl w:ilvl="1">
      <w:lvlJc w:val="left"/>
      <w:lvlText w:val="%2"/>
      <w:numFmt w:val="lowerLetter"/>
      <w:start w:val="1"/>
    </w:lvl>
  </w:abstractNum>
  <w:abstractNum w:abstractNumId="48">
    <w:nsid w:val="37DF2233"/>
    <w:multiLevelType w:val="hybridMultilevel"/>
    <w:lvl w:ilvl="0">
      <w:lvlJc w:val="left"/>
      <w:lvlText w:val="(%1)"/>
      <w:numFmt w:val="lowerLetter"/>
      <w:start w:val="5"/>
    </w:lvl>
  </w:abstractNum>
  <w:abstractNum w:abstractNumId="49">
    <w:nsid w:val="7AB49DAF"/>
    <w:multiLevelType w:val="hybridMultilevel"/>
    <w:lvl w:ilvl="0">
      <w:lvlJc w:val="left"/>
      <w:lvlText w:val="(%1)"/>
      <w:numFmt w:val="lowerLetter"/>
      <w:start w:val="1"/>
    </w:lvl>
    <w:lvl w:ilvl="1">
      <w:lvlJc w:val="left"/>
      <w:lvlText w:val="(%2)"/>
      <w:numFmt w:val="lowerRoman"/>
      <w:start w:val="1"/>
    </w:lvl>
  </w:abstractNum>
  <w:abstractNum w:abstractNumId="50">
    <w:nsid w:val="759F82CD"/>
    <w:multiLevelType w:val="hybridMultilevel"/>
    <w:lvl w:ilvl="0">
      <w:lvlJc w:val="left"/>
      <w:lvlText w:val="(%1)"/>
      <w:numFmt w:val="lowerLetter"/>
      <w:start w:val="4"/>
    </w:lvl>
    <w:lvl w:ilvl="1">
      <w:lvlJc w:val="left"/>
      <w:lvlText w:val="(%2)"/>
      <w:numFmt w:val="lowerRoman"/>
      <w:start w:val="1"/>
    </w:lvl>
  </w:abstractNum>
  <w:abstractNum w:abstractNumId="51">
    <w:nsid w:val="61E74EA3"/>
    <w:multiLevelType w:val="hybridMultilevel"/>
    <w:lvl w:ilvl="0">
      <w:lvlJc w:val="left"/>
      <w:lvlText w:val="(%1)"/>
      <w:numFmt w:val="lowerRoman"/>
      <w:start w:val="4"/>
    </w:lvl>
  </w:abstractNum>
  <w:abstractNum w:abstractNumId="52">
    <w:nsid w:val="597B4D84"/>
    <w:multiLevelType w:val="hybridMultilevel"/>
    <w:lvl w:ilvl="0">
      <w:lvlJc w:val="left"/>
      <w:lvlText w:val="(%1)"/>
      <w:numFmt w:val="lowerLetter"/>
      <w:start w:val="1"/>
    </w:lvl>
  </w:abstractNum>
  <w:abstractNum w:abstractNumId="53">
    <w:nsid w:val="F819E7F"/>
    <w:multiLevelType w:val="hybridMultilevel"/>
    <w:lvl w:ilvl="0">
      <w:lvlJc w:val="left"/>
      <w:lvlText w:val="(%1)"/>
      <w:numFmt w:val="lowerLetter"/>
      <w:start w:val="2"/>
    </w:lvl>
  </w:abstractNum>
  <w:abstractNum w:abstractNumId="54">
    <w:nsid w:val="57C7D42D"/>
    <w:multiLevelType w:val="hybridMultilevel"/>
    <w:lvl w:ilvl="0">
      <w:lvlJc w:val="left"/>
      <w:lvlText w:val="(%1)"/>
      <w:numFmt w:val="lowerLetter"/>
      <w:start w:val="3"/>
    </w:lvl>
  </w:abstractNum>
  <w:abstractNum w:abstractNumId="55">
    <w:nsid w:val="312167AD"/>
    <w:multiLevelType w:val="hybridMultilevel"/>
    <w:lvl w:ilvl="0">
      <w:lvlJc w:val="left"/>
      <w:lvlText w:val="(%1)"/>
      <w:numFmt w:val="lowerLetter"/>
      <w:start w:val="1"/>
    </w:lvl>
  </w:abstractNum>
  <w:abstractNum w:abstractNumId="56">
    <w:nsid w:val="631B64D4"/>
    <w:multiLevelType w:val="hybridMultilevel"/>
    <w:lvl w:ilvl="0">
      <w:lvlJc w:val="left"/>
      <w:lvlText w:val="(%1)"/>
      <w:numFmt w:val="lowerLetter"/>
      <w:start w:val="3"/>
    </w:lvl>
  </w:abstractNum>
  <w:abstractNum w:abstractNumId="57">
    <w:nsid w:val="78B5E776"/>
    <w:multiLevelType w:val="hybridMultilevel"/>
    <w:lvl w:ilvl="0">
      <w:lvlJc w:val="left"/>
      <w:lvlText w:val="(%1)"/>
      <w:numFmt w:val="lowerRoman"/>
      <w:start w:val="1"/>
    </w:lvl>
  </w:abstractNum>
  <w:abstractNum w:abstractNumId="58">
    <w:nsid w:val="75486E47"/>
    <w:multiLevelType w:val="hybridMultilevel"/>
    <w:lvl w:ilvl="0">
      <w:lvlJc w:val="left"/>
      <w:lvlText w:val="(%1)"/>
      <w:numFmt w:val="lowerLetter"/>
      <w:start w:val="8"/>
    </w:lvl>
  </w:abstractNum>
  <w:abstractNum w:abstractNumId="59">
    <w:nsid w:val="6E534CDE"/>
    <w:multiLevelType w:val="hybridMultilevel"/>
    <w:lvl w:ilvl="0">
      <w:lvlJc w:val="left"/>
      <w:lvlText w:val="(%1)"/>
      <w:numFmt w:val="lowerLetter"/>
      <w:start w:val="9"/>
    </w:lvl>
    <w:lvl w:ilvl="1">
      <w:lvlJc w:val="left"/>
      <w:lvlText w:val="(%2)"/>
      <w:numFmt w:val="lowerRoman"/>
      <w:start w:val="1"/>
    </w:lvl>
  </w:abstractNum>
  <w:abstractNum w:abstractNumId="60">
    <w:nsid w:val="1A0DDE32"/>
    <w:multiLevelType w:val="hybridMultilevel"/>
    <w:lvl w:ilvl="0">
      <w:lvlJc w:val="left"/>
      <w:lvlText w:val="(%1)"/>
      <w:numFmt w:val="lowerLetter"/>
      <w:start w:val="11"/>
    </w:lvl>
  </w:abstractNum>
  <w:abstractNum w:abstractNumId="61">
    <w:nsid w:val="65968C1C"/>
    <w:multiLevelType w:val="hybridMultilevel"/>
    <w:lvl w:ilvl="0">
      <w:lvlJc w:val="left"/>
      <w:lvlText w:val="(%1)"/>
      <w:numFmt w:val="lowerLetter"/>
      <w:start w:val="1"/>
    </w:lvl>
  </w:abstractNum>
  <w:abstractNum w:abstractNumId="62">
    <w:nsid w:val="46263DEC"/>
    <w:multiLevelType w:val="hybridMultilevel"/>
    <w:lvl w:ilvl="0">
      <w:lvlJc w:val="left"/>
      <w:lvlText w:val="(%1)"/>
      <w:numFmt w:val="lowerLetter"/>
      <w:start w:val="3"/>
    </w:lvl>
    <w:lvl w:ilvl="1">
      <w:lvlJc w:val="left"/>
      <w:lvlText w:val="(%2)"/>
      <w:numFmt w:val="lowerLetter"/>
      <w:start w:val="9"/>
    </w:lvl>
  </w:abstractNum>
  <w:abstractNum w:abstractNumId="63">
    <w:nsid w:val="260D8C4A"/>
    <w:multiLevelType w:val="hybridMultilevel"/>
    <w:lvl w:ilvl="0">
      <w:lvlJc w:val="left"/>
      <w:lvlText w:val="%1"/>
      <w:numFmt w:val="lowerLetter"/>
      <w:start w:val="1"/>
    </w:lvl>
    <w:lvl w:ilvl="1">
      <w:lvlJc w:val="left"/>
      <w:lvlText w:val="(%2)"/>
      <w:numFmt w:val="lowerLetter"/>
      <w:start w:val="35"/>
    </w:lvl>
  </w:abstractNum>
  <w:abstractNum w:abstractNumId="64">
    <w:nsid w:val="73D4D3C4"/>
    <w:multiLevelType w:val="hybridMultilevel"/>
    <w:lvl w:ilvl="0">
      <w:lvlJc w:val="left"/>
      <w:lvlText w:val="(%1)"/>
      <w:numFmt w:val="lowerLetter"/>
      <w:start w:val="4"/>
    </w:lvl>
    <w:lvl w:ilvl="1">
      <w:lvlJc w:val="left"/>
      <w:lvlText w:val="(%2)"/>
      <w:numFmt w:val="lowerLetter"/>
      <w:start w:val="9"/>
    </w:lvl>
  </w:abstractNum>
  <w:abstractNum w:abstractNumId="65">
    <w:nsid w:val="746F2E30"/>
    <w:multiLevelType w:val="hybridMultilevel"/>
    <w:lvl w:ilvl="0">
      <w:lvlJc w:val="left"/>
      <w:lvlText w:val="(%1)"/>
      <w:numFmt w:val="lowerRoman"/>
      <w:start w:val="2"/>
    </w:lvl>
  </w:abstractNum>
  <w:abstractNum w:abstractNumId="66">
    <w:nsid w:val="6FDE8AF6"/>
    <w:multiLevelType w:val="hybridMultilevel"/>
    <w:lvl w:ilvl="0">
      <w:lvlJc w:val="left"/>
      <w:lvlText w:val="(%1)"/>
      <w:numFmt w:val="lowerLetter"/>
      <w:start w:val="1"/>
    </w:lvl>
    <w:lvl w:ilvl="1">
      <w:lvlJc w:val="left"/>
      <w:lvlText w:val="(%2)"/>
      <w:numFmt w:val="lowerLetter"/>
      <w:start w:val="9"/>
    </w:lvl>
  </w:abstractNum>
  <w:abstractNum w:abstractNumId="67">
    <w:nsid w:val="3FC32E20"/>
    <w:multiLevelType w:val="hybridMultilevel"/>
    <w:lvl w:ilvl="0">
      <w:lvlJc w:val="left"/>
      <w:lvlText w:val="%1"/>
      <w:numFmt w:val="lowerLetter"/>
      <w:start w:val="1"/>
    </w:lvl>
    <w:lvl w:ilvl="1">
      <w:lvlJc w:val="left"/>
      <w:lvlText w:val="(%2)"/>
      <w:numFmt w:val="lowerRoman"/>
      <w:start w:val="2"/>
    </w:lvl>
  </w:abstractNum>
  <w:abstractNum w:abstractNumId="68">
    <w:nsid w:val="49C0E823"/>
    <w:multiLevelType w:val="hybridMultilevel"/>
    <w:lvl w:ilvl="0">
      <w:lvlJc w:val="left"/>
      <w:lvlText w:val="(%1)"/>
      <w:numFmt w:val="lowerLetter"/>
      <w:start w:val="3"/>
    </w:lvl>
    <w:lvl w:ilvl="1">
      <w:lvlJc w:val="left"/>
      <w:lvlText w:val="(%2)"/>
      <w:numFmt w:val="lowerRoman"/>
      <w:start w:val="1"/>
    </w:lvl>
  </w:abstractNum>
  <w:abstractNum w:abstractNumId="69">
    <w:nsid w:val="14D53685"/>
    <w:multiLevelType w:val="hybridMultilevel"/>
    <w:lvl w:ilvl="0">
      <w:lvlJc w:val="left"/>
      <w:lvlText w:val="(%1)"/>
      <w:numFmt w:val="lowerLetter"/>
      <w:start w:val="1"/>
    </w:lvl>
  </w:abstractNum>
  <w:abstractNum w:abstractNumId="70">
    <w:nsid w:val="230F856C"/>
    <w:multiLevelType w:val="hybridMultilevel"/>
    <w:lvl w:ilvl="0">
      <w:lvlJc w:val="left"/>
      <w:lvlText w:val="(%1)"/>
      <w:numFmt w:val="lowerLetter"/>
      <w:start w:val="5"/>
    </w:lvl>
  </w:abstractNum>
  <w:abstractNum w:abstractNumId="71">
    <w:nsid w:val="6EAA85FB"/>
    <w:multiLevelType w:val="hybridMultilevel"/>
    <w:lvl w:ilvl="0">
      <w:lvlJc w:val="left"/>
      <w:lvlText w:val="(%1)"/>
      <w:numFmt w:val="lowerRoman"/>
      <w:start w:val="1"/>
    </w:lvl>
  </w:abstractNum>
  <w:abstractNum w:abstractNumId="72">
    <w:nsid w:val="3F06ECB2"/>
    <w:multiLevelType w:val="hybridMultilevel"/>
    <w:lvl w:ilvl="0">
      <w:lvlJc w:val="left"/>
      <w:lvlText w:val="(%1)"/>
      <w:numFmt w:val="lowerLetter"/>
      <w:start w:val="1"/>
    </w:lvl>
  </w:abstractNum>
  <w:abstractNum w:abstractNumId="73">
    <w:nsid w:val="3B594807"/>
    <w:multiLevelType w:val="hybridMultilevel"/>
    <w:lvl w:ilvl="0">
      <w:lvlJc w:val="left"/>
      <w:lvlText w:val="(%1)"/>
      <w:numFmt w:val="lowerLetter"/>
      <w:start w:val="1"/>
    </w:lvl>
  </w:abstractNum>
  <w:abstractNum w:abstractNumId="74">
    <w:nsid w:val="6CAA2304"/>
    <w:multiLevelType w:val="hybridMultilevel"/>
    <w:lvl w:ilvl="0">
      <w:lvlJc w:val="left"/>
      <w:lvlText w:val="(%1)"/>
      <w:numFmt w:val="lowerLetter"/>
      <w:start w:val="1"/>
    </w:lvl>
  </w:abstractNum>
  <w:abstractNum w:abstractNumId="75">
    <w:nsid w:val="3F7C2FF4"/>
    <w:multiLevelType w:val="hybridMultilevel"/>
    <w:lvl w:ilvl="0">
      <w:lvlJc w:val="left"/>
      <w:lvlText w:val="(%1)"/>
      <w:numFmt w:val="lowerLetter"/>
      <w:start w:val="6"/>
    </w:lvl>
  </w:abstractNum>
  <w:abstractNum w:abstractNumId="76">
    <w:nsid w:val="25413BEC"/>
    <w:multiLevelType w:val="hybridMultilevel"/>
    <w:lvl w:ilvl="0">
      <w:lvlJc w:val="left"/>
      <w:lvlText w:val="1"/>
      <w:numFmt w:val="bullet"/>
      <w:start w:val="1"/>
    </w:lvl>
  </w:abstractNum>
  <w:abstractNum w:abstractNumId="77">
    <w:nsid w:val="17180B0B"/>
    <w:multiLevelType w:val="hybridMultilevel"/>
    <w:lvl w:ilvl="0">
      <w:lvlJc w:val="left"/>
      <w:lvlText w:val=";"/>
      <w:numFmt w:val="bullet"/>
      <w:start w:val="1"/>
    </w:lvl>
  </w:abstractNum>
  <w:abstractNum w:abstractNumId="78">
    <w:nsid w:val="579328B9"/>
    <w:multiLevelType w:val="hybridMultilevel"/>
    <w:lvl w:ilvl="0">
      <w:lvlJc w:val="left"/>
      <w:lvlText w:val="(%1)"/>
      <w:numFmt w:val="decimal"/>
      <w:start w:val="1"/>
    </w:lvl>
  </w:abstractNum>
  <w:abstractNum w:abstractNumId="79">
    <w:nsid w:val="5D205E20"/>
    <w:multiLevelType w:val="hybridMultilevel"/>
    <w:lvl w:ilvl="0">
      <w:lvlJc w:val="left"/>
      <w:lvlText w:val="(%1)"/>
      <w:numFmt w:val="decimal"/>
      <w:start w:val="1"/>
    </w:lvl>
  </w:abstractNum>
  <w:abstractNum w:abstractNumId="80">
    <w:nsid w:val="11CCA8BA"/>
    <w:multiLevelType w:val="hybridMultilevel"/>
    <w:lvl w:ilvl="0">
      <w:lvlJc w:val="left"/>
      <w:lvlText w:val="(%1)"/>
      <w:numFmt w:val="decimal"/>
      <w:start w:val="1"/>
    </w:lvl>
  </w:abstractNum>
  <w:abstractNum w:abstractNumId="81">
    <w:nsid w:val="4D32AB86"/>
    <w:multiLevelType w:val="hybridMultilevel"/>
    <w:lvl w:ilvl="0">
      <w:lvlJc w:val="left"/>
      <w:lvlText w:val="(%1)"/>
      <w:numFmt w:val="decimal"/>
      <w:start w:val="3"/>
    </w:lvl>
  </w:abstractNum>
  <w:abstractNum w:abstractNumId="82">
    <w:nsid w:val="3F07ACC3"/>
    <w:multiLevelType w:val="hybridMultilevel"/>
    <w:lvl w:ilvl="0">
      <w:lvlJc w:val="left"/>
      <w:lvlText w:val="(%1)"/>
      <w:numFmt w:val="lowerLetter"/>
      <w:start w:val="1"/>
    </w:lvl>
  </w:abstractNum>
  <w:abstractNum w:abstractNumId="83">
    <w:nsid w:val="6B47F63E"/>
    <w:multiLevelType w:val="hybridMultilevel"/>
    <w:lvl w:ilvl="0">
      <w:lvlJc w:val="left"/>
      <w:lvlText w:val="(%1)"/>
      <w:numFmt w:val="lowerRoman"/>
      <w:start w:val="1"/>
    </w:lvl>
  </w:abstractNum>
  <w:abstractNum w:abstractNumId="84">
    <w:nsid w:val="5CB44A05"/>
    <w:multiLevelType w:val="hybridMultilevel"/>
    <w:lvl w:ilvl="0">
      <w:lvlJc w:val="left"/>
      <w:lvlText w:val="(%1)"/>
      <w:numFmt w:val="lowerRoman"/>
      <w:start w:val="2"/>
    </w:lvl>
  </w:abstractNum>
  <w:abstractNum w:abstractNumId="85">
    <w:nsid w:val="16CF80F1"/>
    <w:multiLevelType w:val="hybridMultilevel"/>
    <w:lvl w:ilvl="0">
      <w:lvlJc w:val="left"/>
      <w:lvlText w:val="(%1)"/>
      <w:numFmt w:val="lowerLetter"/>
      <w:start w:val="1"/>
    </w:lvl>
  </w:abstractNum>
  <w:abstractNum w:abstractNumId="86">
    <w:nsid w:val="1C695DEC"/>
    <w:multiLevelType w:val="hybridMultilevel"/>
    <w:lvl w:ilvl="0">
      <w:lvlJc w:val="left"/>
      <w:lvlText w:val="(%1)"/>
      <w:numFmt w:val="lowerLetter"/>
      <w:start w:val="2"/>
    </w:lvl>
  </w:abstractNum>
  <w:abstractNum w:abstractNumId="87">
    <w:nsid w:val="3FCFAED9"/>
    <w:multiLevelType w:val="hybridMultilevel"/>
    <w:lvl w:ilvl="0">
      <w:lvlJc w:val="left"/>
      <w:lvlText w:val="2"/>
      <w:numFmt w:val="bullet"/>
      <w:start w:val="1"/>
    </w:lvl>
  </w:abstractNum>
  <w:abstractNum w:abstractNumId="88">
    <w:nsid w:val="F856867"/>
    <w:multiLevelType w:val="hybridMultilevel"/>
    <w:lvl w:ilvl="0">
      <w:lvlJc w:val="left"/>
      <w:lvlText w:val="(%1)"/>
      <w:numFmt w:val="lowerRoman"/>
      <w:start w:val="2"/>
    </w:lvl>
  </w:abstractNum>
  <w:abstractNum w:abstractNumId="89">
    <w:nsid w:val="11B1CC33"/>
    <w:multiLevelType w:val="hybridMultilevel"/>
    <w:lvl w:ilvl="0">
      <w:lvlJc w:val="left"/>
      <w:lvlText w:val="(%1)"/>
      <w:numFmt w:val="lowerLetter"/>
      <w:start w:val="1"/>
    </w:lvl>
  </w:abstractNum>
  <w:abstractNum w:abstractNumId="90">
    <w:nsid w:val="2E22FBB7"/>
    <w:multiLevelType w:val="hybridMultilevel"/>
    <w:lvl w:ilvl="0">
      <w:lvlJc w:val="left"/>
      <w:lvlText w:val="(%1)"/>
      <w:numFmt w:val="lowerLetter"/>
      <w:start w:val="1"/>
    </w:lvl>
    <w:lvl w:ilvl="1">
      <w:lvlJc w:val="left"/>
      <w:lvlText w:val="(%2)"/>
      <w:numFmt w:val="lowerRoman"/>
      <w:start w:val="2"/>
    </w:lvl>
  </w:abstractNum>
  <w:abstractNum w:abstractNumId="91">
    <w:nsid w:val="29934699"/>
    <w:multiLevelType w:val="hybridMultilevel"/>
    <w:lvl w:ilvl="0">
      <w:lvlJc w:val="left"/>
      <w:lvlText w:val="(%1)"/>
      <w:numFmt w:val="lowerLetter"/>
      <w:start w:val="1"/>
    </w:lvl>
  </w:abstractNum>
  <w:abstractNum w:abstractNumId="92">
    <w:nsid w:val="77485850"/>
    <w:multiLevelType w:val="hybridMultilevel"/>
    <w:lvl w:ilvl="0">
      <w:lvlJc w:val="left"/>
      <w:lvlText w:val="(%1)"/>
      <w:numFmt w:val="lowerLetter"/>
      <w:start w:val="1"/>
    </w:lvl>
  </w:abstractNum>
  <w:abstractNum w:abstractNumId="93">
    <w:nsid w:val="744939A3"/>
    <w:multiLevelType w:val="hybridMultilevel"/>
    <w:lvl w:ilvl="0">
      <w:lvlJc w:val="left"/>
      <w:lvlText w:val="(%1)"/>
      <w:numFmt w:val="lowerLetter"/>
      <w:start w:val="3"/>
    </w:lvl>
  </w:abstractNum>
  <w:abstractNum w:abstractNumId="94">
    <w:nsid w:val="4FA0D2E3"/>
    <w:multiLevelType w:val="hybridMultilevel"/>
    <w:lvl w:ilvl="0">
      <w:lvlJc w:val="left"/>
      <w:lvlText w:val="(%1)"/>
      <w:numFmt w:val="lowerRoman"/>
      <w:start w:val="1"/>
    </w:lvl>
  </w:abstractNum>
  <w:abstractNum w:abstractNumId="95">
    <w:nsid w:val="6B1D2C14"/>
    <w:multiLevelType w:val="hybridMultilevel"/>
    <w:lvl w:ilvl="0">
      <w:lvlJc w:val="left"/>
      <w:lvlText w:val="(%1)"/>
      <w:numFmt w:val="lowerLetter"/>
      <w:start w:val="1"/>
    </w:lvl>
  </w:abstractNum>
  <w:abstractNum w:abstractNumId="96">
    <w:nsid w:val="68B867D3"/>
    <w:multiLevelType w:val="hybridMultilevel"/>
    <w:lvl w:ilvl="0">
      <w:lvlJc w:val="left"/>
      <w:lvlText w:val="%1"/>
      <w:numFmt w:val="decimal"/>
      <w:start w:val="1"/>
    </w:lvl>
    <w:lvl w:ilvl="1">
      <w:lvlJc w:val="left"/>
      <w:lvlText w:val="(%2)"/>
      <w:numFmt w:val="lowerLetter"/>
      <w:start w:val="2"/>
    </w:lvl>
  </w:abstractNum>
  <w:abstractNum w:abstractNumId="97">
    <w:nsid w:val="3F7F5DD9"/>
    <w:multiLevelType w:val="hybridMultilevel"/>
    <w:lvl w:ilvl="0">
      <w:lvlJc w:val="left"/>
      <w:lvlText w:val="(%1)"/>
      <w:numFmt w:val="decimal"/>
      <w:start w:val="1"/>
    </w:lvl>
    <w:lvl w:ilvl="1">
      <w:lvlJc w:val="left"/>
      <w:lvlText w:val="%2"/>
      <w:numFmt w:val="lowerLetter"/>
      <w:start w:val="1"/>
    </w:lvl>
  </w:abstractNum>
  <w:abstractNum w:abstractNumId="98">
    <w:nsid w:val="2AE05A34"/>
    <w:multiLevelType w:val="hybridMultilevel"/>
    <w:lvl w:ilvl="0">
      <w:lvlJc w:val="left"/>
      <w:lvlText w:val="(%1)"/>
      <w:numFmt w:val="lowerLetter"/>
      <w:start w:val="1"/>
    </w:lvl>
    <w:lvl w:ilvl="1">
      <w:lvlJc w:val="left"/>
      <w:lvlText w:val="(%2)"/>
      <w:numFmt w:val="lowerRoman"/>
      <w:start w:val="1"/>
    </w:lvl>
  </w:abstractNum>
  <w:abstractNum w:abstractNumId="99">
    <w:nsid w:val="32794FF7"/>
    <w:multiLevelType w:val="hybridMultilevel"/>
    <w:lvl w:ilvl="0">
      <w:lvlJc w:val="left"/>
      <w:lvlText w:val="(%1)"/>
      <w:numFmt w:val="lowerLetter"/>
      <w:start w:val="4"/>
    </w:lvl>
  </w:abstractNum>
  <w:abstractNum w:abstractNumId="100">
    <w:nsid w:val="5454945E"/>
    <w:multiLevelType w:val="hybridMultilevel"/>
    <w:lvl w:ilvl="0">
      <w:lvlJc w:val="left"/>
      <w:lvlText w:val="(%1)"/>
      <w:numFmt w:val="lowerLetter"/>
      <w:start w:val="1"/>
    </w:lvl>
  </w:abstractNum>
  <w:abstractNum w:abstractNumId="101">
    <w:nsid w:val="4DEFDFA0"/>
    <w:multiLevelType w:val="hybridMultilevel"/>
    <w:lvl w:ilvl="0">
      <w:lvlJc w:val="left"/>
      <w:lvlText w:val="(%1)"/>
      <w:numFmt w:val="lowerLetter"/>
      <w:start w:val="1"/>
    </w:lvl>
    <w:lvl w:ilvl="1">
      <w:lvlJc w:val="left"/>
      <w:lvlText w:val="(%2)"/>
      <w:numFmt w:val="lowerRoman"/>
      <w:start w:val="1"/>
    </w:lvl>
  </w:abstractNum>
  <w:abstractNum w:abstractNumId="102">
    <w:nsid w:val="2123D5F2"/>
    <w:multiLevelType w:val="hybridMultilevel"/>
    <w:lvl w:ilvl="0">
      <w:lvlJc w:val="left"/>
      <w:lvlText w:val="(%1)"/>
      <w:numFmt w:val="lowerLetter"/>
      <w:start w:val="1"/>
    </w:lvl>
  </w:abstractNum>
  <w:abstractNum w:abstractNumId="103">
    <w:nsid w:val="135B8110"/>
    <w:multiLevelType w:val="hybridMultilevel"/>
    <w:lvl w:ilvl="0">
      <w:lvlJc w:val="left"/>
      <w:lvlText w:val="%1"/>
      <w:numFmt w:val="lowerLetter"/>
      <w:start w:val="1"/>
    </w:lvl>
    <w:lvl w:ilvl="1">
      <w:lvlJc w:val="left"/>
      <w:lvlText w:val="(%2)"/>
      <w:numFmt w:val="lowerLetter"/>
      <w:start w:val="1"/>
    </w:lvl>
  </w:abstractNum>
  <w:abstractNum w:abstractNumId="104">
    <w:nsid w:val="94927A8"/>
    <w:multiLevelType w:val="hybridMultilevel"/>
    <w:lvl w:ilvl="0">
      <w:lvlJc w:val="left"/>
      <w:lvlText w:val="(%1)"/>
      <w:numFmt w:val="lowerLetter"/>
      <w:start w:val="9"/>
    </w:lvl>
    <w:lvl w:ilvl="1">
      <w:lvlJc w:val="left"/>
      <w:lvlText w:val="%2"/>
      <w:numFmt w:val="lowerLetter"/>
      <w:start w:val="1"/>
    </w:lvl>
  </w:abstractNum>
  <w:abstractNum w:abstractNumId="105">
    <w:nsid w:val="DCDF8F6"/>
    <w:multiLevelType w:val="hybridMultilevel"/>
    <w:lvl w:ilvl="0">
      <w:lvlJc w:val="left"/>
      <w:lvlText w:val="(%1)"/>
      <w:numFmt w:val="lowerLetter"/>
      <w:start w:val="2"/>
    </w:lvl>
  </w:abstractNum>
  <w:abstractNum w:abstractNumId="106">
    <w:nsid w:val="52D7B105"/>
    <w:multiLevelType w:val="hybridMultilevel"/>
    <w:lvl w:ilvl="0">
      <w:lvlJc w:val="left"/>
      <w:lvlText w:val="(%1)"/>
      <w:numFmt w:val="lowerLetter"/>
      <w:start w:val="1"/>
    </w:lvl>
    <w:lvl w:ilvl="1">
      <w:lvlJc w:val="left"/>
      <w:lvlText w:val="(%2)"/>
      <w:numFmt w:val="lowerRoman"/>
      <w:start w:val="1"/>
    </w:lvl>
  </w:abstractNum>
  <w:abstractNum w:abstractNumId="107">
    <w:nsid w:val="2E8A6394"/>
    <w:multiLevelType w:val="hybridMultilevel"/>
    <w:lvl w:ilvl="0">
      <w:lvlJc w:val="left"/>
      <w:lvlText w:val="(%1)"/>
      <w:numFmt w:val="lowerLetter"/>
      <w:start w:val="4"/>
    </w:lvl>
  </w:abstractNum>
  <w:abstractNum w:abstractNumId="108">
    <w:nsid w:val="24E60401"/>
    <w:multiLevelType w:val="hybridMultilevel"/>
    <w:lvl w:ilvl="0">
      <w:lvlJc w:val="left"/>
      <w:lvlText w:val="%1"/>
      <w:numFmt w:val="lowerLetter"/>
      <w:start w:val="1"/>
    </w:lvl>
    <w:lvl w:ilvl="1">
      <w:lvlJc w:val="left"/>
      <w:lvlText w:val="(%2)"/>
      <w:numFmt w:val="lowerLetter"/>
      <w:start w:val="1"/>
    </w:lvl>
  </w:abstractNum>
  <w:abstractNum w:abstractNumId="109">
    <w:nsid w:val="2A6AD9BE"/>
    <w:multiLevelType w:val="hybridMultilevel"/>
    <w:lvl w:ilvl="0">
      <w:lvlJc w:val="left"/>
      <w:lvlText w:val="(%1)"/>
      <w:numFmt w:val="lowerLetter"/>
      <w:start w:val="35"/>
    </w:lvl>
    <w:lvl w:ilvl="1">
      <w:lvlJc w:val="left"/>
      <w:lvlText w:val="%2"/>
      <w:numFmt w:val="lowerLetter"/>
      <w:start w:val="1"/>
    </w:lvl>
  </w:abstractNum>
  <w:abstractNum w:abstractNumId="110">
    <w:nsid w:val="BAAC1B4"/>
    <w:multiLevelType w:val="hybridMultilevel"/>
    <w:lvl w:ilvl="0">
      <w:lvlJc w:val="left"/>
      <w:lvlText w:val="%1"/>
      <w:numFmt w:val="lowerLetter"/>
      <w:start w:val="1"/>
    </w:lvl>
    <w:lvl w:ilvl="1">
      <w:lvlJc w:val="left"/>
      <w:lvlText w:val="(%2)"/>
      <w:numFmt w:val="lowerRoman"/>
      <w:start w:val="1"/>
    </w:lvl>
  </w:abstractNum>
  <w:abstractNum w:abstractNumId="111">
    <w:nsid w:val="36B2ACBC"/>
    <w:multiLevelType w:val="hybridMultilevel"/>
    <w:lvl w:ilvl="0">
      <w:lvlJc w:val="left"/>
      <w:lvlText w:val="(%1)"/>
      <w:numFmt w:val="lowerLetter"/>
      <w:start w:val="2"/>
    </w:lvl>
    <w:lvl w:ilvl="1">
      <w:lvlJc w:val="left"/>
      <w:lvlText w:val="%2"/>
      <w:numFmt w:val="lowerRoman"/>
      <w:start w:val="1"/>
    </w:lvl>
  </w:abstractNum>
  <w:abstractNum w:abstractNumId="112">
    <w:nsid w:val="779D8544"/>
    <w:multiLevelType w:val="hybridMultilevel"/>
    <w:lvl w:ilvl="0">
      <w:lvlJc w:val="left"/>
      <w:lvlText w:val="(%1)"/>
      <w:numFmt w:val="lowerLetter"/>
      <w:start w:val="1"/>
    </w:lvl>
  </w:abstractNum>
  <w:abstractNum w:abstractNumId="113">
    <w:nsid w:val="4AB26E78"/>
    <w:multiLevelType w:val="hybridMultilevel"/>
    <w:lvl w:ilvl="0">
      <w:lvlJc w:val="left"/>
      <w:lvlText w:val="(%1)"/>
      <w:numFmt w:val="lowerLetter"/>
      <w:start w:val="3"/>
    </w:lvl>
  </w:abstractNum>
  <w:abstractNum w:abstractNumId="114">
    <w:nsid w:val="21FAA2FA"/>
    <w:multiLevelType w:val="hybridMultilevel"/>
    <w:lvl w:ilvl="0">
      <w:lvlJc w:val="left"/>
      <w:lvlText w:val="(%1)"/>
      <w:numFmt w:val="lowerLetter"/>
      <w:start w:val="1"/>
    </w:lvl>
    <w:lvl w:ilvl="1">
      <w:lvlJc w:val="left"/>
      <w:lvlText w:val="(%2)"/>
      <w:numFmt w:val="lowerLetter"/>
      <w:start w:val="35"/>
    </w:lvl>
  </w:abstractNum>
  <w:abstractNum w:abstractNumId="115">
    <w:nsid w:val="5451CF49"/>
    <w:multiLevelType w:val="hybridMultilevel"/>
    <w:lvl w:ilvl="0">
      <w:lvlJc w:val="left"/>
      <w:lvlText w:val="%1"/>
      <w:numFmt w:val="lowerLetter"/>
      <w:start w:val="1"/>
    </w:lvl>
    <w:lvl w:ilvl="1">
      <w:lvlJc w:val="left"/>
      <w:lvlText w:val="(%2)"/>
      <w:numFmt w:val="upperLetter"/>
      <w:start w:val="1"/>
    </w:lvl>
  </w:abstractNum>
  <w:abstractNum w:abstractNumId="116">
    <w:nsid w:val="6181EF69"/>
    <w:multiLevelType w:val="hybridMultilevel"/>
    <w:lvl w:ilvl="0">
      <w:lvlJc w:val="left"/>
      <w:lvlText w:val="(%1)"/>
      <w:numFmt w:val="lowerLetter"/>
      <w:start w:val="2"/>
    </w:lvl>
    <w:lvl w:ilvl="1">
      <w:lvlJc w:val="left"/>
      <w:lvlText w:val="%2"/>
      <w:numFmt w:val="upperLetter"/>
      <w:start w:val="1"/>
    </w:lvl>
  </w:abstractNum>
  <w:abstractNum w:abstractNumId="117">
    <w:nsid w:val="3E6400E6"/>
    <w:multiLevelType w:val="hybridMultilevel"/>
    <w:lvl w:ilvl="0">
      <w:lvlJc w:val="left"/>
      <w:lvlText w:val="(%1)"/>
      <w:numFmt w:val="lowerLetter"/>
      <w:start w:val="2"/>
    </w:lvl>
  </w:abstractNum>
  <w:abstractNum w:abstractNumId="118">
    <w:nsid w:val="14217E23"/>
    <w:multiLevelType w:val="hybridMultilevel"/>
    <w:lvl w:ilvl="0">
      <w:lvlJc w:val="left"/>
      <w:lvlText w:val="%1"/>
      <w:numFmt w:val="upperLetter"/>
      <w:start w:val="1"/>
    </w:lvl>
    <w:lvl w:ilvl="1">
      <w:lvlJc w:val="left"/>
      <w:lvlText w:val="(%2)"/>
      <w:numFmt w:val="lowerRoman"/>
      <w:start w:val="1"/>
    </w:lvl>
  </w:abstractNum>
  <w:abstractNum w:abstractNumId="119">
    <w:nsid w:val="710757D0"/>
    <w:multiLevelType w:val="hybridMultilevel"/>
    <w:lvl w:ilvl="0">
      <w:lvlJc w:val="left"/>
      <w:lvlText w:val="(%1)"/>
      <w:numFmt w:val="upperLetter"/>
      <w:start w:val="2"/>
    </w:lvl>
    <w:lvl w:ilvl="1">
      <w:lvlJc w:val="left"/>
      <w:lvlText w:val="%2"/>
      <w:numFmt w:val="lowerRoman"/>
      <w:start w:val="1"/>
    </w:lvl>
  </w:abstractNum>
  <w:abstractNum w:abstractNumId="120">
    <w:nsid w:val="5015CD1A"/>
    <w:multiLevelType w:val="hybridMultilevel"/>
    <w:lvl w:ilvl="0">
      <w:lvlJc w:val="left"/>
      <w:lvlText w:val="(%1)"/>
      <w:numFmt w:val="lowerRoman"/>
      <w:start w:val="3"/>
    </w:lvl>
  </w:abstractNum>
  <w:abstractNum w:abstractNumId="121">
    <w:nsid w:val="424479DA"/>
    <w:multiLevelType w:val="hybridMultilevel"/>
    <w:lvl w:ilvl="0">
      <w:lvlJc w:val="left"/>
      <w:lvlText w:val="(%1)"/>
      <w:numFmt w:val="lowerLetter"/>
      <w:start w:val="4"/>
    </w:lvl>
  </w:abstractNum>
  <w:abstractNum w:abstractNumId="122">
    <w:nsid w:val="1A9A9E69"/>
    <w:multiLevelType w:val="hybridMultilevel"/>
    <w:lvl w:ilvl="0">
      <w:lvlJc w:val="left"/>
      <w:lvlText w:val="(%1)"/>
      <w:numFmt w:val="lowerLetter"/>
      <w:start w:val="1"/>
    </w:lvl>
  </w:abstractNum>
  <w:abstractNum w:abstractNumId="123">
    <w:nsid w:val="475E256A"/>
    <w:multiLevelType w:val="hybridMultilevel"/>
    <w:lvl w:ilvl="0">
      <w:lvlJc w:val="left"/>
      <w:lvlText w:val="(%1)"/>
      <w:numFmt w:val="lowerLetter"/>
      <w:start w:val="2"/>
    </w:lvl>
  </w:abstractNum>
  <w:abstractNum w:abstractNumId="124">
    <w:nsid w:val="368DB37E"/>
    <w:multiLevelType w:val="hybridMultilevel"/>
    <w:lvl w:ilvl="0">
      <w:lvlJc w:val="left"/>
      <w:lvlText w:val="%1"/>
      <w:numFmt w:val="upperLetter"/>
      <w:start w:val="1"/>
    </w:lvl>
    <w:lvl w:ilvl="1">
      <w:lvlJc w:val="left"/>
      <w:lvlText w:val="(%2)"/>
      <w:numFmt w:val="lowerRoman"/>
      <w:start w:val="2"/>
    </w:lvl>
    <w:lvl w:ilvl="2">
      <w:lvlJc w:val="left"/>
      <w:lvlText w:val="%3"/>
      <w:numFmt w:val="lowerRoman"/>
      <w:start w:val="1"/>
    </w:lvl>
  </w:abstractNum>
  <w:abstractNum w:abstractNumId="125">
    <w:nsid w:val="6A3B714C"/>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126">
    <w:nsid w:val="327B517E"/>
    <w:multiLevelType w:val="hybridMultilevel"/>
    <w:lvl w:ilvl="0">
      <w:lvlJc w:val="left"/>
      <w:lvlText w:val="(%1)"/>
      <w:numFmt w:val="upperLetter"/>
      <w:start w:val="4"/>
    </w:lvl>
  </w:abstractNum>
  <w:abstractNum w:abstractNumId="127">
    <w:nsid w:val="1F461B51"/>
    <w:multiLevelType w:val="hybridMultilevel"/>
    <w:lvl w:ilvl="0">
      <w:lvlJc w:val="left"/>
      <w:lvlText w:val="(%1)"/>
      <w:numFmt w:val="lowerLetter"/>
      <w:start w:val="7"/>
    </w:lvl>
  </w:abstractNum>
  <w:abstractNum w:abstractNumId="128">
    <w:nsid w:val="29BACF25"/>
    <w:multiLevelType w:val="hybridMultilevel"/>
    <w:lvl w:ilvl="0">
      <w:lvlJc w:val="left"/>
      <w:lvlText w:val="(%1)"/>
      <w:numFmt w:val="lowerLetter"/>
      <w:start w:val="1"/>
    </w:lvl>
  </w:abstractNum>
  <w:abstractNum w:abstractNumId="129">
    <w:nsid w:val="5D5BABB3"/>
    <w:multiLevelType w:val="hybridMultilevel"/>
    <w:lvl w:ilvl="0">
      <w:lvlJc w:val="left"/>
      <w:lvlText w:val="(%1)"/>
      <w:numFmt w:val="lowerLetter"/>
      <w:start w:val="1"/>
    </w:lvl>
  </w:abstractNum>
  <w:abstractNum w:abstractNumId="130">
    <w:nsid w:val="51BF6B48"/>
    <w:multiLevelType w:val="hybridMultilevel"/>
    <w:lvl w:ilvl="0">
      <w:lvlJc w:val="left"/>
      <w:lvlText w:val="(%1)"/>
      <w:numFmt w:val="lowerLetter"/>
      <w:start w:val="2"/>
    </w:lvl>
  </w:abstractNum>
  <w:abstractNum w:abstractNumId="131">
    <w:nsid w:val="7E0F6384"/>
    <w:multiLevelType w:val="hybridMultilevel"/>
    <w:lvl w:ilvl="0">
      <w:lvlJc w:val="left"/>
      <w:lvlText w:val="(%1)"/>
      <w:numFmt w:val="lowerLetter"/>
      <w:start w:val="1"/>
    </w:lvl>
  </w:abstractNum>
  <w:abstractNum w:abstractNumId="132">
    <w:nsid w:val="2B4B8B53"/>
    <w:multiLevelType w:val="hybridMultilevel"/>
    <w:lvl w:ilvl="0">
      <w:lvlJc w:val="left"/>
      <w:lvlText w:val="(%1)"/>
      <w:numFmt w:val="lowerLetter"/>
      <w:start w:val="1"/>
    </w:lvl>
    <w:lvl w:ilvl="1">
      <w:lvlJc w:val="left"/>
      <w:lvlText w:val="(%2)"/>
      <w:numFmt w:val="lowerRoman"/>
      <w:start w:val="1"/>
    </w:lvl>
  </w:abstractNum>
  <w:abstractNum w:abstractNumId="133">
    <w:nsid w:val="72E3413A"/>
    <w:multiLevelType w:val="hybridMultilevel"/>
    <w:lvl w:ilvl="0">
      <w:lvlJc w:val="left"/>
      <w:lvlText w:val="(%1)"/>
      <w:numFmt w:val="lowerLetter"/>
      <w:start w:val="2"/>
    </w:lvl>
  </w:abstractNum>
  <w:abstractNum w:abstractNumId="134">
    <w:nsid w:val="116AE494"/>
    <w:multiLevelType w:val="hybridMultilevel"/>
    <w:lvl w:ilvl="0">
      <w:lvlJc w:val="left"/>
      <w:lvlText w:val="%1"/>
      <w:numFmt w:val="lowerLetter"/>
      <w:start w:val="1"/>
    </w:lvl>
    <w:lvl w:ilvl="1">
      <w:lvlJc w:val="left"/>
      <w:lvlText w:val="(%2)"/>
      <w:numFmt w:val="lowerLetter"/>
      <w:start w:val="3"/>
    </w:lvl>
  </w:abstractNum>
  <w:abstractNum w:abstractNumId="135">
    <w:nsid w:val="3494B2FB"/>
    <w:multiLevelType w:val="hybridMultilevel"/>
    <w:lvl w:ilvl="0">
      <w:lvlJc w:val="left"/>
      <w:lvlText w:val="(%1)"/>
      <w:numFmt w:val="lowerLetter"/>
      <w:start w:val="35"/>
    </w:lvl>
    <w:lvl w:ilvl="1">
      <w:lvlJc w:val="left"/>
      <w:lvlText w:val="%2"/>
      <w:numFmt w:val="lowerLetter"/>
      <w:start w:val="1"/>
    </w:lvl>
  </w:abstractNum>
  <w:abstractNum w:abstractNumId="136">
    <w:nsid w:val="B13A31"/>
    <w:multiLevelType w:val="hybridMultilevel"/>
    <w:lvl w:ilvl="0">
      <w:lvlJc w:val="left"/>
      <w:lvlText w:val="(%1)"/>
      <w:numFmt w:val="lowerLetter"/>
      <w:start w:val="6"/>
    </w:lvl>
  </w:abstractNum>
  <w:abstractNum w:abstractNumId="137">
    <w:nsid w:val="64429599"/>
    <w:multiLevelType w:val="hybridMultilevel"/>
    <w:lvl w:ilvl="0">
      <w:lvlJc w:val="left"/>
      <w:lvlText w:val="(%1)"/>
      <w:numFmt w:val="lowerLetter"/>
      <w:start w:val="1"/>
    </w:lvl>
    <w:lvl w:ilvl="1">
      <w:lvlJc w:val="left"/>
      <w:lvlText w:val="(%2)"/>
      <w:numFmt w:val="lowerRoman"/>
      <w:start w:val="1"/>
    </w:lvl>
  </w:abstractNum>
  <w:abstractNum w:abstractNumId="138">
    <w:nsid w:val="631F1690"/>
    <w:multiLevelType w:val="hybridMultilevel"/>
    <w:lvl w:ilvl="0">
      <w:lvlJc w:val="left"/>
      <w:lvlText w:val="(%1)"/>
      <w:numFmt w:val="lowerLetter"/>
      <w:start w:val="8"/>
    </w:lvl>
  </w:abstractNum>
  <w:abstractNum w:abstractNumId="139">
    <w:nsid w:val="25973E32"/>
    <w:multiLevelType w:val="hybridMultilevel"/>
    <w:lvl w:ilvl="0">
      <w:lvlJc w:val="left"/>
      <w:lvlText w:val="(%1)"/>
      <w:numFmt w:val="lowerLetter"/>
      <w:start w:val="1"/>
    </w:lvl>
  </w:abstractNum>
  <w:abstractNum w:abstractNumId="140">
    <w:nsid w:val="EAD6F57"/>
    <w:multiLevelType w:val="hybridMultilevel"/>
    <w:lvl w:ilvl="0">
      <w:lvlJc w:val="left"/>
      <w:lvlText w:val="(%1)"/>
      <w:numFmt w:val="lowerLetter"/>
      <w:start w:val="1"/>
    </w:lvl>
  </w:abstractNum>
  <w:abstractNum w:abstractNumId="141">
    <w:nsid w:val="6EC9D844"/>
    <w:multiLevelType w:val="hybridMultilevel"/>
    <w:lvl w:ilvl="0">
      <w:lvlJc w:val="left"/>
      <w:lvlText w:val="(%1)"/>
      <w:numFmt w:val="lowerLetter"/>
      <w:start w:val="1"/>
    </w:lvl>
  </w:abstractNum>
  <w:abstractNum w:abstractNumId="142">
    <w:nsid w:val="5C49EAEE"/>
    <w:multiLevelType w:val="hybridMultilevel"/>
    <w:lvl w:ilvl="0">
      <w:lvlJc w:val="left"/>
      <w:lvlText w:val="(%1)"/>
      <w:numFmt w:val="lowerLetter"/>
      <w:start w:val="3"/>
    </w:lvl>
  </w:abstractNum>
  <w:abstractNum w:abstractNumId="143">
    <w:nsid w:val="64AF49B"/>
    <w:multiLevelType w:val="hybridMultilevel"/>
    <w:lvl w:ilvl="0">
      <w:lvlJc w:val="left"/>
      <w:lvlText w:val="(%1)"/>
      <w:numFmt w:val="lowerLetter"/>
      <w:start w:val="1"/>
    </w:lvl>
  </w:abstractNum>
  <w:abstractNum w:abstractNumId="144">
    <w:nsid w:val="397C46BC"/>
    <w:multiLevelType w:val="hybridMultilevel"/>
    <w:lvl w:ilvl="0">
      <w:lvlJc w:val="left"/>
      <w:lvlText w:val="(%1)"/>
      <w:numFmt w:val="lowerLetter"/>
      <w:start w:val="1"/>
    </w:lvl>
  </w:abstractNum>
  <w:abstractNum w:abstractNumId="145">
    <w:nsid w:val="7E448DE9"/>
    <w:multiLevelType w:val="hybridMultilevel"/>
    <w:lvl w:ilvl="0">
      <w:lvlJc w:val="left"/>
      <w:lvlText w:val="(%1)"/>
      <w:numFmt w:val="lowerLetter"/>
      <w:start w:val="1"/>
    </w:lvl>
  </w:abstractNum>
  <w:abstractNum w:abstractNumId="146">
    <w:nsid w:val="5A9CC3E5"/>
    <w:multiLevelType w:val="hybridMultilevel"/>
    <w:lvl w:ilvl="0">
      <w:lvlJc w:val="left"/>
      <w:lvlText w:val="(%1)"/>
      <w:numFmt w:val="lowerLetter"/>
      <w:start w:val="1"/>
    </w:lvl>
    <w:lvl w:ilvl="1">
      <w:lvlJc w:val="left"/>
      <w:lvlText w:val="(%2)"/>
      <w:numFmt w:val="lowerRoman"/>
      <w:start w:val="1"/>
    </w:lvl>
  </w:abstractNum>
  <w:abstractNum w:abstractNumId="147">
    <w:nsid w:val="1AFE3625"/>
    <w:multiLevelType w:val="hybridMultilevel"/>
    <w:lvl w:ilvl="0">
      <w:lvlJc w:val="left"/>
      <w:lvlText w:val="(%1)"/>
      <w:numFmt w:val="lowerRoman"/>
      <w:start w:val="1"/>
    </w:lvl>
  </w:abstractNum>
  <w:abstractNum w:abstractNumId="148">
    <w:nsid w:val="3CA88ECF"/>
    <w:multiLevelType w:val="hybridMultilevel"/>
    <w:lvl w:ilvl="0">
      <w:lvlJc w:val="left"/>
      <w:lvlText w:val="(%1)"/>
      <w:numFmt w:val="lowerLetter"/>
      <w:start w:val="3"/>
    </w:lvl>
  </w:abstractNum>
  <w:abstractNum w:abstractNumId="149">
    <w:nsid w:val="6EBE4208"/>
    <w:multiLevelType w:val="hybridMultilevel"/>
    <w:lvl w:ilvl="0">
      <w:lvlJc w:val="left"/>
      <w:lvlText w:val="(%1)"/>
      <w:numFmt w:val="lowerLetter"/>
      <w:start w:val="1"/>
    </w:lvl>
  </w:abstractNum>
  <w:abstractNum w:abstractNumId="150">
    <w:nsid w:val="C058DF5"/>
    <w:multiLevelType w:val="hybridMultilevel"/>
    <w:lvl w:ilvl="0">
      <w:lvlJc w:val="left"/>
      <w:lvlText w:val="(%1)"/>
      <w:numFmt w:val="lowerLetter"/>
      <w:start w:val="1"/>
    </w:lvl>
  </w:abstractNum>
  <w:abstractNum w:abstractNumId="151">
    <w:nsid w:val="CBE5BE9"/>
    <w:multiLevelType w:val="hybridMultilevel"/>
    <w:lvl w:ilvl="0">
      <w:lvlJc w:val="left"/>
      <w:lvlText w:val="(%1)"/>
      <w:numFmt w:val="lowerLetter"/>
      <w:start w:val="1"/>
    </w:lvl>
  </w:abstractNum>
  <w:abstractNum w:abstractNumId="152">
    <w:nsid w:val="3102BBE2"/>
    <w:multiLevelType w:val="hybridMultilevel"/>
    <w:lvl w:ilvl="0">
      <w:lvlJc w:val="left"/>
      <w:lvlText w:val="(%1)"/>
      <w:numFmt w:val="lowerLetter"/>
      <w:start w:val="3"/>
    </w:lvl>
  </w:abstractNum>
  <w:abstractNum w:abstractNumId="153">
    <w:nsid w:val="26A02C5E"/>
    <w:multiLevelType w:val="hybridMultilevel"/>
    <w:lvl w:ilvl="0">
      <w:lvlJc w:val="left"/>
      <w:lvlText w:val="(%1)"/>
      <w:numFmt w:val="lowerLetter"/>
      <w:start w:val="1"/>
    </w:lvl>
  </w:abstractNum>
  <w:abstractNum w:abstractNumId="154">
    <w:nsid w:val="541C8153"/>
    <w:multiLevelType w:val="hybridMultilevel"/>
    <w:lvl w:ilvl="0">
      <w:lvlJc w:val="left"/>
      <w:lvlText w:val="(%1)"/>
      <w:numFmt w:val="lowerRoman"/>
      <w:start w:val="3"/>
    </w:lvl>
  </w:abstractNum>
  <w:abstractNum w:abstractNumId="155">
    <w:nsid w:val="67906F60"/>
    <w:multiLevelType w:val="hybridMultilevel"/>
    <w:lvl w:ilvl="0">
      <w:lvlJc w:val="left"/>
      <w:lvlText w:val="(%1)"/>
      <w:numFmt w:val="lowerLetter"/>
      <w:start w:val="1"/>
    </w:lvl>
    <w:lvl w:ilvl="1">
      <w:lvlJc w:val="left"/>
      <w:lvlText w:val="(%2)"/>
      <w:numFmt w:val="lowerRoman"/>
      <w:start w:val="1"/>
    </w:lvl>
  </w:abstractNum>
  <w:abstractNum w:abstractNumId="156">
    <w:nsid w:val="10DB9DAA"/>
    <w:multiLevelType w:val="hybridMultilevel"/>
    <w:lvl w:ilvl="0">
      <w:lvlJc w:val="left"/>
      <w:lvlText w:val="(%1)"/>
      <w:numFmt w:val="lowerLetter"/>
      <w:start w:val="1"/>
    </w:lvl>
  </w:abstractNum>
  <w:abstractNum w:abstractNumId="157">
    <w:nsid w:val="697D2D2"/>
    <w:multiLevelType w:val="hybridMultilevel"/>
    <w:lvl w:ilvl="0">
      <w:lvlJc w:val="left"/>
      <w:lvlText w:val="(%1)"/>
      <w:numFmt w:val="lowerLetter"/>
      <w:start w:val="1"/>
    </w:lvl>
  </w:abstractNum>
  <w:abstractNum w:abstractNumId="158">
    <w:nsid w:val="6D68AB2"/>
    <w:multiLevelType w:val="hybridMultilevel"/>
    <w:lvl w:ilvl="0">
      <w:lvlJc w:val="left"/>
      <w:lvlText w:val="(%1)"/>
      <w:numFmt w:val="lowerRoman"/>
      <w:start w:val="1"/>
    </w:lvl>
  </w:abstractNum>
  <w:abstractNum w:abstractNumId="159">
    <w:nsid w:val="3A966CD0"/>
    <w:multiLevelType w:val="hybridMultilevel"/>
    <w:lvl w:ilvl="0">
      <w:lvlJc w:val="left"/>
      <w:lvlText w:val="(%1)"/>
      <w:numFmt w:val="lowerRoman"/>
      <w:start w:val="6"/>
    </w:lvl>
  </w:abstractNum>
  <w:abstractNum w:abstractNumId="160">
    <w:nsid w:val="63F37E85"/>
    <w:multiLevelType w:val="hybridMultilevel"/>
    <w:lvl w:ilvl="0">
      <w:lvlJc w:val="left"/>
      <w:lvlText w:val="(%1)"/>
      <w:numFmt w:val="lowerLetter"/>
      <w:start w:val="1"/>
    </w:lvl>
  </w:abstractNum>
  <w:abstractNum w:abstractNumId="161">
    <w:nsid w:val="5895F5FA"/>
    <w:multiLevelType w:val="hybridMultilevel"/>
    <w:lvl w:ilvl="0">
      <w:lvlJc w:val="left"/>
      <w:lvlText w:val="(%1)"/>
      <w:numFmt w:val="lowerLetter"/>
      <w:start w:val="9"/>
    </w:lvl>
  </w:abstractNum>
  <w:abstractNum w:abstractNumId="162">
    <w:nsid w:val="38A5D054"/>
    <w:multiLevelType w:val="hybridMultilevel"/>
    <w:lvl w:ilvl="0">
      <w:lvlJc w:val="left"/>
      <w:lvlText w:val="(%1)"/>
      <w:numFmt w:val="lowerLetter"/>
      <w:start w:val="23"/>
    </w:lvl>
  </w:abstractNum>
  <w:abstractNum w:abstractNumId="163">
    <w:nsid w:val="F3F09D8"/>
    <w:multiLevelType w:val="hybridMultilevel"/>
    <w:lvl w:ilvl="0">
      <w:lvlJc w:val="left"/>
      <w:lvlText w:val="%1"/>
      <w:numFmt w:val="lowerLetter"/>
      <w:start w:val="1"/>
    </w:lvl>
    <w:lvl w:ilvl="1">
      <w:lvlJc w:val="left"/>
      <w:lvlText w:val="(%2)"/>
      <w:numFmt w:val="lowerLetter"/>
      <w:start w:val="27"/>
    </w:lvl>
  </w:abstractNum>
  <w:abstractNum w:abstractNumId="164">
    <w:nsid w:val="4B793735"/>
    <w:multiLevelType w:val="hybridMultilevel"/>
    <w:lvl w:ilvl="0">
      <w:lvlJc w:val="left"/>
      <w:lvlText w:val="(%1)"/>
      <w:numFmt w:val="lowerLetter"/>
      <w:start w:val="24"/>
    </w:lvl>
    <w:lvl w:ilvl="1">
      <w:lvlJc w:val="left"/>
      <w:lvlText w:val="%2"/>
      <w:numFmt w:val="lowerLetter"/>
      <w:start w:val="1"/>
    </w:lvl>
  </w:abstractNum>
  <w:abstractNum w:abstractNumId="165">
    <w:nsid w:val="4A10B4E8"/>
    <w:multiLevelType w:val="hybridMultilevel"/>
    <w:lvl w:ilvl="0">
      <w:lvlJc w:val="left"/>
      <w:lvlText w:val="%1"/>
      <w:numFmt w:val="lowerLetter"/>
      <w:start w:val="1"/>
    </w:lvl>
    <w:lvl w:ilvl="1">
      <w:lvlJc w:val="left"/>
      <w:lvlText w:val="(%2)"/>
      <w:numFmt w:val="lowerLetter"/>
      <w:start w:val="1"/>
    </w:lvl>
  </w:abstractNum>
  <w:abstractNum w:abstractNumId="166">
    <w:nsid w:val="43D3BCD4"/>
    <w:multiLevelType w:val="hybridMultilevel"/>
    <w:lvl w:ilvl="0">
      <w:lvlJc w:val="left"/>
      <w:lvlText w:val="(%1)"/>
      <w:numFmt w:val="lowerLetter"/>
      <w:start w:val="61"/>
    </w:lvl>
    <w:lvl w:ilvl="1">
      <w:lvlJc w:val="left"/>
      <w:lvlText w:val="(%2)"/>
      <w:numFmt w:val="lowerLetter"/>
      <w:start w:val="2"/>
    </w:lvl>
  </w:abstractNum>
  <w:abstractNum w:abstractNumId="167">
    <w:nsid w:val="4C2A7166"/>
    <w:multiLevelType w:val="hybridMultilevel"/>
    <w:lvl w:ilvl="0">
      <w:lvlJc w:val="left"/>
      <w:lvlText w:val="(%1)"/>
      <w:numFmt w:val="lowerLetter"/>
      <w:start w:val="5"/>
    </w:lvl>
  </w:abstractNum>
  <w:abstractNum w:abstractNumId="168">
    <w:nsid w:val="2E534A82"/>
    <w:multiLevelType w:val="hybridMultilevel"/>
    <w:lvl w:ilvl="0">
      <w:lvlJc w:val="left"/>
      <w:lvlText w:val="(%1)"/>
      <w:numFmt w:val="lowerLetter"/>
      <w:start w:val="1"/>
    </w:lvl>
    <w:lvl w:ilvl="1">
      <w:lvlJc w:val="left"/>
      <w:lvlText w:val="(%2)"/>
      <w:numFmt w:val="lowerLetter"/>
      <w:start w:val="9"/>
    </w:lvl>
  </w:abstractNum>
  <w:abstractNum w:abstractNumId="169">
    <w:nsid w:val="26F2D364"/>
    <w:multiLevelType w:val="hybridMultilevel"/>
    <w:lvl w:ilvl="0">
      <w:lvlJc w:val="left"/>
      <w:lvlText w:val="%1"/>
      <w:numFmt w:val="lowerLetter"/>
      <w:start w:val="1"/>
    </w:lvl>
    <w:lvl w:ilvl="1">
      <w:lvlJc w:val="left"/>
      <w:lvlText w:val="(%2)"/>
      <w:numFmt w:val="lowerRoman"/>
      <w:start w:val="2"/>
    </w:lvl>
  </w:abstractNum>
  <w:abstractNum w:abstractNumId="170">
    <w:nsid w:val="71C1AF98"/>
    <w:multiLevelType w:val="hybridMultilevel"/>
    <w:lvl w:ilvl="0">
      <w:lvlJc w:val="left"/>
      <w:lvlText w:val="(%1)"/>
      <w:numFmt w:val="lowerLetter"/>
      <w:start w:val="8"/>
    </w:lvl>
    <w:lvl w:ilvl="1">
      <w:lvlJc w:val="left"/>
      <w:lvlText w:val="%2"/>
      <w:numFmt w:val="lowerRoman"/>
      <w:start w:val="1"/>
    </w:lvl>
  </w:abstractNum>
  <w:abstractNum w:abstractNumId="171">
    <w:nsid w:val="3D00B9D9"/>
    <w:multiLevelType w:val="hybridMultilevel"/>
    <w:lvl w:ilvl="0">
      <w:lvlJc w:val="left"/>
      <w:lvlText w:val="(%1)"/>
      <w:numFmt w:val="lowerLetter"/>
      <w:start w:val="1"/>
    </w:lvl>
  </w:abstractNum>
  <w:abstractNum w:abstractNumId="172">
    <w:nsid w:val="15BCABA8"/>
    <w:multiLevelType w:val="hybridMultilevel"/>
    <w:lvl w:ilvl="0">
      <w:lvlJc w:val="left"/>
      <w:lvlText w:val="(%1)"/>
      <w:numFmt w:val="lowerLetter"/>
      <w:start w:val="16"/>
    </w:lvl>
  </w:abstractNum>
  <w:abstractNum w:abstractNumId="173">
    <w:nsid w:val="4E0B9A87"/>
    <w:multiLevelType w:val="hybridMultilevel"/>
    <w:lvl w:ilvl="0">
      <w:lvlJc w:val="left"/>
      <w:lvlText w:val="(%1)"/>
      <w:numFmt w:val="lowerLetter"/>
      <w:start w:val="1"/>
    </w:lvl>
  </w:abstractNum>
  <w:abstractNum w:abstractNumId="174">
    <w:nsid w:val="434BAE75"/>
    <w:multiLevelType w:val="hybridMultilevel"/>
    <w:lvl w:ilvl="0">
      <w:lvlJc w:val="left"/>
      <w:lvlText w:val="(%1)"/>
      <w:numFmt w:val="lowerLetter"/>
      <w:start w:val="4"/>
    </w:lvl>
  </w:abstractNum>
  <w:abstractNum w:abstractNumId="175">
    <w:nsid w:val="4F38F265"/>
    <w:multiLevelType w:val="hybridMultilevel"/>
    <w:lvl w:ilvl="0">
      <w:lvlJc w:val="left"/>
      <w:lvlText w:val="(%1)"/>
      <w:numFmt w:val="lowerLetter"/>
      <w:start w:val="6"/>
    </w:lvl>
  </w:abstractNum>
  <w:abstractNum w:abstractNumId="176">
    <w:nsid w:val="4C502870"/>
    <w:multiLevelType w:val="hybridMultilevel"/>
    <w:lvl w:ilvl="0">
      <w:lvlJc w:val="left"/>
      <w:lvlText w:val="(%1)"/>
      <w:numFmt w:val="lowerLetter"/>
      <w:start w:val="22"/>
    </w:lvl>
    <w:lvl w:ilvl="1">
      <w:lvlJc w:val="left"/>
      <w:lvlText w:val="(%2)"/>
      <w:numFmt w:val="lowerLetter"/>
      <w:start w:val="8"/>
    </w:lvl>
  </w:abstractNum>
  <w:abstractNum w:abstractNumId="177">
    <w:nsid w:val="1DE8725A"/>
    <w:multiLevelType w:val="hybridMultilevel"/>
    <w:lvl w:ilvl="0">
      <w:lvlJc w:val="left"/>
      <w:lvlText w:val="(%1)"/>
      <w:numFmt w:val="lowerLetter"/>
      <w:start w:val="1"/>
    </w:lvl>
  </w:abstractNum>
  <w:abstractNum w:abstractNumId="178">
    <w:nsid w:val="6A37288A"/>
    <w:multiLevelType w:val="hybridMultilevel"/>
    <w:lvl w:ilvl="0">
      <w:lvlJc w:val="left"/>
      <w:lvlText w:val="(%1)"/>
      <w:numFmt w:val="lowerLetter"/>
      <w:start w:val="1"/>
    </w:lvl>
  </w:abstractNum>
  <w:abstractNum w:abstractNumId="179">
    <w:nsid w:val="8F8B73F"/>
    <w:multiLevelType w:val="hybridMultilevel"/>
    <w:lvl w:ilvl="0">
      <w:lvlJc w:val="left"/>
      <w:lvlText w:val="(%1)"/>
      <w:numFmt w:val="decimal"/>
      <w:start w:val="1"/>
    </w:lvl>
  </w:abstractNum>
  <w:abstractNum w:abstractNumId="180">
    <w:nsid w:val="CA6B462"/>
    <w:multiLevelType w:val="hybridMultilevel"/>
    <w:lvl w:ilvl="0">
      <w:lvlJc w:val="left"/>
      <w:lvlText w:val="(%1)"/>
      <w:numFmt w:val="lowerLetter"/>
      <w:start w:val="1"/>
    </w:lvl>
  </w:abstractNum>
  <w:abstractNum w:abstractNumId="181">
    <w:nsid w:val="763CB680"/>
    <w:multiLevelType w:val="hybridMultilevel"/>
    <w:lvl w:ilvl="0">
      <w:lvlJc w:val="left"/>
      <w:lvlText w:val="(%1)"/>
      <w:numFmt w:val="lowerLetter"/>
      <w:start w:val="1"/>
    </w:lvl>
    <w:lvl w:ilvl="1">
      <w:lvlJc w:val="left"/>
      <w:lvlText w:val="(%2)"/>
      <w:numFmt w:val="lowerRoman"/>
      <w:start w:val="1"/>
    </w:lvl>
  </w:abstractNum>
  <w:abstractNum w:abstractNumId="182">
    <w:nsid w:val="15B71329"/>
    <w:multiLevelType w:val="hybridMultilevel"/>
    <w:lvl w:ilvl="0">
      <w:lvlJc w:val="left"/>
      <w:lvlText w:val="%1"/>
      <w:numFmt w:val="lowerLetter"/>
      <w:start w:val="1"/>
    </w:lvl>
    <w:lvl w:ilvl="1">
      <w:lvlJc w:val="left"/>
      <w:lvlText w:val="(%2)"/>
      <w:numFmt w:val="lowerRoman"/>
      <w:start w:val="3"/>
    </w:lvl>
  </w:abstractNum>
  <w:abstractNum w:abstractNumId="183">
    <w:nsid w:val="3DA97044"/>
    <w:multiLevelType w:val="hybridMultilevel"/>
    <w:lvl w:ilvl="0">
      <w:lvlJc w:val="left"/>
      <w:lvlText w:val="(%1)"/>
      <w:numFmt w:val="lowerLetter"/>
      <w:start w:val="3"/>
    </w:lvl>
    <w:lvl w:ilvl="1">
      <w:lvlJc w:val="left"/>
      <w:lvlText w:val="%2"/>
      <w:numFmt w:val="lowerRoman"/>
      <w:start w:val="1"/>
    </w:lvl>
  </w:abstractNum>
  <w:abstractNum w:abstractNumId="184">
    <w:nsid w:val="1CDCE2DE"/>
    <w:multiLevelType w:val="hybridMultilevel"/>
    <w:lvl w:ilvl="0">
      <w:lvlJc w:val="left"/>
      <w:lvlText w:val="(%1)"/>
      <w:numFmt w:val="lowerRoman"/>
      <w:start w:val="1"/>
    </w:lvl>
  </w:abstractNum>
  <w:abstractNum w:abstractNumId="185">
    <w:nsid w:val="69D3947C"/>
    <w:multiLevelType w:val="hybridMultilevel"/>
    <w:lvl w:ilvl="0">
      <w:lvlJc w:val="left"/>
      <w:lvlText w:val="(%1)"/>
      <w:numFmt w:val="lowerRoman"/>
      <w:start w:val="2"/>
    </w:lvl>
  </w:abstractNum>
  <w:abstractNum w:abstractNumId="186">
    <w:nsid w:val="2539DFA5"/>
    <w:multiLevelType w:val="hybridMultilevel"/>
    <w:lvl w:ilvl="0">
      <w:lvlJc w:val="left"/>
      <w:lvlText w:val="(%1)"/>
      <w:numFmt w:val="lowerLetter"/>
      <w:start w:val="1"/>
    </w:lvl>
  </w:abstractNum>
  <w:abstractNum w:abstractNumId="187">
    <w:nsid w:val="2DB88089"/>
    <w:multiLevelType w:val="hybridMultilevel"/>
    <w:lvl w:ilvl="0">
      <w:lvlJc w:val="left"/>
      <w:lvlText w:val="(%1)"/>
      <w:numFmt w:val="lowerLetter"/>
      <w:start w:val="1"/>
    </w:lvl>
    <w:lvl w:ilvl="1">
      <w:lvlJc w:val="left"/>
      <w:lvlText w:val="(%2)"/>
      <w:numFmt w:val="lowerRoman"/>
      <w:start w:val="1"/>
    </w:lvl>
  </w:abstractNum>
  <w:abstractNum w:abstractNumId="188">
    <w:nsid w:val="706B674E"/>
    <w:multiLevelType w:val="hybridMultilevel"/>
    <w:lvl w:ilvl="0">
      <w:lvlJc w:val="left"/>
      <w:lvlText w:val="(%1)"/>
      <w:numFmt w:val="lowerLetter"/>
      <w:start w:val="2"/>
    </w:lvl>
    <w:lvl w:ilvl="1">
      <w:lvlJc w:val="left"/>
      <w:lvlText w:val="(%2)"/>
      <w:numFmt w:val="decimal"/>
      <w:start w:val="1"/>
    </w:lvl>
  </w:abstractNum>
  <w:abstractNum w:abstractNumId="189">
    <w:nsid w:val="2C106A57"/>
    <w:multiLevelType w:val="hybridMultilevel"/>
    <w:lvl w:ilvl="0">
      <w:lvlJc w:val="left"/>
      <w:lvlText w:val="%1"/>
      <w:numFmt w:val="lowerLetter"/>
      <w:start w:val="1"/>
    </w:lvl>
    <w:lvl w:ilvl="1">
      <w:lvlJc w:val="left"/>
      <w:lvlText w:val="(%2)"/>
      <w:numFmt w:val="decimal"/>
      <w:start w:val="2"/>
    </w:lvl>
  </w:abstractNum>
  <w:abstractNum w:abstractNumId="190">
    <w:nsid w:val="684EED59"/>
    <w:multiLevelType w:val="hybridMultilevel"/>
    <w:lvl w:ilvl="0">
      <w:lvlJc w:val="left"/>
      <w:lvlText w:val="(%1)"/>
      <w:numFmt w:val="lowerLetter"/>
      <w:start w:val="3"/>
    </w:lvl>
    <w:lvl w:ilvl="1">
      <w:lvlJc w:val="left"/>
      <w:lvlText w:val="%2"/>
      <w:numFmt w:val="decimal"/>
      <w:start w:val="1"/>
    </w:lvl>
  </w:abstractNum>
  <w:abstractNum w:abstractNumId="191">
    <w:nsid w:val="545EE5D3"/>
    <w:multiLevelType w:val="hybridMultilevel"/>
    <w:lvl w:ilvl="0">
      <w:lvlJc w:val="left"/>
      <w:lvlText w:val="(%1)"/>
      <w:numFmt w:val="lowerLetter"/>
      <w:start w:val="1"/>
    </w:lvl>
  </w:abstractNum>
  <w:abstractNum w:abstractNumId="192">
    <w:nsid w:val="4A66051"/>
    <w:multiLevelType w:val="hybridMultilevel"/>
    <w:lvl w:ilvl="0">
      <w:lvlJc w:val="left"/>
      <w:lvlText w:val="(%1)"/>
      <w:numFmt w:val="lowerLetter"/>
      <w:start w:val="9"/>
    </w:lvl>
    <w:lvl w:ilvl="1">
      <w:lvlJc w:val="left"/>
      <w:lvlText w:val="(%2)"/>
      <w:numFmt w:val="lowerLetter"/>
      <w:start w:val="2"/>
    </w:lvl>
  </w:abstractNum>
  <w:abstractNum w:abstractNumId="193">
    <w:nsid w:val="20F4BDAD"/>
    <w:multiLevelType w:val="hybridMultilevel"/>
    <w:lvl w:ilvl="0">
      <w:lvlJc w:val="left"/>
      <w:lvlText w:val="(%1)"/>
      <w:numFmt w:val="lowerLetter"/>
      <w:start w:val="1"/>
    </w:lvl>
    <w:lvl w:ilvl="1">
      <w:lvlJc w:val="left"/>
      <w:lvlText w:val="(%2)"/>
      <w:numFmt w:val="lowerRoman"/>
      <w:start w:val="1"/>
    </w:lvl>
  </w:abstractNum>
  <w:abstractNum w:abstractNumId="194">
    <w:nsid w:val="639DEFAC"/>
    <w:multiLevelType w:val="hybridMultilevel"/>
    <w:lvl w:ilvl="0">
      <w:lvlJc w:val="left"/>
      <w:lvlText w:val="(%1)"/>
      <w:numFmt w:val="lowerRoman"/>
      <w:start w:val="3"/>
    </w:lvl>
  </w:abstractNum>
  <w:abstractNum w:abstractNumId="195">
    <w:nsid w:val="501F9786"/>
    <w:multiLevelType w:val="hybridMultilevel"/>
    <w:lvl w:ilvl="0">
      <w:lvlJc w:val="left"/>
      <w:lvlText w:val="(%1)"/>
      <w:numFmt w:val="lowerLetter"/>
      <w:start w:val="3"/>
    </w:lvl>
  </w:abstractNum>
  <w:abstractNum w:abstractNumId="196">
    <w:nsid w:val="6B057295"/>
    <w:multiLevelType w:val="hybridMultilevel"/>
    <w:lvl w:ilvl="0">
      <w:lvlJc w:val="left"/>
      <w:lvlText w:val="(%1)"/>
      <w:numFmt w:val="lowerLetter"/>
      <w:start w:val="5"/>
    </w:lvl>
  </w:abstractNum>
  <w:abstractNum w:abstractNumId="197">
    <w:nsid w:val="2771AC80"/>
    <w:multiLevelType w:val="hybridMultilevel"/>
    <w:lvl w:ilvl="0">
      <w:lvlJc w:val="left"/>
      <w:lvlText w:val="(%1)"/>
      <w:numFmt w:val="lowerRoman"/>
      <w:start w:val="1"/>
    </w:lvl>
  </w:abstractNum>
  <w:abstractNum w:abstractNumId="198">
    <w:nsid w:val="1C4A08EC"/>
    <w:multiLevelType w:val="hybridMultilevel"/>
    <w:lvl w:ilvl="0">
      <w:lvlJc w:val="left"/>
      <w:lvlText w:val="(%1)"/>
      <w:numFmt w:val="lowerLetter"/>
      <w:start w:val="1"/>
    </w:lvl>
  </w:abstractNum>
  <w:abstractNum w:abstractNumId="199">
    <w:nsid w:val="1958BD17"/>
    <w:multiLevelType w:val="hybridMultilevel"/>
    <w:lvl w:ilvl="0">
      <w:lvlJc w:val="left"/>
      <w:lvlText w:val="(%1)"/>
      <w:numFmt w:val="lowerLetter"/>
      <w:start w:val="1"/>
    </w:lvl>
  </w:abstractNum>
  <w:abstractNum w:abstractNumId="200">
    <w:nsid w:val="4E647FE4"/>
    <w:multiLevelType w:val="hybridMultilevel"/>
    <w:lvl w:ilvl="0">
      <w:lvlJc w:val="left"/>
      <w:lvlText w:val="(%1)"/>
      <w:numFmt w:val="lowerLetter"/>
      <w:start w:val="3"/>
    </w:lvl>
  </w:abstractNum>
  <w:abstractNum w:abstractNumId="201">
    <w:nsid w:val="E0BB885"/>
    <w:multiLevelType w:val="hybridMultilevel"/>
    <w:lvl w:ilvl="0">
      <w:lvlJc w:val="left"/>
      <w:lvlText w:val="(%1)"/>
      <w:numFmt w:val="lowerLetter"/>
      <w:start w:val="1"/>
    </w:lvl>
    <w:lvl w:ilvl="1">
      <w:lvlJc w:val="left"/>
      <w:lvlText w:val="(%2)"/>
      <w:numFmt w:val="lowerRoman"/>
      <w:start w:val="1"/>
    </w:lvl>
  </w:abstractNum>
  <w:abstractNum w:abstractNumId="202">
    <w:nsid w:val="565976F1"/>
    <w:multiLevelType w:val="hybridMultilevel"/>
    <w:lvl w:ilvl="0">
      <w:lvlJc w:val="left"/>
      <w:lvlText w:val="(%1)"/>
      <w:numFmt w:val="lowerRoman"/>
      <w:start w:val="3"/>
    </w:lvl>
  </w:abstractNum>
  <w:abstractNum w:abstractNumId="203">
    <w:nsid w:val="64212B8C"/>
    <w:multiLevelType w:val="hybridMultilevel"/>
    <w:lvl w:ilvl="0">
      <w:lvlJc w:val="left"/>
      <w:lvlText w:val="%1."/>
      <w:numFmt w:val="decimal"/>
      <w:start w:val="1"/>
    </w:lvl>
  </w:abstractNum>
  <w:abstractNum w:abstractNumId="204">
    <w:nsid w:val="5C17530C"/>
    <w:multiLevelType w:val="hybridMultilevel"/>
    <w:lvl w:ilvl="0">
      <w:lvlJc w:val="left"/>
      <w:lvlText w:val="%1."/>
      <w:numFmt w:val="decimal"/>
      <w:start w:val="1"/>
    </w:lvl>
  </w:abstractNum>
  <w:abstractNum w:abstractNumId="205">
    <w:nsid w:val="19A52566"/>
    <w:multiLevelType w:val="hybridMultilevel"/>
    <w:lvl w:ilvl="0">
      <w:lvlJc w:val="left"/>
      <w:lvlText w:val="%1."/>
      <w:numFmt w:val="decimal"/>
      <w:start w:val="2"/>
    </w:lvl>
  </w:abstractNum>
  <w:abstractNum w:abstractNumId="206">
    <w:nsid w:val="335A1DF1"/>
    <w:multiLevelType w:val="hybridMultilevel"/>
    <w:lvl w:ilvl="0">
      <w:lvlJc w:val="left"/>
      <w:lvlText w:val="%1."/>
      <w:numFmt w:val="decimal"/>
      <w:start w:val="4"/>
    </w:lvl>
  </w:abstractNum>
  <w:abstractNum w:abstractNumId="207">
    <w:nsid w:val="28677B7C"/>
    <w:multiLevelType w:val="hybridMultilevel"/>
    <w:lvl w:ilvl="0">
      <w:lvlJc w:val="left"/>
      <w:lvlText w:val="(%1)"/>
      <w:numFmt w:val="lowerLetter"/>
      <w:start w:val="1"/>
    </w:lvl>
  </w:abstractNum>
  <w:abstractNum w:abstractNumId="208">
    <w:nsid w:val="378D97C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09">
    <w:nsid w:val="1D91467C"/>
    <w:multiLevelType w:val="hybridMultilevel"/>
    <w:lvl w:ilvl="0">
      <w:lvlJc w:val="left"/>
      <w:lvlText w:val="(%1)"/>
      <w:numFmt w:val="lowerRoman"/>
      <w:start w:val="2"/>
    </w:lvl>
  </w:abstractNum>
  <w:abstractNum w:abstractNumId="210">
    <w:nsid w:val="316032BB"/>
    <w:multiLevelType w:val="hybridMultilevel"/>
    <w:lvl w:ilvl="0">
      <w:lvlJc w:val="left"/>
      <w:lvlText w:val="3"/>
      <w:numFmt w:val="bullet"/>
      <w:start w:val="1"/>
    </w:lvl>
  </w:abstractNum>
  <w:abstractNum w:abstractNumId="211">
    <w:nsid w:val="44344C22"/>
    <w:multiLevelType w:val="hybridMultilevel"/>
    <w:lvl w:ilvl="0">
      <w:lvlJc w:val="left"/>
      <w:lvlText w:val="4"/>
      <w:numFmt w:val="bullet"/>
      <w:start w:val="1"/>
    </w:lvl>
  </w:abstractNum>
  <w:abstractNum w:abstractNumId="212">
    <w:nsid w:val="13CDFCFC"/>
    <w:multiLevelType w:val="hybridMultilevel"/>
    <w:lvl w:ilvl="0">
      <w:lvlJc w:val="left"/>
      <w:lvlText w:val="(%1)"/>
      <w:numFmt w:val="lowerRoman"/>
      <w:start w:val="3"/>
    </w:lvl>
  </w:abstractNum>
  <w:abstractNum w:abstractNumId="213">
    <w:nsid w:val="471745E4"/>
    <w:multiLevelType w:val="hybridMultilevel"/>
    <w:lvl w:ilvl="0">
      <w:lvlJc w:val="left"/>
      <w:lvlText w:val="(%1)"/>
      <w:numFmt w:val="lowerLetter"/>
      <w:start w:val="3"/>
    </w:lvl>
    <w:lvl w:ilvl="1">
      <w:lvlJc w:val="left"/>
      <w:lvlText w:val="(%2)"/>
      <w:numFmt w:val="lowerLetter"/>
      <w:start w:val="9"/>
    </w:lvl>
  </w:abstractNum>
  <w:abstractNum w:abstractNumId="214">
    <w:nsid w:val="1DDBC66"/>
    <w:multiLevelType w:val="hybridMultilevel"/>
    <w:lvl w:ilvl="0">
      <w:lvlJc w:val="left"/>
      <w:lvlText w:val="5"/>
      <w:numFmt w:val="bullet"/>
      <w:start w:val="1"/>
    </w:lvl>
  </w:abstractNum>
  <w:abstractNum w:abstractNumId="215">
    <w:nsid w:val="30AADFDA"/>
    <w:multiLevelType w:val="hybridMultilevel"/>
    <w:lvl w:ilvl="0">
      <w:lvlJc w:val="left"/>
      <w:lvlText w:val="["/>
      <w:numFmt w:val="bullet"/>
      <w:start w:val="1"/>
    </w:lvl>
  </w:abstractNum>
  <w:abstractNum w:abstractNumId="216">
    <w:nsid w:val="30EADA61"/>
    <w:multiLevelType w:val="hybridMultilevel"/>
    <w:lvl w:ilvl="0">
      <w:lvlJc w:val="left"/>
      <w:lvlText w:val="%1"/>
      <w:numFmt w:val="lowerRoman"/>
      <w:start w:val="1"/>
    </w:lvl>
    <w:lvl w:ilvl="1">
      <w:lvlJc w:val="left"/>
      <w:lvlText w:val="(%2)"/>
      <w:numFmt w:val="lowerRoman"/>
      <w:start w:val="1"/>
    </w:lvl>
  </w:abstractNum>
  <w:abstractNum w:abstractNumId="217">
    <w:nsid w:val="27179C0B"/>
    <w:multiLevelType w:val="hybridMultilevel"/>
    <w:lvl w:ilvl="0">
      <w:lvlJc w:val="left"/>
      <w:lvlText w:val="(%1)"/>
      <w:numFmt w:val="lowerRoman"/>
      <w:start w:val="10"/>
    </w:lvl>
    <w:lvl w:ilvl="1">
      <w:lvlJc w:val="left"/>
      <w:lvlText w:val="%2"/>
      <w:numFmt w:val="lowerRoman"/>
      <w:start w:val="1"/>
    </w:lvl>
  </w:abstractNum>
  <w:abstractNum w:abstractNumId="218">
    <w:nsid w:val="5E636063"/>
    <w:multiLevelType w:val="hybridMultilevel"/>
    <w:lvl w:ilvl="0">
      <w:lvlJc w:val="left"/>
      <w:lvlText w:val="(%1)"/>
      <w:numFmt w:val="lowerRoman"/>
      <w:start w:val="3"/>
    </w:lvl>
  </w:abstractNum>
  <w:abstractNum w:abstractNumId="219">
    <w:nsid w:val="215641AF"/>
    <w:multiLevelType w:val="hybridMultilevel"/>
    <w:lvl w:ilvl="0">
      <w:lvlJc w:val="left"/>
      <w:lvlText w:val="1"/>
      <w:numFmt w:val="bullet"/>
      <w:start w:val="1"/>
    </w:lvl>
  </w:abstractNum>
  <w:abstractNum w:abstractNumId="220">
    <w:nsid w:val="53280662"/>
    <w:multiLevelType w:val="hybridMultilevel"/>
    <w:lvl w:ilvl="0">
      <w:lvlJc w:val="left"/>
      <w:lvlText w:val="2"/>
      <w:numFmt w:val="bullet"/>
      <w:start w:val="1"/>
    </w:lvl>
  </w:abstractNum>
  <w:abstractNum w:abstractNumId="221">
    <w:nsid w:val="46B24DBC"/>
    <w:multiLevelType w:val="hybridMultilevel"/>
    <w:lvl w:ilvl="0">
      <w:lvlJc w:val="left"/>
      <w:lvlText w:val="3"/>
      <w:numFmt w:val="bullet"/>
      <w:start w:val="1"/>
    </w:lvl>
  </w:abstractNum>
  <w:abstractNum w:abstractNumId="222">
    <w:nsid w:val="75B52783"/>
    <w:multiLevelType w:val="hybridMultilevel"/>
    <w:lvl w:ilvl="0">
      <w:lvlJc w:val="left"/>
      <w:lvlText w:val="4"/>
      <w:numFmt w:val="bullet"/>
      <w:start w:val="1"/>
    </w:lvl>
  </w:abstractNum>
  <w:abstractNum w:abstractNumId="223">
    <w:nsid w:val="57CE66B4"/>
    <w:multiLevelType w:val="hybridMultilevel"/>
    <w:lvl w:ilvl="0">
      <w:lvlJc w:val="left"/>
      <w:lvlText w:val="%1."/>
      <w:numFmt w:val="decimal"/>
      <w:start w:val="1"/>
    </w:lvl>
  </w:abstractNum>
  <w:abstractNum w:abstractNumId="224">
    <w:nsid w:val="67A70B69"/>
    <w:multiLevelType w:val="hybridMultilevel"/>
    <w:lvl w:ilvl="0">
      <w:lvlJc w:val="left"/>
      <w:lvlText w:val="%1."/>
      <w:numFmt w:val="decimal"/>
      <w:start w:val="3"/>
    </w:lvl>
  </w:abstractNum>
  <w:abstractNum w:abstractNumId="225">
    <w:nsid w:val="5953172F"/>
    <w:multiLevelType w:val="hybridMultilevel"/>
    <w:lvl w:ilvl="0">
      <w:lvlJc w:val="left"/>
      <w:lvlText w:val="5"/>
      <w:numFmt w:val="bullet"/>
      <w:start w:val="1"/>
    </w:lvl>
  </w:abstractNum>
  <w:abstractNum w:abstractNumId="226">
    <w:nsid w:val="27EDFE3A"/>
    <w:multiLevelType w:val="hybridMultilevel"/>
    <w:lvl w:ilvl="0">
      <w:lvlJc w:val="left"/>
      <w:lvlText w:val="6"/>
      <w:numFmt w:val="bullet"/>
      <w:start w:val="1"/>
    </w:lvl>
  </w:abstractNum>
  <w:abstractNum w:abstractNumId="227">
    <w:nsid w:val="52AC7DFF"/>
    <w:multiLevelType w:val="hybridMultilevel"/>
    <w:lvl w:ilvl="0">
      <w:lvlJc w:val="left"/>
      <w:lvlText w:val="7"/>
      <w:numFmt w:val="bullet"/>
      <w:start w:val="1"/>
    </w:lvl>
  </w:abstractNum>
  <w:abstractNum w:abstractNumId="228">
    <w:nsid w:val="C4C3AF"/>
    <w:multiLevelType w:val="hybridMultilevel"/>
    <w:lvl w:ilvl="0">
      <w:lvlJc w:val="left"/>
      <w:lvlText w:val="8"/>
      <w:numFmt w:val="bullet"/>
      <w:start w:val="1"/>
    </w:lvl>
  </w:abstractNum>
  <w:abstractNum w:abstractNumId="229">
    <w:nsid w:val="44380727"/>
    <w:multiLevelType w:val="hybridMultilevel"/>
    <w:lvl w:ilvl="0">
      <w:lvlJc w:val="left"/>
      <w:lvlText w:val="9"/>
      <w:numFmt w:val="bullet"/>
      <w:start w:val="1"/>
    </w:lvl>
  </w:abstractNum>
  <w:abstractNum w:abstractNumId="230">
    <w:nsid w:val="6C053B16"/>
    <w:multiLevelType w:val="hybridMultilevel"/>
    <w:lvl w:ilvl="0">
      <w:lvlJc w:val="left"/>
      <w:lvlText w:val="%1"/>
      <w:numFmt w:val="decimal"/>
      <w:start w:val="10"/>
    </w:lvl>
  </w:abstractNum>
  <w:abstractNum w:abstractNumId="231">
    <w:nsid w:val="4F294393"/>
    <w:multiLevelType w:val="hybridMultilevel"/>
    <w:lvl w:ilvl="0">
      <w:lvlJc w:val="left"/>
      <w:lvlText w:val="%1"/>
      <w:numFmt w:val="decimal"/>
      <w:start w:val="11"/>
    </w:lvl>
  </w:abstractNum>
  <w:abstractNum w:abstractNumId="232">
    <w:nsid w:val="5243BFAC"/>
    <w:multiLevelType w:val="hybridMultilevel"/>
    <w:lvl w:ilvl="0">
      <w:lvlJc w:val="left"/>
      <w:lvlText w:val="%1."/>
      <w:numFmt w:val="decimal"/>
      <w:start w:val="1"/>
    </w:lvl>
  </w:abstractNum>
  <w:abstractNum w:abstractNumId="233">
    <w:nsid w:val="425EB207"/>
    <w:multiLevelType w:val="hybridMultilevel"/>
    <w:lvl w:ilvl="0">
      <w:lvlJc w:val="left"/>
      <w:lvlText w:val="(%1)"/>
      <w:numFmt w:val="lowerRoman"/>
      <w:start w:val="3"/>
    </w:lvl>
  </w:abstractNum>
  <w:abstractNum w:abstractNumId="234">
    <w:nsid w:val="334A6F1F"/>
    <w:multiLevelType w:val="hybridMultilevel"/>
    <w:lvl w:ilvl="0">
      <w:lvlJc w:val="left"/>
      <w:lvlText w:val="%1."/>
      <w:numFmt w:val="decimal"/>
      <w:start w:val="2"/>
    </w:lvl>
  </w:abstractNum>
  <w:abstractNum w:abstractNumId="235">
    <w:nsid w:val="2E5B12B8"/>
    <w:multiLevelType w:val="hybridMultilevel"/>
    <w:lvl w:ilvl="0">
      <w:lvlJc w:val="left"/>
      <w:lvlText w:val="%1."/>
      <w:numFmt w:val="decimal"/>
      <w:start w:val="1"/>
    </w:lvl>
    <w:lvl w:ilvl="1">
      <w:lvlJc w:val="left"/>
      <w:lvlText w:val="%2)"/>
      <w:numFmt w:val="lowerLetter"/>
      <w:start w:val="1"/>
    </w:lvl>
  </w:abstractNum>
  <w:abstractNum w:abstractNumId="236">
    <w:nsid w:val="5C03D76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83" Type="http://schemas.openxmlformats.org/officeDocument/2006/relationships/image" Target="media/image57.png"/><Relationship Id="rId98" Type="http://schemas.openxmlformats.org/officeDocument/2006/relationships/image" Target="media/image58.png"/><Relationship Id="rId101" Type="http://schemas.openxmlformats.org/officeDocument/2006/relationships/image" Target="media/image59.png"/><Relationship Id="rId102"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64" Type="http://schemas.openxmlformats.org/officeDocument/2006/relationships/hyperlink" Target="https://www.sec.gov/Archives/edgar/data/1547903/000154790313000020/a31secondamendedandrestate.htm" TargetMode="External"/><Relationship Id="rId65" Type="http://schemas.openxmlformats.org/officeDocument/2006/relationships/hyperlink" Target="https://www.sec.gov/Archives/edgar/data/1547903/000154790322000175/exhibit32-nmihx4tharbylaws.htm" TargetMode="External"/><Relationship Id="rId66" Type="http://schemas.openxmlformats.org/officeDocument/2006/relationships/hyperlink" Target="https://www.sec.gov/Archives/edgar/data/1547903/000119312520174237/d949308dex41.htm" TargetMode="External"/><Relationship Id="rId67" Type="http://schemas.openxmlformats.org/officeDocument/2006/relationships/hyperlink" Target="https://www.sec.gov/Archives/edgar/data/1547903/000154790321000055/exhibit48nmihdescriptionof.htm" TargetMode="External"/><Relationship Id="rId68" Type="http://schemas.openxmlformats.org/officeDocument/2006/relationships/hyperlink" Target="https://www.sec.gov/Archives/edgar/data/1547903/000154790313000020/a101nmiholdingsinc2012stoc.htm" TargetMode="External"/><Relationship Id="rId69" Type="http://schemas.openxmlformats.org/officeDocument/2006/relationships/hyperlink" Target="https://www.sec.gov/Archives/edgar/data/1547903/000154790313000020/a105formofnonqualifiedstoc.htm" TargetMode="External"/><Relationship Id="rId70" Type="http://schemas.openxmlformats.org/officeDocument/2006/relationships/hyperlink" Target="https://www.sec.gov/Archives/edgar/data/1547903/000154790313000020/a106formofnonqualifiedstoc.htm" TargetMode="External"/><Relationship Id="rId71" Type="http://schemas.openxmlformats.org/officeDocument/2006/relationships/hyperlink" Target="https://www.sec.gov/Archives/edgar/data/1547903/000154790313000020/a107formofnonqualifiedstoc.htm" TargetMode="External"/><Relationship Id="rId72" Type="http://schemas.openxmlformats.org/officeDocument/2006/relationships/hyperlink" Target="https://www.sec.gov/Archives/edgar/data/1547903/000154790317000032/exhibit108-2012stockincent.htm" TargetMode="External"/><Relationship Id="rId73" Type="http://schemas.openxmlformats.org/officeDocument/2006/relationships/hyperlink" Target="https://www.sec.gov/Archives/edgar/data/1547903/000154790317000032/exhibit109-2012stockincent.htm" TargetMode="External"/><Relationship Id="rId74" Type="http://schemas.openxmlformats.org/officeDocument/2006/relationships/hyperlink" Target="https://www.sec.gov/Archives/edgar/data/1547903/000154790319000064/exhibit1032.htm" TargetMode="External"/><Relationship Id="rId75" Type="http://schemas.openxmlformats.org/officeDocument/2006/relationships/hyperlink" Target="https://www.sec.gov/Archives/edgar/data/1547903/000154790317000100/ex1023nqsceo.htm" TargetMode="External"/><Relationship Id="rId76" Type="http://schemas.openxmlformats.org/officeDocument/2006/relationships/hyperlink" Target="https://www.sec.gov/Archives/edgar/data/1547903/000154790317000100/ex1024nqseoee.htm" TargetMode="External"/><Relationship Id="rId77" Type="http://schemas.openxmlformats.org/officeDocument/2006/relationships/hyperlink" Target="https://www.sec.gov/Archives/edgar/data/1547903/000154790320000045/ex1038202010q.htm" TargetMode="External"/><Relationship Id="rId78" Type="http://schemas.openxmlformats.org/officeDocument/2006/relationships/hyperlink" Target="https://www.sec.gov/Archives/edgar/data/1547903/000154790319000064/exhibit1033.htm" TargetMode="External"/><Relationship Id="rId79" Type="http://schemas.openxmlformats.org/officeDocument/2006/relationships/hyperlink" Target="https://www.sec.gov/Archives/edgar/data/1547903/000154790324000035/ex1020ye2023rsuawardagreem.htm" TargetMode="External"/><Relationship Id="rId80" Type="http://schemas.openxmlformats.org/officeDocument/2006/relationships/hyperlink" Target="https://www.sec.gov/Archives/edgar/data/1547903/000154790319000064/exhibit1034.htm" TargetMode="External"/><Relationship Id="rId81" Type="http://schemas.openxmlformats.org/officeDocument/2006/relationships/hyperlink" Target="https://www.sec.gov/Archives/edgar/data/1547903/000154790324000035/ex1022ye2023rsuawardagreem.htm" TargetMode="External"/><Relationship Id="rId82" Type="http://schemas.openxmlformats.org/officeDocument/2006/relationships/hyperlink" Target="https://www.sec.gov/Archives/edgar/data/1547903/000154790324000035/ex1023ye2023rsuawardagreem.htm" TargetMode="External"/><Relationship Id="rId84" Type="http://schemas.openxmlformats.org/officeDocument/2006/relationships/hyperlink" Target="https://www.sec.gov/Archives/edgar/data/1547903/000154790324000035/ex1024ye2023rsuawardagreem.htm" TargetMode="External"/><Relationship Id="rId85" Type="http://schemas.openxmlformats.org/officeDocument/2006/relationships/hyperlink" Target="https://www.sec.gov/Archives/edgar/data/1547903/000154790319000064/exhibit1035.htm" TargetMode="External"/><Relationship Id="rId86" Type="http://schemas.openxmlformats.org/officeDocument/2006/relationships/hyperlink" Target="https://www.sec.gov/Archives/edgar/data/1547903/000154790314000146/exhibit101november252014.htm" TargetMode="External"/><Relationship Id="rId87" Type="http://schemas.openxmlformats.org/officeDocument/2006/relationships/hyperlink" Target="https://www.sec.gov/Archives/edgar/data/1547903/000154790316000185/ex101severancebenefitplan.htm" TargetMode="External"/><Relationship Id="rId88" Type="http://schemas.openxmlformats.org/officeDocument/2006/relationships/hyperlink" Target="https://www.sec.gov/Archives/edgar/data/1547903/000154790318000133/exhibit1030arcicsbp.htm" TargetMode="External"/><Relationship Id="rId89" Type="http://schemas.openxmlformats.org/officeDocument/2006/relationships/hyperlink" Target="https://www.sec.gov/Archives/edgar/data/1547903/000154790317000035/exhibit102.htm" TargetMode="External"/><Relationship Id="rId90" Type="http://schemas.openxmlformats.org/officeDocument/2006/relationships/hyperlink" Target="https://www.sec.gov/Archives/edgar/data/1547903/000154790316000230/exhibit1010leatherberrybil.htm" TargetMode="External"/><Relationship Id="rId91" Type="http://schemas.openxmlformats.org/officeDocument/2006/relationships/hyperlink" Target="https://www.sec.gov/Archives/edgar/data/1547903/000154790318000137/exhibit101shuster.htm" TargetMode="External"/><Relationship Id="rId92" Type="http://schemas.openxmlformats.org/officeDocument/2006/relationships/hyperlink" Target="https://www.sec.gov/Archives/edgar/data/0001547903/000154790321000153/exhibit101-nmihxapollitz.htm" TargetMode="External"/><Relationship Id="rId93" Type="http://schemas.openxmlformats.org/officeDocument/2006/relationships/hyperlink" Target="https://www.sec.gov/Archives/edgar/data/0001547903/000154790321000188/rmallelaofferletter.htm" TargetMode="External"/><Relationship Id="rId94" Type="http://schemas.openxmlformats.org/officeDocument/2006/relationships/hyperlink" Target="https://www.sec.gov/Archives/edgar/data/1547903/000154790324000041/nmih-aswithenbankofferlett.htm" TargetMode="External"/><Relationship Id="rId95" Type="http://schemas.openxmlformats.org/officeDocument/2006/relationships/hyperlink" Target="https://www.sec.gov/Archives/edgar/data/1547903/000154790324000041/nmih-rmallelaseparationagr.htm" TargetMode="External"/><Relationship Id="rId96" Type="http://schemas.openxmlformats.org/officeDocument/2006/relationships/hyperlink" Target="https://www.sec.gov/Archives/edgar/data/1547903/000154790313000020/a1014commitmentletterforbu.htm" TargetMode="External"/><Relationship Id="rId97" Type="http://schemas.openxmlformats.org/officeDocument/2006/relationships/hyperlink" Target="https://www.sec.gov/Archives/edgar/data/0001547903/000154790321000180/nmiholdingsinc-creditagree.htm" TargetMode="External"/><Relationship Id="rId99" Type="http://schemas.openxmlformats.org/officeDocument/2006/relationships/hyperlink" Target="https://www.sec.gov/Archives/edgar/data/1547903/000154790315000133/exhibit211subsidiariesofnm.htm" TargetMode="External"/><Relationship Id="rId100" Type="http://schemas.openxmlformats.org/officeDocument/2006/relationships/hyperlink" Target="https://www.sec.gov/Archives/edgar/data/1547903/000154790324000035/ex971ye2023compensationr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2024-05-01T05:23:23Z</dcterms:created>
  <dcterms:modified xsi:type="dcterms:W3CDTF">2024-05-01T05:23:23Z</dcterms:modified>
</cp:coreProperties>
</file>