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654685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675005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9/9/2021</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NMI Holdings,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tbl>
      <w:tblPr>
        <w:tblLayout w:type="fixed"/>
        <w:tblInd w:w="1080" w:type="dxa"/>
        <w:tblCellMar>
          <w:top w:w="0" w:type="dxa"/>
          <w:left w:w="0" w:type="dxa"/>
          <w:bottom w:w="0" w:type="dxa"/>
          <w:right w:w="0" w:type="dxa"/>
        </w:tblCellMar>
      </w:tblPr>
      <w:tr>
        <w:trPr>
          <w:trHeight w:val="180"/>
        </w:trPr>
        <w:tc>
          <w:tcPr>
            <w:tcW w:w="2120" w:type="dxa"/>
            <w:vAlign w:val="bottom"/>
          </w:tcPr>
          <w:p>
            <w:pPr>
              <w:jc w:val="center"/>
              <w:ind w:right="369"/>
              <w:spacing w:after="0"/>
              <w:rPr>
                <w:sz w:val="20"/>
                <w:szCs w:val="20"/>
                <w:color w:val="auto"/>
              </w:rPr>
            </w:pPr>
            <w:r>
              <w:rPr>
                <w:rFonts w:ascii="Arial" w:cs="Arial" w:eastAsia="Arial" w:hAnsi="Arial"/>
                <w:sz w:val="14"/>
                <w:szCs w:val="14"/>
                <w:b w:val="1"/>
                <w:bCs w:val="1"/>
                <w:color w:val="auto"/>
                <w:w w:val="91"/>
              </w:rPr>
              <w:t>Delaware</w:t>
            </w:r>
          </w:p>
        </w:tc>
        <w:tc>
          <w:tcPr>
            <w:tcW w:w="5020" w:type="dxa"/>
            <w:vAlign w:val="bottom"/>
          </w:tcPr>
          <w:p>
            <w:pPr>
              <w:jc w:val="center"/>
              <w:ind w:right="149"/>
              <w:spacing w:after="0"/>
              <w:rPr>
                <w:sz w:val="20"/>
                <w:szCs w:val="20"/>
                <w:color w:val="auto"/>
              </w:rPr>
            </w:pPr>
            <w:r>
              <w:rPr>
                <w:rFonts w:ascii="Arial" w:cs="Arial" w:eastAsia="Arial" w:hAnsi="Arial"/>
                <w:sz w:val="14"/>
                <w:szCs w:val="14"/>
                <w:b w:val="1"/>
                <w:bCs w:val="1"/>
                <w:color w:val="auto"/>
                <w:w w:val="89"/>
              </w:rPr>
              <w:t>001-36174</w:t>
            </w:r>
          </w:p>
        </w:tc>
        <w:tc>
          <w:tcPr>
            <w:tcW w:w="1680" w:type="dxa"/>
            <w:vAlign w:val="bottom"/>
          </w:tcPr>
          <w:p>
            <w:pPr>
              <w:jc w:val="center"/>
              <w:ind w:left="449"/>
              <w:spacing w:after="0"/>
              <w:rPr>
                <w:sz w:val="20"/>
                <w:szCs w:val="20"/>
                <w:color w:val="auto"/>
              </w:rPr>
            </w:pPr>
            <w:r>
              <w:rPr>
                <w:rFonts w:ascii="Arial" w:cs="Arial" w:eastAsia="Arial" w:hAnsi="Arial"/>
                <w:sz w:val="14"/>
                <w:szCs w:val="14"/>
                <w:b w:val="1"/>
                <w:bCs w:val="1"/>
                <w:color w:val="auto"/>
                <w:w w:val="90"/>
              </w:rPr>
              <w:t>45-4914248</w:t>
            </w:r>
          </w:p>
        </w:tc>
      </w:tr>
      <w:tr>
        <w:trPr>
          <w:trHeight w:val="142"/>
        </w:trPr>
        <w:tc>
          <w:tcPr>
            <w:tcW w:w="2120" w:type="dxa"/>
            <w:vAlign w:val="bottom"/>
          </w:tcPr>
          <w:p>
            <w:pPr>
              <w:jc w:val="center"/>
              <w:ind w:right="369"/>
              <w:spacing w:after="0" w:line="142" w:lineRule="exact"/>
              <w:rPr>
                <w:sz w:val="20"/>
                <w:szCs w:val="20"/>
                <w:color w:val="auto"/>
              </w:rPr>
            </w:pPr>
            <w:r>
              <w:rPr>
                <w:rFonts w:ascii="Arial" w:cs="Arial" w:eastAsia="Arial" w:hAnsi="Arial"/>
                <w:sz w:val="14"/>
                <w:szCs w:val="14"/>
                <w:b w:val="1"/>
                <w:bCs w:val="1"/>
                <w:color w:val="auto"/>
                <w:w w:val="92"/>
              </w:rPr>
              <w:t>(State or Other Jurisdiction</w:t>
            </w:r>
          </w:p>
        </w:tc>
        <w:tc>
          <w:tcPr>
            <w:tcW w:w="5020" w:type="dxa"/>
            <w:vAlign w:val="bottom"/>
          </w:tcPr>
          <w:p>
            <w:pPr>
              <w:jc w:val="center"/>
              <w:ind w:right="149"/>
              <w:spacing w:after="0" w:line="142" w:lineRule="exact"/>
              <w:rPr>
                <w:sz w:val="20"/>
                <w:szCs w:val="20"/>
                <w:color w:val="auto"/>
              </w:rPr>
            </w:pPr>
            <w:r>
              <w:rPr>
                <w:rFonts w:ascii="Arial" w:cs="Arial" w:eastAsia="Arial" w:hAnsi="Arial"/>
                <w:sz w:val="14"/>
                <w:szCs w:val="14"/>
                <w:b w:val="1"/>
                <w:bCs w:val="1"/>
                <w:color w:val="auto"/>
                <w:w w:val="90"/>
              </w:rPr>
              <w:t>(Commission</w:t>
            </w:r>
          </w:p>
        </w:tc>
        <w:tc>
          <w:tcPr>
            <w:tcW w:w="1680" w:type="dxa"/>
            <w:vAlign w:val="bottom"/>
          </w:tcPr>
          <w:p>
            <w:pPr>
              <w:jc w:val="center"/>
              <w:ind w:left="449"/>
              <w:spacing w:after="0" w:line="142" w:lineRule="exact"/>
              <w:rPr>
                <w:sz w:val="20"/>
                <w:szCs w:val="20"/>
                <w:color w:val="auto"/>
              </w:rPr>
            </w:pPr>
            <w:r>
              <w:rPr>
                <w:rFonts w:ascii="Arial" w:cs="Arial" w:eastAsia="Arial" w:hAnsi="Arial"/>
                <w:sz w:val="14"/>
                <w:szCs w:val="14"/>
                <w:b w:val="1"/>
                <w:bCs w:val="1"/>
                <w:color w:val="auto"/>
                <w:w w:val="96"/>
              </w:rPr>
              <w:t>(IRS Employer</w:t>
            </w:r>
          </w:p>
        </w:tc>
      </w:tr>
      <w:tr>
        <w:trPr>
          <w:trHeight w:val="184"/>
        </w:trPr>
        <w:tc>
          <w:tcPr>
            <w:tcW w:w="2120" w:type="dxa"/>
            <w:vAlign w:val="bottom"/>
          </w:tcPr>
          <w:p>
            <w:pPr>
              <w:jc w:val="center"/>
              <w:ind w:right="329"/>
              <w:spacing w:after="0"/>
              <w:rPr>
                <w:sz w:val="20"/>
                <w:szCs w:val="20"/>
                <w:color w:val="auto"/>
              </w:rPr>
            </w:pPr>
            <w:r>
              <w:rPr>
                <w:rFonts w:ascii="Arial" w:cs="Arial" w:eastAsia="Arial" w:hAnsi="Arial"/>
                <w:sz w:val="14"/>
                <w:szCs w:val="14"/>
                <w:b w:val="1"/>
                <w:bCs w:val="1"/>
                <w:color w:val="auto"/>
                <w:w w:val="92"/>
              </w:rPr>
              <w:t>of Incorporation)</w:t>
            </w:r>
          </w:p>
        </w:tc>
        <w:tc>
          <w:tcPr>
            <w:tcW w:w="5020" w:type="dxa"/>
            <w:vAlign w:val="bottom"/>
          </w:tcPr>
          <w:p>
            <w:pPr>
              <w:jc w:val="center"/>
              <w:ind w:right="109"/>
              <w:spacing w:after="0"/>
              <w:rPr>
                <w:sz w:val="20"/>
                <w:szCs w:val="20"/>
                <w:color w:val="auto"/>
              </w:rPr>
            </w:pPr>
            <w:r>
              <w:rPr>
                <w:rFonts w:ascii="Arial" w:cs="Arial" w:eastAsia="Arial" w:hAnsi="Arial"/>
                <w:sz w:val="14"/>
                <w:szCs w:val="14"/>
                <w:b w:val="1"/>
                <w:bCs w:val="1"/>
                <w:color w:val="auto"/>
                <w:w w:val="93"/>
              </w:rPr>
              <w:t>File Number)</w:t>
            </w:r>
          </w:p>
        </w:tc>
        <w:tc>
          <w:tcPr>
            <w:tcW w:w="1680" w:type="dxa"/>
            <w:vAlign w:val="bottom"/>
          </w:tcPr>
          <w:p>
            <w:pPr>
              <w:jc w:val="center"/>
              <w:ind w:left="489"/>
              <w:spacing w:after="0"/>
              <w:rPr>
                <w:sz w:val="20"/>
                <w:szCs w:val="20"/>
                <w:color w:val="auto"/>
              </w:rPr>
            </w:pPr>
            <w:r>
              <w:rPr>
                <w:rFonts w:ascii="Arial" w:cs="Arial" w:eastAsia="Arial" w:hAnsi="Arial"/>
                <w:sz w:val="14"/>
                <w:szCs w:val="14"/>
                <w:b w:val="1"/>
                <w:bCs w:val="1"/>
                <w:color w:val="auto"/>
                <w:w w:val="94"/>
              </w:rPr>
              <w:t>Identification No.)</w:t>
            </w:r>
          </w:p>
        </w:tc>
      </w:tr>
      <w:tr>
        <w:trPr>
          <w:trHeight w:val="215"/>
        </w:trPr>
        <w:tc>
          <w:tcPr>
            <w:tcW w:w="2120" w:type="dxa"/>
            <w:vAlign w:val="bottom"/>
          </w:tcPr>
          <w:p>
            <w:pPr>
              <w:spacing w:after="0"/>
              <w:rPr>
                <w:sz w:val="18"/>
                <w:szCs w:val="18"/>
                <w:color w:val="auto"/>
              </w:rPr>
            </w:pPr>
          </w:p>
        </w:tc>
        <w:tc>
          <w:tcPr>
            <w:tcW w:w="5020" w:type="dxa"/>
            <w:vAlign w:val="bottom"/>
          </w:tcPr>
          <w:p>
            <w:pPr>
              <w:jc w:val="center"/>
              <w:ind w:right="69"/>
              <w:spacing w:after="0"/>
              <w:rPr>
                <w:sz w:val="20"/>
                <w:szCs w:val="20"/>
                <w:color w:val="auto"/>
              </w:rPr>
            </w:pPr>
            <w:r>
              <w:rPr>
                <w:rFonts w:ascii="Arial" w:cs="Arial" w:eastAsia="Arial" w:hAnsi="Arial"/>
                <w:sz w:val="14"/>
                <w:szCs w:val="14"/>
                <w:b w:val="1"/>
                <w:bCs w:val="1"/>
                <w:color w:val="auto"/>
                <w:w w:val="92"/>
              </w:rPr>
              <w:t>2100 Powell Street, 12th Floor, Emeryville, CA</w:t>
            </w:r>
          </w:p>
        </w:tc>
        <w:tc>
          <w:tcPr>
            <w:tcW w:w="1680" w:type="dxa"/>
            <w:vAlign w:val="bottom"/>
          </w:tcPr>
          <w:p>
            <w:pPr>
              <w:spacing w:after="0"/>
              <w:rPr>
                <w:sz w:val="18"/>
                <w:szCs w:val="18"/>
                <w:color w:val="auto"/>
              </w:rPr>
            </w:pPr>
          </w:p>
        </w:tc>
      </w:tr>
      <w:tr>
        <w:trPr>
          <w:trHeight w:val="184"/>
        </w:trPr>
        <w:tc>
          <w:tcPr>
            <w:tcW w:w="2120" w:type="dxa"/>
            <w:vAlign w:val="bottom"/>
          </w:tcPr>
          <w:p>
            <w:pPr>
              <w:spacing w:after="0"/>
              <w:rPr>
                <w:sz w:val="16"/>
                <w:szCs w:val="16"/>
                <w:color w:val="auto"/>
              </w:rPr>
            </w:pPr>
          </w:p>
        </w:tc>
        <w:tc>
          <w:tcPr>
            <w:tcW w:w="5020" w:type="dxa"/>
            <w:vAlign w:val="bottom"/>
          </w:tcPr>
          <w:p>
            <w:pPr>
              <w:jc w:val="center"/>
              <w:ind w:right="49"/>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680" w:type="dxa"/>
            <w:vAlign w:val="bottom"/>
          </w:tcPr>
          <w:p>
            <w:pPr>
              <w:spacing w:after="0"/>
              <w:rPr>
                <w:sz w:val="16"/>
                <w:szCs w:val="16"/>
                <w:color w:val="auto"/>
              </w:rPr>
            </w:pPr>
          </w:p>
        </w:tc>
      </w:tr>
      <w:tr>
        <w:trPr>
          <w:trHeight w:val="240"/>
        </w:trPr>
        <w:tc>
          <w:tcPr>
            <w:tcW w:w="2120" w:type="dxa"/>
            <w:vAlign w:val="bottom"/>
          </w:tcPr>
          <w:p>
            <w:pPr>
              <w:spacing w:after="0"/>
              <w:rPr>
                <w:sz w:val="20"/>
                <w:szCs w:val="20"/>
                <w:color w:val="auto"/>
              </w:rPr>
            </w:pPr>
          </w:p>
        </w:tc>
        <w:tc>
          <w:tcPr>
            <w:tcW w:w="5020" w:type="dxa"/>
            <w:vAlign w:val="bottom"/>
          </w:tcPr>
          <w:p>
            <w:pPr>
              <w:jc w:val="right"/>
              <w:ind w:right="2329"/>
              <w:spacing w:after="0"/>
              <w:rPr>
                <w:sz w:val="20"/>
                <w:szCs w:val="20"/>
                <w:color w:val="auto"/>
              </w:rPr>
            </w:pPr>
            <w:r>
              <w:rPr>
                <w:rFonts w:ascii="Arial" w:cs="Arial" w:eastAsia="Arial" w:hAnsi="Arial"/>
                <w:sz w:val="14"/>
                <w:szCs w:val="14"/>
                <w:b w:val="1"/>
                <w:bCs w:val="1"/>
                <w:color w:val="auto"/>
              </w:rPr>
              <w:t>94608</w:t>
            </w:r>
          </w:p>
        </w:tc>
        <w:tc>
          <w:tcPr>
            <w:tcW w:w="1680" w:type="dxa"/>
            <w:vAlign w:val="bottom"/>
          </w:tcPr>
          <w:p>
            <w:pPr>
              <w:spacing w:after="0"/>
              <w:rPr>
                <w:sz w:val="20"/>
                <w:szCs w:val="20"/>
                <w:color w:val="auto"/>
              </w:rPr>
            </w:pPr>
          </w:p>
        </w:tc>
      </w:tr>
      <w:tr>
        <w:trPr>
          <w:trHeight w:val="184"/>
        </w:trPr>
        <w:tc>
          <w:tcPr>
            <w:tcW w:w="2120" w:type="dxa"/>
            <w:vAlign w:val="bottom"/>
          </w:tcPr>
          <w:p>
            <w:pPr>
              <w:spacing w:after="0"/>
              <w:rPr>
                <w:sz w:val="16"/>
                <w:szCs w:val="16"/>
                <w:color w:val="auto"/>
              </w:rPr>
            </w:pPr>
          </w:p>
        </w:tc>
        <w:tc>
          <w:tcPr>
            <w:tcW w:w="5020" w:type="dxa"/>
            <w:vAlign w:val="bottom"/>
          </w:tcPr>
          <w:p>
            <w:pPr>
              <w:jc w:val="center"/>
              <w:ind w:right="49"/>
              <w:spacing w:after="0"/>
              <w:rPr>
                <w:sz w:val="20"/>
                <w:szCs w:val="20"/>
                <w:color w:val="auto"/>
              </w:rPr>
            </w:pPr>
            <w:r>
              <w:rPr>
                <w:rFonts w:ascii="Arial" w:cs="Arial" w:eastAsia="Arial" w:hAnsi="Arial"/>
                <w:sz w:val="14"/>
                <w:szCs w:val="14"/>
                <w:b w:val="1"/>
                <w:bCs w:val="1"/>
                <w:color w:val="auto"/>
                <w:w w:val="95"/>
              </w:rPr>
              <w:t>(Zip Code)</w:t>
            </w:r>
          </w:p>
        </w:tc>
        <w:tc>
          <w:tcPr>
            <w:tcW w:w="1680" w:type="dxa"/>
            <w:vAlign w:val="bottom"/>
          </w:tcPr>
          <w:p>
            <w:pPr>
              <w:spacing w:after="0"/>
              <w:rPr>
                <w:sz w:val="16"/>
                <w:szCs w:val="16"/>
                <w:color w:val="auto"/>
              </w:rPr>
            </w:pPr>
          </w:p>
        </w:tc>
      </w:tr>
      <w:tr>
        <w:trPr>
          <w:trHeight w:val="255"/>
        </w:trPr>
        <w:tc>
          <w:tcPr>
            <w:tcW w:w="2120" w:type="dxa"/>
            <w:vAlign w:val="bottom"/>
          </w:tcPr>
          <w:p>
            <w:pPr>
              <w:spacing w:after="0"/>
              <w:rPr>
                <w:sz w:val="22"/>
                <w:szCs w:val="22"/>
                <w:color w:val="auto"/>
              </w:rPr>
            </w:pPr>
          </w:p>
        </w:tc>
        <w:tc>
          <w:tcPr>
            <w:tcW w:w="5020" w:type="dxa"/>
            <w:vAlign w:val="bottom"/>
          </w:tcPr>
          <w:p>
            <w:pPr>
              <w:jc w:val="right"/>
              <w:ind w:right="2069"/>
              <w:spacing w:after="0"/>
              <w:rPr>
                <w:sz w:val="20"/>
                <w:szCs w:val="20"/>
                <w:color w:val="auto"/>
              </w:rPr>
            </w:pPr>
            <w:r>
              <w:rPr>
                <w:rFonts w:ascii="Arial" w:cs="Arial" w:eastAsia="Arial" w:hAnsi="Arial"/>
                <w:sz w:val="14"/>
                <w:szCs w:val="14"/>
                <w:b w:val="1"/>
                <w:bCs w:val="1"/>
                <w:color w:val="auto"/>
              </w:rPr>
              <w:t>(855) 530-6642</w:t>
            </w:r>
          </w:p>
        </w:tc>
        <w:tc>
          <w:tcPr>
            <w:tcW w:w="1680" w:type="dxa"/>
            <w:vAlign w:val="bottom"/>
          </w:tcPr>
          <w:p>
            <w:pPr>
              <w:spacing w:after="0"/>
              <w:rPr>
                <w:sz w:val="22"/>
                <w:szCs w:val="22"/>
                <w:color w:val="auto"/>
              </w:rPr>
            </w:pPr>
          </w:p>
        </w:tc>
      </w:tr>
      <w:tr>
        <w:trPr>
          <w:trHeight w:val="212"/>
        </w:trPr>
        <w:tc>
          <w:tcPr>
            <w:tcW w:w="2120" w:type="dxa"/>
            <w:vAlign w:val="bottom"/>
          </w:tcPr>
          <w:p>
            <w:pPr>
              <w:spacing w:after="0"/>
              <w:rPr>
                <w:sz w:val="18"/>
                <w:szCs w:val="18"/>
                <w:color w:val="auto"/>
              </w:rPr>
            </w:pPr>
          </w:p>
        </w:tc>
        <w:tc>
          <w:tcPr>
            <w:tcW w:w="502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80" w:type="dxa"/>
            <w:vAlign w:val="bottom"/>
          </w:tcPr>
          <w:p>
            <w:pPr>
              <w:spacing w:after="0"/>
              <w:rPr>
                <w:sz w:val="18"/>
                <w:szCs w:val="18"/>
                <w:color w:val="auto"/>
              </w:rPr>
            </w:pPr>
          </w:p>
        </w:tc>
      </w:tr>
      <w:tr>
        <w:trPr>
          <w:trHeight w:val="255"/>
        </w:trPr>
        <w:tc>
          <w:tcPr>
            <w:tcW w:w="2120" w:type="dxa"/>
            <w:vAlign w:val="bottom"/>
          </w:tcPr>
          <w:p>
            <w:pPr>
              <w:spacing w:after="0"/>
              <w:rPr>
                <w:sz w:val="22"/>
                <w:szCs w:val="22"/>
                <w:color w:val="auto"/>
              </w:rPr>
            </w:pPr>
          </w:p>
        </w:tc>
        <w:tc>
          <w:tcPr>
            <w:tcW w:w="5020" w:type="dxa"/>
            <w:vAlign w:val="bottom"/>
          </w:tcPr>
          <w:p>
            <w:pPr>
              <w:jc w:val="center"/>
              <w:ind w:right="69"/>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680" w:type="dxa"/>
            <w:vAlign w:val="bottom"/>
          </w:tcPr>
          <w:p>
            <w:pPr>
              <w:spacing w:after="0"/>
              <w:rPr>
                <w:sz w:val="22"/>
                <w:szCs w:val="22"/>
                <w:color w:val="auto"/>
              </w:rPr>
            </w:pPr>
          </w:p>
        </w:tc>
      </w:tr>
    </w:tbl>
    <w:p>
      <w:pPr>
        <w:spacing w:after="0" w:line="18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89" w:lineRule="exact"/>
        <w:rPr>
          <w:sz w:val="24"/>
          <w:szCs w:val="24"/>
          <w:color w:val="auto"/>
        </w:rPr>
      </w:pPr>
    </w:p>
    <w:p>
      <w:pPr>
        <w:ind w:left="300" w:hanging="295"/>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300" w:hanging="295"/>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300" w:hanging="295"/>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left="300" w:hanging="295"/>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1" w:lineRule="exact"/>
        <w:rPr>
          <w:sz w:val="24"/>
          <w:szCs w:val="24"/>
          <w:color w:val="auto"/>
        </w:rPr>
      </w:pPr>
    </w:p>
    <w:tbl>
      <w:tblPr>
        <w:tblLayout w:type="fixed"/>
        <w:tblInd w:w="30" w:type="dxa"/>
        <w:tblCellMar>
          <w:top w:w="0" w:type="dxa"/>
          <w:left w:w="0" w:type="dxa"/>
          <w:bottom w:w="0" w:type="dxa"/>
          <w:right w:w="0" w:type="dxa"/>
        </w:tblCellMar>
      </w:tblPr>
      <w:tr>
        <w:trPr>
          <w:trHeight w:val="191"/>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171"/>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$0.01</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NMIH</w:t>
            </w:r>
          </w:p>
        </w:tc>
        <w:tc>
          <w:tcPr>
            <w:tcW w:w="4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Nasdaq</w:t>
            </w:r>
          </w:p>
        </w:tc>
      </w:tr>
    </w:tbl>
    <w:p>
      <w:pPr>
        <w:spacing w:after="0" w:line="14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 230.405 of this chapter) or Rule 12b-2 of the Exchange Act of</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40" w:type="dxa"/>
            <w:vAlign w:val="bottom"/>
          </w:tcPr>
          <w:p>
            <w:pPr>
              <w:jc w:val="right"/>
              <w:ind w:right="89"/>
              <w:spacing w:after="0"/>
              <w:rPr>
                <w:sz w:val="20"/>
                <w:szCs w:val="20"/>
                <w:color w:val="auto"/>
              </w:rPr>
            </w:pPr>
            <w:r>
              <w:rPr>
                <w:rFonts w:ascii="Arial" w:cs="Arial" w:eastAsia="Arial" w:hAnsi="Arial"/>
                <w:sz w:val="14"/>
                <w:szCs w:val="14"/>
                <w:color w:val="auto"/>
                <w:w w:val="83"/>
              </w:rPr>
              <w:t>1934</w:t>
            </w:r>
          </w:p>
        </w:tc>
        <w:tc>
          <w:tcPr>
            <w:tcW w:w="20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3220" w:type="dxa"/>
            <w:vAlign w:val="bottom"/>
          </w:tcPr>
          <w:p>
            <w:pPr>
              <w:ind w:left="1700"/>
              <w:spacing w:after="0"/>
              <w:rPr>
                <w:sz w:val="20"/>
                <w:szCs w:val="20"/>
                <w:color w:val="auto"/>
              </w:rPr>
            </w:pPr>
            <w:r>
              <w:rPr>
                <w:rFonts w:ascii="Arial" w:cs="Arial" w:eastAsia="Arial" w:hAnsi="Arial"/>
                <w:sz w:val="14"/>
                <w:szCs w:val="14"/>
                <w:color w:val="auto"/>
              </w:rPr>
              <w:t>240.12b-2</w:t>
            </w:r>
          </w:p>
        </w:tc>
        <w:tc>
          <w:tcPr>
            <w:tcW w:w="2020" w:type="dxa"/>
            <w:vAlign w:val="bottom"/>
          </w:tcPr>
          <w:p>
            <w:pPr>
              <w:ind w:left="940"/>
              <w:spacing w:after="0"/>
              <w:rPr>
                <w:sz w:val="20"/>
                <w:szCs w:val="20"/>
                <w:color w:val="auto"/>
              </w:rPr>
            </w:pPr>
            <w:r>
              <w:rPr>
                <w:rFonts w:ascii="Arial" w:cs="Arial" w:eastAsia="Arial" w:hAnsi="Arial"/>
                <w:sz w:val="14"/>
                <w:szCs w:val="14"/>
                <w:color w:val="auto"/>
              </w:rPr>
              <w:t>of</w:t>
            </w:r>
          </w:p>
        </w:tc>
        <w:tc>
          <w:tcPr>
            <w:tcW w:w="2080" w:type="dxa"/>
            <w:vAlign w:val="bottom"/>
          </w:tcPr>
          <w:p>
            <w:pPr>
              <w:ind w:left="940"/>
              <w:spacing w:after="0"/>
              <w:rPr>
                <w:sz w:val="20"/>
                <w:szCs w:val="20"/>
                <w:color w:val="auto"/>
              </w:rPr>
            </w:pPr>
            <w:r>
              <w:rPr>
                <w:rFonts w:ascii="Arial" w:cs="Arial" w:eastAsia="Arial" w:hAnsi="Arial"/>
                <w:sz w:val="14"/>
                <w:szCs w:val="14"/>
                <w:color w:val="auto"/>
              </w:rPr>
              <w:t>this</w:t>
            </w:r>
          </w:p>
        </w:tc>
        <w:tc>
          <w:tcPr>
            <w:tcW w:w="1460" w:type="dxa"/>
            <w:vAlign w:val="bottom"/>
          </w:tcPr>
          <w:p>
            <w:pPr>
              <w:ind w:left="960"/>
              <w:spacing w:after="0"/>
              <w:rPr>
                <w:sz w:val="20"/>
                <w:szCs w:val="20"/>
                <w:color w:val="auto"/>
              </w:rPr>
            </w:pPr>
            <w:r>
              <w:rPr>
                <w:rFonts w:ascii="Arial" w:cs="Arial" w:eastAsia="Arial" w:hAnsi="Arial"/>
                <w:sz w:val="14"/>
                <w:szCs w:val="14"/>
                <w:color w:val="auto"/>
                <w:w w:val="86"/>
              </w:rPr>
              <w:t>chapter).</w:t>
            </w:r>
          </w:p>
        </w:tc>
      </w:tr>
      <w:tr>
        <w:trPr>
          <w:trHeight w:val="221"/>
        </w:trPr>
        <w:tc>
          <w:tcPr>
            <w:tcW w:w="440" w:type="dxa"/>
            <w:vAlign w:val="bottom"/>
          </w:tcPr>
          <w:p>
            <w:pPr>
              <w:spacing w:after="0"/>
              <w:rPr>
                <w:sz w:val="19"/>
                <w:szCs w:val="19"/>
                <w:color w:val="auto"/>
              </w:rPr>
            </w:pPr>
          </w:p>
        </w:tc>
        <w:tc>
          <w:tcPr>
            <w:tcW w:w="2060" w:type="dxa"/>
            <w:vAlign w:val="bottom"/>
          </w:tcPr>
          <w:p>
            <w:pPr>
              <w:jc w:val="right"/>
              <w:ind w:right="309"/>
              <w:spacing w:after="0"/>
              <w:rPr>
                <w:sz w:val="20"/>
                <w:szCs w:val="20"/>
                <w:color w:val="auto"/>
              </w:rPr>
            </w:pPr>
            <w:r>
              <w:rPr>
                <w:rFonts w:ascii="Arial" w:cs="Arial" w:eastAsia="Arial" w:hAnsi="Arial"/>
                <w:sz w:val="14"/>
                <w:szCs w:val="14"/>
                <w:color w:val="auto"/>
                <w:w w:val="99"/>
              </w:rPr>
              <w:t>Emerging growth company</w:t>
            </w:r>
          </w:p>
        </w:tc>
        <w:tc>
          <w:tcPr>
            <w:tcW w:w="32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48" w:lineRule="exact"/>
        <w:rPr>
          <w:sz w:val="24"/>
          <w:szCs w:val="24"/>
          <w:color w:val="auto"/>
        </w:rPr>
      </w:pPr>
    </w:p>
    <w:p>
      <w:pPr>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w:t>
      </w:r>
    </w:p>
    <w:p>
      <w:pPr>
        <w:spacing w:after="0" w:line="27" w:lineRule="exact"/>
        <w:rPr>
          <w:sz w:val="24"/>
          <w:szCs w:val="24"/>
          <w:color w:val="auto"/>
        </w:rPr>
      </w:pPr>
    </w:p>
    <w:p>
      <w:pPr>
        <w:spacing w:after="0" w:line="161" w:lineRule="exact"/>
        <w:tabs>
          <w:tab w:leader="none" w:pos="1400" w:val="left"/>
          <w:tab w:leader="none" w:pos="2800" w:val="left"/>
          <w:tab w:leader="none" w:pos="3820" w:val="left"/>
          <w:tab w:leader="none" w:pos="5160" w:val="left"/>
          <w:tab w:leader="none" w:pos="6380" w:val="left"/>
          <w:tab w:leader="none" w:pos="7420" w:val="left"/>
          <w:tab w:leader="none" w:pos="8500" w:val="left"/>
          <w:tab w:leader="none" w:pos="9980" w:val="left"/>
          <w:tab w:leader="none" w:pos="11120" w:val="left"/>
        </w:tabs>
        <w:rPr>
          <w:sz w:val="20"/>
          <w:szCs w:val="20"/>
          <w:color w:val="auto"/>
        </w:rPr>
      </w:pPr>
      <w:r>
        <w:rPr>
          <w:rFonts w:ascii="Arial" w:cs="Arial" w:eastAsia="Arial" w:hAnsi="Arial"/>
          <w:sz w:val="14"/>
          <w:szCs w:val="14"/>
          <w:color w:val="auto"/>
        </w:rPr>
        <w:t>provided</w:t>
      </w:r>
      <w:r>
        <w:rPr>
          <w:sz w:val="20"/>
          <w:szCs w:val="20"/>
          <w:color w:val="auto"/>
        </w:rPr>
        <w:tab/>
      </w:r>
      <w:r>
        <w:rPr>
          <w:rFonts w:ascii="Arial" w:cs="Arial" w:eastAsia="Arial" w:hAnsi="Arial"/>
          <w:sz w:val="14"/>
          <w:szCs w:val="14"/>
          <w:color w:val="auto"/>
        </w:rPr>
        <w:t>pursuant</w:t>
      </w:r>
      <w:r>
        <w:rPr>
          <w:sz w:val="20"/>
          <w:szCs w:val="20"/>
          <w:color w:val="auto"/>
        </w:rPr>
        <w:tab/>
      </w:r>
      <w:r>
        <w:rPr>
          <w:rFonts w:ascii="Arial" w:cs="Arial" w:eastAsia="Arial" w:hAnsi="Arial"/>
          <w:sz w:val="14"/>
          <w:szCs w:val="14"/>
          <w:color w:val="auto"/>
        </w:rPr>
        <w:t>to</w:t>
      </w:r>
      <w:r>
        <w:rPr>
          <w:sz w:val="20"/>
          <w:szCs w:val="20"/>
          <w:color w:val="auto"/>
        </w:rPr>
        <w:tab/>
      </w:r>
      <w:r>
        <w:rPr>
          <w:rFonts w:ascii="Arial" w:cs="Arial" w:eastAsia="Arial" w:hAnsi="Arial"/>
          <w:sz w:val="14"/>
          <w:szCs w:val="14"/>
          <w:color w:val="auto"/>
        </w:rPr>
        <w:t>Section</w:t>
      </w:r>
      <w:r>
        <w:rPr>
          <w:sz w:val="20"/>
          <w:szCs w:val="20"/>
          <w:color w:val="auto"/>
        </w:rPr>
        <w:tab/>
      </w:r>
      <w:r>
        <w:rPr>
          <w:rFonts w:ascii="Arial" w:cs="Arial" w:eastAsia="Arial" w:hAnsi="Arial"/>
          <w:sz w:val="14"/>
          <w:szCs w:val="14"/>
          <w:color w:val="auto"/>
        </w:rPr>
        <w:t>13(a)</w:t>
      </w:r>
      <w:r>
        <w:rPr>
          <w:sz w:val="20"/>
          <w:szCs w:val="20"/>
          <w:color w:val="auto"/>
        </w:rPr>
        <w:tab/>
      </w:r>
      <w:r>
        <w:rPr>
          <w:rFonts w:ascii="Arial" w:cs="Arial" w:eastAsia="Arial" w:hAnsi="Arial"/>
          <w:sz w:val="14"/>
          <w:szCs w:val="14"/>
          <w:color w:val="auto"/>
        </w:rPr>
        <w:t>of</w:t>
      </w:r>
      <w:r>
        <w:rPr>
          <w:sz w:val="20"/>
          <w:szCs w:val="20"/>
          <w:color w:val="auto"/>
        </w:rPr>
        <w:tab/>
      </w:r>
      <w:r>
        <w:rPr>
          <w:rFonts w:ascii="Arial" w:cs="Arial" w:eastAsia="Arial" w:hAnsi="Arial"/>
          <w:sz w:val="14"/>
          <w:szCs w:val="14"/>
          <w:color w:val="auto"/>
        </w:rPr>
        <w:t>the</w:t>
      </w:r>
      <w:r>
        <w:rPr>
          <w:sz w:val="20"/>
          <w:szCs w:val="20"/>
          <w:color w:val="auto"/>
        </w:rPr>
        <w:tab/>
      </w:r>
      <w:r>
        <w:rPr>
          <w:rFonts w:ascii="Arial" w:cs="Arial" w:eastAsia="Arial" w:hAnsi="Arial"/>
          <w:sz w:val="14"/>
          <w:szCs w:val="14"/>
          <w:color w:val="auto"/>
        </w:rPr>
        <w:t>Exchange</w:t>
      </w:r>
      <w:r>
        <w:rPr>
          <w:sz w:val="20"/>
          <w:szCs w:val="20"/>
          <w:color w:val="auto"/>
        </w:rPr>
        <w:tab/>
      </w:r>
      <w:r>
        <w:rPr>
          <w:rFonts w:ascii="Arial" w:cs="Arial" w:eastAsia="Arial" w:hAnsi="Arial"/>
          <w:sz w:val="14"/>
          <w:szCs w:val="14"/>
          <w:color w:val="auto"/>
        </w:rPr>
        <w:t>Act.</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871220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135890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156210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26"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On September 9, 2021, NMI Holdings, Inc. (the “Company”) announced that the Board of Directors (the “Board”) of the Company has appointed Adam Pollitzer, the Company’s current Executive Vice President and Chief Financial Officer, to become its President and Chief Executive Officer and a member of the Board, effective January 1, 2022. Claudia J. Merkle, the Company’s Chief Executive Officer and a member of the Board, will depart from both positions on December 31, 2021.</w:t>
      </w:r>
    </w:p>
    <w:p>
      <w:pPr>
        <w:spacing w:after="0" w:line="163"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In connection with his appointment as President and Chief Executive Officer, on September 9, 2021, the Company entered into a letter agreement (the “Letter Agreement”) with Mr. Pollitzer that will become effective on January 1, 2022. The Letter Agreement provides that Mr. Pollitzer will receive an annual base salary of $800,000 and a target annual bonus opportunity of 150% of his base salary. He will participate in the Company’s executive cash allowance program at a level of $38,400 per year and will continue to participate in the Company’s Severance Benefit Plan at the level of “EVPs, President &amp; CEO (without employment agreement)” in accordance with its terms (provided that he will also be eligible to receive benefits under such plan upon a termination by the Company without “cause” (as defined in the Letter Agreement)). In addition, Mr. Pollitzer’s existing participation agreement under the Company’s Amended and Restated Change in Control Severance Benefit Plan in accordance with its terms as previously disclosed will be amended to provide for a severance multiple of two times the sum of his annual base salary and target annual bonus and a lump sum cash payment equal to 24 months of COBRA premiums (less the active employee rate for such coverage).</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On September 9, 2021, the Company also entered into a separation agreement with Ms. Merkle (the “Separation Agreement”). The Separation Agreement provides that, in addition to treating Ms. Merkle’s departure as a severance-qualifying termination of employment under the Company’s Severance Benefit Plan in accordance with its terms as previously disclosed, she will be eligible to receive (1) a short-term incentive program payment in respect of the 2021 fiscal year, based on the Company’s actual achievement of the applicable performance metrics for such year, (2) placement services, and (3) accelerated vesting of outstanding stock options and time-vesting restricted stock unit awards. Ms. Merkle’s outstanding performance-based restricted stock unit awards will also remain outstanding and eligible to vest based on actual achievement of the applicable performance metrics for the applicable performance periods. All benefits under the Separation Agreement are subject to Ms. Merkle’s compliance with the terms of the Separation Agreement (including certain restrictive covenants) and her (or her estate’s) execution and non-revocation of a release of claims against the Company.</w:t>
      </w:r>
    </w:p>
    <w:p>
      <w:pPr>
        <w:spacing w:after="0" w:line="172"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Information with respect to Mr. Pollitzer required by Items 401(b) and 401(e) of Regulation S-K is contained in the Company’s Proxy Statement on Schedule 14A for its 2021 Annual Meeting of Shareholders, filed on March 30, 2021, and is incorporated by reference into this Current Report on Form 8-K. Mr. Pollitzer does not have any family relationships with any of the Company’s directors or executive officers and is not party to any transactions listed in Item 404(a) of Regulation S-K. Further, no arrangement or understanding exists between Mr. Pollitzer and any other person pursuant to which Mr. Pollitzer was selected to be a member of the Board.</w:t>
      </w:r>
    </w:p>
    <w:p>
      <w:pPr>
        <w:spacing w:after="0" w:line="10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foregoing summary of the Letter Agreement and the Separation Agreement does not purport to be complete and is qualified in its entirety by reference to the Letter Agreement and the Separation Agreement, which are attached as Exhibits 10.1 and 10.2 and are incorporated by reference herein. A copy of the Company’s related press release is being furnished as Exhibit 99.1 to this Current Report on Form 8-K. Exhibit 99.1 has been “furnished” and shall not be deemed “filed” for purposes of Section 18 of the Securities Exchange Act of 1934, as amended (the “Exchange Act”), nor shall it be deemed incorporated by reference in any filing or other document under the Securities Act of 1933, as amended, or the Exchange Act, except as shall be expressly set forth by specific reference in such filing or document.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40" w:lineRule="exact"/>
        <w:rPr>
          <w:sz w:val="20"/>
          <w:szCs w:val="20"/>
          <w:color w:val="auto"/>
        </w:rPr>
      </w:pPr>
    </w:p>
    <w:p>
      <w:pPr>
        <w:ind w:left="220" w:hanging="215"/>
        <w:spacing w:after="0"/>
        <w:tabs>
          <w:tab w:leader="none" w:pos="22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Exhibits.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100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6"/>
                <w:szCs w:val="16"/>
                <w:color w:val="auto"/>
              </w:rPr>
            </w:pPr>
          </w:p>
        </w:tc>
      </w:tr>
      <w:tr>
        <w:trPr>
          <w:trHeight w:val="139"/>
        </w:trPr>
        <w:tc>
          <w:tcPr>
            <w:tcW w:w="300" w:type="dxa"/>
            <w:vAlign w:val="bottom"/>
            <w:gridSpan w:val="2"/>
          </w:tcPr>
          <w:p>
            <w:pPr>
              <w:ind w:left="60"/>
              <w:spacing w:after="0" w:line="129" w:lineRule="exact"/>
              <w:rPr>
                <w:rFonts w:ascii="Arial" w:cs="Arial" w:eastAsia="Arial" w:hAnsi="Arial"/>
                <w:sz w:val="14"/>
                <w:szCs w:val="14"/>
                <w:color w:val="0000FF"/>
                <w:w w:val="80"/>
              </w:rPr>
            </w:pPr>
            <w:hyperlink w:anchor="page4">
              <w:r>
                <w:rPr>
                  <w:rFonts w:ascii="Arial" w:cs="Arial" w:eastAsia="Arial" w:hAnsi="Arial"/>
                  <w:sz w:val="14"/>
                  <w:szCs w:val="14"/>
                  <w:color w:val="0000FF"/>
                  <w:w w:val="80"/>
                </w:rPr>
                <w:t>10.</w:t>
              </w:r>
              <w:r>
                <w:rPr>
                  <w:rFonts w:ascii="Arial" w:cs="Arial" w:eastAsia="Arial" w:hAnsi="Arial"/>
                  <w:sz w:val="14"/>
                  <w:szCs w:val="14"/>
                  <w:u w:val="single" w:color="auto"/>
                  <w:color w:val="0000FF"/>
                  <w:w w:val="80"/>
                </w:rPr>
                <w:t>1</w:t>
              </w:r>
            </w:hyperlink>
          </w:p>
        </w:tc>
        <w:tc>
          <w:tcPr>
            <w:tcW w:w="900" w:type="dxa"/>
            <w:vAlign w:val="bottom"/>
          </w:tcPr>
          <w:p>
            <w:pPr>
              <w:spacing w:after="0"/>
              <w:rPr>
                <w:sz w:val="12"/>
                <w:szCs w:val="12"/>
                <w:color w:val="auto"/>
              </w:rPr>
            </w:pPr>
          </w:p>
        </w:tc>
        <w:tc>
          <w:tcPr>
            <w:tcW w:w="10080" w:type="dxa"/>
            <w:vAlign w:val="bottom"/>
            <w:gridSpan w:val="2"/>
          </w:tcPr>
          <w:p>
            <w:pPr>
              <w:ind w:left="460"/>
              <w:spacing w:after="0" w:line="129" w:lineRule="exact"/>
              <w:rPr>
                <w:sz w:val="20"/>
                <w:szCs w:val="20"/>
                <w:color w:val="auto"/>
              </w:rPr>
            </w:pPr>
            <w:r>
              <w:rPr>
                <w:rFonts w:ascii="Arial" w:cs="Arial" w:eastAsia="Arial" w:hAnsi="Arial"/>
                <w:sz w:val="14"/>
                <w:szCs w:val="14"/>
                <w:color w:val="auto"/>
              </w:rPr>
              <w:t>Letter Agreement, dated September 9, 2021, by and between Adam Pollitzer and the Company</w:t>
            </w:r>
          </w:p>
        </w:tc>
      </w:tr>
      <w:tr>
        <w:trPr>
          <w:trHeight w:val="20"/>
        </w:trPr>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80" w:type="dxa"/>
            <w:vAlign w:val="bottom"/>
            <w:gridSpan w:val="2"/>
          </w:tcPr>
          <w:p>
            <w:pPr>
              <w:spacing w:after="0" w:line="20" w:lineRule="exact"/>
              <w:rPr>
                <w:sz w:val="1"/>
                <w:szCs w:val="1"/>
                <w:color w:val="auto"/>
              </w:rPr>
            </w:pPr>
          </w:p>
        </w:tc>
      </w:tr>
      <w:tr>
        <w:trPr>
          <w:trHeight w:val="362"/>
        </w:trPr>
        <w:tc>
          <w:tcPr>
            <w:tcW w:w="300" w:type="dxa"/>
            <w:vAlign w:val="bottom"/>
            <w:gridSpan w:val="2"/>
          </w:tcPr>
          <w:p>
            <w:pPr>
              <w:ind w:left="60"/>
              <w:spacing w:after="0"/>
              <w:rPr>
                <w:rFonts w:ascii="Arial" w:cs="Arial" w:eastAsia="Arial" w:hAnsi="Arial"/>
                <w:sz w:val="14"/>
                <w:szCs w:val="14"/>
                <w:color w:val="0000FF"/>
                <w:w w:val="80"/>
              </w:rPr>
            </w:pPr>
            <w:hyperlink w:anchor="page12">
              <w:r>
                <w:rPr>
                  <w:rFonts w:ascii="Arial" w:cs="Arial" w:eastAsia="Arial" w:hAnsi="Arial"/>
                  <w:sz w:val="14"/>
                  <w:szCs w:val="14"/>
                  <w:color w:val="0000FF"/>
                  <w:w w:val="80"/>
                </w:rPr>
                <w:t>10.</w:t>
              </w:r>
              <w:r>
                <w:rPr>
                  <w:rFonts w:ascii="Arial" w:cs="Arial" w:eastAsia="Arial" w:hAnsi="Arial"/>
                  <w:sz w:val="14"/>
                  <w:szCs w:val="14"/>
                  <w:u w:val="single" w:color="auto"/>
                  <w:color w:val="0000FF"/>
                  <w:w w:val="80"/>
                </w:rPr>
                <w:t>2</w:t>
              </w:r>
            </w:hyperlink>
          </w:p>
        </w:tc>
        <w:tc>
          <w:tcPr>
            <w:tcW w:w="900" w:type="dxa"/>
            <w:vAlign w:val="bottom"/>
          </w:tcPr>
          <w:p>
            <w:pPr>
              <w:spacing w:after="0"/>
              <w:rPr>
                <w:sz w:val="24"/>
                <w:szCs w:val="24"/>
                <w:color w:val="auto"/>
              </w:rPr>
            </w:pPr>
          </w:p>
        </w:tc>
        <w:tc>
          <w:tcPr>
            <w:tcW w:w="10080" w:type="dxa"/>
            <w:vAlign w:val="bottom"/>
            <w:gridSpan w:val="2"/>
          </w:tcPr>
          <w:p>
            <w:pPr>
              <w:ind w:left="460"/>
              <w:spacing w:after="0"/>
              <w:rPr>
                <w:sz w:val="20"/>
                <w:szCs w:val="20"/>
                <w:color w:val="auto"/>
              </w:rPr>
            </w:pPr>
            <w:r>
              <w:rPr>
                <w:rFonts w:ascii="Arial" w:cs="Arial" w:eastAsia="Arial" w:hAnsi="Arial"/>
                <w:sz w:val="14"/>
                <w:szCs w:val="14"/>
                <w:color w:val="auto"/>
              </w:rPr>
              <w:t>Separation Agreement, dated September 9, 2021, by and between Claudia J. Merkle and the Company</w:t>
            </w:r>
          </w:p>
        </w:tc>
      </w:tr>
      <w:tr>
        <w:trPr>
          <w:trHeight w:val="20"/>
        </w:trPr>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80" w:type="dxa"/>
            <w:vAlign w:val="bottom"/>
            <w:gridSpan w:val="2"/>
          </w:tcPr>
          <w:p>
            <w:pPr>
              <w:spacing w:after="0" w:line="20" w:lineRule="exact"/>
              <w:rPr>
                <w:sz w:val="1"/>
                <w:szCs w:val="1"/>
                <w:color w:val="auto"/>
              </w:rPr>
            </w:pPr>
          </w:p>
        </w:tc>
      </w:tr>
      <w:tr>
        <w:trPr>
          <w:trHeight w:val="160"/>
        </w:trPr>
        <w:tc>
          <w:tcPr>
            <w:tcW w:w="300" w:type="dxa"/>
            <w:vAlign w:val="bottom"/>
            <w:gridSpan w:val="2"/>
          </w:tcPr>
          <w:p>
            <w:pPr>
              <w:ind w:left="60"/>
              <w:spacing w:after="0" w:line="150" w:lineRule="exact"/>
              <w:rPr>
                <w:rFonts w:ascii="Arial" w:cs="Arial" w:eastAsia="Arial" w:hAnsi="Arial"/>
                <w:sz w:val="14"/>
                <w:szCs w:val="14"/>
                <w:color w:val="0000FF"/>
                <w:w w:val="80"/>
              </w:rPr>
            </w:pPr>
            <w:hyperlink w:anchor="page24">
              <w:r>
                <w:rPr>
                  <w:rFonts w:ascii="Arial" w:cs="Arial" w:eastAsia="Arial" w:hAnsi="Arial"/>
                  <w:sz w:val="14"/>
                  <w:szCs w:val="14"/>
                  <w:color w:val="0000FF"/>
                  <w:w w:val="80"/>
                </w:rPr>
                <w:t>99.</w:t>
              </w:r>
              <w:r>
                <w:rPr>
                  <w:rFonts w:ascii="Arial" w:cs="Arial" w:eastAsia="Arial" w:hAnsi="Arial"/>
                  <w:sz w:val="14"/>
                  <w:szCs w:val="14"/>
                  <w:u w:val="single" w:color="auto"/>
                  <w:color w:val="0000FF"/>
                  <w:w w:val="80"/>
                </w:rPr>
                <w:t>1</w:t>
              </w:r>
            </w:hyperlink>
          </w:p>
        </w:tc>
        <w:tc>
          <w:tcPr>
            <w:tcW w:w="900" w:type="dxa"/>
            <w:vAlign w:val="bottom"/>
          </w:tcPr>
          <w:p>
            <w:pPr>
              <w:spacing w:after="0"/>
              <w:rPr>
                <w:sz w:val="13"/>
                <w:szCs w:val="13"/>
                <w:color w:val="auto"/>
              </w:rPr>
            </w:pPr>
          </w:p>
        </w:tc>
        <w:tc>
          <w:tcPr>
            <w:tcW w:w="10080" w:type="dxa"/>
            <w:vAlign w:val="bottom"/>
            <w:gridSpan w:val="2"/>
          </w:tcPr>
          <w:p>
            <w:pPr>
              <w:ind w:left="460"/>
              <w:spacing w:after="0" w:line="150" w:lineRule="exact"/>
              <w:rPr>
                <w:sz w:val="20"/>
                <w:szCs w:val="20"/>
                <w:color w:val="auto"/>
              </w:rPr>
            </w:pPr>
            <w:r>
              <w:rPr>
                <w:rFonts w:ascii="Arial" w:cs="Arial" w:eastAsia="Arial" w:hAnsi="Arial"/>
                <w:sz w:val="14"/>
                <w:szCs w:val="14"/>
                <w:color w:val="auto"/>
              </w:rPr>
              <w:t>NMI Holdings, Inc. Press Release, dated September 9, 2021</w:t>
            </w:r>
          </w:p>
        </w:tc>
      </w:tr>
      <w:tr>
        <w:trPr>
          <w:trHeight w:val="20"/>
        </w:trPr>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80" w:type="dxa"/>
            <w:vAlign w:val="bottom"/>
            <w:gridSpan w:val="2"/>
          </w:tcPr>
          <w:p>
            <w:pPr>
              <w:spacing w:after="0" w:line="20" w:lineRule="exact"/>
              <w:rPr>
                <w:sz w:val="1"/>
                <w:szCs w:val="1"/>
                <w:color w:val="auto"/>
              </w:rPr>
            </w:pPr>
          </w:p>
        </w:tc>
      </w:tr>
      <w:tr>
        <w:trPr>
          <w:trHeight w:val="393"/>
        </w:trPr>
        <w:tc>
          <w:tcPr>
            <w:tcW w:w="300" w:type="dxa"/>
            <w:vAlign w:val="bottom"/>
            <w:gridSpan w:val="2"/>
          </w:tcPr>
          <w:p>
            <w:pPr>
              <w:ind w:left="60"/>
              <w:spacing w:after="0"/>
              <w:rPr>
                <w:sz w:val="20"/>
                <w:szCs w:val="20"/>
                <w:color w:val="auto"/>
              </w:rPr>
            </w:pPr>
            <w:r>
              <w:rPr>
                <w:rFonts w:ascii="Arial" w:cs="Arial" w:eastAsia="Arial" w:hAnsi="Arial"/>
                <w:sz w:val="14"/>
                <w:szCs w:val="14"/>
                <w:color w:val="auto"/>
                <w:w w:val="94"/>
              </w:rPr>
              <w:t>104</w:t>
            </w:r>
          </w:p>
        </w:tc>
        <w:tc>
          <w:tcPr>
            <w:tcW w:w="900" w:type="dxa"/>
            <w:vAlign w:val="bottom"/>
          </w:tcPr>
          <w:p>
            <w:pPr>
              <w:spacing w:after="0"/>
              <w:rPr>
                <w:sz w:val="24"/>
                <w:szCs w:val="24"/>
                <w:color w:val="auto"/>
              </w:rPr>
            </w:pPr>
          </w:p>
        </w:tc>
        <w:tc>
          <w:tcPr>
            <w:tcW w:w="10080" w:type="dxa"/>
            <w:vAlign w:val="bottom"/>
            <w:gridSpan w:val="2"/>
          </w:tcPr>
          <w:p>
            <w:pPr>
              <w:ind w:left="460"/>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850"/>
        </w:trPr>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0" w:right="319" w:bottom="1440" w:gutter="0" w:footer="0" w:header="0"/>
        </w:sectPr>
      </w:pPr>
    </w:p>
    <w:bookmarkStart w:id="2" w:name="page3"/>
    <w:bookmarkEnd w:id="2"/>
    <w:p>
      <w:pPr>
        <w:ind w:left="5180"/>
        <w:spacing w:after="0"/>
        <w:rPr>
          <w:sz w:val="20"/>
          <w:szCs w:val="20"/>
          <w:color w:val="auto"/>
        </w:rPr>
      </w:pPr>
      <w:r>
        <w:rPr>
          <w:rFonts w:ascii="Arial" w:cs="Arial" w:eastAsia="Arial" w:hAnsi="Arial"/>
          <w:sz w:val="14"/>
          <w:szCs w:val="14"/>
          <w:b w:val="1"/>
          <w:bCs w:val="1"/>
          <w:color w:val="auto"/>
        </w:rPr>
        <w:t>SIGNATURES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ind w:left="7560"/>
        <w:spacing w:after="0"/>
        <w:rPr>
          <w:sz w:val="20"/>
          <w:szCs w:val="20"/>
          <w:color w:val="auto"/>
        </w:rPr>
      </w:pPr>
      <w:r>
        <w:rPr>
          <w:rFonts w:ascii="Arial" w:cs="Arial" w:eastAsia="Arial" w:hAnsi="Arial"/>
          <w:sz w:val="14"/>
          <w:szCs w:val="14"/>
          <w:b w:val="1"/>
          <w:bCs w:val="1"/>
          <w:u w:val="single" w:color="auto"/>
          <w:color w:val="auto"/>
        </w:rPr>
        <w:t>NMI Holdings, Inc.</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4"/>
          <w:szCs w:val="14"/>
          <w:color w:val="auto"/>
        </w:rPr>
        <w:t>(Registrant)</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Arial" w:cs="Arial" w:eastAsia="Arial" w:hAnsi="Arial"/>
                <w:sz w:val="14"/>
                <w:szCs w:val="14"/>
                <w:color w:val="auto"/>
              </w:rPr>
              <w:t>Date: September 9, 2021</w:t>
            </w:r>
          </w:p>
        </w:tc>
        <w:tc>
          <w:tcPr>
            <w:tcW w:w="2700" w:type="dxa"/>
            <w:vAlign w:val="bottom"/>
          </w:tcPr>
          <w:p>
            <w:pPr>
              <w:ind w:left="2000"/>
              <w:spacing w:after="0"/>
              <w:rPr>
                <w:sz w:val="20"/>
                <w:szCs w:val="20"/>
                <w:color w:val="auto"/>
              </w:rPr>
            </w:pPr>
            <w:r>
              <w:rPr>
                <w:rFonts w:ascii="Arial" w:cs="Arial" w:eastAsia="Arial" w:hAnsi="Arial"/>
                <w:sz w:val="14"/>
                <w:szCs w:val="14"/>
                <w:color w:val="auto"/>
              </w:rPr>
              <w:t>By:</w:t>
            </w: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/s/ William J. Leatherberry</w:t>
            </w:r>
          </w:p>
        </w:tc>
      </w:tr>
      <w:tr>
        <w:trPr>
          <w:trHeight w:val="192"/>
        </w:trPr>
        <w:tc>
          <w:tcPr>
            <w:tcW w:w="34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William J. Leatherberry</w:t>
            </w:r>
          </w:p>
        </w:tc>
      </w:tr>
      <w:tr>
        <w:trPr>
          <w:trHeight w:val="180"/>
        </w:trPr>
        <w:tc>
          <w:tcPr>
            <w:tcW w:w="34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EVP,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280"/>
          </w:cols>
          <w:pgMar w:left="300" w:top="730" w:right="1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2021-09-09T15:08:15Z</dcterms:created>
  <dcterms:modified xsi:type="dcterms:W3CDTF">2021-09-09T15:08:15Z</dcterms:modified>
</cp:coreProperties>
</file>