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9834" w:type="dxa"/>
        <w:jc w:val="center"/>
        <w:tblInd w:w="0" w:type="dxa"/>
        <w:tblLayout w:type="fixed"/>
        <w:tblCellMar>
          <w:top w:w="28" w:type="dxa"/>
          <w:left w:w="28" w:type="dxa"/>
          <w:bottom w:w="28" w:type="dxa"/>
          <w:right w:w="28" w:type="dxa"/>
        </w:tblCellMar>
      </w:tblPr>
      <w:tblGrid>
        <w:gridCol w:w="124"/>
        <w:gridCol w:w="109"/>
        <w:gridCol w:w="109"/>
        <w:gridCol w:w="1473"/>
        <w:gridCol w:w="1473"/>
        <w:gridCol w:w="1473"/>
        <w:gridCol w:w="1473"/>
        <w:gridCol w:w="1473"/>
        <w:gridCol w:w="21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98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 One)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quarterly period ended</w:t>
            </w:r>
          </w:p>
        </w:tc>
        <w:tc>
          <w:tcPr>
            <w:tcW w:w="5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18"/>
        </w:rPr>
        <w:t xml:space="preserve">Commission file number </w:t>
      </w:r>
      <w:r>
        <w:rPr>
          <w:rFonts w:ascii="Times New Roman;serif" w:hAnsi="Times New Roman;serif"/>
          <w:b/>
          <w:color w:val="000000"/>
          <w:sz w:val="18"/>
        </w:rPr>
        <w:t xml:space="preserve">001-36174 </w:t>
      </w:r>
    </w:p>
    <w:tbl>
      <w:tblPr>
        <w:tblW w:w="3720" w:type="dxa"/>
        <w:jc w:val="center"/>
        <w:tblInd w:w="0" w:type="dxa"/>
        <w:tblLayout w:type="fixed"/>
        <w:tblCellMar>
          <w:top w:w="28" w:type="dxa"/>
          <w:left w:w="28" w:type="dxa"/>
          <w:bottom w:w="28" w:type="dxa"/>
          <w:right w:w="28" w:type="dxa"/>
        </w:tblCellMar>
      </w:tblPr>
      <w:tblGrid>
        <w:gridCol w:w="1192"/>
        <w:gridCol w:w="1046"/>
        <w:gridCol w:w="1482"/>
      </w:tblGrid>
      <w:tr>
        <w:trPr/>
        <w:tc>
          <w:tcPr>
            <w:tcW w:w="119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NMI Holdings, Inc.</w:t>
            </w:r>
          </w:p>
        </w:tc>
      </w:tr>
      <w:tr>
        <w:trPr/>
        <w:tc>
          <w:tcPr>
            <w:tcW w:w="37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c>
      </w:tr>
    </w:tbl>
    <w:tbl>
      <w:tblPr>
        <w:tblW w:w="8540" w:type="dxa"/>
        <w:jc w:val="center"/>
        <w:tblInd w:w="0" w:type="dxa"/>
        <w:tblLayout w:type="fixed"/>
        <w:tblCellMar>
          <w:top w:w="28" w:type="dxa"/>
          <w:left w:w="28" w:type="dxa"/>
          <w:bottom w:w="28" w:type="dxa"/>
          <w:right w:w="28" w:type="dxa"/>
        </w:tblCellMar>
      </w:tblPr>
      <w:tblGrid>
        <w:gridCol w:w="614"/>
        <w:gridCol w:w="540"/>
        <w:gridCol w:w="540"/>
        <w:gridCol w:w="301"/>
        <w:gridCol w:w="301"/>
        <w:gridCol w:w="301"/>
        <w:gridCol w:w="355"/>
        <w:gridCol w:w="355"/>
        <w:gridCol w:w="356"/>
        <w:gridCol w:w="301"/>
        <w:gridCol w:w="301"/>
        <w:gridCol w:w="301"/>
        <w:gridCol w:w="301"/>
        <w:gridCol w:w="301"/>
        <w:gridCol w:w="301"/>
        <w:gridCol w:w="109"/>
        <w:gridCol w:w="109"/>
        <w:gridCol w:w="109"/>
        <w:gridCol w:w="801"/>
        <w:gridCol w:w="801"/>
        <w:gridCol w:w="1142"/>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5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45-4914248</w:t>
            </w:r>
          </w:p>
        </w:tc>
      </w:tr>
      <w:tr>
        <w:trPr/>
        <w:tc>
          <w:tcPr>
            <w:tcW w:w="5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2100 Powell Street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Emeryville</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94608</w:t>
            </w:r>
          </w:p>
        </w:tc>
      </w:tr>
      <w:tr>
        <w:trPr/>
        <w:tc>
          <w:tcPr>
            <w:tcW w:w="5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(855) 530-6642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center"/>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NMIH</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180"/>
        <w:jc w:val="both"/>
        <w:rPr/>
      </w:pPr>
      <w:r>
        <w:rPr>
          <w:rFonts w:ascii="Times New Roman;serif" w:hAnsi="Times New Roman;serif"/>
          <w:b/>
          <w:color w:val="000000"/>
          <w:sz w:val="20"/>
        </w:rPr>
        <w:t xml:space="preserve">Yes </w:t>
      </w:r>
      <w:r>
        <w:rPr>
          <w:color w:val="000000"/>
        </w:rPr>
        <w:t xml:space="preserve">☒ </w:t>
      </w:r>
      <w:r>
        <w:rPr>
          <w:rFonts w:ascii="Times New Roman;serif" w:hAnsi="Times New Roman;serif"/>
          <w:b/>
          <w:color w:val="000000"/>
          <w:sz w:val="20"/>
        </w:rPr>
        <w:t xml:space="preserve">No </w:t>
      </w:r>
      <w:r>
        <w:rPr>
          <w:color w:val="000000"/>
        </w:rPr>
        <w:t>☐</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180"/>
        <w:jc w:val="both"/>
        <w:rPr/>
      </w:pPr>
      <w:r>
        <w:rPr>
          <w:rFonts w:ascii="Times New Roman;serif" w:hAnsi="Times New Roman;serif"/>
          <w:b/>
          <w:color w:val="000000"/>
          <w:sz w:val="20"/>
        </w:rPr>
        <w:t xml:space="preserve">Yes </w:t>
      </w:r>
      <w:r>
        <w:rPr>
          <w:color w:val="000000"/>
        </w:rPr>
        <w:t xml:space="preserve">☒ </w:t>
      </w:r>
      <w:r>
        <w:rPr>
          <w:rFonts w:ascii="Times New Roman;serif" w:hAnsi="Times New Roman;serif"/>
          <w:b/>
          <w:color w:val="000000"/>
          <w:sz w:val="20"/>
        </w:rPr>
        <w:t xml:space="preserve">No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180"/>
        <w:jc w:val="both"/>
        <w:rPr/>
      </w:pPr>
      <w:r>
        <w:rPr>
          <w:rFonts w:ascii="Times New Roman;serif" w:hAnsi="Times New Roman;serif"/>
          <w:b/>
          <w:color w:val="000000"/>
          <w:sz w:val="20"/>
        </w:rPr>
        <w:t xml:space="preserve">Yes </w:t>
      </w:r>
      <w:r>
        <w:rPr>
          <w:color w:val="000000"/>
        </w:rPr>
        <w:t xml:space="preserve">☐ </w:t>
      </w:r>
      <w:r>
        <w:rPr>
          <w:rFonts w:ascii="Times New Roman;serif" w:hAnsi="Times New Roman;serif"/>
          <w:b/>
          <w:color w:val="000000"/>
          <w:sz w:val="20"/>
        </w:rPr>
        <w:t xml:space="preserve">No </w:t>
      </w: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of common stock, $0.01 par value per share, of the registrant outstanding on October 30, 2025 was 76,867,928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923"/>
        <w:gridCol w:w="809"/>
        <w:gridCol w:w="809"/>
        <w:gridCol w:w="2417"/>
        <w:gridCol w:w="2414"/>
        <w:gridCol w:w="2459"/>
        <w:gridCol w:w="109"/>
        <w:gridCol w:w="109"/>
        <w:gridCol w:w="156"/>
      </w:tblGrid>
      <w:tr>
        <w:trPr/>
        <w:tc>
          <w:tcPr>
            <w:tcW w:w="92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ddc1f2beb9d443da4116040e407ee26_10">
              <w:r>
                <w:rPr>
                  <w:rStyle w:val="InternetLink"/>
                  <w:rFonts w:ascii="Times New Roman;serif" w:hAnsi="Times New Roman;serif"/>
                  <w:b/>
                  <w:color w:val="0000FF"/>
                  <w:sz w:val="20"/>
                  <w:u w:val="single"/>
                </w:rPr>
                <w:t>Cautionary Note Regarding Forward-Looking Statements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10">
              <w:r>
                <w:rPr>
                  <w:rStyle w:val="InternetLink"/>
                  <w:rFonts w:ascii="Times New Roman;serif" w:hAnsi="Times New Roman;serif"/>
                  <w:b w:val="false"/>
                  <w:color w:val="0000FF"/>
                  <w:sz w:val="20"/>
                  <w:u w:val="single"/>
                </w:rPr>
                <w:t>3</w:t>
              </w:r>
            </w:hyperlink>
          </w:p>
        </w:tc>
      </w:tr>
      <w:tr>
        <w:trPr/>
        <w:tc>
          <w:tcPr>
            <w:tcW w:w="983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ddc1f2beb9d443da4116040e407ee26_13">
              <w:r>
                <w:rPr>
                  <w:rStyle w:val="InternetLink"/>
                  <w:rFonts w:ascii="Times New Roman;serif" w:hAnsi="Times New Roman;serif"/>
                  <w:b/>
                  <w:color w:val="0000FF"/>
                  <w:sz w:val="20"/>
                  <w:u w:val="single"/>
                </w:rPr>
                <w:t xml:space="preserve">PART I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13">
              <w:r>
                <w:rPr>
                  <w:rStyle w:val="InternetLink"/>
                  <w:rFonts w:ascii="Times New Roman;serif" w:hAnsi="Times New Roman;serif"/>
                  <w:b w:val="false"/>
                  <w:color w:val="0000FF"/>
                  <w:sz w:val="20"/>
                  <w:u w:val="single"/>
                </w:rPr>
                <w:t>5</w:t>
              </w:r>
            </w:hyperlink>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ddc1f2beb9d443da4116040e407ee26_16">
              <w:r>
                <w:rPr>
                  <w:rStyle w:val="InternetLink"/>
                  <w:rFonts w:ascii="Times New Roman;serif" w:hAnsi="Times New Roman;serif"/>
                  <w:b w:val="false"/>
                  <w:color w:val="0000FF"/>
                  <w:sz w:val="20"/>
                  <w:u w:val="single"/>
                </w:rPr>
                <w:t>Financial Statements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16">
              <w:r>
                <w:rPr>
                  <w:rStyle w:val="InternetLink"/>
                  <w:rFonts w:ascii="Times New Roman;serif" w:hAnsi="Times New Roman;serif"/>
                  <w:b w:val="false"/>
                  <w:color w:val="0000FF"/>
                  <w:sz w:val="20"/>
                  <w:u w:val="single"/>
                </w:rPr>
                <w:t>5</w:t>
              </w:r>
            </w:hyperlink>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ddc1f2beb9d443da4116040e407ee26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79">
              <w:r>
                <w:rPr>
                  <w:rStyle w:val="InternetLink"/>
                  <w:rFonts w:ascii="Times New Roman;serif" w:hAnsi="Times New Roman;serif"/>
                  <w:b w:val="false"/>
                  <w:color w:val="0000FF"/>
                  <w:sz w:val="20"/>
                  <w:u w:val="single"/>
                </w:rPr>
                <w:t>27</w:t>
              </w:r>
            </w:hyperlink>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ddc1f2beb9d443da4116040e407ee26_136">
              <w:r>
                <w:rPr>
                  <w:rStyle w:val="InternetLink"/>
                  <w:rFonts w:ascii="Times New Roman;serif" w:hAnsi="Times New Roman;serif"/>
                  <w:b w:val="false"/>
                  <w:color w:val="0000FF"/>
                  <w:sz w:val="20"/>
                  <w:u w:val="single"/>
                </w:rPr>
                <w:t>Quantitative and Qualitative Disclosures About Market Risk</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136">
              <w:r>
                <w:rPr>
                  <w:rStyle w:val="InternetLink"/>
                  <w:rFonts w:ascii="Times New Roman;serif" w:hAnsi="Times New Roman;serif"/>
                  <w:b w:val="false"/>
                  <w:color w:val="0000FF"/>
                  <w:sz w:val="20"/>
                  <w:u w:val="single"/>
                </w:rPr>
                <w:t>51</w:t>
              </w:r>
            </w:hyperlink>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ddc1f2beb9d443da4116040e407ee26_139">
              <w:r>
                <w:rPr>
                  <w:rStyle w:val="InternetLink"/>
                  <w:rFonts w:ascii="Times New Roman;serif" w:hAnsi="Times New Roman;serif"/>
                  <w:b w:val="false"/>
                  <w:color w:val="0000FF"/>
                  <w:sz w:val="20"/>
                  <w:u w:val="single"/>
                </w:rPr>
                <w:t>Controls and Procedures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139">
              <w:r>
                <w:rPr>
                  <w:rStyle w:val="InternetLink"/>
                  <w:rFonts w:ascii="Times New Roman;serif" w:hAnsi="Times New Roman;serif"/>
                  <w:b w:val="false"/>
                  <w:color w:val="0000FF"/>
                  <w:sz w:val="20"/>
                  <w:u w:val="single"/>
                </w:rPr>
                <w:t>52</w:t>
              </w:r>
            </w:hyperlink>
          </w:p>
        </w:tc>
      </w:tr>
      <w:tr>
        <w:trPr/>
        <w:tc>
          <w:tcPr>
            <w:tcW w:w="98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ddc1f2beb9d443da4116040e407ee26_142">
              <w:r>
                <w:rPr>
                  <w:rStyle w:val="InternetLink"/>
                  <w:rFonts w:ascii="Times New Roman;serif" w:hAnsi="Times New Roman;serif"/>
                  <w:b/>
                  <w:color w:val="0000FF"/>
                  <w:sz w:val="20"/>
                  <w:u w:val="single"/>
                </w:rPr>
                <w:t>PART II</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142">
              <w:r>
                <w:rPr>
                  <w:rStyle w:val="InternetLink"/>
                  <w:rFonts w:ascii="Times New Roman;serif" w:hAnsi="Times New Roman;serif"/>
                  <w:b w:val="false"/>
                  <w:color w:val="0000FF"/>
                  <w:sz w:val="20"/>
                  <w:u w:val="single"/>
                </w:rPr>
                <w:t>53</w:t>
              </w:r>
            </w:hyperlink>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ddc1f2beb9d443da4116040e407ee26_145">
              <w:r>
                <w:rPr>
                  <w:rStyle w:val="InternetLink"/>
                  <w:rFonts w:ascii="Times New Roman;serif" w:hAnsi="Times New Roman;serif"/>
                  <w:b w:val="false"/>
                  <w:color w:val="0000FF"/>
                  <w:sz w:val="20"/>
                  <w:u w:val="single"/>
                </w:rPr>
                <w:t>Legal Proceedings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145">
              <w:r>
                <w:rPr>
                  <w:rStyle w:val="InternetLink"/>
                  <w:rFonts w:ascii="Times New Roman;serif" w:hAnsi="Times New Roman;serif"/>
                  <w:b w:val="false"/>
                  <w:color w:val="0000FF"/>
                  <w:sz w:val="20"/>
                  <w:u w:val="single"/>
                </w:rPr>
                <w:t>53</w:t>
              </w:r>
            </w:hyperlink>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ddc1f2beb9d443da4116040e407ee26_148">
              <w:r>
                <w:rPr>
                  <w:rStyle w:val="InternetLink"/>
                  <w:rFonts w:ascii="Times New Roman;serif" w:hAnsi="Times New Roman;serif"/>
                  <w:b w:val="false"/>
                  <w:color w:val="0000FF"/>
                  <w:sz w:val="20"/>
                  <w:u w:val="single"/>
                  <w:shd w:fill="CCEEFF" w:val="clear"/>
                </w:rPr>
                <w:t>Risk Factors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148">
              <w:r>
                <w:rPr>
                  <w:rStyle w:val="InternetLink"/>
                  <w:rFonts w:ascii="Times New Roman;serif" w:hAnsi="Times New Roman;serif"/>
                  <w:b w:val="false"/>
                  <w:color w:val="0000FF"/>
                  <w:sz w:val="20"/>
                  <w:u w:val="single"/>
                </w:rPr>
                <w:t>53</w:t>
              </w:r>
            </w:hyperlink>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ddc1f2beb9d443da4116040e407ee26_151">
              <w:r>
                <w:rPr>
                  <w:rStyle w:val="InternetLink"/>
                  <w:rFonts w:ascii="Times New Roman;serif" w:hAnsi="Times New Roman;serif"/>
                  <w:b w:val="false"/>
                  <w:color w:val="0000FF"/>
                  <w:sz w:val="20"/>
                  <w:u w:val="single"/>
                </w:rPr>
                <w:t>Unregistered Sales of Equity Securities and Use of Proceeds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151">
              <w:r>
                <w:rPr>
                  <w:rStyle w:val="InternetLink"/>
                  <w:rFonts w:ascii="Times New Roman;serif" w:hAnsi="Times New Roman;serif"/>
                  <w:b w:val="false"/>
                  <w:color w:val="0000FF"/>
                  <w:sz w:val="20"/>
                  <w:u w:val="single"/>
                </w:rPr>
                <w:t>54</w:t>
              </w:r>
            </w:hyperlink>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ddc1f2beb9d443da4116040e407ee26_154">
              <w:r>
                <w:rPr>
                  <w:rStyle w:val="InternetLink"/>
                  <w:rFonts w:ascii="Times New Roman;serif" w:hAnsi="Times New Roman;serif"/>
                  <w:b w:val="false"/>
                  <w:color w:val="0000FF"/>
                  <w:sz w:val="20"/>
                  <w:u w:val="single"/>
                </w:rPr>
                <w:t>Other Information</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154">
              <w:r>
                <w:rPr>
                  <w:rStyle w:val="InternetLink"/>
                  <w:rFonts w:ascii="Times New Roman;serif" w:hAnsi="Times New Roman;serif"/>
                  <w:b w:val="false"/>
                  <w:color w:val="0000FF"/>
                  <w:sz w:val="20"/>
                  <w:u w:val="single"/>
                </w:rPr>
                <w:t>54</w:t>
              </w:r>
            </w:hyperlink>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ddc1f2beb9d443da4116040e407ee26_166">
              <w:r>
                <w:rPr>
                  <w:rStyle w:val="InternetLink"/>
                  <w:rFonts w:ascii="Times New Roman;serif" w:hAnsi="Times New Roman;serif"/>
                  <w:b w:val="false"/>
                  <w:color w:val="0000FF"/>
                  <w:sz w:val="20"/>
                  <w:u w:val="single"/>
                </w:rPr>
                <w:t>Exhibits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166">
              <w:r>
                <w:rPr>
                  <w:rStyle w:val="InternetLink"/>
                  <w:rFonts w:ascii="Times New Roman;serif" w:hAnsi="Times New Roman;serif"/>
                  <w:b w:val="false"/>
                  <w:color w:val="0000FF"/>
                  <w:sz w:val="20"/>
                  <w:u w:val="single"/>
                </w:rPr>
                <w:t>56</w:t>
              </w:r>
            </w:hyperlink>
          </w:p>
        </w:tc>
      </w:tr>
      <w:tr>
        <w:trPr/>
        <w:tc>
          <w:tcPr>
            <w:tcW w:w="98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ddc1f2beb9d443da4116040e407ee26_169">
              <w:r>
                <w:rPr>
                  <w:rStyle w:val="InternetLink"/>
                  <w:rFonts w:ascii="Times New Roman;serif" w:hAnsi="Times New Roman;serif"/>
                  <w:b/>
                  <w:color w:val="0000FF"/>
                  <w:sz w:val="20"/>
                  <w:u w:val="single"/>
                </w:rPr>
                <w:t>Signatures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169">
              <w:r>
                <w:rPr>
                  <w:rStyle w:val="InternetLink"/>
                  <w:rFonts w:ascii="Times New Roman;serif" w:hAnsi="Times New Roman;serif"/>
                  <w:b w:val="false"/>
                  <w:color w:val="0000FF"/>
                  <w:sz w:val="20"/>
                  <w:u w:val="single"/>
                </w:rPr>
                <w:t>59</w:t>
              </w:r>
            </w:hyperlink>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general economic, market and political conditions and policies (including changes in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and their impacts on our business, operations and personnel;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charters, business practices, policy, pricing or priorities of Fannie Mae and Freddie Mac (collectively, the GSEs), which may include decisions that have the impact of decreasing or discontinuing the use of mortgage insurance as credit enhancement generally, or with first-time homebuyers or on very high- loan-to-value (LTV) mortgages; or changes in the direction of housing policy objectives of the Federal Housing Finance Agency (FHFA), such as the FHFA's priority to increase the accessibility to and affordability of homeownership for low-and-moderate income borrowers and underrepresented communities;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remain an eligible mortgage insurer under the private mortgage insurer eligibility requirements (PMIERs) and other requirements imposed by the GSEs, which they may change at any time;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retention of our existing certificates of authority in each state and the District of Columbia (D.C.) and our ability to remain a mortgage insurer in good standing in each state and D.C.;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future profitability, liquidity and capital resources;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actions of existing competitors, including other private mortgage insurers and government mortgage insurers such as the Federal Housing Administration, the U.S. Department of Agriculture's Rural Housing Service and the U.S. Department of Veterans Affairs (collectively, government MIs), and potential market entry by new competitors or consolidation of existing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U.S. federal tax reform and other potential changes in tax law and their impact on us and our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legislative or regulatory changes to the GSEs' role in the secondary mortgage market or other changes that could affect the residential mortgage industry generally or mortgage insurance industry in particular;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legal and regulatory claims, investigations, actions, audits or inquiries that could result in adverse judgments, settlements, fines or other reliefs that could require significant expenditures or have other negative effects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lenders, the GSEs, or other market participants seeking alternatives to private mortgage insurance;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ability to attract and retain a diverse customer base, including the largest mortgage originators;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of risk management or pricing or investment strategies;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decrease in the length of time our insurance policies are in force;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emergence of unexpected claim and coverage issues, including claims exceeding our reserves or amounts we had expected to experience;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adverse impacts arising from natural disasters including, with respect to affected areas, a decline in new business, adverse effects on home prices, and an increase in notices of default on insured mortgages;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climate risk and efforts to manage or regulate climate risk by government agencies could affect our business and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potential adverse impacts arising from the occurrence of any man-made disasters or public health emergencies, including pandemics;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inability of our counter-parties, including third-party reinsurers, to meet their obligations to us;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failure to maintain, improve and continue to develop necessary information technology (IT) systems or the failure of technology providers to perform;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information);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ability to recruit, train and retain key personnel.</w:t>
      </w:r>
    </w:p>
    <w:p>
      <w:pPr>
        <w:pStyle w:val="TextBody"/>
        <w:bidi w:val="0"/>
        <w:spacing w:lineRule="auto" w:line="288" w:before="0" w:after="180"/>
        <w:ind w:left="0" w:right="0" w:firstLine="720"/>
        <w:jc w:val="both"/>
        <w:rPr/>
      </w:pPr>
      <w:r>
        <w:rPr>
          <w:rFonts w:ascii="Times New Roman;serif" w:hAnsi="Times New Roman;serif"/>
          <w:b w:val="false"/>
          <w:color w:val="000000"/>
          <w:sz w:val="20"/>
        </w:rPr>
        <w:t>For further information regarding these risks and uncertainties as well as certain additional risks that we face, you should refer to Part I, Item 2,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II, Item 1A of this Report and in Part I, Item 1A, of our Annual Report on Form 10-K for the year ended December 31, 2024 (2024 10-K), as subsequently updated in other reports we file from time to time with the U.S. Securities and Exchange Commission (SEC).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expressly indicated or the context requires otherwise, the terms “we,” “our,” “us,” “Company” and “NMI” in this document refer to NMI Holdings, Inc., a Delaware corporation, and its wholly-owned subsidiaries on a consolidated basis.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INDEX TO FINANCIAL STATEMENTS</w:t>
      </w:r>
    </w:p>
    <w:tbl>
      <w:tblPr>
        <w:tblW w:w="7946" w:type="dxa"/>
        <w:jc w:val="center"/>
        <w:tblInd w:w="0" w:type="dxa"/>
        <w:tblLayout w:type="fixed"/>
        <w:tblCellMar>
          <w:top w:w="28" w:type="dxa"/>
          <w:left w:w="28" w:type="dxa"/>
          <w:bottom w:w="28" w:type="dxa"/>
          <w:right w:w="28" w:type="dxa"/>
        </w:tblCellMar>
      </w:tblPr>
      <w:tblGrid>
        <w:gridCol w:w="2741"/>
        <w:gridCol w:w="2411"/>
        <w:gridCol w:w="2422"/>
        <w:gridCol w:w="109"/>
        <w:gridCol w:w="109"/>
        <w:gridCol w:w="154"/>
      </w:tblGrid>
      <w:tr>
        <w:trPr/>
        <w:tc>
          <w:tcPr>
            <w:tcW w:w="2741"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Condensed Consolidated Balance Sheets (Unaudited)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19">
              <w:r>
                <w:rPr>
                  <w:rStyle w:val="InternetLink"/>
                  <w:rFonts w:ascii="Times New Roman;serif" w:hAnsi="Times New Roman;serif"/>
                  <w:b w:val="false"/>
                  <w:color w:val="0000FF"/>
                  <w:sz w:val="20"/>
                  <w:u w:val="single"/>
                </w:rPr>
                <w:t>6</w:t>
              </w:r>
            </w:hyperlink>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and Comprehensive Income (Unaudited)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22">
              <w:r>
                <w:rPr>
                  <w:rStyle w:val="InternetLink"/>
                  <w:rFonts w:ascii="Times New Roman;serif" w:hAnsi="Times New Roman;serif"/>
                  <w:b w:val="false"/>
                  <w:color w:val="0000FF"/>
                  <w:sz w:val="20"/>
                  <w:u w:val="single"/>
                </w:rPr>
                <w:t>7</w:t>
              </w:r>
            </w:hyperlink>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Changes in Shareholders' Equity (Unaudited)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25">
              <w:r>
                <w:rPr>
                  <w:rStyle w:val="InternetLink"/>
                  <w:rFonts w:ascii="Times New Roman;serif" w:hAnsi="Times New Roman;serif"/>
                  <w:b w:val="false"/>
                  <w:color w:val="0000FF"/>
                  <w:sz w:val="20"/>
                  <w:u w:val="single"/>
                </w:rPr>
                <w:t>8</w:t>
              </w:r>
            </w:hyperlink>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28">
              <w:r>
                <w:rPr>
                  <w:rStyle w:val="InternetLink"/>
                  <w:rFonts w:ascii="Times New Roman;serif" w:hAnsi="Times New Roman;serif"/>
                  <w:b w:val="false"/>
                  <w:color w:val="0000FF"/>
                  <w:sz w:val="20"/>
                  <w:u w:val="single"/>
                </w:rPr>
                <w:t>10</w:t>
              </w:r>
            </w:hyperlink>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ddc1f2beb9d443da4116040e407ee26_31">
              <w:r>
                <w:rPr>
                  <w:rStyle w:val="InternetLink"/>
                  <w:rFonts w:ascii="Times New Roman;serif" w:hAnsi="Times New Roman;serif"/>
                  <w:b w:val="false"/>
                  <w:color w:val="0000FF"/>
                  <w:sz w:val="20"/>
                  <w:u w:val="single"/>
                </w:rPr>
                <w:t>11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692"/>
        <w:gridCol w:w="2190"/>
        <w:gridCol w:w="2216"/>
        <w:gridCol w:w="223"/>
        <w:gridCol w:w="1034"/>
        <w:gridCol w:w="115"/>
        <w:gridCol w:w="109"/>
        <w:gridCol w:w="109"/>
        <w:gridCol w:w="109"/>
        <w:gridCol w:w="220"/>
        <w:gridCol w:w="1022"/>
        <w:gridCol w:w="166"/>
      </w:tblGrid>
      <w:tr>
        <w:trPr/>
        <w:tc>
          <w:tcPr>
            <w:tcW w:w="2692"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1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share data)</w:t>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 (amortized cost of $3,078,294 and $2,876,343)</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3,015,560 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2,723,541 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restricted cash of $0 and $90)</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net</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 net</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 net</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and goodwill</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Reinsurance recoverable </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federal income taxes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3,727,193 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3,349,973 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insurance claims and claim expenses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1,212,322 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1,132,541 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$0.01 par value; 88,371,465 shares issued and 77,095,871 shares outstanding as of September 30, 2025 and 87,902,626 shares issued and 78,600,726 shares outstanding as of December 31, 2024 (250,000,000 shares authorized)</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11,275,594 and 9,301,900 common shares as of September 30, 2025 and December 31, 2024, respectively</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Retained earnings </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1,877,968 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1,583,259 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2,514,871 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2,217,432 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3,727,193 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3,349,973 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both"/>
        <w:rPr/>
      </w:pPr>
      <w:r>
        <w:rPr/>
      </w:r>
    </w:p>
    <w:p>
      <w:pPr>
        <w:pStyle w:val="TextBody"/>
        <w:bidi w:val="0"/>
        <w:spacing w:before="0" w:after="0"/>
        <w:ind w:left="0" w:right="0" w:hanging="360"/>
        <w:jc w:val="lef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lineRule="auto" w:line="288" w:before="0" w:after="180"/>
        <w:jc w:val="righ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pPr>
      <w:r>
        <w:rPr>
          <w:rFonts w:ascii="Times New Roman;serif" w:hAnsi="Times New Roman;serif"/>
          <w:b w:val="false"/>
          <w:color w:val="000000"/>
          <w:sz w:val="20"/>
        </w:rPr>
        <w:t>C</w:t>
      </w:r>
      <w:r>
        <w:rPr>
          <w:rFonts w:ascii="Times New Roman;serif" w:hAnsi="Times New Roman;serif"/>
          <w:b w:val="false"/>
          <w:color w:val="000000"/>
          <w:sz w:val="18"/>
        </w:rPr>
        <w:t>ONDENSED CONSOLIDATED STATEMENTS OF OPERATIONS AND COMPREHENSIVE INCOME (UNAUDITED)</w:t>
      </w:r>
    </w:p>
    <w:tbl>
      <w:tblPr>
        <w:tblW w:w="10205" w:type="dxa"/>
        <w:jc w:val="center"/>
        <w:tblInd w:w="0" w:type="dxa"/>
        <w:tblLayout w:type="fixed"/>
        <w:tblCellMar>
          <w:top w:w="28" w:type="dxa"/>
          <w:left w:w="28" w:type="dxa"/>
          <w:bottom w:w="28" w:type="dxa"/>
          <w:right w:w="28" w:type="dxa"/>
        </w:tblCellMar>
      </w:tblPr>
      <w:tblGrid>
        <w:gridCol w:w="1887"/>
        <w:gridCol w:w="1273"/>
        <w:gridCol w:w="1281"/>
        <w:gridCol w:w="217"/>
        <w:gridCol w:w="852"/>
        <w:gridCol w:w="112"/>
        <w:gridCol w:w="112"/>
        <w:gridCol w:w="112"/>
        <w:gridCol w:w="112"/>
        <w:gridCol w:w="217"/>
        <w:gridCol w:w="852"/>
        <w:gridCol w:w="112"/>
        <w:gridCol w:w="109"/>
        <w:gridCol w:w="109"/>
        <w:gridCol w:w="109"/>
        <w:gridCol w:w="216"/>
        <w:gridCol w:w="848"/>
        <w:gridCol w:w="111"/>
        <w:gridCol w:w="111"/>
        <w:gridCol w:w="111"/>
        <w:gridCol w:w="111"/>
        <w:gridCol w:w="216"/>
        <w:gridCol w:w="848"/>
        <w:gridCol w:w="167"/>
      </w:tblGrid>
      <w:tr>
        <w:trPr/>
        <w:tc>
          <w:tcPr>
            <w:tcW w:w="188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4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per share data)</w:t>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gains (losses)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178,679 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166,092 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525,704 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484,467 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87,305 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131,929 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294,709 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273,939 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share </w:t>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gains in accumulated other comprehensive loss, net of tax expense of $5,145 and $18,441 for the three months ended September 30, 2025 and 2024, and $18,901 and $15,300 for the nine months ended September 30, 2025 and 2024, respectively</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realized (gains) losses included in net income, net of tax expense (benefit) of $67 and $(2) for the three months ended September 30, 2025 and 2024, and $(12) and $(2) for the nine months ended September 30, 2025 and 2024, respectively</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115,102 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162,190 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365,859 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331,865 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color w:val="000000"/>
        </w:rPr>
      </w:pPr>
      <w:r>
        <w:rPr>
          <w:color w:val="000000"/>
        </w:rPr>
        <w:t>        </w:t>
      </w:r>
    </w:p>
    <w:p>
      <w:pPr>
        <w:pStyle w:val="TextBody"/>
        <w:bidi w:val="0"/>
        <w:spacing w:before="60" w:after="60"/>
        <w:ind w:left="0" w:right="0" w:hanging="360"/>
        <w:jc w:val="both"/>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pPr>
      <w:r>
        <w:rPr>
          <w:rFonts w:ascii="Times New Roman;serif" w:hAnsi="Times New Roman;serif"/>
          <w:b w:val="false"/>
          <w:color w:val="000000"/>
          <w:sz w:val="20"/>
        </w:rPr>
        <w:t>C</w:t>
      </w:r>
      <w:r>
        <w:rPr>
          <w:rFonts w:ascii="Times New Roman;serif" w:hAnsi="Times New Roman;serif"/>
          <w:b w:val="false"/>
          <w:color w:val="000000"/>
          <w:sz w:val="18"/>
        </w:rPr>
        <w:t>ONDENSED CONSOLIDATED STATEMENTS OF OPERATIONS AND COMPREHENSIVE INCOME (UNAUDITED)</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894"/>
        <w:gridCol w:w="504"/>
        <w:gridCol w:w="505"/>
        <w:gridCol w:w="360"/>
        <w:gridCol w:w="361"/>
        <w:gridCol w:w="196"/>
        <w:gridCol w:w="212"/>
        <w:gridCol w:w="470"/>
        <w:gridCol w:w="110"/>
        <w:gridCol w:w="211"/>
        <w:gridCol w:w="976"/>
        <w:gridCol w:w="109"/>
        <w:gridCol w:w="222"/>
        <w:gridCol w:w="896"/>
        <w:gridCol w:w="114"/>
        <w:gridCol w:w="243"/>
        <w:gridCol w:w="1037"/>
        <w:gridCol w:w="125"/>
        <w:gridCol w:w="213"/>
        <w:gridCol w:w="987"/>
        <w:gridCol w:w="110"/>
        <w:gridCol w:w="211"/>
        <w:gridCol w:w="976"/>
        <w:gridCol w:w="163"/>
      </w:tblGrid>
      <w:tr>
        <w:trPr/>
        <w:tc>
          <w:tcPr>
            <w:tcW w:w="89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2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123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140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31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135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23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0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1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5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1,583,259 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expense of $8,181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March 31,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(272,647)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(94,028)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1,685,818 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2,321,571 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expense of $5,654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June 30,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(296,047)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1,781,969 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2,420,107 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expense of $5,078</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September 30, 2025</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77,095 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(320,877)</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(53,654)</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1,877,968 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2,514,871 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During the three months ended September 30, 2025, we issued 5,956 common shares with a par value of $0.01 in connection with the exercise of options and vesting of restricted stock units granted under our stock plans, which is not identifiable in this schedule due to rounding.</w:t>
      </w:r>
    </w:p>
    <w:p>
      <w:pPr>
        <w:pStyle w:val="TextBody"/>
        <w:bidi w:val="0"/>
        <w:spacing w:before="0" w:after="0"/>
        <w:ind w:left="0" w:right="0" w:hanging="360"/>
        <w:jc w:val="right"/>
        <w:rPr/>
      </w:pPr>
      <w:r>
        <w:rPr/>
      </w:r>
    </w:p>
    <w:p>
      <w:pPr>
        <w:pStyle w:val="TextBody"/>
        <w:bidi w:val="0"/>
        <w:spacing w:before="0" w:after="0"/>
        <w:ind w:left="0" w:right="0" w:hanging="360"/>
        <w:jc w:val="right"/>
        <w:rPr/>
      </w:pPr>
      <w:r>
        <w:rPr/>
      </w:r>
    </w:p>
    <w:p>
      <w:pPr>
        <w:pStyle w:val="TextBody"/>
        <w:bidi w:val="0"/>
        <w:spacing w:before="0" w:after="180"/>
        <w:ind w:left="0" w:right="0" w:hanging="360"/>
        <w:jc w:val="right"/>
        <w:rPr/>
      </w:pPr>
      <w:r>
        <w:rPr/>
      </w:r>
    </w:p>
    <w:p>
      <w:pPr>
        <w:pStyle w:val="TextBody"/>
        <w:bidi w:val="0"/>
        <w:spacing w:before="0" w:after="180"/>
        <w:ind w:left="0" w:right="0" w:hanging="360"/>
        <w:jc w:val="right"/>
        <w:rPr/>
      </w:pPr>
      <w:r>
        <w:rPr/>
      </w:r>
    </w:p>
    <w:p>
      <w:pPr>
        <w:pStyle w:val="TextBody"/>
        <w:bidi w:val="0"/>
        <w:spacing w:before="0" w:after="180"/>
        <w:ind w:left="0" w:right="0" w:hanging="360"/>
        <w:jc w:val="right"/>
        <w:rPr/>
      </w:pPr>
      <w:r>
        <w:rPr/>
      </w:r>
    </w:p>
    <w:p>
      <w:pPr>
        <w:pStyle w:val="TextBody"/>
        <w:bidi w:val="0"/>
        <w:spacing w:before="0" w:after="180"/>
        <w:ind w:left="0" w:right="0" w:hanging="360"/>
        <w:jc w:val="right"/>
        <w:rPr/>
      </w:pPr>
      <w:r>
        <w:rPr/>
      </w:r>
    </w:p>
    <w:p>
      <w:pPr>
        <w:pStyle w:val="TextBody"/>
        <w:bidi w:val="0"/>
        <w:spacing w:before="0" w:after="180"/>
        <w:ind w:left="0" w:right="0" w:hanging="360"/>
        <w:jc w:val="right"/>
        <w:rPr/>
      </w:pPr>
      <w:r>
        <w:rPr/>
      </w:r>
    </w:p>
    <w:p>
      <w:pPr>
        <w:pStyle w:val="TextBody"/>
        <w:bidi w:val="0"/>
        <w:spacing w:before="0" w:after="180"/>
        <w:ind w:left="0" w:right="0" w:hanging="360"/>
        <w:jc w:val="right"/>
        <w:rPr/>
      </w:pPr>
      <w:r>
        <w:rPr/>
      </w:r>
    </w:p>
    <w:p>
      <w:pPr>
        <w:pStyle w:val="TextBody"/>
        <w:bidi w:val="0"/>
        <w:spacing w:before="0" w:after="180"/>
        <w:ind w:left="0" w:right="0" w:hanging="360"/>
        <w:jc w:val="right"/>
        <w:rPr/>
      </w:pPr>
      <w:r>
        <w:rPr/>
      </w:r>
    </w:p>
    <w:p>
      <w:pPr>
        <w:pStyle w:val="TextBody"/>
        <w:bidi w:val="0"/>
        <w:spacing w:before="0" w:after="180"/>
        <w:ind w:left="0" w:right="0" w:hanging="360"/>
        <w:jc w:val="right"/>
        <w:rPr/>
      </w:pPr>
      <w:r>
        <w:rPr/>
      </w:r>
    </w:p>
    <w:p>
      <w:pPr>
        <w:pStyle w:val="TextBody"/>
        <w:bidi w:val="0"/>
        <w:spacing w:lineRule="auto" w:line="288" w:before="0" w:after="180"/>
        <w:ind w:left="0" w:right="0" w:hanging="360"/>
        <w:jc w:val="right"/>
        <w:rPr>
          <w:rFonts w:ascii="Times New Roman;serif" w:hAnsi="Times New Roman;serif"/>
          <w:b w:val="false"/>
          <w:i/>
          <w:color w:val="000000"/>
          <w:sz w:val="19"/>
        </w:rPr>
      </w:pPr>
      <w:r>
        <w:rPr>
          <w:rFonts w:ascii="Times New Roman;serif" w:hAnsi="Times New Roman;serif"/>
          <w:b w:val="false"/>
          <w:i/>
          <w:color w:val="000000"/>
          <w:sz w:val="19"/>
        </w:rPr>
        <w:t>See accompanying notes to condensed consolidated financial statements (unaudited).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CHANGES IN SHAREHOLDERS' EQUITY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26"/>
        <w:gridCol w:w="537"/>
        <w:gridCol w:w="538"/>
        <w:gridCol w:w="360"/>
        <w:gridCol w:w="361"/>
        <w:gridCol w:w="196"/>
        <w:gridCol w:w="213"/>
        <w:gridCol w:w="471"/>
        <w:gridCol w:w="110"/>
        <w:gridCol w:w="212"/>
        <w:gridCol w:w="832"/>
        <w:gridCol w:w="109"/>
        <w:gridCol w:w="224"/>
        <w:gridCol w:w="905"/>
        <w:gridCol w:w="115"/>
        <w:gridCol w:w="249"/>
        <w:gridCol w:w="1058"/>
        <w:gridCol w:w="128"/>
        <w:gridCol w:w="213"/>
        <w:gridCol w:w="989"/>
        <w:gridCol w:w="110"/>
        <w:gridCol w:w="211"/>
        <w:gridCol w:w="976"/>
        <w:gridCol w:w="162"/>
      </w:tblGrid>
      <w:tr>
        <w:trPr/>
        <w:tc>
          <w:tcPr>
            <w:tcW w:w="92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15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124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143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31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134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5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24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3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1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4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2023</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(148,921)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(139,917)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1,223,153 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1,926,004 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benefit of $2,729</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March 31,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(174,227)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(149,822)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1,312,203 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1,978,381 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benefit of $412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June 30,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(201,323)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(151,371)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1,404,282 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2,045,610 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9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expense of $18,443</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September 30, 2024</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(218,364)</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(81,991)</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1,497,092 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2,195,186 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During the three months ended September 30, 2024, we issued 337 common shares with a par value of $0.01 in connection with the exercise of options and vesting of restricted stock units granted under our stock plans, which is not identifiable in this schedule due to rounding.</w:t>
      </w:r>
    </w:p>
    <w:p>
      <w:pPr>
        <w:pStyle w:val="TextBody"/>
        <w:bidi w:val="0"/>
        <w:spacing w:before="0" w:after="180"/>
        <w:ind w:left="0" w:right="0" w:hanging="36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lineRule="auto" w:line="288" w:before="0" w:after="180"/>
        <w:jc w:val="right"/>
        <w:rPr>
          <w:rFonts w:ascii="Times New Roman;serif" w:hAnsi="Times New Roman;serif"/>
          <w:b w:val="false"/>
          <w:i/>
          <w:color w:val="000000"/>
          <w:sz w:val="19"/>
        </w:rPr>
      </w:pPr>
      <w:r>
        <w:rPr>
          <w:rFonts w:ascii="Times New Roman;serif" w:hAnsi="Times New Roman;serif"/>
          <w:b w:val="false"/>
          <w:i/>
          <w:color w:val="000000"/>
          <w:sz w:val="19"/>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w:t>
      </w:r>
    </w:p>
    <w:tbl>
      <w:tblPr>
        <w:tblW w:w="10205" w:type="dxa"/>
        <w:jc w:val="right"/>
        <w:tblInd w:w="0" w:type="dxa"/>
        <w:tblLayout w:type="fixed"/>
        <w:tblCellMar>
          <w:top w:w="28" w:type="dxa"/>
          <w:left w:w="28" w:type="dxa"/>
          <w:bottom w:w="28" w:type="dxa"/>
          <w:right w:w="28" w:type="dxa"/>
        </w:tblCellMar>
      </w:tblPr>
      <w:tblGrid>
        <w:gridCol w:w="2584"/>
        <w:gridCol w:w="2249"/>
        <w:gridCol w:w="2255"/>
        <w:gridCol w:w="246"/>
        <w:gridCol w:w="966"/>
        <w:gridCol w:w="126"/>
        <w:gridCol w:w="126"/>
        <w:gridCol w:w="126"/>
        <w:gridCol w:w="126"/>
        <w:gridCol w:w="246"/>
        <w:gridCol w:w="966"/>
        <w:gridCol w:w="189"/>
      </w:tblGrid>
      <w:tr>
        <w:trPr/>
        <w:tc>
          <w:tcPr>
            <w:tcW w:w="2584"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7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operating activities</w:t>
            </w:r>
          </w:p>
        </w:tc>
        <w:tc>
          <w:tcPr>
            <w:tcW w:w="31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Net income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294,709 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273,939 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realized investment loss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8,970 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accretion of discount on investment securities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(3,036)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on extinguishment of debt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6,966 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debt discount and debt issuance costs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708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58,159 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64,005 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12,670 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Premiums receivable, net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investment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(3,404)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policy acquisition costs, net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Reinsurance recoverable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(3,055)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(4,799)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Unearned premiums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(15,421)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(20,703)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Reserve for insurance claims and claim expenses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11,546 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Reinsurance balances, net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expenses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(15,335)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7,644 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357,556 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357,783 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investing activities</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short-term investments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(149,956)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(142,414)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fixed-maturity investments, available-for-sale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(397,577)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(355,894)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maturities of short-term investments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116,700 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83,700 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maturities and redemptions of fixed-maturity investments, available-for-sale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217,342 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166,960 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sales of fixed-maturity investments, available-for-sale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Additions to software and equipment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(5,508)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(198,810)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(253,156)</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financing activities</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common stock related to employee equity plans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Taxes paid related to net share settlement of equity awards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(10,980)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(10,191)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senior unsecured notes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419,705 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Repayments of senior secured notes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(405,080)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of debt issuance costs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(7,785)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Repurchases of common stock</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(74,510)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(68,927)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(82,615)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(67,997)</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in cash, cash equivalents and restricted cash</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76,131 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36,630 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beginning of period</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54,308 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96,689 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end of period</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130,439 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133,319 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Supplemental disclosures of cash flow information</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paid</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31,450 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paid</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32,215 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9,387 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right"/>
        <w:rPr>
          <w:rFonts w:ascii="Times New Roman;serif" w:hAnsi="Times New Roman;serif"/>
          <w:b w:val="false"/>
          <w:i/>
          <w:color w:val="000000"/>
          <w:sz w:val="19"/>
        </w:rPr>
      </w:pPr>
      <w:r>
        <w:rPr>
          <w:rFonts w:ascii="Times New Roman;serif" w:hAnsi="Times New Roman;serif"/>
          <w:b w:val="false"/>
          <w:i/>
          <w:color w:val="000000"/>
          <w:sz w:val="19"/>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 Organization, Basis of Presentation and Summary of Accounting Principles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 We operate as a single segment for the purposes of assessing performance and making operating decisions.</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2024, included in our 2024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In the opinion of management, these unaudited condensed consolidated financial statements include all adjustments (including normal recurring adjustments) that are necessary to present a fair statement of financial position, results of operations and cash flows for the periods presented. The results of operations for the interim period may not be indicative of the results that may be expected for the full year ending December 31, 2025.</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Significant Accounting Principles</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There have been no changes to our significant accounting principles as described in Item 8, “</w:t>
      </w:r>
      <w:r>
        <w:rPr>
          <w:rFonts w:ascii="Times New Roman;serif" w:hAnsi="Times New Roman;serif"/>
          <w:b w:val="false"/>
          <w:i/>
          <w:color w:val="000000"/>
          <w:sz w:val="20"/>
        </w:rPr>
        <w:t>Financial Statements and Supplementary Data - Notes to Consolidated Financial Statements - Note 2 - Summary of Accounting Principles”</w:t>
      </w:r>
      <w:r>
        <w:rPr>
          <w:color w:val="000000"/>
        </w:rPr>
        <w:t xml:space="preserve"> </w:t>
      </w:r>
      <w:r>
        <w:rPr>
          <w:rFonts w:ascii="Times New Roman;serif" w:hAnsi="Times New Roman;serif"/>
          <w:b w:val="false"/>
          <w:color w:val="000000"/>
          <w:sz w:val="20"/>
        </w:rPr>
        <w:t xml:space="preserve">of our 2024 10-K.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 Adopted</w:t>
      </w:r>
    </w:p>
    <w:p>
      <w:pPr>
        <w:pStyle w:val="TextBody"/>
        <w:bidi w:val="0"/>
        <w:spacing w:lineRule="auto" w:line="268" w:before="0" w:after="19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The update enhances the disclosure requirements related to tax rate reconciliations and income taxes paid, and took effect for all public business entities for annual reporting periods beginning after December 15, 2024. We adopted this ASU on January 1, 2025 and will include enhanced disclosures in our fiscal year-end 2025 annual consolidated financial statements, as applicable.</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 Not Yet Adopted</w:t>
      </w:r>
    </w:p>
    <w:p>
      <w:pPr>
        <w:pStyle w:val="TextBody"/>
        <w:bidi w:val="0"/>
        <w:spacing w:lineRule="auto" w:line="288" w:before="0" w:after="19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 (Topic 220). The update expands disclosure requirements related to certain income statement expenses, including a requirement to provide a tabular disaggregation of certain operating expenses by category. The standard will take effect for all public business entities for annual reporting periods beginning after December 15, 2026, and interim reporting periods beginning after December 15, 2027. Early adoption is permitted. We are currently evaluating the impact the adoption of this ASU will have, if any, on our consolidated financial statements.</w:t>
      </w:r>
    </w:p>
    <w:p>
      <w:pPr>
        <w:pStyle w:val="TextBody"/>
        <w:bidi w:val="0"/>
        <w:spacing w:lineRule="auto" w:line="288" w:before="0" w:after="19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Targeted Accounting for Internal-Use Software (Topic 350). The update clarifies the criteria surrounding the capitalization of certain costs and expands related disclosure requirements. The standard will take effect for all public business entities for annual reporting periods beginning after December 15, 2027, and interim reporting periods within those annual reporting periods. Early adoption is permitted. We are currently evaluating the impact the adoption of this ASU will have, if any,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 Investments</w:t>
      </w:r>
    </w:p>
    <w:p>
      <w:pPr>
        <w:pStyle w:val="TextBody"/>
        <w:bidi w:val="0"/>
        <w:spacing w:lineRule="auto" w:line="288" w:before="0" w:after="180"/>
        <w:ind w:left="0" w:right="0" w:firstLine="540"/>
        <w:jc w:val="both"/>
        <w:rPr/>
      </w:pPr>
      <w:r>
        <w:rPr>
          <w:rFonts w:ascii="Times New Roman;serif" w:hAnsi="Times New Roman;serif"/>
          <w:b w:val="false"/>
          <w:color w:val="000000"/>
          <w:sz w:val="20"/>
        </w:rPr>
        <w:t>We hold all investments on an available-for-sale basis at fair value on our condensed consolidated balance sheets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recognize an impairment loss equivalent to the difference of the amortized cost basis of the security and its fair value through the condensed consolidated statements of operations and comprehensive income as a “</w:t>
      </w:r>
      <w:r>
        <w:rPr>
          <w:rFonts w:ascii="Times New Roman;serif" w:hAnsi="Times New Roman;serif"/>
          <w:b w:val="false"/>
          <w:i/>
          <w:color w:val="000000"/>
          <w:sz w:val="20"/>
        </w:rPr>
        <w:t>Net Realized Investment Loss</w:t>
      </w:r>
      <w:r>
        <w:rPr>
          <w:rFonts w:ascii="Times New Roman;serif" w:hAnsi="Times New Roman;serif"/>
          <w:b w:val="false"/>
          <w:color w:val="000000"/>
          <w:sz w:val="20"/>
        </w:rPr>
        <w:t>.” In the event of an impairment of a security that we intend to and have the ability to hold to maturity, we evaluate the drivers of the impairment to determine the portion that is credit related and the portion that is non-credit related. The portion of impairment loss that is attributed to credit related factors is recognized through the statement of operations as a provision for credit loss and the portion that is attributed to non-credit related factors is recognized in other comprehensive income, net of taxes.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Fair Values and Gross Unrealized Gains and Losses on Investments</w:t>
      </w:r>
    </w:p>
    <w:tbl>
      <w:tblPr>
        <w:tblW w:w="10205" w:type="dxa"/>
        <w:jc w:val="left"/>
        <w:tblInd w:w="0" w:type="dxa"/>
        <w:tblLayout w:type="fixed"/>
        <w:tblCellMar>
          <w:top w:w="28" w:type="dxa"/>
          <w:left w:w="28" w:type="dxa"/>
          <w:bottom w:w="28" w:type="dxa"/>
          <w:right w:w="28" w:type="dxa"/>
        </w:tblCellMar>
      </w:tblPr>
      <w:tblGrid>
        <w:gridCol w:w="1666"/>
        <w:gridCol w:w="1387"/>
        <w:gridCol w:w="1391"/>
        <w:gridCol w:w="211"/>
        <w:gridCol w:w="976"/>
        <w:gridCol w:w="109"/>
        <w:gridCol w:w="109"/>
        <w:gridCol w:w="109"/>
        <w:gridCol w:w="109"/>
        <w:gridCol w:w="211"/>
        <w:gridCol w:w="721"/>
        <w:gridCol w:w="109"/>
        <w:gridCol w:w="109"/>
        <w:gridCol w:w="109"/>
        <w:gridCol w:w="109"/>
        <w:gridCol w:w="211"/>
        <w:gridCol w:w="779"/>
        <w:gridCol w:w="109"/>
        <w:gridCol w:w="109"/>
        <w:gridCol w:w="109"/>
        <w:gridCol w:w="109"/>
        <w:gridCol w:w="211"/>
        <w:gridCol w:w="976"/>
        <w:gridCol w:w="157"/>
      </w:tblGrid>
      <w:tr>
        <w:trPr/>
        <w:tc>
          <w:tcPr>
            <w:tcW w:w="166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September 30, 2025</w:t>
            </w:r>
          </w:p>
        </w:tc>
        <w:tc>
          <w:tcPr>
            <w:tcW w:w="57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2,113,879 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bonds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2,897,501 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3,015,560 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70"/>
        <w:gridCol w:w="1384"/>
        <w:gridCol w:w="1390"/>
        <w:gridCol w:w="211"/>
        <w:gridCol w:w="976"/>
        <w:gridCol w:w="109"/>
        <w:gridCol w:w="109"/>
        <w:gridCol w:w="109"/>
        <w:gridCol w:w="109"/>
        <w:gridCol w:w="211"/>
        <w:gridCol w:w="616"/>
        <w:gridCol w:w="109"/>
        <w:gridCol w:w="109"/>
        <w:gridCol w:w="109"/>
        <w:gridCol w:w="109"/>
        <w:gridCol w:w="211"/>
        <w:gridCol w:w="884"/>
        <w:gridCol w:w="109"/>
        <w:gridCol w:w="109"/>
        <w:gridCol w:w="109"/>
        <w:gridCol w:w="109"/>
        <w:gridCol w:w="211"/>
        <w:gridCol w:w="976"/>
        <w:gridCol w:w="157"/>
      </w:tblGrid>
      <w:tr>
        <w:trPr/>
        <w:tc>
          <w:tcPr>
            <w:tcW w:w="167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57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635,245 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bonds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2,640,925 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2,723,541 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own any mortgage-backed securities in our asset-backed securities portfolio at September 30, 2025 or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breakdown of the fair value of our corporate debt securities by issuer industry group as of September 30, 2025 and December 31, 2024: </w:t>
      </w:r>
    </w:p>
    <w:tbl>
      <w:tblPr>
        <w:tblW w:w="4933" w:type="dxa"/>
        <w:jc w:val="left"/>
        <w:tblInd w:w="0" w:type="dxa"/>
        <w:tblLayout w:type="fixed"/>
        <w:tblCellMar>
          <w:top w:w="28" w:type="dxa"/>
          <w:left w:w="28" w:type="dxa"/>
          <w:bottom w:w="28" w:type="dxa"/>
          <w:right w:w="28" w:type="dxa"/>
        </w:tblCellMar>
      </w:tblPr>
      <w:tblGrid>
        <w:gridCol w:w="548"/>
        <w:gridCol w:w="482"/>
        <w:gridCol w:w="486"/>
        <w:gridCol w:w="344"/>
        <w:gridCol w:w="344"/>
        <w:gridCol w:w="857"/>
        <w:gridCol w:w="109"/>
        <w:gridCol w:w="109"/>
        <w:gridCol w:w="109"/>
        <w:gridCol w:w="314"/>
        <w:gridCol w:w="314"/>
        <w:gridCol w:w="91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materials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approximately $5.4 million and $5.3 million, respectively, of our cash and investments were held in the form of U.S. Treasury securities on deposit with various state insurance departments to satisfy regulatory requirements.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Scheduled Maturities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available-for-sale securities as of September 30, 2025 and December 31, 2024,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tbl>
      <w:tblPr>
        <w:tblW w:w="5679" w:type="dxa"/>
        <w:jc w:val="left"/>
        <w:tblInd w:w="0" w:type="dxa"/>
        <w:tblLayout w:type="fixed"/>
        <w:tblCellMar>
          <w:top w:w="28" w:type="dxa"/>
          <w:left w:w="28" w:type="dxa"/>
          <w:bottom w:w="28" w:type="dxa"/>
          <w:right w:w="28" w:type="dxa"/>
        </w:tblCellMar>
      </w:tblPr>
      <w:tblGrid>
        <w:gridCol w:w="984"/>
        <w:gridCol w:w="864"/>
        <w:gridCol w:w="867"/>
        <w:gridCol w:w="211"/>
        <w:gridCol w:w="976"/>
        <w:gridCol w:w="109"/>
        <w:gridCol w:w="109"/>
        <w:gridCol w:w="109"/>
        <w:gridCol w:w="109"/>
        <w:gridCol w:w="211"/>
        <w:gridCol w:w="97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September 30, 2025</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3,015,560 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78" w:type="dxa"/>
        <w:jc w:val="left"/>
        <w:tblInd w:w="0" w:type="dxa"/>
        <w:tblLayout w:type="fixed"/>
        <w:tblCellMar>
          <w:top w:w="28" w:type="dxa"/>
          <w:left w:w="28" w:type="dxa"/>
          <w:bottom w:w="28" w:type="dxa"/>
          <w:right w:w="28" w:type="dxa"/>
        </w:tblCellMar>
      </w:tblPr>
      <w:tblGrid>
        <w:gridCol w:w="981"/>
        <w:gridCol w:w="864"/>
        <w:gridCol w:w="869"/>
        <w:gridCol w:w="211"/>
        <w:gridCol w:w="976"/>
        <w:gridCol w:w="109"/>
        <w:gridCol w:w="109"/>
        <w:gridCol w:w="109"/>
        <w:gridCol w:w="109"/>
        <w:gridCol w:w="211"/>
        <w:gridCol w:w="976"/>
        <w:gridCol w:w="154"/>
      </w:tblGrid>
      <w:tr>
        <w:trPr/>
        <w:tc>
          <w:tcPr>
            <w:tcW w:w="98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through five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2,876,343 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2,723,541 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Aging of Unrealized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investment portfolio had gross unrealized losses of $95.5 million, of which $95.1 million were associated with securities that had been in an unrealized loss position for a period of twelve months or longer. As of December 31, 2024, the investment portfolio had gross unrealized losses of $158.6 million, of which $150.8 million were associated with securities that had been in an unrealized loss position for a period of twelve months or longer. For those securities in an unrealized loss position, the length of time the securities were in such a position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tbl>
      <w:tblPr>
        <w:tblW w:w="11024" w:type="dxa"/>
        <w:jc w:val="left"/>
        <w:tblInd w:w="0" w:type="dxa"/>
        <w:tblLayout w:type="fixed"/>
        <w:tblCellMar>
          <w:top w:w="28" w:type="dxa"/>
          <w:left w:w="28" w:type="dxa"/>
          <w:bottom w:w="28" w:type="dxa"/>
          <w:right w:w="28" w:type="dxa"/>
        </w:tblCellMar>
      </w:tblPr>
      <w:tblGrid>
        <w:gridCol w:w="636"/>
        <w:gridCol w:w="282"/>
        <w:gridCol w:w="283"/>
        <w:gridCol w:w="265"/>
        <w:gridCol w:w="265"/>
        <w:gridCol w:w="266"/>
        <w:gridCol w:w="211"/>
        <w:gridCol w:w="826"/>
        <w:gridCol w:w="109"/>
        <w:gridCol w:w="233"/>
        <w:gridCol w:w="532"/>
        <w:gridCol w:w="121"/>
        <w:gridCol w:w="109"/>
        <w:gridCol w:w="109"/>
        <w:gridCol w:w="109"/>
        <w:gridCol w:w="265"/>
        <w:gridCol w:w="265"/>
        <w:gridCol w:w="266"/>
        <w:gridCol w:w="211"/>
        <w:gridCol w:w="976"/>
        <w:gridCol w:w="109"/>
        <w:gridCol w:w="211"/>
        <w:gridCol w:w="736"/>
        <w:gridCol w:w="109"/>
        <w:gridCol w:w="109"/>
        <w:gridCol w:w="109"/>
        <w:gridCol w:w="109"/>
        <w:gridCol w:w="265"/>
        <w:gridCol w:w="265"/>
        <w:gridCol w:w="266"/>
        <w:gridCol w:w="211"/>
        <w:gridCol w:w="976"/>
        <w:gridCol w:w="109"/>
        <w:gridCol w:w="211"/>
        <w:gridCol w:w="73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September 30, 2025</w:t>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299" w:type="dxa"/>
        <w:jc w:val="left"/>
        <w:tblInd w:w="0" w:type="dxa"/>
        <w:tblLayout w:type="fixed"/>
        <w:tblCellMar>
          <w:top w:w="28" w:type="dxa"/>
          <w:left w:w="28" w:type="dxa"/>
          <w:bottom w:w="28" w:type="dxa"/>
          <w:right w:w="28" w:type="dxa"/>
        </w:tblCellMar>
      </w:tblPr>
      <w:tblGrid>
        <w:gridCol w:w="664"/>
        <w:gridCol w:w="268"/>
        <w:gridCol w:w="269"/>
        <w:gridCol w:w="265"/>
        <w:gridCol w:w="265"/>
        <w:gridCol w:w="266"/>
        <w:gridCol w:w="211"/>
        <w:gridCol w:w="826"/>
        <w:gridCol w:w="109"/>
        <w:gridCol w:w="211"/>
        <w:gridCol w:w="631"/>
        <w:gridCol w:w="109"/>
        <w:gridCol w:w="109"/>
        <w:gridCol w:w="109"/>
        <w:gridCol w:w="109"/>
        <w:gridCol w:w="265"/>
        <w:gridCol w:w="265"/>
        <w:gridCol w:w="266"/>
        <w:gridCol w:w="211"/>
        <w:gridCol w:w="976"/>
        <w:gridCol w:w="109"/>
        <w:gridCol w:w="211"/>
        <w:gridCol w:w="841"/>
        <w:gridCol w:w="109"/>
        <w:gridCol w:w="109"/>
        <w:gridCol w:w="109"/>
        <w:gridCol w:w="109"/>
        <w:gridCol w:w="265"/>
        <w:gridCol w:w="265"/>
        <w:gridCol w:w="266"/>
        <w:gridCol w:w="211"/>
        <w:gridCol w:w="976"/>
        <w:gridCol w:w="109"/>
        <w:gridCol w:w="211"/>
        <w:gridCol w:w="841"/>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(158,622)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0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Amounts not identifiable due to rounding.</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we did not recognize an allowance for credit loss for any security in the investment portfolio and we did not record any provision for credit loss for investment securities during the three or nine months ended September 30, 2025 or 2024.</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evaluated the securities in an unrealized loss position as of September 30, 2025, assessing their credit ratings as well as any adverse conditions specifically related to the security. Based upon our assessment of the amount and timing of cash flows to be collected over the remaining life of each instrument, we believe the unrealized losses as of September 30, 2025 are not indicative of the ultimate collectability of the current amortized cost of the securities. Rather, the unrealized losses on securities held as of September 30, 2025 were primarily driven by fluctuations in interest rates, and to a lesser extent, movements in credit spreads following the purchase of those securities.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Net Investment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net investment income:</w:t>
      </w:r>
    </w:p>
    <w:tbl>
      <w:tblPr>
        <w:tblW w:w="8640" w:type="dxa"/>
        <w:jc w:val="left"/>
        <w:tblInd w:w="0" w:type="dxa"/>
        <w:tblLayout w:type="fixed"/>
        <w:tblCellMar>
          <w:top w:w="28" w:type="dxa"/>
          <w:left w:w="28" w:type="dxa"/>
          <w:bottom w:w="28" w:type="dxa"/>
          <w:right w:w="28" w:type="dxa"/>
        </w:tblCellMar>
      </w:tblPr>
      <w:tblGrid>
        <w:gridCol w:w="723"/>
        <w:gridCol w:w="635"/>
        <w:gridCol w:w="637"/>
        <w:gridCol w:w="278"/>
        <w:gridCol w:w="952"/>
        <w:gridCol w:w="143"/>
        <w:gridCol w:w="143"/>
        <w:gridCol w:w="143"/>
        <w:gridCol w:w="143"/>
        <w:gridCol w:w="278"/>
        <w:gridCol w:w="952"/>
        <w:gridCol w:w="143"/>
        <w:gridCol w:w="109"/>
        <w:gridCol w:w="109"/>
        <w:gridCol w:w="109"/>
        <w:gridCol w:w="270"/>
        <w:gridCol w:w="925"/>
        <w:gridCol w:w="139"/>
        <w:gridCol w:w="139"/>
        <w:gridCol w:w="139"/>
        <w:gridCol w:w="139"/>
        <w:gridCol w:w="270"/>
        <w:gridCol w:w="925"/>
        <w:gridCol w:w="197"/>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income</w:t>
            </w:r>
            <w:r>
              <w:rPr>
                <w:color w:val="000000"/>
              </w:rPr>
              <w:t xml:space="preserve"> </w:t>
            </w:r>
            <w:r>
              <w:rPr>
                <w:rFonts w:ascii="Times New Roman;serif" w:hAnsi="Times New Roman;serif"/>
                <w:b w:val="false"/>
                <w:color w:val="000000"/>
                <w:sz w:val="13"/>
              </w:rPr>
              <w:t>(1)</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62,598 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interest income recognized on cash and cash equivalents of $0.9 million and $2.9 million during the three and nine months ended September 30, 2025, respectively, and $1.3 million and $4.2 million during the three and nine months ended September 30, 2024, respectively.</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180" w:after="180"/>
        <w:jc w:val="both"/>
        <w:rPr/>
      </w:pPr>
      <w:r>
        <w:rPr/>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net realized investment gains (losses):</w:t>
      </w:r>
    </w:p>
    <w:tbl>
      <w:tblPr>
        <w:tblW w:w="9817" w:type="dxa"/>
        <w:jc w:val="left"/>
        <w:tblInd w:w="0" w:type="dxa"/>
        <w:tblLayout w:type="fixed"/>
        <w:tblCellMar>
          <w:top w:w="28" w:type="dxa"/>
          <w:left w:w="28" w:type="dxa"/>
          <w:bottom w:w="28" w:type="dxa"/>
          <w:right w:w="28" w:type="dxa"/>
        </w:tblCellMar>
      </w:tblPr>
      <w:tblGrid>
        <w:gridCol w:w="1148"/>
        <w:gridCol w:w="1006"/>
        <w:gridCol w:w="1011"/>
        <w:gridCol w:w="359"/>
        <w:gridCol w:w="793"/>
        <w:gridCol w:w="185"/>
        <w:gridCol w:w="185"/>
        <w:gridCol w:w="185"/>
        <w:gridCol w:w="185"/>
        <w:gridCol w:w="359"/>
        <w:gridCol w:w="742"/>
        <w:gridCol w:w="185"/>
        <w:gridCol w:w="109"/>
        <w:gridCol w:w="109"/>
        <w:gridCol w:w="109"/>
        <w:gridCol w:w="347"/>
        <w:gridCol w:w="767"/>
        <w:gridCol w:w="179"/>
        <w:gridCol w:w="179"/>
        <w:gridCol w:w="179"/>
        <w:gridCol w:w="179"/>
        <w:gridCol w:w="347"/>
        <w:gridCol w:w="717"/>
        <w:gridCol w:w="253"/>
      </w:tblGrid>
      <w:tr>
        <w:trPr/>
        <w:tc>
          <w:tcPr>
            <w:tcW w:w="114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investment gains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investment losses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gains (losses)</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3. Fair Value of Financial Instruments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valuation techniques used by us to determine the fair value of our financial instruments: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Assets Classified as Level 1 and Level 2</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0" w:after="18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level within the fair value hierarchy at which our financial instruments were measured:</w:t>
      </w:r>
    </w:p>
    <w:tbl>
      <w:tblPr>
        <w:tblW w:w="10205" w:type="dxa"/>
        <w:jc w:val="left"/>
        <w:tblInd w:w="0" w:type="dxa"/>
        <w:tblLayout w:type="fixed"/>
        <w:tblCellMar>
          <w:top w:w="28" w:type="dxa"/>
          <w:left w:w="28" w:type="dxa"/>
          <w:bottom w:w="28" w:type="dxa"/>
          <w:right w:w="28" w:type="dxa"/>
        </w:tblCellMar>
      </w:tblPr>
      <w:tblGrid>
        <w:gridCol w:w="1522"/>
        <w:gridCol w:w="1257"/>
        <w:gridCol w:w="1267"/>
        <w:gridCol w:w="250"/>
        <w:gridCol w:w="981"/>
        <w:gridCol w:w="129"/>
        <w:gridCol w:w="109"/>
        <w:gridCol w:w="109"/>
        <w:gridCol w:w="109"/>
        <w:gridCol w:w="224"/>
        <w:gridCol w:w="1037"/>
        <w:gridCol w:w="115"/>
        <w:gridCol w:w="109"/>
        <w:gridCol w:w="109"/>
        <w:gridCol w:w="109"/>
        <w:gridCol w:w="318"/>
        <w:gridCol w:w="612"/>
        <w:gridCol w:w="166"/>
        <w:gridCol w:w="109"/>
        <w:gridCol w:w="109"/>
        <w:gridCol w:w="109"/>
        <w:gridCol w:w="211"/>
        <w:gridCol w:w="976"/>
        <w:gridCol w:w="159"/>
      </w:tblGrid>
      <w:tr>
        <w:trPr/>
        <w:tc>
          <w:tcPr>
            <w:tcW w:w="152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September 30, 2025</w:t>
            </w:r>
          </w:p>
        </w:tc>
        <w:tc>
          <w:tcPr>
            <w:tcW w:w="615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2,113,879 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2,113,879 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351,993 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2,794,006 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3,145,999 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4046"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39"/>
        <w:gridCol w:w="1252"/>
        <w:gridCol w:w="1256"/>
        <w:gridCol w:w="250"/>
        <w:gridCol w:w="981"/>
        <w:gridCol w:w="129"/>
        <w:gridCol w:w="109"/>
        <w:gridCol w:w="109"/>
        <w:gridCol w:w="109"/>
        <w:gridCol w:w="224"/>
        <w:gridCol w:w="1037"/>
        <w:gridCol w:w="115"/>
        <w:gridCol w:w="109"/>
        <w:gridCol w:w="109"/>
        <w:gridCol w:w="109"/>
        <w:gridCol w:w="318"/>
        <w:gridCol w:w="612"/>
        <w:gridCol w:w="166"/>
        <w:gridCol w:w="109"/>
        <w:gridCol w:w="109"/>
        <w:gridCol w:w="109"/>
        <w:gridCol w:w="211"/>
        <w:gridCol w:w="976"/>
        <w:gridCol w:w="158"/>
      </w:tblGrid>
      <w:tr>
        <w:trPr/>
        <w:tc>
          <w:tcPr>
            <w:tcW w:w="153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61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635,245 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635,245 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252,984 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2,524,865 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2,777,849 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2 and Level 3 of the fair value hierarchy during the nine months ended September 30, 2025 or the year ended December 31, 2024.</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Financial Instruments Not Measured at Fair Value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21, 2024, we issued $425 million aggregate principal amount of senior unsecured notes that mature on August 15, 2029 (the 2024 Notes). Proceeds from the 2024 Notes offering were primarily used to repay our then outstanding $400 million senior secured notes (the 2020 Notes). At September 30, 2025, the 2024 Notes were carried at a cost of $416.5 million, net of unamortized debt issuance costs and an original issue discount totaling $8.5 million, and had a fair value of $440.5 million as assessed under our Level 2 hierarchy. At December 31, 2024, the 2024 Notes were carried at a cost of $415.1 million, net of unamortized debt issuance costs and an original issue discount totaling $9.9 million, and had a fair value of $429.6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4. Debt</w:t>
      </w:r>
    </w:p>
    <w:p>
      <w:pPr>
        <w:pStyle w:val="TextBody"/>
        <w:bidi w:val="0"/>
        <w:spacing w:lineRule="auto" w:line="288" w:before="0" w:after="180"/>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Senior Unsecured Notes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we had $425 million aggregate principal amount of senior unsecured notes outstanding. The 2024 Notes were issued pursuant to an indenture dated May 21, 2024 and bear interest at a rate of 6.00%, payable semi-annually on February 15 and August 15.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2024 Notes mature on August 15, 2029. We may elect to redeem the 2024 Notes in whole or in part at any time prior to July 15, 2029 at a price equal to the greater of (1) the aggregate principal balance outstanding plus the present value of all future interest payments due through July 15, 2029, and (2) the aggregate principal balance due plus any accrued and unpaid interest. We may elect to redeem the 2024 Notes in whole or in part at any time on or after July 15, 2029 at a price equal to 100%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jc w:val="both"/>
        <w:rPr/>
      </w:pPr>
      <w:r>
        <w:rPr>
          <w:rFonts w:ascii="Times New Roman;serif" w:hAnsi="Times New Roman;serif"/>
          <w:b w:val="false"/>
          <w:color w:val="000000"/>
          <w:sz w:val="20"/>
        </w:rPr>
        <w:t>of the aggregate principal amount of the 2024 Notes to be redeemed plus accrued and unpaid interest thereon</w:t>
      </w:r>
      <w:r>
        <w:rPr>
          <w:rFonts w:ascii="Times New Roman;serif" w:hAnsi="Times New Roman;serif"/>
          <w:b w:val="false"/>
          <w:color w:val="000000"/>
          <w:sz w:val="24"/>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2024 Notes offering, we recorded capitalized debt issuance costs and an original issue discount of $10.9 million. Such amount will be amortized over the contractual life of the 2024 Notes using the effective interest method and included in interest expense. The effective interest rate on the 2024 Notes is 6.583%. At September 30, 2025 and December 31, 2024, $8.5 million and $9.9 million, respectively, of unamortized debt issuance costs and original issue discount remained.</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At September 30, 2025 and December 31, 2024, $3.3 million and $15.6 million, respectively, of accrued and unpaid interest on the 2024 Notes was included in </w:t>
      </w:r>
      <w:r>
        <w:rPr>
          <w:color w:val="000000"/>
        </w:rPr>
        <w:t>“</w:t>
      </w:r>
      <w:r>
        <w:rPr>
          <w:rFonts w:ascii="Times New Roman;serif" w:hAnsi="Times New Roman;serif"/>
          <w:b w:val="false"/>
          <w:i/>
          <w:color w:val="000000"/>
          <w:sz w:val="20"/>
        </w:rPr>
        <w:t>Accounts Payable and Accrued Expenses”</w:t>
      </w:r>
      <w:r>
        <w:rPr>
          <w:color w:val="000000"/>
        </w:rPr>
        <w:t xml:space="preserve"> </w:t>
      </w:r>
      <w:r>
        <w:rPr>
          <w:rFonts w:ascii="Times New Roman;serif" w:hAnsi="Times New Roman;serif"/>
          <w:b w:val="false"/>
          <w:color w:val="000000"/>
          <w:sz w:val="20"/>
        </w:rPr>
        <w:t>on our condensed consolidated balance sheets.</w:t>
      </w:r>
    </w:p>
    <w:p>
      <w:pPr>
        <w:pStyle w:val="TextBody"/>
        <w:bidi w:val="0"/>
        <w:spacing w:lineRule="auto" w:line="288" w:before="0" w:after="180"/>
        <w:ind w:left="0" w:right="0" w:firstLine="720"/>
        <w:jc w:val="both"/>
        <w:rPr/>
      </w:pPr>
      <w:r>
        <w:rPr>
          <w:rFonts w:ascii="Times New Roman;serif" w:hAnsi="Times New Roman;serif"/>
          <w:b w:val="false"/>
          <w:color w:val="000000"/>
          <w:sz w:val="20"/>
        </w:rPr>
        <w:t>During the nine months ended September 30, 2024, we recorded a $6.8 million loss related to the redemption of the 2020 Notes in “</w:t>
      </w: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on our condensed consolidated statements of comprehensive income.</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29, 2024, we entered into a new $250 million five-year unsecured revolving credit facility (the 2024 Revolving Credit Facility) to replace our then outstanding $250 million four-year secured revolving credit facility (the 2021 Revolving Credit Facility). The 2024 Revolving Credit Facility matures on May 21, 2029. Borrowings under the 2024 Revolving Credit Facility may be used for general corporate purposes, including to support growth, new business production and operations, and accrue interest at a variable rate equal to, at our discretion, (i) a Base Rate (as defined in the 2024 Revolving Credit Facility) subject to a floor of 1.00% per annum plus a margin of 0.375% to 1.875% per annum, or (ii) the Adjusted Term Secured Overnight Financing Rate (SOFR, as defined in the 2024 Revolving Credit Facility) plus a margin of 1.375% to 2.875% per annum, with the margin in each of (i) or (ii) based on our applicable corporate credit rating at the time. As of September 30, 2025 and December 31, 2024, no amounts were drawn under the 2024 Revolving Credit Facility.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2024 Revolving Credit Facility, we are required to pay a quarterly commitment fee on the average daily undrawn amount of 0.175% to 0.525%, based on the applicable corporate credit rating at the time. As of September 30, 2025, the applicable commitment fee was 0.225%. For the three and nine months ended September 30, 2025, we recorded $0.1 million and $0.4 million, respectively, of commitment fees in interest expense.</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We incurred debt issuance costs of $2.1 million in connection with the 2024 Revolving Credit Facility and had $0.6 million of unamortized debt issuance costs associated with the 2021 Revolving Credit Facility remaining at the time of its replacement. Combined unamortized debt issuance costs are amortized through interest expense on a straight-line basis over the contractual life of the 2024 Revolving Credit Facility. At September 30, 2025 and December 31, 2024, remaining unamortized deferred debt issuance costs of $1.9 million and $2.3 million, respectively, were recorded in </w:t>
      </w:r>
      <w:r>
        <w:rPr>
          <w:color w:val="000000"/>
        </w:rPr>
        <w:t>“</w:t>
      </w:r>
      <w:r>
        <w:rPr>
          <w:rFonts w:ascii="Times New Roman;serif" w:hAnsi="Times New Roman;serif"/>
          <w:b w:val="false"/>
          <w:i/>
          <w:color w:val="000000"/>
          <w:sz w:val="20"/>
        </w:rPr>
        <w:t xml:space="preserve">Other Assets” </w:t>
      </w:r>
      <w:r>
        <w:rPr>
          <w:rFonts w:ascii="Times New Roman;serif" w:hAnsi="Times New Roman;serif"/>
          <w:b w:val="false"/>
          <w:color w:val="000000"/>
          <w:sz w:val="20"/>
        </w:rPr>
        <w:t>on our condensed consolidated balance sheets.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2024 Revolving Credit Facility we are subject to certain covenants, including a maximum debt-to-total capitalization ratio of 35%, a minimum consolidated net worth requirement (as defined therein), and a requirement to maintain compliance with the financial standards prescribed by the private mortgage insurer eligibility requirements (PMIERs). We were in compliance with all covenants at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5. Reinsurance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effect of our reinsurance agreements on premiums written and earned is as follows:</w:t>
      </w:r>
    </w:p>
    <w:tbl>
      <w:tblPr>
        <w:tblW w:w="8509" w:type="dxa"/>
        <w:jc w:val="left"/>
        <w:tblInd w:w="0" w:type="dxa"/>
        <w:tblLayout w:type="fixed"/>
        <w:tblCellMar>
          <w:top w:w="28" w:type="dxa"/>
          <w:left w:w="28" w:type="dxa"/>
          <w:bottom w:w="28" w:type="dxa"/>
          <w:right w:w="28" w:type="dxa"/>
        </w:tblCellMar>
      </w:tblPr>
      <w:tblGrid>
        <w:gridCol w:w="674"/>
        <w:gridCol w:w="591"/>
        <w:gridCol w:w="595"/>
        <w:gridCol w:w="256"/>
        <w:gridCol w:w="1003"/>
        <w:gridCol w:w="132"/>
        <w:gridCol w:w="132"/>
        <w:gridCol w:w="132"/>
        <w:gridCol w:w="132"/>
        <w:gridCol w:w="256"/>
        <w:gridCol w:w="1003"/>
        <w:gridCol w:w="132"/>
        <w:gridCol w:w="109"/>
        <w:gridCol w:w="109"/>
        <w:gridCol w:w="109"/>
        <w:gridCol w:w="249"/>
        <w:gridCol w:w="976"/>
        <w:gridCol w:w="128"/>
        <w:gridCol w:w="128"/>
        <w:gridCol w:w="128"/>
        <w:gridCol w:w="128"/>
        <w:gridCol w:w="249"/>
        <w:gridCol w:w="976"/>
        <w:gridCol w:w="182"/>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499,931 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Ceded </w:t>
            </w:r>
            <w:r>
              <w:rPr>
                <w:rFonts w:ascii="Times New Roman;serif" w:hAnsi="Times New Roman;serif"/>
                <w:b w:val="false"/>
                <w:color w:val="000000"/>
                <w:sz w:val="13"/>
              </w:rPr>
              <w:t>(1)</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146,960 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136,681 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434,399 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400,740 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520,634 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Ceded </w:t>
            </w:r>
            <w:r>
              <w:rPr>
                <w:rFonts w:ascii="Times New Roman;serif" w:hAnsi="Times New Roman;serif"/>
                <w:b w:val="false"/>
                <w:color w:val="000000"/>
                <w:sz w:val="13"/>
              </w:rPr>
              <w:t>(1)</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(99,411)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(99,466)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151,323 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143,343 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449,755 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421,168 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Net of profit commission.</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Quota Share Reinsurance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is party to eight quota share reinsurance treaties – the 2018 QSR Transaction, effective January 1, 2018 and as modified April 1, 2025, the 2020 QSR Transaction, effective April 1, 2020 and as amended January 1, 2024, the 2021 QSR Transaction, effective January 1, 2021 and as modified July 1, 2025, the 2022 QSR Transaction, effective October 1, 2021, the 2022 Seasoned QSR Transaction, effective July 1, 2022, the 2023 QSR Transaction, effective January 1, 2023, the 2024 QSR Transaction, effective January 1, 2024, and the 2025 QSR Transaction, effective January 1, 2025 – which we refer to collectively as the QSR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each of the QSR Transactions, NMIC cedes a proportional share of its risk on eligible policies to panels of third-party reinsurance providers in exchange for reimbursement of ceded claims and claim expenses on covered policies, a ceding commission and a profit commission (up to a contractually defined maximum) that varies directly and inversely with ceded claims.</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w:t>
      </w:r>
      <w:r>
        <w:rPr>
          <w:rFonts w:ascii="Times New Roman;serif" w:hAnsi="Times New Roman;serif"/>
          <w:b w:val="false"/>
          <w:i/>
          <w:color w:val="000000"/>
          <w:sz w:val="20"/>
        </w:rPr>
        <w:t>i.e.</w:t>
      </w:r>
      <w:r>
        <w:rPr>
          <w:rFonts w:ascii="Times New Roman;serif" w:hAnsi="Times New Roman;serif"/>
          <w:b w:val="false"/>
          <w:color w:val="000000"/>
          <w:sz w:val="20"/>
        </w:rPr>
        <w:t>, reinsurers continue providing coverage on all risk ceded prior to the termination date, with no new cessions going forward) or cut-off basis (</w:t>
      </w:r>
      <w:r>
        <w:rPr>
          <w:rFonts w:ascii="Times New Roman;serif" w:hAnsi="Times New Roman;serif"/>
          <w:b w:val="false"/>
          <w:i/>
          <w:color w:val="000000"/>
          <w:sz w:val="20"/>
        </w:rPr>
        <w:t>i.e.</w:t>
      </w:r>
      <w:r>
        <w:rPr>
          <w:rFonts w:ascii="Times New Roman;serif" w:hAnsi="Times New Roman;serif"/>
          <w:b w:val="false"/>
          <w:color w:val="000000"/>
          <w:sz w:val="20"/>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third-party reinsurance providers that is party to the QSR Transactions has an insurer financial strength rating of A- or better by S&amp;P, A.M. Best or both.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inception date, covered production period, contractual and optional termination dates, current cession rate, ceding commission and profit commission for each outstanding QSR Transaction. Current amounts are presented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tbl>
      <w:tblPr>
        <w:tblW w:w="10205" w:type="dxa"/>
        <w:jc w:val="left"/>
        <w:tblInd w:w="0" w:type="dxa"/>
        <w:tblLayout w:type="fixed"/>
        <w:tblCellMar>
          <w:top w:w="28" w:type="dxa"/>
          <w:left w:w="28" w:type="dxa"/>
          <w:bottom w:w="28" w:type="dxa"/>
          <w:right w:w="28" w:type="dxa"/>
        </w:tblCellMar>
      </w:tblPr>
      <w:tblGrid>
        <w:gridCol w:w="395"/>
        <w:gridCol w:w="347"/>
        <w:gridCol w:w="287"/>
        <w:gridCol w:w="281"/>
        <w:gridCol w:w="281"/>
        <w:gridCol w:w="282"/>
        <w:gridCol w:w="375"/>
        <w:gridCol w:w="375"/>
        <w:gridCol w:w="377"/>
        <w:gridCol w:w="109"/>
        <w:gridCol w:w="109"/>
        <w:gridCol w:w="109"/>
        <w:gridCol w:w="405"/>
        <w:gridCol w:w="405"/>
        <w:gridCol w:w="406"/>
        <w:gridCol w:w="109"/>
        <w:gridCol w:w="109"/>
        <w:gridCol w:w="109"/>
        <w:gridCol w:w="392"/>
        <w:gridCol w:w="392"/>
        <w:gridCol w:w="393"/>
        <w:gridCol w:w="109"/>
        <w:gridCol w:w="109"/>
        <w:gridCol w:w="109"/>
        <w:gridCol w:w="335"/>
        <w:gridCol w:w="335"/>
        <w:gridCol w:w="336"/>
        <w:gridCol w:w="109"/>
        <w:gridCol w:w="109"/>
        <w:gridCol w:w="109"/>
        <w:gridCol w:w="355"/>
        <w:gridCol w:w="355"/>
        <w:gridCol w:w="356"/>
        <w:gridCol w:w="109"/>
        <w:gridCol w:w="109"/>
        <w:gridCol w:w="109"/>
        <w:gridCol w:w="321"/>
        <w:gridCol w:w="321"/>
        <w:gridCol w:w="463"/>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Inception Date</w:t>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Covered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Contractual 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Optional 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Ceding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Ceding 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Profit Commission</w:t>
            </w:r>
          </w:p>
        </w:tc>
      </w:tr>
      <w:tr>
        <w:trPr/>
        <w:tc>
          <w:tcPr>
            <w:tcW w:w="1029"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2018 QSR</w:t>
            </w:r>
          </w:p>
        </w:tc>
        <w:tc>
          <w:tcPr>
            <w:tcW w:w="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1/1/2018</w:t>
            </w:r>
          </w:p>
        </w:tc>
        <w:tc>
          <w:tcPr>
            <w:tcW w:w="1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1/1/2018 – 12/31/2018 </w:t>
            </w:r>
          </w:p>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1/1/2019 – 12/31/2019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12/31/2022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21% </w:t>
            </w:r>
          </w:p>
          <w:p>
            <w:pPr>
              <w:pStyle w:val="TableContents"/>
              <w:bidi w:val="0"/>
              <w:spacing w:lineRule="auto" w:line="240" w:before="0" w:after="0"/>
              <w:jc w:val="center"/>
              <w:rPr/>
            </w:pPr>
            <w:r>
              <w:rPr>
                <w:rFonts w:ascii="Times New Roman;serif" w:hAnsi="Times New Roman;serif"/>
                <w:b w:val="false"/>
                <w:color w:val="000000"/>
                <w:sz w:val="19"/>
              </w:rPr>
              <w:t xml:space="preserve">17% </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up to 61%</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2020 QSR</w:t>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4/1/2020</w:t>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4/1/2020 – 12/31/2020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12/31/2025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up to 50%</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2021 QSR</w:t>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1/1/2021</w:t>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1/1/2021 – 10/30/2021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12/31/2024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up to 54%</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2022 QSR</w:t>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10/1/2021</w:t>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10/30/2021 – 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12/31/2024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up to 62%</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2022 Seasoned QSR</w:t>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7/1/2022</w:t>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1/1/2013 – 12/31/2016 </w:t>
            </w:r>
          </w:p>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7/1/2019 –3/31/2020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6/30/2032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6/30/2025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95% </w:t>
            </w: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up to 55%</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2023 QSR</w:t>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1/1/2023</w:t>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1/1/2023 – 12/31/2023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12/31/2025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up to 62%</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2024 QSR</w:t>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1/1/2024</w:t>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1/1/2024 – 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12/31/2027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up to 56%</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2025 QSR</w:t>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1/1/2025</w:t>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1/1/2025 – 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12/31/2027 </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up to 62%</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NMIC has the option, based on certain conditions and subject to a termination fee, to terminate the agreement as of the optional termination date, or at the end of any calendar quarter thereafter which could result in NMIC recapturing the related risk.</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NMIC has the option, based on certain conditions and subject to a termination fee, to terminate the agreement as of the optional termination, or semi-annually thereafter, which could result in NMIC recapturing the related risk.</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NMIC has the option, based on certain conditions, to terminate the agreement as of June 30, 2025 or quarterly thereafter through December 31, 2027 with the payment of a termination fee, and as of March 31, 2028 or quarterly thereafter without the payment of a termination fee. Such termination could result in NMIC recapturing the related risk.</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NMIC also holds a clean-up call that provides for termination of the agreement at its election at any time on or after the date the risk on remaining covered policies falls to 10% or less of the risk on covered policies at December 31,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Under the terms of the 2018 QSR Transaction, NMIC cedes premiums earned related to 21% of the risk on eligible policies written in 2018 and 17% of the risk on eligible policies written in 2019.</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    Under the terms of the 2022 Seasoned QSR Transaction, NMIC cedes premiums earned related to 95% of the risk on eligible policies after the consideration of coverage provided by other QSR transactions.</w:t>
      </w:r>
    </w:p>
    <w:p>
      <w:pPr>
        <w:pStyle w:val="TextBody"/>
        <w:bidi w:val="0"/>
        <w:spacing w:before="0" w:after="0"/>
        <w:ind w:left="0" w:right="0" w:hanging="360"/>
        <w:jc w:val="both"/>
        <w:rPr/>
      </w:pPr>
      <w:r>
        <w:rPr/>
      </w:r>
    </w:p>
    <w:p>
      <w:pPr>
        <w:pStyle w:val="TextBody"/>
        <w:bidi w:val="0"/>
        <w:spacing w:lineRule="auto" w:line="268" w:before="0" w:after="19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Concurrent with the placement of the 2025 QSR Transaction, NMIC entered into two additional sequential quota share reinsurance treaties that will provide coverage for mortgage insurance policies to be written in 2026 and 2027 (the 2026 QSR Transaction and 2027 QSR Transaction). Under the terms of the 2026 QSR Transaction, NMIC will cede premiums earned related to 20% of the risk on eligible policies written between January 1, 2026 and December 31, 2026. Under the terms of the 2027 QSR Transaction, NMIC will cede premiums earned related to 12% of the risk on eligible policies written between January 1, 2027 and December 31, 2027.</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amounts related to the QSR Transactions:</w:t>
      </w:r>
    </w:p>
    <w:tbl>
      <w:tblPr>
        <w:tblW w:w="10205" w:type="dxa"/>
        <w:jc w:val="left"/>
        <w:tblInd w:w="0" w:type="dxa"/>
        <w:tblLayout w:type="fixed"/>
        <w:tblCellMar>
          <w:top w:w="28" w:type="dxa"/>
          <w:left w:w="28" w:type="dxa"/>
          <w:bottom w:w="28" w:type="dxa"/>
          <w:right w:w="28" w:type="dxa"/>
        </w:tblCellMar>
      </w:tblPr>
      <w:tblGrid>
        <w:gridCol w:w="1089"/>
        <w:gridCol w:w="959"/>
        <w:gridCol w:w="962"/>
        <w:gridCol w:w="231"/>
        <w:gridCol w:w="1190"/>
        <w:gridCol w:w="119"/>
        <w:gridCol w:w="109"/>
        <w:gridCol w:w="109"/>
        <w:gridCol w:w="109"/>
        <w:gridCol w:w="231"/>
        <w:gridCol w:w="1190"/>
        <w:gridCol w:w="119"/>
        <w:gridCol w:w="109"/>
        <w:gridCol w:w="109"/>
        <w:gridCol w:w="109"/>
        <w:gridCol w:w="231"/>
        <w:gridCol w:w="1190"/>
        <w:gridCol w:w="119"/>
        <w:gridCol w:w="109"/>
        <w:gridCol w:w="109"/>
        <w:gridCol w:w="109"/>
        <w:gridCol w:w="231"/>
        <w:gridCol w:w="1187"/>
        <w:gridCol w:w="176"/>
      </w:tblGrid>
      <w:tr>
        <w:trPr/>
        <w:tc>
          <w:tcPr>
            <w:tcW w:w="108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nine months ended</w:t>
            </w:r>
          </w:p>
        </w:tc>
      </w:tr>
      <w:tr>
        <w:trPr/>
        <w:tc>
          <w:tcPr>
            <w:tcW w:w="3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risk-in-force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12,699,082 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12,968,039 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12,699,082 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12,968,039 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(124,585)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Ceded claims and claim expenses </w:t>
            </w:r>
            <w:r>
              <w:rPr>
                <w:rFonts w:ascii="Times New Roman;serif" w:hAnsi="Times New Roman;serif"/>
                <w:b w:val="false"/>
                <w:color w:val="000000"/>
                <w:sz w:val="13"/>
              </w:rPr>
              <w:t>(1)</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Ceding commission earned</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commission</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a $0.3 million termination fee for the nine months ended September 30, 2025 incurred in connection with the termination of the 2016 QSR Transaction and amendment of the 2018 and 2021 QSR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QSR Transactions, payments for ceded premiums earned are accrued and settled on a quarterly basis, offset by amounts due to NMIC for ceding commissions, profit commissions and loss recoveries. Ceded claims and claim expenses reduce the profit commission due to NMIC under each respective QSR Transaction on a dollar-for-dollar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NMIC's reinsurance recoverable balance is supported by collateral trust accounts established and maintained by each reinsurer in accordance with the terms of the QSR Transactions and the PMIERs funding requirements for risk ceded to non-affiliates. The aggregate reinsurance recoverable on loss reserves related to the QSR Transactions was $35.3 million and $31.2 million as of September 30, 2025 and December 31, 2024, respectively. The reinsurance recoverable on loss reserves as of December 31, 2024 included $1.1 million related to the 2016 QSR Transaction, which was terminated as of July 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remain directly liable for all claim payments if we are unable to collect the recoverables due from our reinsurers and establish an allowance for expected credit loss against our reinsurance recoverable if we do not expect to recover amounts due from one or more of our reinsurance counterparties. Our reinsurance recoverable is reported net of such allowance, if any. We actively monitor the counterparty credit profiles of our reinsurers and each is required to partially collateralize its obligations under the terms of the QSR Transactions. The allowance for credit loss established against our reinsurance recoverable was deemed immaterial as of September 30, 2025 and December 31, 2024.</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Excess-of-loss Reinsurance</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Traditional Reinsurance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is party to seven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 2023, the 2024 XOL Transaction, effective January 1, 2024, and the 2025 XOL Transaction, effective January 1, 2025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the XOL Transactions, NMIC makes risk premium payments to its third-party reinsurance providers for the outstanding reinsurance coverage amount and ceded aggregate premiums earned of $10.7 million and $31.2 million during the three and nine months ended September 30, 2025, respectively, and $9.8 million and $28.4 million during the three and nine months ended September 30, 2024, respectively. NMIC applies claims paid on covered policies against its first layer aggregate retained loss exposure under each agreement. NMIC did not cede any incurred losses on covered policies under the XOL Transactions during the three and nine months ended September 30, 2025 and 2024, as the aggregate first layer risk retention for each agreement was not exhausted during such periods.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third-party reinsurance providers that is party to the XOL Transactions has an insurer financial strength rating of A- or better by S&amp;P Global Ratings (S&amp;P), A.M. Best Company Inc. (A.M. Best) or both.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inception date, covered production period, initial and current reinsurance coverage amount, and initial and current first layer retained aggregate loss under each outstanding XOL Transaction. Current amounts are presented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tbl>
      <w:tblPr>
        <w:tblW w:w="10205" w:type="dxa"/>
        <w:jc w:val="left"/>
        <w:tblInd w:w="0" w:type="dxa"/>
        <w:tblLayout w:type="fixed"/>
        <w:tblCellMar>
          <w:top w:w="28" w:type="dxa"/>
          <w:left w:w="28" w:type="dxa"/>
          <w:bottom w:w="28" w:type="dxa"/>
          <w:right w:w="28" w:type="dxa"/>
        </w:tblCellMar>
      </w:tblPr>
      <w:tblGrid>
        <w:gridCol w:w="369"/>
        <w:gridCol w:w="324"/>
        <w:gridCol w:w="325"/>
        <w:gridCol w:w="304"/>
        <w:gridCol w:w="304"/>
        <w:gridCol w:w="305"/>
        <w:gridCol w:w="397"/>
        <w:gridCol w:w="397"/>
        <w:gridCol w:w="398"/>
        <w:gridCol w:w="109"/>
        <w:gridCol w:w="109"/>
        <w:gridCol w:w="109"/>
        <w:gridCol w:w="255"/>
        <w:gridCol w:w="999"/>
        <w:gridCol w:w="131"/>
        <w:gridCol w:w="109"/>
        <w:gridCol w:w="109"/>
        <w:gridCol w:w="109"/>
        <w:gridCol w:w="258"/>
        <w:gridCol w:w="1013"/>
        <w:gridCol w:w="133"/>
        <w:gridCol w:w="109"/>
        <w:gridCol w:w="109"/>
        <w:gridCol w:w="109"/>
        <w:gridCol w:w="264"/>
        <w:gridCol w:w="1034"/>
        <w:gridCol w:w="136"/>
        <w:gridCol w:w="109"/>
        <w:gridCol w:w="109"/>
        <w:gridCol w:w="109"/>
        <w:gridCol w:w="273"/>
        <w:gridCol w:w="1070"/>
        <w:gridCol w:w="208"/>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values in thousands)</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Inception Date</w:t>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Covered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Initial Reinsurance Coverage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First Layer Retained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Current First Layer Retained Loss </w:t>
            </w:r>
            <w:r>
              <w:rPr>
                <w:rFonts w:ascii="Times New Roman;serif" w:hAnsi="Times New Roman;serif"/>
                <w:b/>
                <w:color w:val="000000"/>
                <w:sz w:val="10"/>
              </w:rPr>
              <w:t xml:space="preserve">(1) </w:t>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2022-1 XOL </w:t>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2022</w:t>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10/1/2021 – 3/31/2022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156,776 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133,366 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2022-2 XOL</w:t>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2022</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4/1/2022 – 6/30/2022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2022-3 XOL</w:t>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 2022</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7/1/2022 – 9/30/2022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102,730 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2023-1 XOL</w:t>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2023</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10/1/2022 – 6/30/2023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143,341 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2023-2 XOL</w:t>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2023</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136,070 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XOL</w:t>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2024</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1/1/2024 – 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312,057 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2025 XOL</w:t>
            </w:r>
            <w:r>
              <w:rPr>
                <w:rFonts w:ascii="Times New Roman;serif" w:hAnsi="Times New Roman;serif"/>
                <w:b w:val="false"/>
                <w:color w:val="000000"/>
                <w:sz w:val="13"/>
              </w:rPr>
              <w:t>(4)</w:t>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233,783 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Approximately 1% of the production covered by the 2022-1 XOL Transaction has coverage reporting dates between October 21, 2019 and September 30, 2021.</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Approximately 1% of the production covered by the 2022-2 XOL Transaction has coverage reporting dates between January 4, 2021 and March 31, 2022.</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The initial reinsurance coverage, current reinsurance coverage, initial first layer retained loss and current first layer retained loss for the 2025 XOL Transaction will increase as incremental covered production is ceded under the transaction through December 31, 2025.</w:t>
      </w:r>
    </w:p>
    <w:p>
      <w:pPr>
        <w:pStyle w:val="TextBody"/>
        <w:bidi w:val="0"/>
        <w:spacing w:lineRule="auto" w:line="276"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Concurrent with the placement of the 2025 XOL, NMIC entered into an excess-of-loss reinsurance treaty that will provide aggregate coverage for mortgage insurance policies to be written in 2026 (the 2026 XOL Transaction). Under the terms of the agreement, NMIC will retain a first layer of aggregate loss exposure on covered policies and its reinsurance counterparties will then provide second layer loss protection up to a defined reinsurance coverage amount of $164.2 million. NMIC retains losses in excess of the respective reinsurance coverage amounts.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entered into an additional excess-of-loss reinsurance treaty that will provide aggregate coverage for mortgage insurance policies covered under the existing 2021-1 ILN Transaction from April 1, 2026 (the 2026-2 XOL Transaction), at the time of its early redemption. The treaty incepts on April 1, 2026 and will expire on March 31, 2036. Under the terms of the agreement, NMIC will retain a first layer of aggregate loss exposure on covered policies, and its reinsurance counterparties will then provide second layer loss protection up to a defined reinsurance coverage amount of $160 million subject to adjustment on the date of inception based on the persistency of the underlying reference pool through such date. NMIC retains losses in excess of the respective reinsurance coverage amounts.</w:t>
      </w:r>
    </w:p>
    <w:p>
      <w:pPr>
        <w:pStyle w:val="TextBody"/>
        <w:bidi w:val="0"/>
        <w:spacing w:before="0" w:after="0"/>
        <w:ind w:left="0" w:right="0" w:firstLine="720"/>
        <w:jc w:val="both"/>
        <w:rPr/>
      </w:pPr>
      <w:r>
        <w:rPr/>
      </w:r>
    </w:p>
    <w:p>
      <w:pPr>
        <w:pStyle w:val="TextBody"/>
        <w:bidi w:val="0"/>
        <w:spacing w:lineRule="auto" w:line="276"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Insurance-Linked Notes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NMIC is a party to reinsurance agreements with Oaktown Re VI Ltd. and Oaktown Re VII Ltd. (special purpose reinsurance entities collectively referred to as the Oaktown Re Vehicles) effective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makes risk premium payments to the Oaktown Re Vehicles for the applicable outstanding reinsurance coverage amount and pays an additional amount for anticipated operating expenses (capped at $250 thousand per year). NMIC ceded aggregate premiums to the Oaktown Re Vehicles of $3.0 million and $9.6 million during the three and nine months ended September 30, 2025, respectively, and $4.3 million and $16.1 million during the three and nine months ended September 30, 2024, respectively.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applies claims paid on covered policies against its first layer aggregate retained loss exposure under each excess-of-loss agreement. NMIC did not cede any incurred losses on covered policies to the Oaktown Re Vehicles during the three and nine months ended September 30, 2025 and 2024, as the aggregate first layer risk retention for each applicable agreement was not exhausted during such periods.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12.5 years from the inception date of their associated reinsurance agreement.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refer to NMIC’s reinsurance agreements with and the insurance-linked note issuances by Oaktown Re Vehicles individually as the 2021-1 ILN Transaction and 2021-2 ILN Transaction, and collectively as the ILN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respective reinsurance coverage amounts provided by the Oaktown Re Vehicles decrease over a 12.5-year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insurance-linked note principal is suspended if certain credit enhancement or delinquency thresholds, as defined in each agreement, are triggered (each, a Lock-Out Event).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inception date, covered production period, initial and current reinsurance coverage amount, and initial and current first layer retained aggregate loss under each outstanding ILN Transaction. Current amounts are presented as of September 30, 2025.</w:t>
      </w:r>
    </w:p>
    <w:tbl>
      <w:tblPr>
        <w:tblW w:w="10205" w:type="dxa"/>
        <w:jc w:val="left"/>
        <w:tblInd w:w="0" w:type="dxa"/>
        <w:tblLayout w:type="fixed"/>
        <w:tblCellMar>
          <w:top w:w="28" w:type="dxa"/>
          <w:left w:w="28" w:type="dxa"/>
          <w:bottom w:w="28" w:type="dxa"/>
          <w:right w:w="28" w:type="dxa"/>
        </w:tblCellMar>
      </w:tblPr>
      <w:tblGrid>
        <w:gridCol w:w="347"/>
        <w:gridCol w:w="305"/>
        <w:gridCol w:w="306"/>
        <w:gridCol w:w="295"/>
        <w:gridCol w:w="295"/>
        <w:gridCol w:w="296"/>
        <w:gridCol w:w="109"/>
        <w:gridCol w:w="368"/>
        <w:gridCol w:w="368"/>
        <w:gridCol w:w="369"/>
        <w:gridCol w:w="109"/>
        <w:gridCol w:w="109"/>
        <w:gridCol w:w="109"/>
        <w:gridCol w:w="241"/>
        <w:gridCol w:w="943"/>
        <w:gridCol w:w="124"/>
        <w:gridCol w:w="109"/>
        <w:gridCol w:w="109"/>
        <w:gridCol w:w="109"/>
        <w:gridCol w:w="243"/>
        <w:gridCol w:w="954"/>
        <w:gridCol w:w="125"/>
        <w:gridCol w:w="109"/>
        <w:gridCol w:w="109"/>
        <w:gridCol w:w="109"/>
        <w:gridCol w:w="246"/>
        <w:gridCol w:w="963"/>
        <w:gridCol w:w="127"/>
        <w:gridCol w:w="109"/>
        <w:gridCol w:w="109"/>
        <w:gridCol w:w="109"/>
        <w:gridCol w:w="254"/>
        <w:gridCol w:w="997"/>
        <w:gridCol w:w="131"/>
        <w:gridCol w:w="109"/>
        <w:gridCol w:w="109"/>
        <w:gridCol w:w="109"/>
        <w:gridCol w:w="164"/>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w:t>
            </w:r>
            <w:r>
              <w:rPr>
                <w:rFonts w:ascii="Times New Roman;serif" w:hAnsi="Times New Roman;serif"/>
                <w:b w:val="false"/>
                <w:i/>
                <w:color w:val="000000"/>
                <w:sz w:val="16"/>
              </w:rPr>
              <w:t>$ values in thousands)</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Inception Date</w:t>
            </w:r>
          </w:p>
        </w:tc>
        <w:tc>
          <w:tcPr>
            <w:tcW w:w="109" w:type="dxa"/>
            <w:tcBorders/>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Covered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Reinsurance Coverage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Current First Layer Retained Loss </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2021-1 ILN</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27, 2021</w:t>
            </w:r>
          </w:p>
        </w:tc>
        <w:tc>
          <w:tcPr>
            <w:tcW w:w="109" w:type="dxa"/>
            <w:tcBorders/>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10/1/2020 – 3/31/2021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367,238 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163,708 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162,246 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2021-2 ILN</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26, 2021</w:t>
            </w:r>
          </w:p>
        </w:tc>
        <w:tc>
          <w:tcPr>
            <w:tcW w:w="109" w:type="dxa"/>
            <w:tcBorders/>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4/1/2021 – 9/30/2021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Approximately 1% of the production covered by the 2021-1 ILN Transaction has coverage reporting dates between July 1, 2019 and September 30, 2020.</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Approximately 2% of the production covered by the 2021-2 ILN Transaction has coverage reporting dates between July 1, 2019 and March 31, 2021.</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Under the terms of our ILN Transactions, we are required to maintain a certain level of restricted funds in premium deposit accounts with Bank of New York Mellon until the respective notes have been redeemed in full. </w:t>
      </w:r>
      <w:r>
        <w:rPr>
          <w:color w:val="000000"/>
        </w:rPr>
        <w:t>“</w:t>
      </w: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on our condensed consolidated balance sheets includes a de minimis restricted amount as of September 30, 2025 and $0.1 million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6. Reserves for Insurance Claims and Claim Expenses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w:t>
      </w:r>
      <w:r>
        <w:rPr>
          <w:color w:val="000000"/>
        </w:rPr>
        <w:t xml:space="preserve"> </w:t>
      </w:r>
      <w:r>
        <w:rPr>
          <w:rFonts w:ascii="Times New Roman;serif" w:hAnsi="Times New Roman;serif"/>
          <w:b w:val="false"/>
          <w:color w:val="000000"/>
          <w:sz w:val="20"/>
        </w:rPr>
        <w:t>We also establish reserves for claim expenses, which represent the estimated cost of the claim administration process, including legal and other fees, as well as other general expenses of administering the claim settlement process. As of September 30, 2025, we held gross reserves for insurance claims and claim expenses of $180.3 million. During the nine months ended September 30, 2025, we paid 281 claims totaling $16.1 million, including 271 claims covered under the QSR Transactions representing $3.2 million of ceded claims and claim 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had 7,093 loans in default in our primary insured portfolio as of September 30, 2025, which represented a 1.05% default rate against 677,010 total policies in-force, and 6,642 loans in default in our primary portfolio as of December 31, 2024, which represented a 1.01% default rate against 659,567 total policies in-force. 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historical observed experience for similarly situated loans and assumptions about future macroeconomic factors.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gross reserve balances for insurance claims and claim expenses:</w:t>
      </w:r>
    </w:p>
    <w:tbl>
      <w:tblPr>
        <w:tblW w:w="7823" w:type="dxa"/>
        <w:jc w:val="left"/>
        <w:tblInd w:w="0" w:type="dxa"/>
        <w:tblLayout w:type="fixed"/>
        <w:tblCellMar>
          <w:top w:w="28" w:type="dxa"/>
          <w:left w:w="28" w:type="dxa"/>
          <w:bottom w:w="28" w:type="dxa"/>
          <w:right w:w="28" w:type="dxa"/>
        </w:tblCellMar>
      </w:tblPr>
      <w:tblGrid>
        <w:gridCol w:w="1695"/>
        <w:gridCol w:w="1488"/>
        <w:gridCol w:w="1496"/>
        <w:gridCol w:w="249"/>
        <w:gridCol w:w="976"/>
        <w:gridCol w:w="128"/>
        <w:gridCol w:w="128"/>
        <w:gridCol w:w="128"/>
        <w:gridCol w:w="128"/>
        <w:gridCol w:w="249"/>
        <w:gridCol w:w="976"/>
        <w:gridCol w:w="182"/>
      </w:tblGrid>
      <w:tr>
        <w:trPr/>
        <w:tc>
          <w:tcPr>
            <w:tcW w:w="169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123,974 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reinsurance recoverables </w:t>
            </w:r>
            <w:r>
              <w:rPr>
                <w:rFonts w:ascii="Times New Roman;serif" w:hAnsi="Times New Roman;serif"/>
                <w:b w:val="false"/>
                <w:color w:val="000000"/>
                <w:sz w:val="13"/>
              </w:rPr>
              <w:t>(1)</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net of reinsurance recoverables</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claims incurred:</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incurred:</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claims and claim expenses incurred </w:t>
            </w:r>
            <w:r>
              <w:rPr>
                <w:rFonts w:ascii="Times New Roman;serif" w:hAnsi="Times New Roman;serif"/>
                <w:b w:val="false"/>
                <w:color w:val="000000"/>
                <w:sz w:val="13"/>
              </w:rPr>
              <w:t>(4)</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paid:</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Reinsurance terminations </w:t>
            </w:r>
            <w:r>
              <w:rPr>
                <w:rFonts w:ascii="Times New Roman;serif" w:hAnsi="Times New Roman;serif"/>
                <w:b w:val="false"/>
                <w:color w:val="000000"/>
                <w:sz w:val="13"/>
              </w:rPr>
              <w:t>(5)</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and claim expenses paid</w:t>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at end of period, net of reinsurance recoverables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106,306 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reinsurance recoverables </w:t>
            </w:r>
            <w:r>
              <w:rPr>
                <w:rFonts w:ascii="Times New Roman;serif" w:hAnsi="Times New Roman;serif"/>
                <w:b w:val="false"/>
                <w:color w:val="000000"/>
                <w:sz w:val="13"/>
              </w:rPr>
              <w:t>(1)</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180,347 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135,520 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(1)    Related to ceded losses recoverable under the QSR Transactions. See Note 5, “</w:t>
      </w:r>
      <w:r>
        <w:rPr>
          <w:rFonts w:ascii="Times New Roman;serif" w:hAnsi="Times New Roman;serif"/>
          <w:b w:val="false"/>
          <w:i/>
          <w:color w:val="000000"/>
          <w:sz w:val="16"/>
        </w:rPr>
        <w:t>Reinsurance”</w:t>
      </w:r>
      <w:r>
        <w:rPr>
          <w:color w:val="000000"/>
        </w:rPr>
        <w:t xml:space="preserve"> </w:t>
      </w:r>
      <w:r>
        <w:rPr>
          <w:rFonts w:ascii="Times New Roman;serif" w:hAnsi="Times New Roman;serif"/>
          <w:b w:val="false"/>
          <w:color w:val="000000"/>
          <w:sz w:val="16"/>
        </w:rPr>
        <w:t>for additional information.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$77.2 million attributed to net case reserves and $9.8 million attributed to net IBNR reserves for the nine months ended September 30, 2025 and $63.2 million attributed to net case reserves and $7.0 million attributed to net IBNR reserves for the nine months ended September 30, 2024.</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Related to insured loans with defaults occurring in prior years, which have been continuously in default before the start of the current year. Amounts are presented net of reinsurance and included $43.2 million attributed to net case reserves and $8.1 million attributed to net IBNR reserves for the nine months ended September 30, 2025 and $49.8 million attributed to net case reserves and $6.3 million attributed to net IBNR reserves for the nine months ended September 30, 2024.</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Excludes aggregate termination fees of $0.3 million for the nine months ended September 30, 2025 incurred in connection with the termination of the 2016 QSR Transaction and amendment of the 2018 and 2021 QSR Transactions.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Represents the settlement of reinsurance recoverables in conjunction with the termination of the 2016 QSR Transaction and amendment of the 2018 and 2021 QSR Transactions.</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“claims incurred” section of the table above shows claims and claim expenses incurred on defaults occurring in current and prior years, including IBNR reserves, and is presented net of reinsurance. The amount of claims incurred relating to current year defaults increased during the nine months ended September 30, 2025 compared to the nine months ended September 30, 2024, primarily due to an increase in the total number of new delinquencies emerging during the period tied to the growth and natural seasoning of our portfolio and an increase in the average case reserve established against newly defaulted loans. Our provision for claims and claim expenses during both the nine months ended September 30, 2025 and 2024 benefited from favorable development on prior year defaults. We recognized $52.4 million and $57.2 million of favorable prior year development during the nine months ended September 30, 2025 and 2024, respectively, primarily due to cure activity and ongoing analysis of recent loss development trends. We may increase or decrease our claim estimates and reserves as we learn additional information about individual defaulted loans, and continue to observe and analyze loss development trends in our portfolio. Gross reserves of $70.6 million related to prior year defaults remained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7. Earnings per Share (EPS)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EPS is based on the weighted average number of shares of common stock outstanding. Diluted EPS is based on the weighted average number of shares of common stock outstanding and common stock equivalents that would be issuable upon the vesting of service-based and performance and service-based restricted stock units (RSUs), and the exercise of vested and unvested stock options.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net income and the weighted average shares of common stock outstanding used in the computations of basic and diluted EPS of common stock:</w:t>
      </w:r>
    </w:p>
    <w:tbl>
      <w:tblPr>
        <w:tblW w:w="10205" w:type="dxa"/>
        <w:jc w:val="left"/>
        <w:tblInd w:w="0" w:type="dxa"/>
        <w:tblLayout w:type="fixed"/>
        <w:tblCellMar>
          <w:top w:w="28" w:type="dxa"/>
          <w:left w:w="28" w:type="dxa"/>
          <w:bottom w:w="28" w:type="dxa"/>
          <w:right w:w="28" w:type="dxa"/>
        </w:tblCellMar>
      </w:tblPr>
      <w:tblGrid>
        <w:gridCol w:w="1328"/>
        <w:gridCol w:w="1143"/>
        <w:gridCol w:w="1153"/>
        <w:gridCol w:w="274"/>
        <w:gridCol w:w="939"/>
        <w:gridCol w:w="141"/>
        <w:gridCol w:w="141"/>
        <w:gridCol w:w="141"/>
        <w:gridCol w:w="141"/>
        <w:gridCol w:w="274"/>
        <w:gridCol w:w="939"/>
        <w:gridCol w:w="141"/>
        <w:gridCol w:w="109"/>
        <w:gridCol w:w="109"/>
        <w:gridCol w:w="109"/>
        <w:gridCol w:w="246"/>
        <w:gridCol w:w="967"/>
        <w:gridCol w:w="126"/>
        <w:gridCol w:w="126"/>
        <w:gridCol w:w="126"/>
        <w:gridCol w:w="126"/>
        <w:gridCol w:w="246"/>
        <w:gridCol w:w="967"/>
        <w:gridCol w:w="193"/>
      </w:tblGrid>
      <w:tr>
        <w:trPr/>
        <w:tc>
          <w:tcPr>
            <w:tcW w:w="132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per share data)</w:t>
            </w:r>
          </w:p>
        </w:tc>
      </w:tr>
      <w:tr>
        <w:trPr/>
        <w:tc>
          <w:tcPr>
            <w:tcW w:w="3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basic and diluted</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273,939 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issuable shares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81,045 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8. Segment Reporting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our business activities on a consolidated basis under a single reportable operating segment and our Chief Executive Officer (CEO) serves as our Chief Operating Decision Maker (CODM).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Mortgage Insurance segment provides private mortgage insurance and ancillary loan review services, and our CODM evaluates our performance and allocates resources based on our consolidated financial results, including consolidated revenue, expenses, net income, assets and shareholders' equity. Our CODM reviews these financial metrics to gauge our performance and make strategic decisions, such as whether to reinvest profits in our Mortgage Insurance segment or return capital to shareholders.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significant revenue and expense categories that are regularly reviewed by our CODM align with those presented on our condensed consolidated statements of operations and comprehensive income, and segment assets align with total assets as those presented on our condensed consolidated balance sheets. The accounting policies governing our Mortgage Insurance segment are the same as those described in Item 8, “</w:t>
      </w:r>
      <w:r>
        <w:rPr>
          <w:rFonts w:ascii="Times New Roman;serif" w:hAnsi="Times New Roman;serif"/>
          <w:b w:val="false"/>
          <w:i/>
          <w:color w:val="000000"/>
          <w:sz w:val="20"/>
        </w:rPr>
        <w:t>Financial Statements and Supplementary Data - Notes to Consolidated Financial Statements - Note 2 - Summary of Accounting Principles”</w:t>
      </w:r>
      <w:r>
        <w:rPr>
          <w:color w:val="000000"/>
        </w:rPr>
        <w:t xml:space="preserve"> </w:t>
      </w:r>
      <w:r>
        <w:rPr>
          <w:rFonts w:ascii="Times New Roman;serif" w:hAnsi="Times New Roman;serif"/>
          <w:b w:val="false"/>
          <w:color w:val="000000"/>
          <w:sz w:val="20"/>
        </w:rPr>
        <w:t>of our 2024 10-K.</w:t>
      </w:r>
    </w:p>
    <w:p>
      <w:pPr>
        <w:pStyle w:val="TextBody"/>
        <w:bidi w:val="0"/>
        <w:spacing w:lineRule="auto" w:line="288" w:before="0" w:after="180"/>
        <w:ind w:left="0" w:right="0" w:firstLine="720"/>
        <w:jc w:val="both"/>
        <w:rPr/>
      </w:pPr>
      <w:r>
        <w:rPr>
          <w:rFonts w:ascii="Times New Roman;serif" w:hAnsi="Times New Roman;serif"/>
          <w:b w:val="false"/>
          <w:color w:val="000000"/>
          <w:sz w:val="20"/>
        </w:rPr>
        <w:t>Investment income, also referred to as interest revenue, is reported within “</w:t>
      </w:r>
      <w:r>
        <w:rPr>
          <w:rFonts w:ascii="Times New Roman;serif" w:hAnsi="Times New Roman;serif"/>
          <w:b w:val="false"/>
          <w:i/>
          <w:color w:val="000000"/>
          <w:sz w:val="20"/>
        </w:rPr>
        <w:t>Net Investment Income</w:t>
      </w:r>
      <w:r>
        <w:rPr>
          <w:color w:val="000000"/>
        </w:rPr>
        <w:t xml:space="preserve">” </w:t>
      </w:r>
      <w:r>
        <w:rPr>
          <w:rFonts w:ascii="Times New Roman;serif" w:hAnsi="Times New Roman;serif"/>
          <w:b w:val="false"/>
          <w:color w:val="000000"/>
          <w:sz w:val="20"/>
        </w:rPr>
        <w:t>on our condensed consolidated statements of operations and was $27.1 million and $76.4 million for the three and nine months ended September 30, 2025, respectively, and $22.8 million and $63.4 million for the three and nine months ended September 30, 2024, respectively</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Amortization and depreciation expense for software, equipment, and leasehold improvements was $2.8 million and $8.6 million for the three and nine months ended September 30, 2025, respectively, and $3.0 million and $9.0 million for the three and nine months ended September 30,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U.S. taxpayer and are subject to a statutory U.S. federal corporate income tax rate of 21%. Taxable income is reported on our consolidated U.S. federal and various state income tax returns, filed by NMIH on behalf of itself and its subsidiaries. Our effective tax rate on pre-tax income was 22.4% and 22.2% for the three and nine months ended September 30, 2025, respectively, compared to 22.2% and 22.3% for the three and nine months ended September 30, 2024, respectively. Our provision for income taxes for interim reporting periods is established based on our estimated annual effective tax rate for a given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year. Our effective tax rate may fluctuate between interim periods due to the impact of discrete items not included in our estimated annual effective tax rate, including the tax effects associated with the vesting of RSUs and exercise of options. Such items are treated on a discrete basis in the reporting period in which they occur.</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and nine months ended September 30, 2025 and 2024 primarily represents a change in our net deferred tax liability. As of September 30, 2025 and December 31, 2024, we held $322.2 million of tax and loss bonds in </w:t>
      </w:r>
      <w:r>
        <w:rPr>
          <w:color w:val="000000"/>
        </w:rPr>
        <w:t>“</w:t>
      </w:r>
      <w:r>
        <w:rPr>
          <w:rFonts w:ascii="Times New Roman;serif" w:hAnsi="Times New Roman;serif"/>
          <w:b w:val="false"/>
          <w:i/>
          <w:color w:val="000000"/>
          <w:sz w:val="20"/>
        </w:rPr>
        <w:t>Prepaid Federal Income Taxes”</w:t>
      </w:r>
      <w:r>
        <w:rPr>
          <w:color w:val="000000"/>
        </w:rPr>
        <w:t xml:space="preserve"> </w:t>
      </w:r>
      <w:r>
        <w:rPr>
          <w:rFonts w:ascii="Times New Roman;serif" w:hAnsi="Times New Roman;serif"/>
          <w:b w:val="false"/>
          <w:color w:val="000000"/>
          <w:sz w:val="20"/>
        </w:rPr>
        <w:t>on our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2023, our Board of Directors authorized a $200 million share repurchase program (the 2023 Repurchase Program), effective through December 31, 2025. On February 5, 2025, our Board of Directors authorized an additional $250 million repurchase program (the 2025 Repurchase Program), effective through December 31, 2027, and extended the effectiveness of the 2023 Repurchase Program through December 31, 2027 to align its remaining tenor with that of the 2025 Repurchase Program. The authorizations provide us with the flexibility, based on market and business conditions, stock price and other factors, to repurchase stock from time to time through open market purchases, privately negotiated transactions, or other means, including pursuant to Rule 10b5-1 trading plans.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repurchased 2.0 million shares at an average price of $37.33 per share (excluding associated costs and applicable taxes). As of September 30, 2025, we had $256.4 million of repurchase authority remaining.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11. Premiums Receivable, Net </w: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receivable consists of premiums due on our mortgage insurance policies. If a mortgage insurance premium is unpaid for more than 120 days, the associated receivable is written off against earned premium and the related insurance policy is canceled. Premiums receivable may be written off prior to 120 days in the ordinary course of business for non-credit events including, but not limited to, the modification or refinancing of an underlying insured loan. We established a $1.5 million and $2.2 million reserve for premium write-offs at September 30, 2025 and December 31, 2024, respectively.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separately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 was deemed immaterial at September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12. Regulatory Information</w:t>
      </w:r>
    </w:p>
    <w:p>
      <w:pPr>
        <w:pStyle w:val="TextBody"/>
        <w:bidi w:val="0"/>
        <w:spacing w:lineRule="auto" w:line="288" w:before="0" w:after="180"/>
        <w:jc w:val="both"/>
        <w:rPr/>
      </w:pPr>
      <w:r>
        <w:rPr>
          <w:color w:val="000000"/>
        </w:rPr>
        <w:t>    </w:t>
      </w:r>
      <w:r>
        <w:rPr>
          <w:rFonts w:ascii="Times New Roman;serif" w:hAnsi="Times New Roman;serif"/>
          <w:b w:val="false"/>
          <w:i/>
          <w:color w:val="000000"/>
          <w:sz w:val="20"/>
        </w:rPr>
        <w:t>Statutory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and Re One generated combined statutory net income of $30.7 million and $98.0 million for the three and nine months ended September 30, 2025, respectively, compared to $20.0 million and $90.7 million for the three and nine months ended September 30, 2024, respectively.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NMIC's statutory surplus, contingency reserve, statutory capital and risk-to-capital (RTC) ratio as of September 30, 2025 and December 31, 2024.</w:t>
      </w:r>
    </w:p>
    <w:tbl>
      <w:tblPr>
        <w:tblW w:w="5653" w:type="dxa"/>
        <w:jc w:val="left"/>
        <w:tblInd w:w="0" w:type="dxa"/>
        <w:tblLayout w:type="fixed"/>
        <w:tblCellMar>
          <w:top w:w="28" w:type="dxa"/>
          <w:left w:w="28" w:type="dxa"/>
          <w:bottom w:w="28" w:type="dxa"/>
          <w:right w:w="28" w:type="dxa"/>
        </w:tblCellMar>
      </w:tblPr>
      <w:tblGrid>
        <w:gridCol w:w="651"/>
        <w:gridCol w:w="573"/>
        <w:gridCol w:w="576"/>
        <w:gridCol w:w="251"/>
        <w:gridCol w:w="1164"/>
        <w:gridCol w:w="130"/>
        <w:gridCol w:w="109"/>
        <w:gridCol w:w="109"/>
        <w:gridCol w:w="109"/>
        <w:gridCol w:w="244"/>
        <w:gridCol w:w="1130"/>
        <w:gridCol w:w="126"/>
        <w:gridCol w:w="109"/>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surplus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984,362 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Contingency reserve</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2,161,465 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1,905,990 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Statutory capital </w:t>
            </w:r>
            <w:r>
              <w:rPr>
                <w:rFonts w:ascii="Times New Roman;serif" w:hAnsi="Times New Roman;serif"/>
                <w:b w:val="false"/>
                <w:color w:val="000000"/>
                <w:sz w:val="13"/>
              </w:rPr>
              <w:t>(1)</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3,143,710 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2,890,352 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Risk-to-capital </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12.7:1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the total of the statutory surplus and contingency reserve.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 One had $2.1 million of statutory capital at September 30, 2025 and December 31, 2024.</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NMIH is not subject to any limitations on its ability to pay dividends except those generally applicable to corporations that are incorporated in Delaware. Delaware law provides that dividends are only payable out of a corporation's capital surplus or, subject to certain limitations, recent net profits.</w:t>
      </w:r>
      <w:r>
        <w:rPr>
          <w:color w:val="000000"/>
          <w:shd w:fill="FFFFFF" w:val="clear"/>
        </w:rPr>
        <w:t xml:space="preserve"> </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 and Re One are subject to certain rules and regulations prescribed by jurisdictions in which they are authorized to operate and the GSEs that may restrict their ability to pay dividends to NMIH.</w:t>
      </w:r>
      <w:r>
        <w:rPr>
          <w:color w:val="000000"/>
        </w:rPr>
        <w:t xml:space="preserve"> </w:t>
      </w:r>
      <w:r>
        <w:rPr>
          <w:rFonts w:ascii="Times New Roman;serif" w:hAnsi="Times New Roman;serif"/>
          <w:b w:val="false"/>
          <w:color w:val="000000"/>
          <w:sz w:val="20"/>
        </w:rPr>
        <w:t>NMIC has the capacity to pay $98.4 million of aggregate ordinary dividends to NMIH during the twelve-month period ending December 31, 2025, and, on June 2, 2025, NMIC paid a $98.4 million ordinary course dividend to NMIH.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98"/>
        <w:jc w:val="both"/>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pPr>
      <w:r>
        <w:rPr>
          <w:color w:val="000000"/>
        </w:rPr>
        <w:t>    </w:t>
      </w:r>
      <w:r>
        <w:rPr>
          <w:rFonts w:ascii="Times New Roman;serif" w:hAnsi="Times New Roman;serif"/>
          <w:b w:val="false"/>
          <w:i/>
          <w:color w:val="000000"/>
          <w:sz w:val="20"/>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2024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2024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pStyle w:val="TextBody"/>
        <w:bidi w:val="0"/>
        <w:spacing w:lineRule="auto" w:line="288" w:before="0" w:after="180"/>
        <w:ind w:left="0" w:right="0" w:firstLine="720"/>
        <w:jc w:val="both"/>
        <w:rPr/>
      </w:pPr>
      <w:r>
        <w:rPr>
          <w:rFonts w:ascii="Times New Roman;serif" w:hAnsi="Times New Roman;serif"/>
          <w:b w:val="false"/>
          <w:color w:val="000000"/>
          <w:sz w:val="20"/>
        </w:rPr>
        <w:t>MI protects lenders and investors from default-related losses on a portion of the unpaid principal balance of a covered mortgage. MI plays a critical role in the U.S. housing market by mitigating mortgage credit risk and facilitating the secondary market sale of high- loan-to-value (LTV) (</w:t>
      </w:r>
      <w:r>
        <w:rPr>
          <w:rFonts w:ascii="Times New Roman;serif" w:hAnsi="Times New Roman;serif"/>
          <w:b w:val="false"/>
          <w:i/>
          <w:color w:val="000000"/>
          <w:sz w:val="20"/>
        </w:rPr>
        <w:t xml:space="preserve">i.e., </w:t>
      </w:r>
      <w:r>
        <w:rPr>
          <w:rFonts w:ascii="Times New Roman;serif" w:hAnsi="Times New Roman;serif"/>
          <w:b w:val="false"/>
          <w:color w:val="000000"/>
          <w:sz w:val="20"/>
        </w:rPr>
        <w:t>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September 30, 2025, we had issued master policies with 2,172 customers, including national and regional mortgage banks, money center banks, credit unions, community banks, builder-owned mortgage lenders, internet-sourced lenders and other non-bank lenders. As of September 30, 2025, we had $218.4 billion of primary insurance-in-force (IIF) and $58.5 billion of primary risk-in-force (RIF). </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pricing platform to dynamically evaluate risk and price our policies, and foster a culture of collaboration and excellence that helps us attract and retain experienced industry leaders.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Our common stock trades on the Nasdaq under the symbol “NMIH.” Our headquarters is located in Emeryville, California. As of September 30, 2025, we had 228 employees. Our corporate website is located at </w:t>
      </w:r>
      <w:r>
        <w:rPr>
          <w:rFonts w:ascii="Times New Roman;serif" w:hAnsi="Times New Roman;serif"/>
          <w:b w:val="false"/>
          <w:i/>
          <w:color w:val="000000"/>
          <w:sz w:val="20"/>
        </w:rPr>
        <w:t>www.nationalmi.com</w:t>
      </w:r>
      <w:r>
        <w:rPr>
          <w:rFonts w:ascii="Times New Roman;serif" w:hAnsi="Times New Roman;serif"/>
          <w:b w:val="false"/>
          <w:color w:val="000000"/>
          <w:sz w:val="20"/>
        </w:rPr>
        <w:t>. Our website and the information contained on or accessible through our website are not incorporated by reference into this report.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98"/>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Conditions and Trends Affecting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Macroeconomic Developments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new insurance written (NIW) volume, or contribute to an increase in our future default and claim experience.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Key Factors Affecting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New Insurance Written, Insurance-In-Force and Risk-In-Force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Net Premiums Written and Net Premiums Earned</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set our premium rates on individual policies based on the risk characteristics of the underlying mortgage loans and borrowers, and in accordance with our filed rates and applicable rating rules. We primarily price our policies through a proprietary risk-based pricing platform, which we refer to as Rate GPS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Rate GPS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While most of our new business is priced through Rate GPS</w:t>
      </w:r>
      <w:r>
        <w:rPr>
          <w:rFonts w:ascii="Times New Roman;serif" w:hAnsi="Times New Roman;serif"/>
          <w:b w:val="false"/>
          <w:color w:val="000000"/>
          <w:sz w:val="13"/>
        </w:rPr>
        <w:t>®</w:t>
      </w:r>
      <w:r>
        <w:rPr>
          <w:rFonts w:ascii="Times New Roman;serif" w:hAnsi="Times New Roman;serif"/>
          <w:b w:val="false"/>
          <w:color w:val="000000"/>
          <w:sz w:val="20"/>
        </w:rPr>
        <w:t>, we also offer a rate card pricing option to a limited number of lender customers who require a rate card for operational reasons. We believe that the utilization of Rate GPS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provides us with a more granular and analytical approach to evaluating and pricing risk, and that this approach enhances our ability to continue building a high-quality mortgage insurance portfolio and delivering attractive risk-adjusted returns.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NIW;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premium rates and the mix of premium payment type, which are either single, monthly or annual premiums, as described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cession of premiums under third-party reinsurance arrangements.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Premiums are paid either by the borrower (borrower-paid mortgage insurance or BPMI) or the lender (lender-paid mortgage insurance or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September 30, 2025 were non-refundable under most cancellation scenarios. If non-refundable single premium policies are canceled, we immediately recognize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98"/>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Effect of Reinsurance on Our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pStyle w:val="TextBody"/>
        <w:bidi w:val="0"/>
        <w:spacing w:lineRule="auto" w:line="288" w:before="0" w:after="180"/>
        <w:ind w:left="0" w:right="0" w:firstLine="720"/>
        <w:jc w:val="both"/>
        <w:rPr/>
      </w:pPr>
      <w:r>
        <w:rPr>
          <w:rFonts w:ascii="Times New Roman;serif" w:hAnsi="Times New Roman;serif"/>
          <w:b w:val="false"/>
          <w:color w:val="000000"/>
          <w:sz w:val="20"/>
        </w:rPr>
        <w:t>See Item 1, “</w:t>
      </w:r>
      <w:r>
        <w:rPr>
          <w:rFonts w:ascii="Times New Roman;serif" w:hAnsi="Times New Roman;serif"/>
          <w:b w:val="false"/>
          <w:i/>
          <w:color w:val="000000"/>
          <w:sz w:val="20"/>
        </w:rPr>
        <w:t>Financial Statements - Notes to Condensed Consolidated Financial Statements - Note 5, Reinsurance”</w:t>
      </w:r>
      <w:r>
        <w:rPr>
          <w:color w:val="000000"/>
        </w:rPr>
        <w:t xml:space="preserve"> </w:t>
      </w:r>
      <w:r>
        <w:rPr>
          <w:rFonts w:ascii="Times New Roman;serif" w:hAnsi="Times New Roman;serif"/>
          <w:b w:val="false"/>
          <w:color w:val="000000"/>
          <w:sz w:val="20"/>
        </w:rPr>
        <w:t>for further discussion of these third-party reinsurance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Portfolio Data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NIW and primary IIF as of the dates and for the periods indicated. Unless otherwise noted, the tables below do not include the effects of our third-party reinsurance arrangements described above.</w:t>
      </w:r>
    </w:p>
    <w:tbl>
      <w:tblPr>
        <w:tblW w:w="10205" w:type="dxa"/>
        <w:jc w:val="left"/>
        <w:tblInd w:w="0" w:type="dxa"/>
        <w:tblLayout w:type="fixed"/>
        <w:tblCellMar>
          <w:top w:w="28" w:type="dxa"/>
          <w:left w:w="28" w:type="dxa"/>
          <w:bottom w:w="28" w:type="dxa"/>
          <w:right w:w="28" w:type="dxa"/>
        </w:tblCellMar>
      </w:tblPr>
      <w:tblGrid>
        <w:gridCol w:w="534"/>
        <w:gridCol w:w="433"/>
        <w:gridCol w:w="436"/>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78"/>
        <w:gridCol w:w="951"/>
        <w:gridCol w:w="143"/>
        <w:gridCol w:w="109"/>
        <w:gridCol w:w="109"/>
        <w:gridCol w:w="109"/>
        <w:gridCol w:w="275"/>
        <w:gridCol w:w="942"/>
        <w:gridCol w:w="204"/>
      </w:tblGrid>
      <w:tr>
        <w:trPr/>
        <w:tc>
          <w:tcPr>
            <w:tcW w:w="53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and primary IIF</w:t>
            </w:r>
          </w:p>
        </w:tc>
        <w:tc>
          <w:tcPr>
            <w:tcW w:w="53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w:t>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NIW</w:t>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34,119 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r>
      <w:tr>
        <w:trPr/>
        <w:tc>
          <w:tcPr>
            <w:tcW w:w="14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r>
      <w:tr>
        <w:trPr/>
        <w:tc>
          <w:tcPr>
            <w:tcW w:w="14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NIW increased 6% and 2%, respectively, during the three and nine months ended September 30, 2025 compared to the three and nine months ended September 30, 2024. NIW increased year-on-year primarily due to growth in our customer franchise and market presence tied to the increased penetration of existing customer accounts and new customer activations. Primary IIF increased 5% at September 30, 2025 compared to September 30, 2024, primarily due to the NIW generated between such measurement dates, partially offset by the run-off of in-force policies.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persistency rate was 83.9% at September 30, 2025 and 85.5% at September 30, 2024. Our persistency rate remains historically high due to a continued slowdown in the pace of mortgage refinancing activity tied to the prevailing interest and mortgage rate environment.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premiums written and earned for the periods indicated:</w:t>
      </w:r>
    </w:p>
    <w:tbl>
      <w:tblPr>
        <w:tblW w:w="9199" w:type="dxa"/>
        <w:jc w:val="left"/>
        <w:tblInd w:w="0" w:type="dxa"/>
        <w:tblLayout w:type="fixed"/>
        <w:tblCellMar>
          <w:top w:w="28" w:type="dxa"/>
          <w:left w:w="28" w:type="dxa"/>
          <w:bottom w:w="28" w:type="dxa"/>
          <w:right w:w="28" w:type="dxa"/>
        </w:tblCellMar>
      </w:tblPr>
      <w:tblGrid>
        <w:gridCol w:w="923"/>
        <w:gridCol w:w="812"/>
        <w:gridCol w:w="815"/>
        <w:gridCol w:w="256"/>
        <w:gridCol w:w="1003"/>
        <w:gridCol w:w="132"/>
        <w:gridCol w:w="132"/>
        <w:gridCol w:w="132"/>
        <w:gridCol w:w="132"/>
        <w:gridCol w:w="256"/>
        <w:gridCol w:w="1003"/>
        <w:gridCol w:w="132"/>
        <w:gridCol w:w="109"/>
        <w:gridCol w:w="109"/>
        <w:gridCol w:w="109"/>
        <w:gridCol w:w="249"/>
        <w:gridCol w:w="976"/>
        <w:gridCol w:w="128"/>
        <w:gridCol w:w="128"/>
        <w:gridCol w:w="128"/>
        <w:gridCol w:w="128"/>
        <w:gridCol w:w="249"/>
        <w:gridCol w:w="976"/>
        <w:gridCol w:w="182"/>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premiums written and earned</w:t>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9"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400,740 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premiums written increased 8% during both the three and nine months ended September 30, 2025 compared to the three and nine months ended September 30, 2024. Net premiums earned increased 6% and 7%, respectively, during the three and nine months ended September 30, 2025 compared to the three and nine months ended September 30, 2024. The growth in net premiums written and earned in each respective period was primarily driven by growth in our monthly IIF and monthly pay premium receipts.</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Portfolio Statistics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noted, the portfolio statistics tables presented below do not include the effects of our third-party reinsurance arrangements described above. The table below highlights trends in our primary portfolio as of the dates and for the periods indicated.</w:t>
      </w:r>
    </w:p>
    <w:tbl>
      <w:tblPr>
        <w:tblW w:w="10205" w:type="dxa"/>
        <w:jc w:val="left"/>
        <w:tblInd w:w="0" w:type="dxa"/>
        <w:tblLayout w:type="fixed"/>
        <w:tblCellMar>
          <w:top w:w="28" w:type="dxa"/>
          <w:left w:w="28" w:type="dxa"/>
          <w:bottom w:w="28" w:type="dxa"/>
          <w:right w:w="28" w:type="dxa"/>
        </w:tblCellMar>
      </w:tblPr>
      <w:tblGrid>
        <w:gridCol w:w="1053"/>
        <w:gridCol w:w="574"/>
        <w:gridCol w:w="490"/>
        <w:gridCol w:w="222"/>
        <w:gridCol w:w="869"/>
        <w:gridCol w:w="285"/>
        <w:gridCol w:w="109"/>
        <w:gridCol w:w="109"/>
        <w:gridCol w:w="109"/>
        <w:gridCol w:w="211"/>
        <w:gridCol w:w="826"/>
        <w:gridCol w:w="271"/>
        <w:gridCol w:w="109"/>
        <w:gridCol w:w="109"/>
        <w:gridCol w:w="109"/>
        <w:gridCol w:w="211"/>
        <w:gridCol w:w="826"/>
        <w:gridCol w:w="271"/>
        <w:gridCol w:w="109"/>
        <w:gridCol w:w="109"/>
        <w:gridCol w:w="109"/>
        <w:gridCol w:w="220"/>
        <w:gridCol w:w="861"/>
        <w:gridCol w:w="282"/>
        <w:gridCol w:w="109"/>
        <w:gridCol w:w="109"/>
        <w:gridCol w:w="109"/>
        <w:gridCol w:w="221"/>
        <w:gridCol w:w="868"/>
        <w:gridCol w:w="336"/>
      </w:tblGrid>
      <w:tr>
        <w:trPr/>
        <w:tc>
          <w:tcPr>
            <w:tcW w:w="105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portfolio trends</w:t>
            </w:r>
          </w:p>
        </w:tc>
        <w:tc>
          <w:tcPr>
            <w:tcW w:w="80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w:t>
            </w:r>
          </w:p>
        </w:tc>
      </w:tr>
      <w:tr>
        <w:trPr/>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 except as noted below)</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insurance written </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monthly premium</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single premium</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risk written</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Insurance-in-force</w:t>
            </w:r>
            <w:r>
              <w:rPr>
                <w:color w:val="000000"/>
              </w:rPr>
              <w:t xml:space="preserve"> </w:t>
            </w:r>
            <w:r>
              <w:rPr>
                <w:rFonts w:ascii="Times New Roman;serif" w:hAnsi="Times New Roman;serif"/>
                <w:b w:val="false"/>
                <w:color w:val="000000"/>
                <w:sz w:val="13"/>
              </w:rPr>
              <w:t>(1)</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monthly premium</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single premium</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Risk-in-force</w:t>
            </w:r>
            <w:r>
              <w:rPr>
                <w:color w:val="000000"/>
              </w:rPr>
              <w:t xml:space="preserve"> </w:t>
            </w:r>
            <w:r>
              <w:rPr>
                <w:rFonts w:ascii="Times New Roman;serif" w:hAnsi="Times New Roman;serif"/>
                <w:b w:val="false"/>
                <w:color w:val="000000"/>
                <w:sz w:val="13"/>
              </w:rPr>
              <w:t>(1)</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Policies in force (count)</w:t>
            </w:r>
            <w:r>
              <w:rPr>
                <w:color w:val="000000"/>
              </w:rPr>
              <w:t xml:space="preserve"> </w:t>
            </w:r>
            <w:r>
              <w:rPr>
                <w:rFonts w:ascii="Times New Roman;serif" w:hAnsi="Times New Roman;serif"/>
                <w:b w:val="false"/>
                <w:color w:val="000000"/>
                <w:sz w:val="13"/>
              </w:rPr>
              <w:t>(1)</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677,010 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659,567 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654,374 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loan size</w:t>
            </w:r>
            <w:r>
              <w:rPr>
                <w:color w:val="000000"/>
              </w:rPr>
              <w:t xml:space="preserve"> </w:t>
            </w:r>
            <w:r>
              <w:rPr>
                <w:rFonts w:ascii="Times New Roman;serif" w:hAnsi="Times New Roman;serif"/>
                <w:b w:val="false"/>
                <w:i/>
                <w:color w:val="000000"/>
                <w:sz w:val="16"/>
              </w:rPr>
              <w:t>($ value in thousands)</w:t>
            </w:r>
            <w:r>
              <w:rPr>
                <w:color w:val="000000"/>
              </w:rPr>
              <w:t xml:space="preserve"> </w:t>
            </w:r>
            <w:r>
              <w:rPr>
                <w:rFonts w:ascii="Times New Roman;serif" w:hAnsi="Times New Roman;serif"/>
                <w:b w:val="false"/>
                <w:color w:val="000000"/>
                <w:sz w:val="13"/>
              </w:rPr>
              <w:t>(1)</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Coverage percentage </w:t>
            </w:r>
            <w:r>
              <w:rPr>
                <w:rFonts w:ascii="Times New Roman;serif" w:hAnsi="Times New Roman;serif"/>
                <w:b w:val="false"/>
                <w:color w:val="000000"/>
                <w:sz w:val="13"/>
              </w:rPr>
              <w:t>(2)</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in default (count) </w:t>
            </w:r>
            <w:r>
              <w:rPr>
                <w:rFonts w:ascii="Times New Roman;serif" w:hAnsi="Times New Roman;serif"/>
                <w:b w:val="false"/>
                <w:color w:val="000000"/>
                <w:sz w:val="13"/>
              </w:rPr>
              <w:t>(1)</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Default rate </w:t>
            </w:r>
            <w:r>
              <w:rPr>
                <w:rFonts w:ascii="Times New Roman;serif" w:hAnsi="Times New Roman;serif"/>
                <w:b w:val="false"/>
                <w:color w:val="000000"/>
                <w:sz w:val="13"/>
              </w:rPr>
              <w:t>(1)</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Risk-in-force on defaulted loans </w:t>
            </w:r>
            <w:r>
              <w:rPr>
                <w:rFonts w:ascii="Times New Roman;serif" w:hAnsi="Times New Roman;serif"/>
                <w:b w:val="false"/>
                <w:color w:val="000000"/>
                <w:sz w:val="13"/>
              </w:rPr>
              <w:t>(1)</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net premium yield </w:t>
            </w:r>
            <w:r>
              <w:rPr>
                <w:rFonts w:ascii="Times New Roman;serif" w:hAnsi="Times New Roman;serif"/>
                <w:b w:val="false"/>
                <w:color w:val="000000"/>
                <w:sz w:val="13"/>
              </w:rPr>
              <w:t>(3)</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cancellations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 persistency</w:t>
            </w:r>
            <w:r>
              <w:rPr>
                <w:color w:val="000000"/>
              </w:rPr>
              <w:t xml:space="preserve"> </w:t>
            </w:r>
            <w:r>
              <w:rPr>
                <w:rFonts w:ascii="Times New Roman;serif" w:hAnsi="Times New Roman;serif"/>
                <w:b w:val="false"/>
                <w:color w:val="000000"/>
                <w:sz w:val="13"/>
              </w:rPr>
              <w:t>(4)</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Quarterly run-off</w:t>
            </w:r>
            <w:r>
              <w:rPr>
                <w:color w:val="000000"/>
              </w:rPr>
              <w:t xml:space="preserve"> </w:t>
            </w:r>
            <w:r>
              <w:rPr>
                <w:rFonts w:ascii="Times New Roman;serif" w:hAnsi="Times New Roman;serif"/>
                <w:b w:val="false"/>
                <w:color w:val="000000"/>
                <w:sz w:val="13"/>
              </w:rPr>
              <w:t>(5)</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    Reported as of the end of the period.</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    Calculated as end of period RIF divided by end of period IIF.</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    Calculated as net premiums earned divided by average primary IIF for the period, annualized.</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(4)    Defined as the percentage of IIF that remains on our books after a given twelve-month period.</w:t>
      </w:r>
    </w:p>
    <w:p>
      <w:pPr>
        <w:pStyle w:val="TextBody"/>
        <w:bidi w:val="0"/>
        <w:spacing w:lineRule="auto" w:line="288" w:before="0" w:after="18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(5)    Defined as the percentage of IIF that is no longer on our books after a given three-month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a summary of the change in total primary IIF for the dates and periods indicated.</w:t>
      </w:r>
    </w:p>
    <w:tbl>
      <w:tblPr>
        <w:tblW w:w="10205" w:type="dxa"/>
        <w:jc w:val="left"/>
        <w:tblInd w:w="0" w:type="dxa"/>
        <w:tblLayout w:type="fixed"/>
        <w:tblCellMar>
          <w:top w:w="28" w:type="dxa"/>
          <w:left w:w="28" w:type="dxa"/>
          <w:bottom w:w="28" w:type="dxa"/>
          <w:right w:w="28" w:type="dxa"/>
        </w:tblCellMar>
      </w:tblPr>
      <w:tblGrid>
        <w:gridCol w:w="1290"/>
        <w:gridCol w:w="985"/>
        <w:gridCol w:w="959"/>
        <w:gridCol w:w="267"/>
        <w:gridCol w:w="1047"/>
        <w:gridCol w:w="138"/>
        <w:gridCol w:w="138"/>
        <w:gridCol w:w="138"/>
        <w:gridCol w:w="138"/>
        <w:gridCol w:w="267"/>
        <w:gridCol w:w="1047"/>
        <w:gridCol w:w="138"/>
        <w:gridCol w:w="109"/>
        <w:gridCol w:w="109"/>
        <w:gridCol w:w="109"/>
        <w:gridCol w:w="263"/>
        <w:gridCol w:w="1030"/>
        <w:gridCol w:w="135"/>
        <w:gridCol w:w="135"/>
        <w:gridCol w:w="135"/>
        <w:gridCol w:w="135"/>
        <w:gridCol w:w="263"/>
        <w:gridCol w:w="1030"/>
        <w:gridCol w:w="200"/>
      </w:tblGrid>
      <w:tr>
        <w:trPr/>
        <w:tc>
          <w:tcPr>
            <w:tcW w:w="129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w:t>
            </w:r>
          </w:p>
        </w:tc>
        <w:tc>
          <w:tcPr>
            <w:tcW w:w="3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nine months ended September 30,</w:t>
            </w:r>
          </w:p>
        </w:tc>
      </w:tr>
      <w:tr>
        <w:trPr/>
        <w:tc>
          <w:tcPr>
            <w:tcW w:w="3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beginning of period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NIW</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 principal repayments and other reductions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end of period</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207,538 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a summary of our primary IIF and RIF by book year as of the dates indicated.</w:t>
      </w:r>
    </w:p>
    <w:tbl>
      <w:tblPr>
        <w:tblW w:w="7049" w:type="dxa"/>
        <w:jc w:val="left"/>
        <w:tblInd w:w="0" w:type="dxa"/>
        <w:tblLayout w:type="fixed"/>
        <w:tblCellMar>
          <w:top w:w="28" w:type="dxa"/>
          <w:left w:w="28" w:type="dxa"/>
          <w:bottom w:w="28" w:type="dxa"/>
          <w:right w:w="28" w:type="dxa"/>
        </w:tblCellMar>
      </w:tblPr>
      <w:tblGrid>
        <w:gridCol w:w="596"/>
        <w:gridCol w:w="524"/>
        <w:gridCol w:w="52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and RIF</w:t>
            </w:r>
          </w:p>
        </w:tc>
        <w:tc>
          <w:tcPr>
            <w:tcW w:w="54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RIF</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Book year</w:t>
            </w:r>
          </w:p>
        </w:tc>
        <w:tc>
          <w:tcPr>
            <w:tcW w:w="54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and before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certain risk principles that form the basis of how we underwrite and originate NIW. We have established prudential underwriting standards and loan-level eligibility matrices which prescribe the maximum LTV, minimum borrower FICO score, maximum borrower debt-to-income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tables below present our NIW by FICO, LTV and purchase/refinance mix for the periods indicated. We calculate the LTV of a loan as the percentage of the original loan amount to the original purchase value of the property securing the loan.</w:t>
      </w:r>
    </w:p>
    <w:tbl>
      <w:tblPr>
        <w:tblW w:w="8715" w:type="dxa"/>
        <w:jc w:val="left"/>
        <w:tblInd w:w="0" w:type="dxa"/>
        <w:tblLayout w:type="fixed"/>
        <w:tblCellMar>
          <w:top w:w="28" w:type="dxa"/>
          <w:left w:w="28" w:type="dxa"/>
          <w:bottom w:w="28" w:type="dxa"/>
          <w:right w:w="28" w:type="dxa"/>
        </w:tblCellMar>
      </w:tblPr>
      <w:tblGrid>
        <w:gridCol w:w="750"/>
        <w:gridCol w:w="658"/>
        <w:gridCol w:w="662"/>
        <w:gridCol w:w="278"/>
        <w:gridCol w:w="952"/>
        <w:gridCol w:w="143"/>
        <w:gridCol w:w="143"/>
        <w:gridCol w:w="143"/>
        <w:gridCol w:w="143"/>
        <w:gridCol w:w="278"/>
        <w:gridCol w:w="952"/>
        <w:gridCol w:w="143"/>
        <w:gridCol w:w="109"/>
        <w:gridCol w:w="109"/>
        <w:gridCol w:w="109"/>
        <w:gridCol w:w="270"/>
        <w:gridCol w:w="925"/>
        <w:gridCol w:w="139"/>
        <w:gridCol w:w="139"/>
        <w:gridCol w:w="139"/>
        <w:gridCol w:w="139"/>
        <w:gridCol w:w="270"/>
        <w:gridCol w:w="925"/>
        <w:gridCol w:w="197"/>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FICO</w:t>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&lt;=679</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FICO</w:t>
            </w:r>
          </w:p>
        </w:tc>
        <w:tc>
          <w:tcPr>
            <w:tcW w:w="12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58" w:type="dxa"/>
        <w:jc w:val="left"/>
        <w:tblInd w:w="0" w:type="dxa"/>
        <w:tblLayout w:type="fixed"/>
        <w:tblCellMar>
          <w:top w:w="28" w:type="dxa"/>
          <w:left w:w="28" w:type="dxa"/>
          <w:bottom w:w="28" w:type="dxa"/>
          <w:right w:w="28" w:type="dxa"/>
        </w:tblCellMar>
      </w:tblPr>
      <w:tblGrid>
        <w:gridCol w:w="724"/>
        <w:gridCol w:w="638"/>
        <w:gridCol w:w="647"/>
        <w:gridCol w:w="245"/>
        <w:gridCol w:w="839"/>
        <w:gridCol w:w="315"/>
        <w:gridCol w:w="126"/>
        <w:gridCol w:w="126"/>
        <w:gridCol w:w="126"/>
        <w:gridCol w:w="245"/>
        <w:gridCol w:w="839"/>
        <w:gridCol w:w="315"/>
        <w:gridCol w:w="109"/>
        <w:gridCol w:w="109"/>
        <w:gridCol w:w="109"/>
        <w:gridCol w:w="239"/>
        <w:gridCol w:w="817"/>
        <w:gridCol w:w="307"/>
        <w:gridCol w:w="123"/>
        <w:gridCol w:w="123"/>
        <w:gridCol w:w="123"/>
        <w:gridCol w:w="239"/>
        <w:gridCol w:w="817"/>
        <w:gridCol w:w="358"/>
      </w:tblGrid>
      <w:tr>
        <w:trPr/>
        <w:tc>
          <w:tcPr>
            <w:tcW w:w="72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LTV</w:t>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34,697 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34,119 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LTV</w:t>
            </w:r>
          </w:p>
        </w:tc>
        <w:tc>
          <w:tcPr>
            <w:tcW w:w="10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059" w:type="dxa"/>
        <w:jc w:val="left"/>
        <w:tblInd w:w="0" w:type="dxa"/>
        <w:tblLayout w:type="fixed"/>
        <w:tblCellMar>
          <w:top w:w="28" w:type="dxa"/>
          <w:left w:w="28" w:type="dxa"/>
          <w:bottom w:w="28" w:type="dxa"/>
          <w:right w:w="28" w:type="dxa"/>
        </w:tblCellMar>
      </w:tblPr>
      <w:tblGrid>
        <w:gridCol w:w="875"/>
        <w:gridCol w:w="768"/>
        <w:gridCol w:w="771"/>
        <w:gridCol w:w="278"/>
        <w:gridCol w:w="952"/>
        <w:gridCol w:w="143"/>
        <w:gridCol w:w="143"/>
        <w:gridCol w:w="143"/>
        <w:gridCol w:w="143"/>
        <w:gridCol w:w="278"/>
        <w:gridCol w:w="952"/>
        <w:gridCol w:w="143"/>
        <w:gridCol w:w="109"/>
        <w:gridCol w:w="109"/>
        <w:gridCol w:w="109"/>
        <w:gridCol w:w="270"/>
        <w:gridCol w:w="925"/>
        <w:gridCol w:w="139"/>
        <w:gridCol w:w="139"/>
        <w:gridCol w:w="139"/>
        <w:gridCol w:w="139"/>
        <w:gridCol w:w="270"/>
        <w:gridCol w:w="925"/>
        <w:gridCol w:w="197"/>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purchase/refinance mix</w:t>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Refinance</w:t>
            </w:r>
            <w:r>
              <w:rPr>
                <w:color w:val="000000"/>
              </w:rPr>
              <w:t xml:space="preserve"> </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34,697 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tables below present our total primary IIF and RIF by FICO and LTV, and total primary RIF by loan type as of the dates indicated. </w:t>
      </w:r>
    </w:p>
    <w:tbl>
      <w:tblPr>
        <w:tblW w:w="6486" w:type="dxa"/>
        <w:jc w:val="left"/>
        <w:tblInd w:w="0" w:type="dxa"/>
        <w:tblLayout w:type="fixed"/>
        <w:tblCellMar>
          <w:top w:w="28" w:type="dxa"/>
          <w:left w:w="28" w:type="dxa"/>
          <w:bottom w:w="28" w:type="dxa"/>
          <w:right w:w="28" w:type="dxa"/>
        </w:tblCellMar>
      </w:tblPr>
      <w:tblGrid>
        <w:gridCol w:w="612"/>
        <w:gridCol w:w="539"/>
        <w:gridCol w:w="543"/>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by FICO</w:t>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&lt;=679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tbl>
      <w:tblPr>
        <w:tblW w:w="6337" w:type="dxa"/>
        <w:jc w:val="left"/>
        <w:tblInd w:w="0" w:type="dxa"/>
        <w:tblLayout w:type="fixed"/>
        <w:tblCellMar>
          <w:top w:w="28" w:type="dxa"/>
          <w:left w:w="28" w:type="dxa"/>
          <w:bottom w:w="28" w:type="dxa"/>
          <w:right w:w="28" w:type="dxa"/>
        </w:tblCellMar>
      </w:tblPr>
      <w:tblGrid>
        <w:gridCol w:w="634"/>
        <w:gridCol w:w="558"/>
        <w:gridCol w:w="563"/>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316"/>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FICO</w:t>
            </w:r>
          </w:p>
        </w:tc>
        <w:tc>
          <w:tcPr>
            <w:tcW w:w="4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&lt;=679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tbl>
      <w:tblPr>
        <w:tblW w:w="6427" w:type="dxa"/>
        <w:jc w:val="left"/>
        <w:tblInd w:w="0" w:type="dxa"/>
        <w:tblLayout w:type="fixed"/>
        <w:tblCellMar>
          <w:top w:w="28" w:type="dxa"/>
          <w:left w:w="28" w:type="dxa"/>
          <w:bottom w:w="28" w:type="dxa"/>
          <w:right w:w="28" w:type="dxa"/>
        </w:tblCellMar>
      </w:tblPr>
      <w:tblGrid>
        <w:gridCol w:w="591"/>
        <w:gridCol w:w="520"/>
        <w:gridCol w:w="524"/>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by LTV</w:t>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tbl>
      <w:tblPr>
        <w:tblW w:w="6247" w:type="dxa"/>
        <w:jc w:val="left"/>
        <w:tblInd w:w="0" w:type="dxa"/>
        <w:tblLayout w:type="fixed"/>
        <w:tblCellMar>
          <w:top w:w="28" w:type="dxa"/>
          <w:left w:w="28" w:type="dxa"/>
          <w:bottom w:w="28" w:type="dxa"/>
          <w:right w:w="28" w:type="dxa"/>
        </w:tblCellMar>
      </w:tblPr>
      <w:tblGrid>
        <w:gridCol w:w="602"/>
        <w:gridCol w:w="529"/>
        <w:gridCol w:w="534"/>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316"/>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LTV</w:t>
            </w:r>
          </w:p>
        </w:tc>
        <w:tc>
          <w:tcPr>
            <w:tcW w:w="4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tbl>
      <w:tblPr>
        <w:tblW w:w="4745" w:type="dxa"/>
        <w:jc w:val="left"/>
        <w:tblInd w:w="0" w:type="dxa"/>
        <w:tblLayout w:type="fixed"/>
        <w:tblCellMar>
          <w:top w:w="28" w:type="dxa"/>
          <w:left w:w="28" w:type="dxa"/>
          <w:bottom w:w="28" w:type="dxa"/>
          <w:right w:w="28" w:type="dxa"/>
        </w:tblCellMar>
      </w:tblPr>
      <w:tblGrid>
        <w:gridCol w:w="829"/>
        <w:gridCol w:w="729"/>
        <w:gridCol w:w="736"/>
        <w:gridCol w:w="231"/>
        <w:gridCol w:w="235"/>
        <w:gridCol w:w="324"/>
        <w:gridCol w:w="130"/>
        <w:gridCol w:w="130"/>
        <w:gridCol w:w="130"/>
        <w:gridCol w:w="231"/>
        <w:gridCol w:w="235"/>
        <w:gridCol w:w="324"/>
        <w:gridCol w:w="109"/>
        <w:gridCol w:w="109"/>
        <w:gridCol w:w="109"/>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Loan Type</w:t>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Adjustable rate mortgages:</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five years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Five years and longer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selected primary portfolio statistics, by book year, as of September 30, 2025.</w:t>
      </w:r>
    </w:p>
    <w:tbl>
      <w:tblPr>
        <w:tblW w:w="13566" w:type="dxa"/>
        <w:jc w:val="left"/>
        <w:tblInd w:w="0" w:type="dxa"/>
        <w:tblLayout w:type="fixed"/>
        <w:tblCellMar>
          <w:top w:w="28" w:type="dxa"/>
          <w:left w:w="28" w:type="dxa"/>
          <w:bottom w:w="28" w:type="dxa"/>
          <w:right w:w="28" w:type="dxa"/>
        </w:tblCellMar>
      </w:tblPr>
      <w:tblGrid>
        <w:gridCol w:w="239"/>
        <w:gridCol w:w="158"/>
        <w:gridCol w:w="159"/>
        <w:gridCol w:w="211"/>
        <w:gridCol w:w="826"/>
        <w:gridCol w:w="109"/>
        <w:gridCol w:w="109"/>
        <w:gridCol w:w="109"/>
        <w:gridCol w:w="109"/>
        <w:gridCol w:w="211"/>
        <w:gridCol w:w="826"/>
        <w:gridCol w:w="109"/>
        <w:gridCol w:w="109"/>
        <w:gridCol w:w="109"/>
        <w:gridCol w:w="109"/>
        <w:gridCol w:w="244"/>
        <w:gridCol w:w="244"/>
        <w:gridCol w:w="608"/>
        <w:gridCol w:w="109"/>
        <w:gridCol w:w="109"/>
        <w:gridCol w:w="109"/>
        <w:gridCol w:w="559"/>
        <w:gridCol w:w="417"/>
        <w:gridCol w:w="216"/>
        <w:gridCol w:w="109"/>
        <w:gridCol w:w="109"/>
        <w:gridCol w:w="109"/>
        <w:gridCol w:w="596"/>
        <w:gridCol w:w="230"/>
        <w:gridCol w:w="231"/>
        <w:gridCol w:w="109"/>
        <w:gridCol w:w="109"/>
        <w:gridCol w:w="109"/>
        <w:gridCol w:w="386"/>
        <w:gridCol w:w="230"/>
        <w:gridCol w:w="231"/>
        <w:gridCol w:w="109"/>
        <w:gridCol w:w="109"/>
        <w:gridCol w:w="109"/>
        <w:gridCol w:w="416"/>
        <w:gridCol w:w="200"/>
        <w:gridCol w:w="201"/>
        <w:gridCol w:w="109"/>
        <w:gridCol w:w="109"/>
        <w:gridCol w:w="109"/>
        <w:gridCol w:w="324"/>
        <w:gridCol w:w="187"/>
        <w:gridCol w:w="467"/>
        <w:gridCol w:w="109"/>
        <w:gridCol w:w="109"/>
        <w:gridCol w:w="109"/>
        <w:gridCol w:w="210"/>
        <w:gridCol w:w="210"/>
        <w:gridCol w:w="526"/>
        <w:gridCol w:w="109"/>
        <w:gridCol w:w="109"/>
        <w:gridCol w:w="109"/>
        <w:gridCol w:w="256"/>
        <w:gridCol w:w="150"/>
        <w:gridCol w:w="436"/>
      </w:tblGrid>
      <w:tr>
        <w:trPr/>
        <w:tc>
          <w:tcPr>
            <w:tcW w:w="2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Book Year</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Insurance Written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Insurance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Remaining of Original Insurance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Policies Ever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Policies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Loans in Default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Claims Paid</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Incurred Loss Ratio (Inception to Date) </w:t>
            </w:r>
            <w:r>
              <w:rPr>
                <w:rFonts w:ascii="Times New Roman;serif" w:hAnsi="Times New Roman;serif"/>
                <w:b/>
                <w:color w:val="000000"/>
                <w:sz w:val="10"/>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Cumulative Default Rate </w:t>
            </w:r>
            <w:r>
              <w:rPr>
                <w:rFonts w:ascii="Times New Roman;serif" w:hAnsi="Times New Roman;serif"/>
                <w:b/>
                <w:color w:val="000000"/>
                <w:sz w:val="10"/>
              </w:rPr>
              <w:t>(2)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Current Default Rate </w:t>
            </w:r>
            <w:r>
              <w:rPr>
                <w:rFonts w:ascii="Times New Roman;serif" w:hAnsi="Times New Roman;serif"/>
                <w:b/>
                <w:color w:val="000000"/>
                <w:sz w:val="10"/>
              </w:rPr>
              <w:t>(3)</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0" w:type="dxa"/>
            <w:gridSpan w:val="5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2016 and prior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85,897 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257,972 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146,007 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127,661 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120,747 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108,356 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86,860 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1,419,582 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677,010 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Calculated as total claims incurred (paid and reserved) divided by cumulative premiums earned, net of reinsurance.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Calculated as the sum of the number of claims paid ever to date and number of loans in default divided by policies ever in force.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Calculated as the number of loans in default divided by number of policies in force.</w:t>
      </w:r>
    </w:p>
    <w:p>
      <w:pPr>
        <w:pStyle w:val="TextBody"/>
        <w:bidi w:val="0"/>
        <w:spacing w:before="0" w:after="180"/>
        <w:ind w:left="0" w:right="0" w:hanging="360"/>
        <w:jc w:val="both"/>
        <w:rPr/>
      </w:pPr>
      <w:r>
        <w:rPr/>
      </w:r>
    </w:p>
    <w:p>
      <w:pPr>
        <w:pStyle w:val="TextBody"/>
        <w:bidi w:val="0"/>
        <w:spacing w:lineRule="auto" w:line="288" w:before="0" w:after="18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Geographic Dispersion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distribution by state of our primary RIF as of the dates indicated. The distribution of our primary RIF as of September 30, 2025 is not necessarily representative of the geographic distribution we expect in the future. </w:t>
      </w:r>
    </w:p>
    <w:tbl>
      <w:tblPr>
        <w:tblW w:w="4325" w:type="dxa"/>
        <w:jc w:val="left"/>
        <w:tblInd w:w="0" w:type="dxa"/>
        <w:tblLayout w:type="fixed"/>
        <w:tblCellMar>
          <w:top w:w="28" w:type="dxa"/>
          <w:left w:w="28" w:type="dxa"/>
          <w:bottom w:w="28" w:type="dxa"/>
          <w:right w:w="28" w:type="dxa"/>
        </w:tblCellMar>
      </w:tblPr>
      <w:tblGrid>
        <w:gridCol w:w="803"/>
        <w:gridCol w:w="705"/>
        <w:gridCol w:w="711"/>
        <w:gridCol w:w="255"/>
        <w:gridCol w:w="256"/>
        <w:gridCol w:w="322"/>
        <w:gridCol w:w="129"/>
        <w:gridCol w:w="129"/>
        <w:gridCol w:w="129"/>
        <w:gridCol w:w="255"/>
        <w:gridCol w:w="256"/>
        <w:gridCol w:w="375"/>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Top 10 primary RIF by state</w:t>
            </w:r>
          </w:p>
        </w:tc>
        <w:tc>
          <w:tcPr>
            <w:tcW w:w="2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Insurance Claims and Claim 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Reserves for claims and claim expenses are established for mortgage loans that are in default. A loan is considered to be in default as of the payment date at which a borrower has missed the preceding two or more consecutive monthly payments.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XOL Transactions and ILN Transactions as applicable under each treaty. We have not yet ceded reserves under any of the XOL Transactions or ILN Transactions as incurred claims and claim expenses on each respective reference pool remain within our retained coverage layer for each transaction.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reserve setting process considers the beneficial impact of forbearance, foreclosure moratorium and other assistance programs that may be made available to certain defaulted borrowers. The effectiveness of forbearance and other such assistance programs can be further enhanced by the availability of various repayment and loan modification options which typically allow borrowers to amortize or, in certain instances, outright defer payments otherwise missed during a period of dislocation over an extended length of time. We generally observe that forbearance, repayment and modification, and other assistance programs are an effective tool to bridge dislocated borrowers from a time of acute stress to a future date when they can resume timely payment of their mortgage obligations, and note higher cure rates on defaults benefitting from broad-based assistance programs than would otherwise be expected on similarly situated loans that did not benefit from such programs.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actual claims we incur as our portfolio matures are difficult to predict and depend on the specific characteristics of our current in-force book (including the credit score and DTI ratio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claims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gross reserve balances for insurance claims and claim expenses:</w:t>
      </w:r>
    </w:p>
    <w:tbl>
      <w:tblPr>
        <w:tblW w:w="10205" w:type="dxa"/>
        <w:jc w:val="left"/>
        <w:tblInd w:w="0" w:type="dxa"/>
        <w:tblLayout w:type="fixed"/>
        <w:tblCellMar>
          <w:top w:w="28" w:type="dxa"/>
          <w:left w:w="28" w:type="dxa"/>
          <w:bottom w:w="28" w:type="dxa"/>
          <w:right w:w="28" w:type="dxa"/>
        </w:tblCellMar>
      </w:tblPr>
      <w:tblGrid>
        <w:gridCol w:w="1404"/>
        <w:gridCol w:w="1200"/>
        <w:gridCol w:w="1206"/>
        <w:gridCol w:w="244"/>
        <w:gridCol w:w="959"/>
        <w:gridCol w:w="126"/>
        <w:gridCol w:w="126"/>
        <w:gridCol w:w="126"/>
        <w:gridCol w:w="126"/>
        <w:gridCol w:w="244"/>
        <w:gridCol w:w="959"/>
        <w:gridCol w:w="126"/>
        <w:gridCol w:w="109"/>
        <w:gridCol w:w="109"/>
        <w:gridCol w:w="109"/>
        <w:gridCol w:w="239"/>
        <w:gridCol w:w="939"/>
        <w:gridCol w:w="123"/>
        <w:gridCol w:w="123"/>
        <w:gridCol w:w="123"/>
        <w:gridCol w:w="123"/>
        <w:gridCol w:w="239"/>
        <w:gridCol w:w="939"/>
        <w:gridCol w:w="184"/>
      </w:tblGrid>
      <w:tr>
        <w:trPr/>
        <w:tc>
          <w:tcPr>
            <w:tcW w:w="140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123,974 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reinsurance recoverables </w:t>
            </w:r>
            <w:r>
              <w:rPr>
                <w:rFonts w:ascii="Times New Roman;serif" w:hAnsi="Times New Roman;serif"/>
                <w:b w:val="false"/>
                <w:color w:val="000000"/>
                <w:sz w:val="13"/>
              </w:rPr>
              <w:t>(1)</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net of reinsurance recoverables</w:t>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130,328 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claims incurred:</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incurred:</w:t>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claims and claim expenses incurred </w:t>
            </w:r>
            <w:r>
              <w:rPr>
                <w:rFonts w:ascii="Times New Roman;serif" w:hAnsi="Times New Roman;serif"/>
                <w:b w:val="false"/>
                <w:color w:val="000000"/>
                <w:sz w:val="13"/>
              </w:rPr>
              <w:t>(4)</w:t>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paid:</w:t>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Reinsurance terminations </w:t>
            </w:r>
            <w:r>
              <w:rPr>
                <w:rFonts w:ascii="Times New Roman;serif" w:hAnsi="Times New Roman;serif"/>
                <w:b w:val="false"/>
                <w:color w:val="000000"/>
                <w:sz w:val="13"/>
              </w:rPr>
              <w:t>(5)</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and claim expenses paid</w:t>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at end of period, net of reinsurance recoverables</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106,306 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reinsurance recoverables </w:t>
            </w:r>
            <w:r>
              <w:rPr>
                <w:rFonts w:ascii="Times New Roman;serif" w:hAnsi="Times New Roman;serif"/>
                <w:b w:val="false"/>
                <w:color w:val="000000"/>
                <w:sz w:val="13"/>
              </w:rPr>
              <w:t>(1)</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135,520 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135,520 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(1)    Related to ceded losses recoverable under the QSR Transactions. See Item 1, “</w:t>
      </w:r>
      <w:r>
        <w:rPr>
          <w:rFonts w:ascii="Times New Roman;serif" w:hAnsi="Times New Roman;serif"/>
          <w:b w:val="false"/>
          <w:i/>
          <w:color w:val="000000"/>
          <w:sz w:val="16"/>
        </w:rPr>
        <w:t>Financial Statements - Notes to Condensed Consolidated Financial Statements - Note 5, Reinsurance”</w:t>
      </w:r>
      <w:r>
        <w:rPr>
          <w:color w:val="000000"/>
        </w:rPr>
        <w:t xml:space="preserve"> </w:t>
      </w:r>
      <w:r>
        <w:rPr>
          <w:rFonts w:ascii="Times New Roman;serif" w:hAnsi="Times New Roman;serif"/>
          <w:b w:val="false"/>
          <w:color w:val="000000"/>
          <w:sz w:val="16"/>
        </w:rPr>
        <w:t>for additional information.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$77.2 million attributed to net case reserves and $9.8 million attributed to net IBNR reserves for the nine months ended September 30, 2025 and $63.2 million attributed to net case reserves and $7.0 million attributed to net IBNR reserves for the nine months ended September 30, 2024.</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Related to insured loans with defaults occurring in prior years, which have been continuously in default before the start of the current year. Amounts are presented net of reinsurance and included $43.2 million attributed to net case reserves and $8.1 million attributed to net IBNR reserves for the nine months ended September 30, 2025 and $49.8 million attributed to net case reserves and $6.3 million attributed to net IBNR reserves for the nine months ended September 30, 2024.</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Excludes aggregate termination fees of $0.3 million for the nine months ended September 30, 2025 incurred in connection with the termination of the 2016 QSR Transaction and amendment of the 2018 and 2021 QSR Transactions.</w:t>
      </w:r>
    </w:p>
    <w:p>
      <w:pPr>
        <w:pStyle w:val="TextBody"/>
        <w:bidi w:val="0"/>
        <w:spacing w:lineRule="auto" w:line="288" w:before="0" w:after="180"/>
        <w:ind w:left="0" w:right="0" w:hanging="360"/>
        <w:jc w:val="both"/>
        <w:rPr/>
      </w:pPr>
      <w:r>
        <w:rPr>
          <w:rFonts w:ascii="Times New Roman;serif" w:hAnsi="Times New Roman;serif"/>
          <w:b w:val="false"/>
          <w:color w:val="000000"/>
          <w:sz w:val="16"/>
        </w:rPr>
        <w:t>(5)    Represents the settlement of reinsurance recoverables in conjunction with the termination of the 2016 QSR Transaction and amendment of the 2018 and 2021 QSR Transactions. See Item 1, “</w:t>
      </w:r>
      <w:r>
        <w:rPr>
          <w:rFonts w:ascii="Times New Roman;serif" w:hAnsi="Times New Roman;serif"/>
          <w:b w:val="false"/>
          <w:i/>
          <w:color w:val="000000"/>
          <w:sz w:val="16"/>
        </w:rPr>
        <w:t>Financial Statements - Notes to Condensed Consolidated Financial Statements - Note 5, Reinsurance”</w:t>
      </w:r>
      <w:r>
        <w:rPr>
          <w:color w:val="000000"/>
        </w:rPr>
        <w:t xml:space="preserve"> </w:t>
      </w:r>
      <w:r>
        <w:rPr>
          <w:rFonts w:ascii="Times New Roman;serif" w:hAnsi="Times New Roman;serif"/>
          <w:b w:val="false"/>
          <w:color w:val="000000"/>
          <w:sz w:val="16"/>
        </w:rPr>
        <w:t>for additional information.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w:t>
      </w:r>
      <w:r>
        <w:rPr>
          <w:color w:val="000000"/>
        </w:rPr>
        <w:t>“</w:t>
      </w:r>
      <w:r>
        <w:rPr>
          <w:rFonts w:ascii="Times New Roman;serif" w:hAnsi="Times New Roman;serif"/>
          <w:b w:val="false"/>
          <w:color w:val="000000"/>
          <w:sz w:val="20"/>
        </w:rPr>
        <w:t>claims incurred</w:t>
      </w:r>
      <w:r>
        <w:rPr>
          <w:color w:val="000000"/>
        </w:rPr>
        <w:t xml:space="preserve">” </w:t>
      </w:r>
      <w:r>
        <w:rPr>
          <w:rFonts w:ascii="Times New Roman;serif" w:hAnsi="Times New Roman;serif"/>
          <w:b w:val="false"/>
          <w:color w:val="000000"/>
          <w:sz w:val="20"/>
        </w:rPr>
        <w:t>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$70.6 million related to prior year defaults remained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count of loans in default:</w:t>
      </w:r>
    </w:p>
    <w:tbl>
      <w:tblPr>
        <w:tblW w:w="9587" w:type="dxa"/>
        <w:jc w:val="left"/>
        <w:tblInd w:w="0" w:type="dxa"/>
        <w:tblLayout w:type="fixed"/>
        <w:tblCellMar>
          <w:top w:w="28" w:type="dxa"/>
          <w:left w:w="28" w:type="dxa"/>
          <w:bottom w:w="28" w:type="dxa"/>
          <w:right w:w="28" w:type="dxa"/>
        </w:tblCellMar>
      </w:tblPr>
      <w:tblGrid>
        <w:gridCol w:w="1049"/>
        <w:gridCol w:w="920"/>
        <w:gridCol w:w="926"/>
        <w:gridCol w:w="353"/>
        <w:gridCol w:w="353"/>
        <w:gridCol w:w="353"/>
        <w:gridCol w:w="353"/>
        <w:gridCol w:w="353"/>
        <w:gridCol w:w="353"/>
        <w:gridCol w:w="353"/>
        <w:gridCol w:w="353"/>
        <w:gridCol w:w="353"/>
        <w:gridCol w:w="109"/>
        <w:gridCol w:w="109"/>
        <w:gridCol w:w="109"/>
        <w:gridCol w:w="345"/>
        <w:gridCol w:w="345"/>
        <w:gridCol w:w="334"/>
        <w:gridCol w:w="334"/>
        <w:gridCol w:w="334"/>
        <w:gridCol w:w="334"/>
        <w:gridCol w:w="345"/>
        <w:gridCol w:w="345"/>
        <w:gridCol w:w="472"/>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default inventory</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new defaults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cures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rescission and claims denied</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default inventory</w:t>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7,093 </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5,712 </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7,093 </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Ending default inventory increased from September 30, 2024 to September 30, 2025, primarily due to the growth and seasoning of our insured portfolio, as well as the emergence of storm-related defaults on insured loans in areas declared by the Federal Emergency Management Agency to be individual disaster zones, partially offset by cure activity within our default population during the intervening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of our claims paid, before giving effect to claims ceded under the QSR Transactions for the periods indicated:</w:t>
      </w:r>
    </w:p>
    <w:tbl>
      <w:tblPr>
        <w:tblW w:w="9364" w:type="dxa"/>
        <w:jc w:val="left"/>
        <w:tblInd w:w="0" w:type="dxa"/>
        <w:tblLayout w:type="fixed"/>
        <w:tblCellMar>
          <w:top w:w="28" w:type="dxa"/>
          <w:left w:w="28" w:type="dxa"/>
          <w:bottom w:w="28" w:type="dxa"/>
          <w:right w:w="28" w:type="dxa"/>
        </w:tblCellMar>
      </w:tblPr>
      <w:tblGrid>
        <w:gridCol w:w="981"/>
        <w:gridCol w:w="864"/>
        <w:gridCol w:w="869"/>
        <w:gridCol w:w="266"/>
        <w:gridCol w:w="776"/>
        <w:gridCol w:w="341"/>
        <w:gridCol w:w="137"/>
        <w:gridCol w:w="137"/>
        <w:gridCol w:w="137"/>
        <w:gridCol w:w="266"/>
        <w:gridCol w:w="776"/>
        <w:gridCol w:w="341"/>
        <w:gridCol w:w="109"/>
        <w:gridCol w:w="109"/>
        <w:gridCol w:w="109"/>
        <w:gridCol w:w="248"/>
        <w:gridCol w:w="849"/>
        <w:gridCol w:w="319"/>
        <w:gridCol w:w="128"/>
        <w:gridCol w:w="128"/>
        <w:gridCol w:w="128"/>
        <w:gridCol w:w="248"/>
        <w:gridCol w:w="726"/>
        <w:gridCol w:w="372"/>
      </w:tblGrid>
      <w:tr>
        <w:trPr/>
        <w:tc>
          <w:tcPr>
            <w:tcW w:w="98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Number of claims paid </w:t>
            </w:r>
            <w:r>
              <w:rPr>
                <w:rFonts w:ascii="Times New Roman;serif" w:hAnsi="Times New Roman;serif"/>
                <w:b w:val="false"/>
                <w:color w:val="000000"/>
                <w:sz w:val="13"/>
              </w:rPr>
              <w:t>(1)</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 paid for claims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amount paid per claim</w:t>
            </w:r>
            <w:r>
              <w:rPr>
                <w:color w:val="000000"/>
              </w:rPr>
              <w:t xml:space="preserve">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Severity </w:t>
            </w:r>
            <w:r>
              <w:rPr>
                <w:rFonts w:ascii="Times New Roman;serif" w:hAnsi="Times New Roman;serif"/>
                <w:b w:val="false"/>
                <w:color w:val="000000"/>
                <w:sz w:val="13"/>
              </w:rPr>
              <w:t>(2)</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Count includes 14 and 50 claims settled without payment during the three and nine months ended September 30, 2025, respectively, and 21 and 56 claims settled without payment during the three and nine months ended September 30, 2024,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Severity represents the total amount of claims paid including claim expenses divided by the related RIF on the loan at the time the claim is perfected, and is calculated including claims settled without payment.</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paid 93 and 281 claims during the three and nine months ended September 30, 2025, respectively, and 67 and 168 claims during the three and nine months ended September 30, 2024, respectively. The number of claims paid in each period was modest relative to the size of our insured portfolio and we generally observe that the borrowers of the loans we insure are well-situated with strong credit profiles, stable 30-year fixed rate mortgages, manageable debt service obligations and significant appreciated equity in their homes. An increase in the value of the homes collateralizing the mortgages we insure provides defaulted borrowers with alternative paths and incentives to cure their loan prior to the development of a claim.</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claims severity was 73% and 74% for the three and nine months ended September 30, 2025, respectively, compared to 64% and 58% for the three and nine months ended September 30, 2024. The increase in claims severity for the three and nine months ended September 30, 2025, was primarily due to a greater proportion of claims related to loans originated in recent years. These loans generally have less accumulated equity than loans from earlier vintages, which typically results in higher claims payments and an increase in claims severity. Our claims severity for each period was below long-term industry norms.</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number of claims paid and our severity experience in future periods may be impacted if developing economic cycles impose financial strain on borrowers, and each could increase if house price declines serve to limit the alternative paths and incentives to cure delinquencies that are available to defaulted borrowers or erode the equity value of the homes collateralizing the mortgages we insure.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 on our average reserve per default, before giving effect to reserves ceded under the QSR Transactions, as of the dates indicated:</w:t>
      </w:r>
    </w:p>
    <w:tbl>
      <w:tblPr>
        <w:tblW w:w="4239" w:type="dxa"/>
        <w:jc w:val="left"/>
        <w:tblInd w:w="0" w:type="dxa"/>
        <w:tblLayout w:type="fixed"/>
        <w:tblCellMar>
          <w:top w:w="28" w:type="dxa"/>
          <w:left w:w="28" w:type="dxa"/>
          <w:bottom w:w="28" w:type="dxa"/>
          <w:right w:w="28" w:type="dxa"/>
        </w:tblCellMar>
      </w:tblPr>
      <w:tblGrid>
        <w:gridCol w:w="797"/>
        <w:gridCol w:w="701"/>
        <w:gridCol w:w="707"/>
        <w:gridCol w:w="211"/>
        <w:gridCol w:w="511"/>
        <w:gridCol w:w="109"/>
        <w:gridCol w:w="109"/>
        <w:gridCol w:w="109"/>
        <w:gridCol w:w="109"/>
        <w:gridCol w:w="211"/>
        <w:gridCol w:w="511"/>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reserve per default:</w:t>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IBNR </w:t>
            </w:r>
            <w:r>
              <w:rPr>
                <w:rFonts w:ascii="Times New Roman;serif" w:hAnsi="Times New Roman;serif"/>
                <w:b w:val="false"/>
                <w:color w:val="000000"/>
                <w:sz w:val="13"/>
              </w:rPr>
              <w:t>(1)(2)</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Defined as the gross reserve per insured loan in default.</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Amount includes claims adjustment 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Average reserve per default increased from September 30, 2024 to September 30, 2025, due to changes in the composition of our default inventory as measured by the size, vintage and current estimated LTV of defaulted loans between the measurement dates. Average reserves per default were further impacted by changes in observed and forecasted housing market conditions and macroeconomic factors between the measurement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GSE Oversight</w:t>
      </w:r>
    </w:p>
    <w:p>
      <w:pPr>
        <w:pStyle w:val="TextBody"/>
        <w:bidi w:val="0"/>
        <w:spacing w:lineRule="auto" w:line="288" w:before="0" w:after="180"/>
        <w:ind w:left="0" w:right="0" w:firstLine="765"/>
        <w:jc w:val="both"/>
        <w:rPr/>
      </w:pPr>
      <w:r>
        <w:rPr>
          <w:rFonts w:ascii="Times New Roman;serif" w:hAnsi="Times New Roman;serif"/>
          <w:b w:val="false"/>
          <w:color w:val="000000"/>
          <w:sz w:val="20"/>
        </w:rPr>
        <w:t>As an</w:t>
      </w:r>
      <w:r>
        <w:rPr>
          <w:color w:val="000000"/>
        </w:rPr>
        <w:t xml:space="preserve"> </w:t>
      </w:r>
      <w:r>
        <w:rPr>
          <w:rFonts w:ascii="Times New Roman;serif" w:hAnsi="Times New Roman;serif"/>
          <w:b w:val="false"/>
          <w:i/>
          <w:color w:val="000000"/>
          <w:sz w:val="20"/>
        </w:rPr>
        <w:t>approved insurer</w:t>
      </w:r>
      <w:r>
        <w:rPr>
          <w:rFonts w:ascii="Times New Roman;serif" w:hAnsi="Times New Roman;serif"/>
          <w:b w:val="false"/>
          <w:color w:val="000000"/>
          <w:sz w:val="20"/>
        </w:rPr>
        <w:t>, NMIC is subject to ongoing compliance with the PMIERs established by each of the GSEs (</w:t>
      </w:r>
      <w:r>
        <w:rPr>
          <w:rFonts w:ascii="Times New Roman;serif" w:hAnsi="Times New Roman;serif"/>
          <w:b w:val="false"/>
          <w:i/>
          <w:color w:val="000000"/>
          <w:sz w:val="20"/>
        </w:rPr>
        <w:t>italicized</w:t>
      </w:r>
      <w:r>
        <w:rPr>
          <w:color w:val="000000"/>
        </w:rPr>
        <w:t xml:space="preserve"> </w:t>
      </w:r>
      <w:r>
        <w:rPr>
          <w:rFonts w:ascii="Times New Roman;serif" w:hAnsi="Times New Roman;serif"/>
          <w:b w:val="false"/>
          <w:color w:val="000000"/>
          <w:sz w:val="20"/>
        </w:rPr>
        <w:t>terms have the same meaning that such terms have in the PMIERs, as described below). The PMIERs establish operational, business, remedial and financial requirements applicable to</w:t>
      </w:r>
      <w:r>
        <w:rPr>
          <w:color w:val="000000"/>
        </w:rPr>
        <w:t xml:space="preserve"> </w:t>
      </w:r>
      <w:r>
        <w:rPr>
          <w:rFonts w:ascii="Times New Roman;serif" w:hAnsi="Times New Roman;serif"/>
          <w:b w:val="false"/>
          <w:i/>
          <w:color w:val="000000"/>
          <w:sz w:val="20"/>
        </w:rPr>
        <w:t>approved insurers</w:t>
      </w:r>
      <w:r>
        <w:rPr>
          <w:rFonts w:ascii="Times New Roman;serif" w:hAnsi="Times New Roman;serif"/>
          <w:b w:val="false"/>
          <w:color w:val="000000"/>
          <w:sz w:val="20"/>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Times New Roman;serif" w:hAnsi="Times New Roman;serif"/>
          <w:b w:val="false"/>
          <w:i/>
          <w:color w:val="000000"/>
          <w:sz w:val="20"/>
        </w:rPr>
        <w:t xml:space="preserve">i.e., </w:t>
      </w:r>
      <w:r>
        <w:rPr>
          <w:rFonts w:ascii="Times New Roman;serif" w:hAnsi="Times New Roman;serif"/>
          <w:b w:val="false"/>
          <w:color w:val="000000"/>
          <w:sz w:val="20"/>
        </w:rPr>
        <w:t>current vs. delinquent), LTV ratio and other risk features. In general, higher quality loans carry lower asset charges.</w:t>
      </w:r>
    </w:p>
    <w:p>
      <w:pPr>
        <w:pStyle w:val="TextBody"/>
        <w:bidi w:val="0"/>
        <w:spacing w:lineRule="auto" w:line="288" w:before="0" w:after="180"/>
        <w:ind w:left="0" w:right="0" w:firstLine="765"/>
        <w:jc w:val="both"/>
        <w:rPr/>
      </w:pPr>
      <w:r>
        <w:rPr>
          <w:rFonts w:ascii="Times New Roman;serif" w:hAnsi="Times New Roman;serif"/>
          <w:b w:val="false"/>
          <w:color w:val="000000"/>
          <w:sz w:val="20"/>
        </w:rPr>
        <w:t>Under the PMIERs,</w:t>
      </w:r>
      <w:r>
        <w:rPr>
          <w:color w:val="000000"/>
        </w:rPr>
        <w:t xml:space="preserve">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must maintain</w:t>
      </w:r>
      <w:r>
        <w:rPr>
          <w:color w:val="000000"/>
        </w:rPr>
        <w:t xml:space="preserve">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that equal or exceed</w:t>
      </w:r>
      <w:r>
        <w:rPr>
          <w:color w:val="000000"/>
        </w:rPr>
        <w:t xml:space="preserve"> </w:t>
      </w:r>
      <w:r>
        <w:rPr>
          <w:rFonts w:ascii="Times New Roman;serif" w:hAnsi="Times New Roman;serif"/>
          <w:b w:val="false"/>
          <w:i/>
          <w:color w:val="000000"/>
          <w:sz w:val="20"/>
        </w:rPr>
        <w:t>minimum required assets</w:t>
      </w:r>
      <w:r>
        <w:rPr>
          <w:rFonts w:ascii="Times New Roman;serif" w:hAnsi="Times New Roman;serif"/>
          <w:b w:val="false"/>
          <w:color w:val="000000"/>
          <w:sz w:val="20"/>
        </w:rPr>
        <w:t xml:space="preserve">, which is an amount equal to the greater of (i) $400 million or (ii) a total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w:t>
      </w:r>
    </w:p>
    <w:p>
      <w:pPr>
        <w:pStyle w:val="TextBody"/>
        <w:bidi w:val="0"/>
        <w:spacing w:lineRule="auto" w:line="288" w:before="0" w:after="180"/>
        <w:ind w:left="0" w:right="0" w:firstLine="765"/>
        <w:jc w:val="both"/>
        <w:rPr/>
      </w:pPr>
      <w:r>
        <w:rPr>
          <w:rFonts w:ascii="Times New Roman;serif" w:hAnsi="Times New Roman;serif"/>
          <w:b w:val="false"/>
          <w:i/>
          <w:color w:val="000000"/>
          <w:sz w:val="20"/>
        </w:rPr>
        <w:t xml:space="preserve">Available assets </w:t>
      </w:r>
      <w:r>
        <w:rPr>
          <w:rFonts w:ascii="Times New Roman;serif" w:hAnsi="Times New Roman;serif"/>
          <w:b w:val="false"/>
          <w:color w:val="000000"/>
          <w:sz w:val="20"/>
        </w:rPr>
        <w:t>reflect the financial resources of a mortgage insurer available to pay claims, and includes the most readily liquid assets held, such as cash, investments and other items as stipulated in PMIERs Section 703. The credit provided for such liquid assets is further subject to adjustment based on several factors, including asset class, credit rating and portfolio concentration.</w:t>
      </w:r>
    </w:p>
    <w:p>
      <w:pPr>
        <w:pStyle w:val="TextBody"/>
        <w:bidi w:val="0"/>
        <w:spacing w:lineRule="auto" w:line="288" w:before="0" w:after="180"/>
        <w:ind w:left="0" w:right="0" w:firstLine="765"/>
        <w:jc w:val="both"/>
        <w:rPr/>
      </w:pPr>
      <w:r>
        <w:rPr>
          <w:rFonts w:ascii="Times New Roman;serif" w:hAnsi="Times New Roman;serif"/>
          <w:b w:val="false"/>
          <w:color w:val="000000"/>
          <w:sz w:val="20"/>
        </w:rPr>
        <w:t>The</w:t>
      </w:r>
      <w:r>
        <w:rPr>
          <w:color w:val="000000"/>
        </w:rPr>
        <w:t xml:space="preserv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is a function of the risk profile of an</w:t>
      </w:r>
      <w:r>
        <w:rPr>
          <w:color w:val="000000"/>
        </w:rPr>
        <w:t xml:space="preserve">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RIF, assessed on a loan-by-loan basis and considered against certain risk-based factors derived from tables set out in the PMIERs, which is then adjusted on an aggregate basis for reinsurance transactions approved by the GSEs, such as with respect to our ILN Transactions, XOL Transactions and QSR Transactions. The</w:t>
      </w:r>
      <w:r>
        <w:rPr>
          <w:color w:val="000000"/>
        </w:rPr>
        <w:t xml:space="preserve"> </w:t>
      </w:r>
      <w:r>
        <w:rPr>
          <w:rFonts w:ascii="Times New Roman;serif" w:hAnsi="Times New Roman;serif"/>
          <w:b w:val="false"/>
          <w:i/>
          <w:color w:val="000000"/>
          <w:sz w:val="20"/>
        </w:rPr>
        <w:t xml:space="preserve">aggregate gross risk-based required asset </w:t>
      </w:r>
      <w:r>
        <w:rPr>
          <w:rFonts w:ascii="Times New Roman;serif" w:hAnsi="Times New Roman;serif"/>
          <w:b w:val="false"/>
          <w:color w:val="000000"/>
          <w:sz w:val="20"/>
        </w:rPr>
        <w:t>amount</w:t>
      </w:r>
      <w:r>
        <w:rPr>
          <w:color w:val="000000"/>
        </w:rPr>
        <w:t xml:space="preserve"> </w:t>
      </w:r>
      <w:r>
        <w:rPr>
          <w:rFonts w:ascii="Times New Roman;serif" w:hAnsi="Times New Roman;serif"/>
          <w:b w:val="false"/>
          <w:color w:val="000000"/>
          <w:sz w:val="20"/>
        </w:rPr>
        <w:t>for performing, primary insurance is subject to a floor of 5.6% of</w:t>
      </w:r>
      <w:r>
        <w:rPr>
          <w:color w:val="000000"/>
        </w:rPr>
        <w:t xml:space="preserve"> </w:t>
      </w:r>
      <w:r>
        <w:rPr>
          <w:rFonts w:ascii="Times New Roman;serif" w:hAnsi="Times New Roman;serif"/>
          <w:b w:val="false"/>
          <w:i/>
          <w:color w:val="000000"/>
          <w:sz w:val="20"/>
        </w:rPr>
        <w:t>performing primary adjusted RIF</w:t>
      </w:r>
      <w:r>
        <w:rPr>
          <w:rFonts w:ascii="Times New Roman;serif" w:hAnsi="Times New Roman;serif"/>
          <w:b w:val="false"/>
          <w:color w:val="000000"/>
          <w:sz w:val="20"/>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April 15th of each year, NMIC must certify it met all PMIERs requirements as of December 31st of the prior year. We certified to the GSEs by April 15, 2025 that NMIC was in full compliance with the PMIERs as of December 31, 2024. NMIC also has an ongoing obligation to immediately notify the GSEs in writing upon discovery of a failure to meet one or more of the PMIERs requirements. We continuously monitor NMIC's compliance with the PMIERs.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following table provides a comparison of the PMIERs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and net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amount as reported by NMIC as of the dates indicated:</w:t>
      </w:r>
    </w:p>
    <w:tbl>
      <w:tblPr>
        <w:tblW w:w="5468" w:type="dxa"/>
        <w:jc w:val="left"/>
        <w:tblInd w:w="0" w:type="dxa"/>
        <w:tblLayout w:type="fixed"/>
        <w:tblCellMar>
          <w:top w:w="28" w:type="dxa"/>
          <w:left w:w="28" w:type="dxa"/>
          <w:bottom w:w="28" w:type="dxa"/>
          <w:right w:w="28" w:type="dxa"/>
        </w:tblCellMar>
      </w:tblPr>
      <w:tblGrid>
        <w:gridCol w:w="907"/>
        <w:gridCol w:w="796"/>
        <w:gridCol w:w="801"/>
        <w:gridCol w:w="211"/>
        <w:gridCol w:w="976"/>
        <w:gridCol w:w="109"/>
        <w:gridCol w:w="109"/>
        <w:gridCol w:w="109"/>
        <w:gridCol w:w="109"/>
        <w:gridCol w:w="211"/>
        <w:gridCol w:w="97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risk-based required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Available assets </w:t>
      </w:r>
      <w:r>
        <w:rPr>
          <w:rFonts w:ascii="Times New Roman;serif" w:hAnsi="Times New Roman;serif"/>
          <w:b w:val="false"/>
          <w:color w:val="000000"/>
          <w:sz w:val="20"/>
        </w:rPr>
        <w:t xml:space="preserve">were $3.4 billion at September 30, 2025, compared to $3.0 billion at September 30, 2024. The $363 million increase in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between the dates presented was primarily driven by NMIC's positive cash flow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operations during the intervening period, partially offset by the payment of an ordinary course dividend from NMIC to NMIH in June 2025.</w:t>
      </w:r>
    </w:p>
    <w:p>
      <w:pPr>
        <w:pStyle w:val="TextBody"/>
        <w:bidi w:val="0"/>
        <w:spacing w:lineRule="auto" w:line="288" w:before="0" w:after="180"/>
        <w:ind w:left="0" w:right="0" w:firstLine="720"/>
        <w:jc w:val="both"/>
        <w:rPr/>
      </w:pPr>
      <w:r>
        <w:rPr>
          <w:rFonts w:ascii="Times New Roman;serif" w:hAnsi="Times New Roman;serif"/>
          <w:b w:val="false"/>
          <w:color w:val="000000"/>
          <w:sz w:val="20"/>
        </w:rPr>
        <w:t>Net</w:t>
      </w:r>
      <w:r>
        <w:rPr>
          <w:color w:val="000000"/>
        </w:rPr>
        <w:t xml:space="preserve"> </w:t>
      </w:r>
      <w:r>
        <w:rPr>
          <w:rFonts w:ascii="Times New Roman;serif" w:hAnsi="Times New Roman;serif"/>
          <w:b w:val="false"/>
          <w:i/>
          <w:color w:val="000000"/>
          <w:sz w:val="20"/>
        </w:rPr>
        <w:t>risk-based required assets</w:t>
      </w:r>
      <w:r>
        <w:rPr>
          <w:color w:val="000000"/>
        </w:rPr>
        <w:t xml:space="preserve"> </w:t>
      </w:r>
      <w:r>
        <w:rPr>
          <w:rFonts w:ascii="Times New Roman;serif" w:hAnsi="Times New Roman;serif"/>
          <w:b w:val="false"/>
          <w:color w:val="000000"/>
          <w:sz w:val="20"/>
        </w:rPr>
        <w:t>were $2.0 billion at September 30, 2025, compared to $1.7 billion at September 30, 2024. The $268 million increase in the</w:t>
      </w:r>
      <w:r>
        <w:rPr>
          <w:color w:val="000000"/>
        </w:rPr>
        <w:t xml:space="preserv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between the dates presented was primarily due to the growth in our gross RIF and aggregate gross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Consolidated Results of Operations</w:t>
      </w:r>
    </w:p>
    <w:tbl>
      <w:tblPr>
        <w:tblW w:w="9765" w:type="dxa"/>
        <w:jc w:val="left"/>
        <w:tblInd w:w="0" w:type="dxa"/>
        <w:tblLayout w:type="fixed"/>
        <w:tblCellMar>
          <w:top w:w="28" w:type="dxa"/>
          <w:left w:w="28" w:type="dxa"/>
          <w:bottom w:w="28" w:type="dxa"/>
          <w:right w:w="28" w:type="dxa"/>
        </w:tblCellMar>
      </w:tblPr>
      <w:tblGrid>
        <w:gridCol w:w="1146"/>
        <w:gridCol w:w="1006"/>
        <w:gridCol w:w="1012"/>
        <w:gridCol w:w="228"/>
        <w:gridCol w:w="892"/>
        <w:gridCol w:w="292"/>
        <w:gridCol w:w="117"/>
        <w:gridCol w:w="117"/>
        <w:gridCol w:w="117"/>
        <w:gridCol w:w="228"/>
        <w:gridCol w:w="892"/>
        <w:gridCol w:w="292"/>
        <w:gridCol w:w="109"/>
        <w:gridCol w:w="109"/>
        <w:gridCol w:w="109"/>
        <w:gridCol w:w="211"/>
        <w:gridCol w:w="616"/>
        <w:gridCol w:w="109"/>
        <w:gridCol w:w="109"/>
        <w:gridCol w:w="109"/>
        <w:gridCol w:w="109"/>
        <w:gridCol w:w="218"/>
        <w:gridCol w:w="218"/>
        <w:gridCol w:w="483"/>
        <w:gridCol w:w="109"/>
        <w:gridCol w:w="109"/>
        <w:gridCol w:w="109"/>
        <w:gridCol w:w="109"/>
        <w:gridCol w:w="109"/>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statements of operations</w:t>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56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151,323 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143,343 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gains (losses)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178,679 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166,092 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119,327 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ratio </w:t>
            </w:r>
            <w:r>
              <w:rPr>
                <w:rFonts w:ascii="Times New Roman;serif" w:hAnsi="Times New Roman;serif"/>
                <w:b w:val="false"/>
                <w:color w:val="000000"/>
                <w:sz w:val="13"/>
              </w:rPr>
              <w:t>(1)</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Expense ratio </w:t>
            </w:r>
            <w:r>
              <w:rPr>
                <w:rFonts w:ascii="Times New Roman;serif" w:hAnsi="Times New Roman;serif"/>
                <w:b w:val="false"/>
                <w:color w:val="000000"/>
                <w:sz w:val="13"/>
              </w:rPr>
              <w:t>(2)</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Combined ratio </w:t>
            </w:r>
            <w:r>
              <w:rPr>
                <w:rFonts w:ascii="Times New Roman;serif" w:hAnsi="Times New Roman;serif"/>
                <w:b w:val="false"/>
                <w:color w:val="000000"/>
                <w:sz w:val="13"/>
              </w:rPr>
              <w:t>(3)</w:t>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624" w:type="dxa"/>
        <w:jc w:val="left"/>
        <w:tblInd w:w="0" w:type="dxa"/>
        <w:tblLayout w:type="fixed"/>
        <w:tblCellMar>
          <w:top w:w="28" w:type="dxa"/>
          <w:left w:w="28" w:type="dxa"/>
          <w:bottom w:w="28" w:type="dxa"/>
          <w:right w:w="28" w:type="dxa"/>
        </w:tblCellMar>
      </w:tblPr>
      <w:tblGrid>
        <w:gridCol w:w="907"/>
        <w:gridCol w:w="797"/>
        <w:gridCol w:w="800"/>
        <w:gridCol w:w="256"/>
        <w:gridCol w:w="1003"/>
        <w:gridCol w:w="132"/>
        <w:gridCol w:w="132"/>
        <w:gridCol w:w="132"/>
        <w:gridCol w:w="132"/>
        <w:gridCol w:w="256"/>
        <w:gridCol w:w="1003"/>
        <w:gridCol w:w="132"/>
        <w:gridCol w:w="109"/>
        <w:gridCol w:w="109"/>
        <w:gridCol w:w="109"/>
        <w:gridCol w:w="211"/>
        <w:gridCol w:w="616"/>
        <w:gridCol w:w="109"/>
        <w:gridCol w:w="109"/>
        <w:gridCol w:w="109"/>
        <w:gridCol w:w="109"/>
        <w:gridCol w:w="194"/>
        <w:gridCol w:w="194"/>
        <w:gridCol w:w="483"/>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Non-GAAP financial measures </w:t>
            </w:r>
            <w:r>
              <w:rPr>
                <w:rFonts w:ascii="Times New Roman;serif" w:hAnsi="Times New Roman;serif"/>
                <w:b/>
                <w:color w:val="000000"/>
                <w:sz w:val="10"/>
              </w:rPr>
              <w:t>(5)</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tax</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EPS</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74"/>
        <w:gridCol w:w="930"/>
        <w:gridCol w:w="935"/>
        <w:gridCol w:w="109"/>
        <w:gridCol w:w="109"/>
        <w:gridCol w:w="208"/>
        <w:gridCol w:w="208"/>
        <w:gridCol w:w="405"/>
        <w:gridCol w:w="1589"/>
        <w:gridCol w:w="520"/>
        <w:gridCol w:w="109"/>
        <w:gridCol w:w="109"/>
        <w:gridCol w:w="109"/>
        <w:gridCol w:w="211"/>
        <w:gridCol w:w="826"/>
        <w:gridCol w:w="271"/>
        <w:gridCol w:w="109"/>
        <w:gridCol w:w="109"/>
        <w:gridCol w:w="109"/>
        <w:gridCol w:w="211"/>
        <w:gridCol w:w="721"/>
        <w:gridCol w:w="109"/>
        <w:gridCol w:w="109"/>
        <w:gridCol w:w="109"/>
        <w:gridCol w:w="109"/>
        <w:gridCol w:w="232"/>
        <w:gridCol w:w="234"/>
        <w:gridCol w:w="322"/>
      </w:tblGrid>
      <w:tr>
        <w:trPr/>
        <w:tc>
          <w:tcPr>
            <w:tcW w:w="107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1115" w:type="dxa"/>
            <w:gridSpan w:val="6"/>
            <w:tcBorders/>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63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449,755 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75,408 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525,704 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36,477 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88,839 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21,345 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147,049 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378,655 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83,946 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294,709 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5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ratio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Expense ratio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4"/>
        <w:gridCol w:w="794"/>
        <w:gridCol w:w="797"/>
        <w:gridCol w:w="109"/>
        <w:gridCol w:w="109"/>
        <w:gridCol w:w="109"/>
        <w:gridCol w:w="109"/>
        <w:gridCol w:w="109"/>
        <w:gridCol w:w="109"/>
        <w:gridCol w:w="466"/>
        <w:gridCol w:w="247"/>
        <w:gridCol w:w="478"/>
        <w:gridCol w:w="1874"/>
        <w:gridCol w:w="247"/>
        <w:gridCol w:w="109"/>
        <w:gridCol w:w="109"/>
        <w:gridCol w:w="109"/>
        <w:gridCol w:w="211"/>
        <w:gridCol w:w="826"/>
        <w:gridCol w:w="109"/>
        <w:gridCol w:w="109"/>
        <w:gridCol w:w="109"/>
        <w:gridCol w:w="109"/>
        <w:gridCol w:w="211"/>
        <w:gridCol w:w="721"/>
        <w:gridCol w:w="109"/>
        <w:gridCol w:w="109"/>
        <w:gridCol w:w="109"/>
        <w:gridCol w:w="109"/>
        <w:gridCol w:w="128"/>
        <w:gridCol w:w="128"/>
        <w:gridCol w:w="320"/>
      </w:tblGrid>
      <w:tr>
        <w:trPr/>
        <w:tc>
          <w:tcPr>
            <w:tcW w:w="90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903" w:type="dxa"/>
            <w:gridSpan w:val="6"/>
            <w:tcBorders/>
          </w:tcPr>
          <w:p>
            <w:pPr>
              <w:pStyle w:val="TableContents"/>
              <w:bidi w:val="0"/>
              <w:spacing w:before="0" w:after="283"/>
              <w:jc w:val="left"/>
              <w:rPr>
                <w:sz w:val="4"/>
                <w:szCs w:val="4"/>
              </w:rPr>
            </w:pPr>
            <w:r>
              <w:rPr>
                <w:sz w:val="4"/>
                <w:szCs w:val="4"/>
              </w:rPr>
            </w:r>
          </w:p>
        </w:tc>
      </w:tr>
      <w:tr>
        <w:trPr/>
        <w:tc>
          <w:tcPr>
            <w:tcW w:w="24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Non-GAAP financial measures </w:t>
            </w:r>
            <w:r>
              <w:rPr>
                <w:rFonts w:ascii="Times New Roman;serif" w:hAnsi="Times New Roman;serif"/>
                <w:b/>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4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 2024</w:t>
            </w:r>
          </w:p>
        </w:tc>
        <w:tc>
          <w:tcPr>
            <w:tcW w:w="903" w:type="dxa"/>
            <w:gridSpan w:val="6"/>
            <w:tcBorders/>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43"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378,710 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294,752 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Loss ratio is calculated by dividing insurance claims and claim expenses by net premiums earned.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Expense ratio is calculated by dividing underwriting and operating expenses by net premiums earned.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Combined ratio may not foot due to rounding.</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Not meaningful.</w:t>
      </w:r>
    </w:p>
    <w:p>
      <w:pPr>
        <w:pStyle w:val="TextBody"/>
        <w:bidi w:val="0"/>
        <w:spacing w:lineRule="auto" w:line="288" w:before="0" w:after="0"/>
        <w:ind w:left="0" w:right="0" w:hanging="360"/>
        <w:jc w:val="both"/>
        <w:rPr/>
      </w:pPr>
      <w:r>
        <w:rPr>
          <w:rFonts w:ascii="Times New Roman;serif" w:hAnsi="Times New Roman;serif"/>
          <w:b w:val="false"/>
          <w:color w:val="000000"/>
          <w:sz w:val="16"/>
        </w:rPr>
        <w:t>(5)    See “</w:t>
      </w:r>
      <w:r>
        <w:rPr>
          <w:rFonts w:ascii="Times New Roman;serif" w:hAnsi="Times New Roman;serif"/>
          <w:b w:val="false"/>
          <w:i/>
          <w:color w:val="000000"/>
          <w:sz w:val="16"/>
        </w:rPr>
        <w:t>Explanation and Reconciliation of Our Use of Non-GAAP Financial Measures,”</w:t>
      </w:r>
      <w:r>
        <w:rPr>
          <w:color w:val="000000"/>
        </w:rPr>
        <w:t xml:space="preserve"> </w:t>
      </w:r>
      <w:r>
        <w:rPr>
          <w:rFonts w:ascii="Times New Roman;serif" w:hAnsi="Times New Roman;serif"/>
          <w:b w:val="false"/>
          <w:color w:val="000000"/>
          <w:sz w:val="16"/>
        </w:rPr>
        <w:t>below.</w:t>
      </w:r>
    </w:p>
    <w:p>
      <w:pPr>
        <w:pStyle w:val="TextBody"/>
        <w:bidi w:val="0"/>
        <w:spacing w:before="0" w:after="0"/>
        <w:ind w:left="0" w:right="0" w:hanging="36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premiums earned increased during the three and nine months ended September 30, 2025 compared to the three and nine months ended September 30, 2024 primarily due to growth in our monthly IIF and monthly pay premium receipts.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investment income increased during the three and nine months ended September 30, 2025 compared to the three and nine months ended September 30, 2024 primarily due to growth in the size of our total invested asset base, as well as an increase in the book yield of our investment portfolio tied to the deployment of new cash flows and reinvestment of rolling maturities at incrementally higher rates.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revenues represent underwriting fee revenue generated by our subsidiary, NMIS, which provides outsourced loan review services to mortgage loan originators. Changes in other revenues primarily reflect changes in NMIS' outsourced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review volume. Amounts recognized in other revenues generally correspond with amounts incurred as service expenses for outsourced loan review activities in the same periods.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Insurance claims and claim expenses increased during the three and nine months ended September 30, 2025 compared to the three and nine months ended September 30, 2024 primarily due to an increase in the number of newly defaulted loans that emerged in the respective periods and the establishment of initial reserves against such loans, as well as an increase in the average case reserves held against previously defaulted loans that aged in their delinquency status, partially offset by the release of a portion of the reserves we established for anticipated claims payments in prior periods in connection with cure activity and the ongoing analysis of recent loss development trends.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Underwriting and operating expenses increased during the nine months ended September 30, 2025 compared to the nine months ended September 30, 2024 primarily due to an increase in certain technology expenses and a decrease in ceding commissions received under our QSR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Service expenses represent third-party costs incurred by NMIS in connection with the services it provides. Changes in service expenses primarily reflect changes in NMIS' outsourced loan review volume. Amounts incurred as service expenses generally correspond with amounts recognized in other revenues in the same periods.</w:t>
      </w:r>
    </w:p>
    <w:p>
      <w:pPr>
        <w:pStyle w:val="TextBody"/>
        <w:bidi w:val="0"/>
        <w:spacing w:lineRule="auto" w:line="288" w:before="0" w:after="180"/>
        <w:ind w:left="0" w:right="0" w:firstLine="720"/>
        <w:jc w:val="both"/>
        <w:rPr/>
      </w:pPr>
      <w:r>
        <w:rPr>
          <w:rFonts w:ascii="Times New Roman;serif" w:hAnsi="Times New Roman;serif"/>
          <w:b w:val="false"/>
          <w:color w:val="000000"/>
          <w:sz w:val="20"/>
        </w:rPr>
        <w:t>Interest expense primarily reflects the carrying costs of our outstanding debt. Interest expense for the nine months ended September 30, 2024 includes $7.0 million of non-recurring costs related to the refinancing of the 2020 Notes and 2021 Revolving Credit Facility. See Item 1, “</w:t>
      </w:r>
      <w:r>
        <w:rPr>
          <w:rFonts w:ascii="Times New Roman;serif" w:hAnsi="Times New Roman;serif"/>
          <w:b w:val="false"/>
          <w:i/>
          <w:color w:val="000000"/>
          <w:sz w:val="20"/>
        </w:rPr>
        <w:t>Financial Statements - Notes to Condensed Consolidated Financial Statements - Note 4, Debt.”</w:t>
      </w:r>
    </w:p>
    <w:p>
      <w:pPr>
        <w:pStyle w:val="TextBody"/>
        <w:bidi w:val="0"/>
        <w:spacing w:lineRule="auto" w:line="288" w:before="0" w:after="180"/>
        <w:ind w:left="0" w:right="0" w:firstLine="720"/>
        <w:jc w:val="both"/>
        <w:rPr/>
      </w:pPr>
      <w:r>
        <w:rPr>
          <w:rFonts w:ascii="Times New Roman;serif" w:hAnsi="Times New Roman;serif"/>
          <w:b w:val="false"/>
          <w:color w:val="000000"/>
          <w:sz w:val="20"/>
        </w:rPr>
        <w:t>Income tax expense increased during the three and nine months ended September 30, 2025 compared to the three and nine months ended September 30, 2024 primarily due to the growth in our pre-tax income. Our effective tax rate on pre-tax income was 22.4% and 22.2% for the three and nine months ended September 30, 2025, respectively, compared to 22.2% and 22.3% for the three and nine months ended September 30, 2024, respectively. As a U.S. taxpayer, we are subject to a statutory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rates for the three and nine months ended September 30, 2025 and 2024 include the discrete tax effects of the vesting of RSUs. See Item 1, “</w:t>
      </w:r>
      <w:r>
        <w:rPr>
          <w:rFonts w:ascii="Times New Roman;serif" w:hAnsi="Times New Roman;serif"/>
          <w:b w:val="false"/>
          <w:i/>
          <w:color w:val="000000"/>
          <w:sz w:val="20"/>
        </w:rPr>
        <w:t>Financial Statements - Notes to Condensed Consolidated Financial Statements - Note 9, Income Taxes.”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and adjusted net income increased during the three and nine months ended September 30, 2025 compared to the three and nine months ended September 30, 2024, primarily due to growth in our total revenues, partially offset by increases in our insurance claims and claim expenses and income tax expense. Adjusted net income for the nine months ended September 30, 2024 reflects a $7.0 million adjustment for non-recurring costs incurred in connection with the refinancing of the 2020 Notes and 2021 Revolving Credit Facility.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Diluted and adjusted diluted EPS increased during the three and nine months ended September 30, 2025 compared to the three and nine months ended September 30, 2024 primarily due to growth in our net income, as well as a decline in the number of weighted average diluted shares outstanding tied to share repurchase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non-GAAP financial measures of adjusted income before tax, adjusted net income and adjusted diluted EPS are presented to enhance the comparability of financial results between periods.</w:t>
      </w:r>
    </w:p>
    <w:tbl>
      <w:tblPr>
        <w:tblW w:w="10079" w:type="dxa"/>
        <w:jc w:val="left"/>
        <w:tblInd w:w="0" w:type="dxa"/>
        <w:tblLayout w:type="fixed"/>
        <w:tblCellMar>
          <w:top w:w="28" w:type="dxa"/>
          <w:left w:w="28" w:type="dxa"/>
          <w:bottom w:w="28" w:type="dxa"/>
          <w:right w:w="28" w:type="dxa"/>
        </w:tblCellMar>
      </w:tblPr>
      <w:tblGrid>
        <w:gridCol w:w="1433"/>
        <w:gridCol w:w="1260"/>
        <w:gridCol w:w="1266"/>
        <w:gridCol w:w="256"/>
        <w:gridCol w:w="1003"/>
        <w:gridCol w:w="132"/>
        <w:gridCol w:w="132"/>
        <w:gridCol w:w="132"/>
        <w:gridCol w:w="132"/>
        <w:gridCol w:w="256"/>
        <w:gridCol w:w="1003"/>
        <w:gridCol w:w="132"/>
        <w:gridCol w:w="109"/>
        <w:gridCol w:w="109"/>
        <w:gridCol w:w="109"/>
        <w:gridCol w:w="211"/>
        <w:gridCol w:w="616"/>
        <w:gridCol w:w="109"/>
        <w:gridCol w:w="109"/>
        <w:gridCol w:w="109"/>
        <w:gridCol w:w="109"/>
        <w:gridCol w:w="194"/>
        <w:gridCol w:w="194"/>
        <w:gridCol w:w="483"/>
        <w:gridCol w:w="109"/>
        <w:gridCol w:w="109"/>
        <w:gridCol w:w="109"/>
        <w:gridCol w:w="154"/>
      </w:tblGrid>
      <w:tr>
        <w:trPr/>
        <w:tc>
          <w:tcPr>
            <w:tcW w:w="143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 Reconciliations</w:t>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56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(gains) losses</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before tax</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(benefit) expense on adjustments</w:t>
            </w:r>
            <w:r>
              <w:rPr>
                <w:color w:val="000000"/>
              </w:rPr>
              <w:t xml:space="preserve"> </w:t>
            </w:r>
            <w:r>
              <w:rPr>
                <w:rFonts w:ascii="Times New Roman;serif" w:hAnsi="Times New Roman;serif"/>
                <w:b w:val="false"/>
                <w:color w:val="000000"/>
                <w:sz w:val="13"/>
              </w:rPr>
              <w:t>(1)</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diluted EPS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tbl>
      <w:tblPr>
        <w:tblW w:w="9662" w:type="dxa"/>
        <w:jc w:val="left"/>
        <w:tblInd w:w="0" w:type="dxa"/>
        <w:tblLayout w:type="fixed"/>
        <w:tblCellMar>
          <w:top w:w="28" w:type="dxa"/>
          <w:left w:w="28" w:type="dxa"/>
          <w:bottom w:w="28" w:type="dxa"/>
          <w:right w:w="28" w:type="dxa"/>
        </w:tblCellMar>
      </w:tblPr>
      <w:tblGrid>
        <w:gridCol w:w="1368"/>
        <w:gridCol w:w="1203"/>
        <w:gridCol w:w="1209"/>
        <w:gridCol w:w="250"/>
        <w:gridCol w:w="979"/>
        <w:gridCol w:w="129"/>
        <w:gridCol w:w="129"/>
        <w:gridCol w:w="129"/>
        <w:gridCol w:w="129"/>
        <w:gridCol w:w="250"/>
        <w:gridCol w:w="979"/>
        <w:gridCol w:w="129"/>
        <w:gridCol w:w="109"/>
        <w:gridCol w:w="109"/>
        <w:gridCol w:w="109"/>
        <w:gridCol w:w="211"/>
        <w:gridCol w:w="721"/>
        <w:gridCol w:w="109"/>
        <w:gridCol w:w="109"/>
        <w:gridCol w:w="109"/>
        <w:gridCol w:w="109"/>
        <w:gridCol w:w="269"/>
        <w:gridCol w:w="271"/>
        <w:gridCol w:w="54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 Reconciliations</w:t>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58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294,709 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273,939 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markets transaction costs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before tax</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378,710 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359,514 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 on adjustments</w:t>
            </w:r>
            <w:r>
              <w:rPr>
                <w:color w:val="000000"/>
              </w:rPr>
              <w:t xml:space="preserve"> </w:t>
            </w:r>
            <w:r>
              <w:rPr>
                <w:rFonts w:ascii="Times New Roman;serif" w:hAnsi="Times New Roman;serif"/>
                <w:b w:val="false"/>
                <w:color w:val="000000"/>
                <w:sz w:val="13"/>
              </w:rPr>
              <w:t>(1)</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294,752 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279,450 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diluted EPS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Marginal tax impact of non-GAAP adjustments is calculated based on our statutory U.S. federal corporate income tax rate of 21%, except for those items that are not eligible for an income tax deduction.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Not meaningful.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Explanation and Reconciliation of Our Use of Non-GAAP Financial Measures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pStyle w:val="TextBody"/>
        <w:bidi w:val="0"/>
        <w:spacing w:lineRule="auto" w:line="288" w:before="0" w:after="180"/>
        <w:ind w:left="0" w:right="0" w:firstLine="720"/>
        <w:jc w:val="both"/>
        <w:rPr/>
      </w:pPr>
      <w:r>
        <w:rPr>
          <w:rFonts w:ascii="Times New Roman;serif" w:hAnsi="Times New Roman;serif"/>
          <w:b/>
          <w:color w:val="000000"/>
          <w:sz w:val="20"/>
        </w:rPr>
        <w:t>Adjusted income before tax</w:t>
      </w:r>
      <w:r>
        <w:rPr>
          <w:color w:val="000000"/>
        </w:rPr>
        <w:t xml:space="preserve"> </w:t>
      </w:r>
      <w:r>
        <w:rPr>
          <w:rFonts w:ascii="Times New Roman;serif" w:hAnsi="Times New Roman;serif"/>
          <w:b w:val="false"/>
          <w:color w:val="000000"/>
          <w:sz w:val="20"/>
        </w:rPr>
        <w:t>is defined as GAAP income before tax, excluding the pre-tax effects of net realized gains or losses from our investment portfolio, periodic costs incurred in connection with capital markets transactions, and other infrequent, unusual or non-operating items in the periods in which such items are incurred.</w:t>
      </w:r>
    </w:p>
    <w:p>
      <w:pPr>
        <w:pStyle w:val="TextBody"/>
        <w:bidi w:val="0"/>
        <w:spacing w:lineRule="auto" w:line="288" w:before="0" w:after="180"/>
        <w:ind w:left="0" w:right="0" w:firstLine="720"/>
        <w:jc w:val="both"/>
        <w:rPr/>
      </w:pPr>
      <w:r>
        <w:rPr>
          <w:rFonts w:ascii="Times New Roman;serif" w:hAnsi="Times New Roman;serif"/>
          <w:b/>
          <w:color w:val="000000"/>
          <w:sz w:val="20"/>
        </w:rPr>
        <w:t>Adjusted net income</w:t>
      </w:r>
      <w:r>
        <w:rPr>
          <w:color w:val="000000"/>
        </w:rPr>
        <w:t xml:space="preserve"> </w:t>
      </w:r>
      <w:r>
        <w:rPr>
          <w:rFonts w:ascii="Times New Roman;serif" w:hAnsi="Times New Roman;serif"/>
          <w:b w:val="false"/>
          <w:color w:val="000000"/>
          <w:sz w:val="20"/>
        </w:rPr>
        <w:t>is defined as GAAP net income, excluding the after-tax effects of net realized gains or losses from our investment portfolio, periodic costs incurred in connection with capital markets transactions, and other infrequent, unusual or non-operating items in the periods in which such items are incurred. Adjustments to components of pre-tax income are tax effected using the applicable federal statutory tax rate for the respective periods.</w:t>
      </w:r>
    </w:p>
    <w:p>
      <w:pPr>
        <w:pStyle w:val="TextBody"/>
        <w:bidi w:val="0"/>
        <w:spacing w:lineRule="auto" w:line="288" w:before="0" w:after="180"/>
        <w:ind w:left="0" w:right="0" w:firstLine="720"/>
        <w:jc w:val="both"/>
        <w:rPr/>
      </w:pPr>
      <w:r>
        <w:rPr>
          <w:rFonts w:ascii="Times New Roman;serif" w:hAnsi="Times New Roman;serif"/>
          <w:b/>
          <w:color w:val="000000"/>
          <w:sz w:val="20"/>
        </w:rPr>
        <w:t>Adjusted diluted EPS</w:t>
      </w:r>
      <w:r>
        <w:rPr>
          <w:color w:val="000000"/>
        </w:rPr>
        <w:t xml:space="preserve"> </w:t>
      </w:r>
      <w:r>
        <w:rPr>
          <w:rFonts w:ascii="Times New Roman;serif" w:hAnsi="Times New Roman;serif"/>
          <w:b w:val="false"/>
          <w:color w:val="000000"/>
          <w:sz w:val="20"/>
        </w:rPr>
        <w:t>is defined as adjusted net income divided by adjusted weighted average diluted shares outstanding. Adjusted weighted average 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Net realized investment gains and losses</w:t>
      </w:r>
      <w:r>
        <w:rPr>
          <w:rFonts w:ascii="Times New Roman;serif" w:hAnsi="Times New Roman;serif"/>
          <w:b w:val="false"/>
          <w:color w:val="000000"/>
          <w:sz w:val="20"/>
        </w:rPr>
        <w:t>. The recognition of net realized investment gains or losses can vary significantly across periods as the timing is highly discretionary and is influenced by factors such as market opportunities, tax and capital profile, and overall market cycles that do not reflect our current period operating results.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Capital markets transaction costs</w:t>
      </w:r>
      <w:r>
        <w:rPr>
          <w:rFonts w:ascii="Times New Roman;serif" w:hAnsi="Times New Roman;serif"/>
          <w:b w:val="false"/>
          <w:color w:val="000000"/>
          <w:sz w:val="20"/>
        </w:rPr>
        <w:t xml:space="preserve">. Capital markets transaction costs result from activities that are undertaken to improve our debt profile or enhance our capital position through activities such as debt refinancing and capital markets reinsurance transactions that may vary in their size and timing due to factors such as market opportunities, tax and capital profile, and overall market cycles.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Other infrequent, unusual or non-operating items</w:t>
      </w:r>
      <w:r>
        <w:rPr>
          <w:rFonts w:ascii="Times New Roman;serif" w:hAnsi="Times New Roman;serif"/>
          <w:b w:val="false"/>
          <w:color w:val="000000"/>
          <w:sz w:val="20"/>
        </w:rPr>
        <w:t>. Items that are the result of unforeseen or uncommon events, and are not expected to recur with 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59"/>
        <w:gridCol w:w="1280"/>
        <w:gridCol w:w="1287"/>
        <w:gridCol w:w="250"/>
        <w:gridCol w:w="1162"/>
        <w:gridCol w:w="129"/>
        <w:gridCol w:w="109"/>
        <w:gridCol w:w="109"/>
        <w:gridCol w:w="109"/>
        <w:gridCol w:w="243"/>
        <w:gridCol w:w="1128"/>
        <w:gridCol w:w="125"/>
        <w:gridCol w:w="109"/>
        <w:gridCol w:w="109"/>
        <w:gridCol w:w="109"/>
        <w:gridCol w:w="211"/>
        <w:gridCol w:w="826"/>
        <w:gridCol w:w="109"/>
        <w:gridCol w:w="109"/>
        <w:gridCol w:w="109"/>
        <w:gridCol w:w="109"/>
        <w:gridCol w:w="233"/>
        <w:gridCol w:w="233"/>
        <w:gridCol w:w="549"/>
      </w:tblGrid>
      <w:tr>
        <w:trPr/>
        <w:tc>
          <w:tcPr>
            <w:tcW w:w="145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4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balance sheets</w:t>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portfolio</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3,015,560 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2,723,541 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net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 net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 net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402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federal income taxes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3,727,193 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3,349,973 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416,548 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415,146 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insurance claims and claim expenses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402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1,212,322 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1,132,541 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2,514,871 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2,217,432 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3,727,193 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3,349,973 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cash and investments increased at September 30, 2025 compared to December 31, 2024 with the addition of incremental cash provided by operating activities and a decrease in the unrealized loss position of our fixed income portfolio primarily tied to changes in interest rates during the nine months ended September 30, 2025, partially offset by share repurchase activity during the period. Cash and investments at September 30, 2025 included $148.1 million held by NMIH.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premiums receivable represents premiums due on our mortgage insurance policies and may fluctuate based on changes in our monthly premium policies in force, where premiums are generally paid one month in arrears, and the pace of settlement of previously outstanding receivables.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deferred policy acquisition costs decreased at September 30, 2025 compared to December 31, 2024 primarily due to the recognition of previously deferred policy acquisition costs during the nine months ended September 30, 2025, partially offset by the deferral of certain costs associated with the origination of new policies during the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software and equipment decreased at September 30, 2025 compared to December 31, 2024 primarily due to the amortization of previously capitalized amounts during the nine months ended September 30,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Reinsurance recoverable increased at September 30, 2025 compared to December 31, 2024 due to an increase in ceded losses recoverable under the QSR Transactions tied to an increase in our gross reserve for insurance claims and claim expenses.</w:t>
      </w:r>
    </w:p>
    <w:p>
      <w:pPr>
        <w:pStyle w:val="TextBody"/>
        <w:bidi w:val="0"/>
        <w:spacing w:lineRule="auto" w:line="288" w:before="100" w:after="180"/>
        <w:ind w:left="0" w:right="0" w:firstLine="720"/>
        <w:jc w:val="both"/>
        <w:rPr/>
      </w:pPr>
      <w:r>
        <w:rPr>
          <w:rFonts w:ascii="Times New Roman;serif" w:hAnsi="Times New Roman;serif"/>
          <w:b w:val="false"/>
          <w:color w:val="000000"/>
          <w:sz w:val="20"/>
        </w:rPr>
        <w:t>Prepaid federal income taxes represent tax and loss bonds purchased in connection with our claimed tax deduction for our statutory contingency reserve position. See Item 1, “</w:t>
      </w:r>
      <w:r>
        <w:rPr>
          <w:rFonts w:ascii="Times New Roman;serif" w:hAnsi="Times New Roman;serif"/>
          <w:b w:val="false"/>
          <w:i/>
          <w:color w:val="000000"/>
          <w:sz w:val="20"/>
        </w:rPr>
        <w:t>Financial Statements - Notes to Condensed Consolidated Financial Statements - Note 9, Income Taxes.”</w:t>
      </w:r>
    </w:p>
    <w:p>
      <w:pPr>
        <w:pStyle w:val="TextBody"/>
        <w:bidi w:val="0"/>
        <w:spacing w:lineRule="auto" w:line="288" w:before="1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assets increased at September 30, 2025 compared to December 31, 2024 primarily due to an increase in current income taxes receivable and accrued investment income, partially offset by a reduction in our right-of-use assets tied to amortization of the operating lease for our corporate headquarters.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Unearned premiums decreased at September 30, 2025 compared to December 31, 2024 due to the amortization of existing unearned premiums through earnings in accordance with the expiration of risk on related single premium policies and the cancellations of other single premium policies during the nine months ended September 30, 2025, partially offset by single premium policy originations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payable and accrued expenses decreased at September 30, 2025 compared to December 31, 2024 primarily due to a reduction in accrued interest on the 2024 Notes, which is payable semi-annually in February and August, and the settlement of previously accrued compensation expenses during the nine months ended September 30, 2025, partially offset by an increase in unsettled trade payables related to the purchase of certain investment securities.</w:t>
      </w:r>
    </w:p>
    <w:p>
      <w:pPr>
        <w:pStyle w:val="TextBody"/>
        <w:bidi w:val="0"/>
        <w:spacing w:lineRule="auto" w:line="288" w:before="0" w:after="180"/>
        <w:ind w:left="0" w:right="0" w:firstLine="720"/>
        <w:jc w:val="both"/>
        <w:rPr/>
      </w:pPr>
      <w:r>
        <w:rPr>
          <w:rFonts w:ascii="Times New Roman;serif" w:hAnsi="Times New Roman;serif"/>
          <w:b w:val="false"/>
          <w:color w:val="000000"/>
          <w:sz w:val="20"/>
        </w:rPr>
        <w:t>Reserve for insurance claims and claim expenses increased at September 30, 2025 compared to December 31, 2024 with the establishment of initial reserves on newly defaulted loans and an increase in the average case reserves held against previously defaulted loans that aged in their delinquent status during the nine months ended September 30, 2025. The increase was partially offset by the release of a portion of the reserves we established for anticipated claims payments in prior periods (in connection with cure activity and ongoing analysis of recent loss development trends), as well as the payment of previously reserved claims during the period. See “</w:t>
      </w:r>
      <w:r>
        <w:rPr>
          <w:rFonts w:ascii="Times New Roman;serif" w:hAnsi="Times New Roman;serif"/>
          <w:b w:val="false"/>
          <w:i/>
          <w:color w:val="000000"/>
          <w:sz w:val="20"/>
        </w:rPr>
        <w:t>Insurance Claims and Claim Expenses</w:t>
      </w:r>
      <w:r>
        <w:rPr>
          <w:rFonts w:ascii="Times New Roman;serif" w:hAnsi="Times New Roman;serif"/>
          <w:b w:val="false"/>
          <w:color w:val="000000"/>
          <w:sz w:val="20"/>
        </w:rPr>
        <w:t>,” above</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88" w:before="0" w:after="180"/>
        <w:ind w:left="0" w:right="0" w:firstLine="720"/>
        <w:jc w:val="both"/>
        <w:rPr/>
      </w:pPr>
      <w:r>
        <w:rPr>
          <w:rFonts w:ascii="Times New Roman;serif" w:hAnsi="Times New Roman;serif"/>
          <w:b w:val="false"/>
          <w:color w:val="000000"/>
          <w:sz w:val="20"/>
        </w:rPr>
        <w:t>Net deferred tax liability increased at September 30, 2025 compared to December 31, 2024 due to an increase in the claimed deductibility of our statutory contingency reserve, as well as a decrease in the aggregate unrealized loss position of our fixed income portfolio recorded in other comprehensive income. For further information regarding income taxes and their impact on our results of operations and financial position, see Item 1, “</w:t>
      </w:r>
      <w:r>
        <w:rPr>
          <w:rFonts w:ascii="Times New Roman;serif" w:hAnsi="Times New Roman;serif"/>
          <w:b w:val="false"/>
          <w:i/>
          <w:color w:val="000000"/>
          <w:sz w:val="20"/>
        </w:rPr>
        <w:t>Financial Statements - Notes to Condensed Consolidated Financial Statements - Note 9, Income Taxes</w:t>
      </w:r>
      <w:r>
        <w:rPr>
          <w:rFonts w:ascii="Times New Roman;serif" w:hAnsi="Times New Roman;serif"/>
          <w:b w:val="false"/>
          <w:color w:val="000000"/>
          <w:sz w:val="20"/>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cash flows from operating, investing and financing activities:</w:t>
      </w:r>
    </w:p>
    <w:tbl>
      <w:tblPr>
        <w:tblW w:w="8268" w:type="dxa"/>
        <w:jc w:val="left"/>
        <w:tblInd w:w="0" w:type="dxa"/>
        <w:tblLayout w:type="fixed"/>
        <w:tblCellMar>
          <w:top w:w="28" w:type="dxa"/>
          <w:left w:w="28" w:type="dxa"/>
          <w:bottom w:w="28" w:type="dxa"/>
          <w:right w:w="28" w:type="dxa"/>
        </w:tblCellMar>
      </w:tblPr>
      <w:tblGrid>
        <w:gridCol w:w="1254"/>
        <w:gridCol w:w="1103"/>
        <w:gridCol w:w="1108"/>
        <w:gridCol w:w="250"/>
        <w:gridCol w:w="979"/>
        <w:gridCol w:w="129"/>
        <w:gridCol w:w="129"/>
        <w:gridCol w:w="129"/>
        <w:gridCol w:w="129"/>
        <w:gridCol w:w="250"/>
        <w:gridCol w:w="979"/>
        <w:gridCol w:w="129"/>
        <w:gridCol w:w="109"/>
        <w:gridCol w:w="109"/>
        <w:gridCol w:w="109"/>
        <w:gridCol w:w="225"/>
        <w:gridCol w:w="769"/>
        <w:gridCol w:w="116"/>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cash flows</w:t>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 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454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(198,810)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(253,156)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decreased during the nine months ended September 30, 2025 compared to the nine months ended September 30, 2024 primarily due to an increase in taxes paid, the semi-annual interest payments made on the 2024 Notes and net claim settlement costs, largely offset by an increase in our net premium receipts and growth in our investment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for the nine months ended September 30, 2025 and 2024 reflects the purchase of fixed and short-term maturities with cash provided by operating activities, and the reinvestment of coupon payments, sales, maturities and redemption proceeds within our investment portfolio.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primarily relates to the repurchase of common stock and taxes paid on the net share settlement of equity awards for certain employees. Cash used in financing activities for the nine months ended September 30, 2024 benefitted from the net impact of the issuance of the 2024 Notes and redemption of the 2020 Notes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2024 Notes and 2024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pStyle w:val="TextBody"/>
        <w:bidi w:val="0"/>
        <w:spacing w:lineRule="auto" w:line="288" w:before="0" w:after="180"/>
        <w:ind w:left="0" w:right="0" w:firstLine="720"/>
        <w:jc w:val="both"/>
        <w:rPr/>
      </w:pPr>
      <w:r>
        <w:rPr>
          <w:rFonts w:ascii="Times New Roman;serif" w:hAnsi="Times New Roman;serif"/>
          <w:b w:val="false"/>
          <w:color w:val="000000"/>
          <w:sz w:val="20"/>
        </w:rPr>
        <w:t>As of September 30, 2025, NMIH had $148.1 million of cash and cash equivalents, and investments. NMIH</w:t>
      </w:r>
      <w:r>
        <w:rPr>
          <w:color w:val="000000"/>
        </w:rPr>
        <w:t>’</w:t>
      </w:r>
      <w:r>
        <w:rPr>
          <w:rFonts w:ascii="Times New Roman;serif" w:hAnsi="Times New Roman;serif"/>
          <w:b w:val="false"/>
          <w:color w:val="000000"/>
          <w:sz w:val="20"/>
        </w:rPr>
        <w:t>s principal sources of net cash are dividends from its subsidiaries and investment income. NMIC paid a $98.4 million ordinary course dividend to NMIH on June 2, 2025, representing its full ordinary course dividend capacity payable under Wisconsin insurance laws for the twelve-month period ending December 31, 2025. NMIH also has access to $250 million of undrawn revolving credit capacity under the 2024 Revolving Credit Facility.</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2023, our Board of Directors authorized a $200 million repurchase program (the 2023 Repurchase Program), effective through December 31, 2025. On February 5, 2025, our Board of Directors authorized a new $250 million repurchase program (the 2025 Repurchase Program), effective through December 31, 2027, and extended the effectiveness of the 2023 Repurchase Program through December 31, 2027 to align its remaining tenor with that of the 2025 Repurchase Program. The authorizations provide NMIH with the flexibility, based on market and business conditions, stock price and other factors, to repurchase stock from time to time through open market repurchases, privately negotiated transactions, or other means, including pursuant to Rule 10b5-1 trading plans.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NMIH repurchased 2.0 million shares of common stock at a total cost of $73.7 million, excluding associated costs and applicable taxes. As of September 30, 2025, NMIH had $256.4 million of repurchase authority remaining.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2024 Notes and 2024 Revolving Credit Facility to NMIC, to the extent proceeds from such offering and facility are contributed to NMIC or used to repay, redeem or otherwise defease amounts raised by NMIC under prior credit arrangements that have previously been distributed to NMIC.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2024 Notes mature on August 15, 2029 and bear interest at a rate of 6.00%, payable semi-annually on February 15 and August 15. The 2024 Revolving Credit Facility matures on May 21, 2029, and accrues interest at a variable rate equal to, at our discretion, (i) a Base Rate (as defined in the 2024 Revolving Credit Facility, subject to a floor of 1.00% per annum) plus a margin of 0.375% to 1.875% per annum, or (ii) the Adjusted Term SOFR Rate (as defined in the 2024 Revolving Credit Facility) plus a margin of 1.375% to 2.875% per annum, with the margin in each of (i) or (ii) based on our applicable corporate credit rating at the time. Borrowings under the 2024 Revolving Credit Facility may be used for general corporate purposes, including to support the growth of our new business production and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2024 Revolving Credit Facility, NMIH is required to pay a quarterly commitment fee on the average daily undrawn amount of 0.175% to 0.525%, based on the applicable corporate credit rating at the time. As of September 30, 2025, the applicable commitment fee was 0.225%.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certain covenants under the 2024 Revolving Credit Facility, including: a maximum debt-to-total capitalization ratio of 35%, a minimum consolidated net worth requirement (as defined therein), and a requirement to maintain compliance with the financial standards prescribed by the PMIERs (subject to any GSE approved waivers). We were in compliance with all covenants at September 30, 2025.</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 and Re One are subject to certain capital and dividend rules and regulations prescribed by jurisdictions in which they are authorized to operate and by the GSEs. Under Wisconsin insurance laws, NMIC and Re One may pay dividends up to specified levels (</w:t>
      </w:r>
      <w:r>
        <w:rPr>
          <w:rFonts w:ascii="Times New Roman;serif" w:hAnsi="Times New Roman;serif"/>
          <w:b w:val="false"/>
          <w:i/>
          <w:color w:val="000000"/>
          <w:sz w:val="20"/>
        </w:rPr>
        <w:t>i.e.,</w:t>
      </w:r>
      <w:r>
        <w:rPr>
          <w:color w:val="000000"/>
        </w:rPr>
        <w:t xml:space="preserve"> “</w:t>
      </w:r>
      <w:r>
        <w:rPr>
          <w:rFonts w:ascii="Times New Roman;serif" w:hAnsi="Times New Roman;serif"/>
          <w:b w:val="false"/>
          <w:color w:val="000000"/>
          <w:sz w:val="20"/>
        </w:rPr>
        <w:t>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On June 2, 2025, NMIC paid a $98.4 million ordinary course dividend to NMIH, representing its full ordinary course dividend capacity payable under Wisconsin insurance laws for the twelve-month period ending December 31, 2025.</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As an </w:t>
      </w:r>
      <w:r>
        <w:rPr>
          <w:rFonts w:ascii="Times New Roman;serif" w:hAnsi="Times New Roman;serif"/>
          <w:b w:val="false"/>
          <w:i/>
          <w:color w:val="000000"/>
          <w:sz w:val="20"/>
        </w:rPr>
        <w:t>approved insurer</w:t>
      </w:r>
      <w:r>
        <w:rPr>
          <w:color w:val="000000"/>
        </w:rPr>
        <w:t xml:space="preserve"> </w:t>
      </w:r>
      <w:r>
        <w:rPr>
          <w:rFonts w:ascii="Times New Roman;serif" w:hAnsi="Times New Roman;serif"/>
          <w:b w:val="false"/>
          <w:color w:val="000000"/>
          <w:sz w:val="20"/>
        </w:rPr>
        <w:t>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pStyle w:val="TextBody"/>
        <w:bidi w:val="0"/>
        <w:spacing w:lineRule="auto" w:line="276" w:before="0" w:after="180"/>
        <w:ind w:left="0" w:right="0" w:firstLine="720"/>
        <w:jc w:val="both"/>
        <w:rPr/>
      </w:pPr>
      <w:r>
        <w:rPr>
          <w:rFonts w:ascii="Times New Roman;serif" w:hAnsi="Times New Roman;serif"/>
          <w:b w:val="false"/>
          <w:color w:val="000000"/>
          <w:sz w:val="20"/>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Times New Roman;serif" w:hAnsi="Times New Roman;serif"/>
          <w:b w:val="false"/>
          <w:i/>
          <w:color w:val="000000"/>
          <w:sz w:val="20"/>
        </w:rPr>
        <w:t>minimum required asset</w:t>
      </w:r>
      <w:r>
        <w:rPr>
          <w:color w:val="000000"/>
        </w:rPr>
        <w:t xml:space="preserve"> </w:t>
      </w:r>
      <w:r>
        <w:rPr>
          <w:rFonts w:ascii="Times New Roman;serif" w:hAnsi="Times New Roman;serif"/>
          <w:b w:val="false"/>
          <w:color w:val="000000"/>
          <w:sz w:val="20"/>
        </w:rPr>
        <w:t>thresholds under the PMIERs and minimum state capital requirements (respectively, as defined therein).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that are equal to or exceed a minimum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amount, subject to a minimum floor of $400 million.</w:t>
      </w:r>
    </w:p>
    <w:p>
      <w:pPr>
        <w:pStyle w:val="TextBody"/>
        <w:bidi w:val="0"/>
        <w:spacing w:lineRule="auto" w:line="288" w:before="0" w:after="180"/>
        <w:ind w:left="0" w:right="0" w:firstLine="765"/>
        <w:jc w:val="both"/>
        <w:rPr/>
      </w:pPr>
      <w:r>
        <w:rPr>
          <w:rFonts w:ascii="Times New Roman;serif" w:hAnsi="Times New Roman;serif"/>
          <w:b w:val="false"/>
          <w:i/>
          <w:color w:val="000000"/>
          <w:sz w:val="20"/>
        </w:rPr>
        <w:t xml:space="preserve">Available assets </w:t>
      </w:r>
      <w:r>
        <w:rPr>
          <w:rFonts w:ascii="Times New Roman;serif" w:hAnsi="Times New Roman;serif"/>
          <w:b w:val="false"/>
          <w:color w:val="000000"/>
          <w:sz w:val="20"/>
        </w:rPr>
        <w:t xml:space="preserve">reflect the financial resources of a mortgage insurer available to pay claims, and includes the most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readily liquid assets held, such as cash, investments and other items as stipulated in PMIERs Section 703. The credit provided for such liquid assets is further subject to adjustment based on several factors, including asset class, credit rating and portfolio concentration.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to be a Major Disaster zone eligible for Individual Assistance.</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NMIC’s PMIERs minimum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 xml:space="preserve">amount is also adjusted for its reinsurance transactions (as approved by the GSEs). Under NMIC’s quota share reinsurance treaties, it receives credit for the PMIERs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 xml:space="preserve">amount on ceded RIF. As its gross PMIERs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 xml:space="preserve">amount on ceded RIF increases, the PMIERs credit for ceded RIF automatically increases as well (in an unlimited amount). Under NMIC’s ILN and XOL Transactions, it generally receives credit for the PMIERs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amount on ceded RIF to the extent such requirement is within the subordinated coverage (excess of loss detachment threshold) afforded by the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NMIC had a RTC ratio of 13.1:1 with $41.3 billion of primary RIF, net of reinsurance, and $3.1 billion of total statutory capital, including contingency reserves. Re One has no risk in force remaining and no longer reports a RTC ratio.</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NMIC’s principal sources of liquidity include (i) premium receipts on its insured portfolio and new business production, (ii) interest income on its investment portfolio and principal repayments on maturities therein, and (iii) existing cash and cash equivalent holdings. At September 30, 2025, NMIC had $3.0 billion of cash and investments, including $88.2 million of cash and cash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September 30, 2025, NMIC generated $388 million of cash flow from operations and received an additional $266 million of cash flow on the maturity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Times New Roman;serif" w:hAnsi="Times New Roman;serif"/>
          <w:b w:val="false"/>
          <w:i/>
          <w:color w:val="000000"/>
          <w:sz w:val="20"/>
        </w:rPr>
        <w:t>i.e.</w:t>
      </w:r>
      <w:r>
        <w:rPr>
          <w:rFonts w:ascii="Times New Roman;serif" w:hAnsi="Times New Roman;serif"/>
          <w:b w:val="false"/>
          <w:color w:val="000000"/>
          <w:sz w:val="20"/>
        </w:rPr>
        <w:t>, are of a contractually predetermined amount and due at a contractually predetermined date). NMIC’s only use of cash with the potential to develop along an unscheduled path is claims payments. Given the relatively small size of our current population of defaulted policies, the generally extended duration of the default-to-foreclosure-to-claim cycle, and the potential availability of forbearance, foreclosure moratorium and other borrower assistance programs (which serve to further extend the default-to-foreclosure-to-claim cycle timeline), we do not expect NMIC to use a meaningful amount of cash to settle claims in the near-term.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Debt and Financial Strength Ratings</w:t>
      </w:r>
    </w:p>
    <w:p>
      <w:pPr>
        <w:pStyle w:val="TextBody"/>
        <w:bidi w:val="0"/>
        <w:spacing w:lineRule="auto" w:line="26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NMIC's financial strength is rated “A-” by Fitch Ratings (Fitch), “A3” by Moody's, and “A-” by S&amp;P. NMIH's 2024 Notes are rated “BBB-” by Fitch and “Baa3” by Moody's. The outlook for all ratings provided by Fitch and Moody's is positive and the outlook for all ratings provided by S&amp;P is stable.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Consolidated Investment Portfolio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investment portfolio is comprised entirely of fixed maturity instruments. As of September 30, 2025, the fair value of our investment portfolio was $3.0 billion and we held an additional $130.4 million of cash and cash equivalents. Pre-tax book yield on the investment portfolio for the nine months ended September 30, 2025 was 3.3%.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breakdown of our investment portfolio and cash and cash equivalents by investment type and credit rating: </w:t>
      </w:r>
    </w:p>
    <w:tbl>
      <w:tblPr>
        <w:tblW w:w="9042" w:type="dxa"/>
        <w:jc w:val="left"/>
        <w:tblInd w:w="0" w:type="dxa"/>
        <w:tblLayout w:type="fixed"/>
        <w:tblCellMar>
          <w:top w:w="28" w:type="dxa"/>
          <w:left w:w="28" w:type="dxa"/>
          <w:bottom w:w="28" w:type="dxa"/>
          <w:right w:w="28" w:type="dxa"/>
        </w:tblCellMar>
      </w:tblPr>
      <w:tblGrid>
        <w:gridCol w:w="2036"/>
        <w:gridCol w:w="1789"/>
        <w:gridCol w:w="1800"/>
        <w:gridCol w:w="344"/>
        <w:gridCol w:w="344"/>
        <w:gridCol w:w="857"/>
        <w:gridCol w:w="109"/>
        <w:gridCol w:w="109"/>
        <w:gridCol w:w="109"/>
        <w:gridCol w:w="314"/>
        <w:gridCol w:w="314"/>
        <w:gridCol w:w="917"/>
      </w:tblGrid>
      <w:tr>
        <w:trPr/>
        <w:tc>
          <w:tcPr>
            <w:tcW w:w="2036"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Percentage of portfolio's fair value</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687" w:type="dxa"/>
        <w:jc w:val="left"/>
        <w:tblInd w:w="0" w:type="dxa"/>
        <w:tblLayout w:type="fixed"/>
        <w:tblCellMar>
          <w:top w:w="28" w:type="dxa"/>
          <w:left w:w="28" w:type="dxa"/>
          <w:bottom w:w="28" w:type="dxa"/>
          <w:right w:w="28" w:type="dxa"/>
        </w:tblCellMar>
      </w:tblPr>
      <w:tblGrid>
        <w:gridCol w:w="1185"/>
        <w:gridCol w:w="1039"/>
        <w:gridCol w:w="1046"/>
        <w:gridCol w:w="344"/>
        <w:gridCol w:w="344"/>
        <w:gridCol w:w="857"/>
        <w:gridCol w:w="109"/>
        <w:gridCol w:w="109"/>
        <w:gridCol w:w="109"/>
        <w:gridCol w:w="314"/>
        <w:gridCol w:w="314"/>
        <w:gridCol w:w="917"/>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Investment portfolio ratings at fair value </w:t>
            </w:r>
            <w:r>
              <w:rPr>
                <w:rFonts w:ascii="Times New Roman;serif" w:hAnsi="Times New Roman;serif"/>
                <w:b/>
                <w:color w:val="000000"/>
                <w:sz w:val="10"/>
              </w:rPr>
              <w:t>(1)</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AAA </w:t>
            </w:r>
            <w:r>
              <w:rPr>
                <w:rFonts w:ascii="Times New Roman;serif" w:hAnsi="Times New Roman;serif"/>
                <w:b w:val="false"/>
                <w:color w:val="000000"/>
                <w:sz w:val="13"/>
              </w:rPr>
              <w:t>(2)</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AA </w:t>
            </w:r>
            <w:r>
              <w:rPr>
                <w:rFonts w:ascii="Times New Roman;serif" w:hAnsi="Times New Roman;serif"/>
                <w:b w:val="false"/>
                <w:color w:val="000000"/>
                <w:sz w:val="13"/>
              </w:rPr>
              <w:t>(3)</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 </w:t>
            </w:r>
            <w:r>
              <w:rPr>
                <w:rFonts w:ascii="Times New Roman;serif" w:hAnsi="Times New Roman;serif"/>
                <w:b w:val="false"/>
                <w:color w:val="000000"/>
                <w:sz w:val="13"/>
              </w:rPr>
              <w:t>(3)</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BBB </w:t>
            </w:r>
            <w:r>
              <w:rPr>
                <w:rFonts w:ascii="Times New Roman;serif" w:hAnsi="Times New Roman;serif"/>
                <w:b w:val="false"/>
                <w:color w:val="000000"/>
                <w:sz w:val="13"/>
              </w:rPr>
              <w:t>(3)</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BB </w:t>
            </w:r>
            <w:r>
              <w:rPr>
                <w:rFonts w:ascii="Times New Roman;serif" w:hAnsi="Times New Roman;serif"/>
                <w:b w:val="false"/>
                <w:color w:val="000000"/>
                <w:sz w:val="13"/>
              </w:rPr>
              <w:t>(4)</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Excluding certain operating cash accounts.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short-term securities rated A-1+.</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Includes +/– ratings.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    We held one security with a BB rating at December 31, 2024, which is not identifiable in the table due to rounding. </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our investments are rated by one or more nationally recognized statistical rating organizations. If three or more ratings are available, we assign the middle rating for classification purposes, otherwise we assign the lowest rating.</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Investment Securities - Allowance for credit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recognize an allowance for credit loss for any security in the investment portfolio as of September 30, 2025 or December 31, 2024, and we did not record any provision for credit loss for investment securities during the three and nine months ended September 30, 2025 or 2024.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investment portfolio had gross unrealized losses of $95.5 million, of which $95.1 million were associated with securities that had been in an unrealized loss position for a period of twelve months or longer. As of December 31, 2024, the investment portfolio had gross unrealized losses of $158.6 million, of which $150.8 million were associated with securities that had been in an unrealized loss position for a period of twelve months or longer.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evaluated the securities in an unrealized loss position as of September 30, 2025, assessing their credit ratings as well as any adverse conditions specifically related to the security. Based upon our assessment of the amount and timing of cash flows to be collected over the remaining life of each instrument, we believe the unrealized losses as of September 30, 2025 are not indicative of the ultimate collectability of the current amortized cost of the securities. Rather, the unrealized losses on securities held as of September 30, 2025 were primarily driven by fluctuations in interest rates, and to a lesser extent, movements in credit spreads following the purchase of those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the assumptions and estimates associated with revenue recognition, our investment portfolio, deferred policy acquisition costs,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own and manage a large investment portfolio of various holdings, types and maturities. NMIH</w:t>
      </w:r>
      <w:r>
        <w:rPr>
          <w:color w:val="000000"/>
        </w:rPr>
        <w:t>’</w:t>
      </w:r>
      <w:r>
        <w:rPr>
          <w:rFonts w:ascii="Times New Roman;serif" w:hAnsi="Times New Roman;serif"/>
          <w:b w:val="false"/>
          <w:color w:val="000000"/>
          <w:sz w:val="20"/>
        </w:rPr>
        <w:t>s principal source of operating cash is investment income. The assets within the investment portfolio are exposed to the same factors that affect overall financial market performance.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market risk via a defined investment policy implemented by our treasury function with oversight from our Board's Risk Committee. Important drivers of our market risk exposure monitored and managed by us include but are not limited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Changes to the level of interest rates</w:t>
      </w:r>
      <w:r>
        <w:rPr>
          <w:rFonts w:ascii="Times New Roman;serif" w:hAnsi="Times New Roman;serif"/>
          <w:b w:val="false"/>
          <w:color w:val="000000"/>
          <w:sz w:val="20"/>
        </w:rPr>
        <w:t>. Increasing interest rates may reduce the value of certain fixed-rate bonds held in the investment portfolio. 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SOFR based interest rates affect the interest expense related to the Company's debt.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Changes to the term structure of interest rates</w:t>
      </w:r>
      <w:r>
        <w:rPr>
          <w:rFonts w:ascii="Times New Roman;serif" w:hAnsi="Times New Roman;serif"/>
          <w:b w:val="false"/>
          <w:color w:val="000000"/>
          <w:sz w:val="20"/>
        </w:rPr>
        <w:t xml:space="preserve">. Rising or falling rates typically change by different amounts along the yield curve. These changes may have unforeseen impacts on the value of certain assets.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Market volatility/changes in the real or perceived credit quality of investments</w:t>
      </w:r>
      <w:r>
        <w:rPr>
          <w:rFonts w:ascii="Times New Roman;serif" w:hAnsi="Times New Roman;serif"/>
          <w:b w:val="false"/>
          <w:color w:val="000000"/>
          <w:sz w:val="20"/>
        </w:rPr>
        <w:t>. Deterioration in the quality of investments, identified through changes to our own or third-party (</w:t>
      </w:r>
      <w:r>
        <w:rPr>
          <w:rFonts w:ascii="Times New Roman;serif" w:hAnsi="Times New Roman;serif"/>
          <w:b w:val="false"/>
          <w:i/>
          <w:color w:val="000000"/>
          <w:sz w:val="20"/>
        </w:rPr>
        <w:t>e.g.</w:t>
      </w:r>
      <w:r>
        <w:rPr>
          <w:rFonts w:ascii="Times New Roman;serif" w:hAnsi="Times New Roman;serif"/>
          <w:b w:val="false"/>
          <w:color w:val="000000"/>
          <w:sz w:val="20"/>
        </w:rPr>
        <w:t>, rating agency or investment advisors) assessments, will reduce the value and potentially the liquidity of investments.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Concentration risk</w:t>
      </w:r>
      <w:r>
        <w:rPr>
          <w:rFonts w:ascii="Times New Roman;serif" w:hAnsi="Times New Roman;serif"/>
          <w:b w:val="false"/>
          <w:color w:val="000000"/>
          <w:sz w:val="20"/>
        </w:rPr>
        <w:t>. If the investment portfolio is highly concentrated in one asset, or in multiple assets whose values are highly correlated, the value of the total portfolio may be greatly affected by the change in value of just one asset or a group of highly correlated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Prepayment risk</w:t>
      </w:r>
      <w:r>
        <w:rPr>
          <w:rFonts w:ascii="Times New Roman;serif" w:hAnsi="Times New Roman;serif"/>
          <w:b w:val="false"/>
          <w:color w:val="000000"/>
          <w:sz w:val="20"/>
        </w:rPr>
        <w:t>. Bonds may have call provisions that permit debtors to repay prior to maturity when it is to their advantage. This typically occurs when rates fall below the interest rate of the debt.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value of our investment portfolio as of September 30, 2025 and December 31, 2024 was $3.0 billion and $2.7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duration of our fixed income portfolio, including cash and cash equivalents, was 3.48 years, which means that an instantaneous parallel shift (movement up or down) in the yield curve of 100 basis points would result in a change of 3.48% in fair value of our fixed income portfolio. Excluding cash, our fixed income portfolio duration was 3.50 years, which means that an instantaneous parallel shift (movement up or down) in the yield curve of 100 basis points would result in a change of 3.50% in fair value of our fixed income portfolio.</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are also subject to market risk related to the 2024 Revolving Credit Facility and the ILN Transactions. As discussed in Item 1, “</w:t>
      </w:r>
      <w:r>
        <w:rPr>
          <w:rFonts w:ascii="Times New Roman;serif" w:hAnsi="Times New Roman;serif"/>
          <w:b w:val="false"/>
          <w:i/>
          <w:color w:val="000000"/>
          <w:sz w:val="20"/>
        </w:rPr>
        <w:t>Financial Statements - Notes to Condensed Consolidated Financial Statements - Note 4, Debt”</w:t>
      </w:r>
      <w:r>
        <w:rPr>
          <w:color w:val="000000"/>
        </w:rPr>
        <w:t xml:space="preserve"> </w:t>
      </w:r>
      <w:r>
        <w:rPr>
          <w:rFonts w:ascii="Times New Roman;serif" w:hAnsi="Times New Roman;serif"/>
          <w:b w:val="false"/>
          <w:color w:val="000000"/>
          <w:sz w:val="20"/>
        </w:rPr>
        <w:t>the 2024 Revolving Credit Facility bears interest at a variable rate and, as a result, increases in market interest rates would generally result in increased interest expense on any outstanding drawn balance.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risk premium amounts under the ILN Transactions are calculated by multiplying the outstanding reinsurance coverage amount at the beginning of any payment period by a coupon rate, which is the sum of one-month SOFR, as applicable, and a risk margin, and then subtracting actual investment income earned on the trust balance during that payment period. An increase in one-month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conducted an evaluation of the effectiveness of our disclosure controls and procedures (as defined in Rule 13a-15(e) of the Exchange Act) as of September 30, 2025,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pStyle w:val="TextBody"/>
        <w:bidi w:val="0"/>
        <w:spacing w:lineRule="auto" w:line="288" w:before="0" w:after="180"/>
        <w:ind w:left="0" w:right="0" w:firstLine="720"/>
        <w:jc w:val="both"/>
        <w:rPr/>
      </w:pPr>
      <w:r>
        <w:rPr>
          <w:rFonts w:ascii="Times New Roman;serif" w:hAnsi="Times New Roman;serif"/>
          <w:b w:val="false"/>
          <w:color w:val="000000"/>
          <w:sz w:val="20"/>
        </w:rPr>
        <w:t>Based upon that evaluation, our Chief Executive Officer and Chief Financial Officer concluded that, as of September 30, 2025,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w:t>
      </w:r>
      <w:r>
        <w:rPr>
          <w:color w:val="000000"/>
        </w:rPr>
        <w:t>’</w:t>
      </w:r>
      <w:r>
        <w:rPr>
          <w:rFonts w:ascii="Times New Roman;serif" w:hAnsi="Times New Roman;serif"/>
          <w:b w:val="false"/>
          <w:color w:val="000000"/>
          <w:sz w:val="20"/>
        </w:rPr>
        <w:t>s rules and forms.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Internal Control Over Financial Reporting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the period covered by this report that has materially affected, or is reasonably likely to materially affect, our internal control over financial reporting.</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Risk factors that affect our business and financial results are discussed in Part I, Item 1A of our 2024 10-K. As of the date of this report, we are not aware of any material changes in our risk factors from the risk factors disclosed in our 2024 10-K. You should carefully consider the risks and uncertainties described herein and in our 2024 10-K, which have the potential to affect our business, financial condition, results of operations, cash flows or prospects in a material and adverse manner. The risks described herein and in our 2024 10-K are not the only risks we face, as there are additional risks and uncertainties not currently known to us or that we currently deem to be immaterial, which may in the future adversely affect our business, financial condition and/or operating results.</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18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Issuer Purchases of Equity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purchases of NMI Holdings, Inc. common stock by us during the three months ended September 30, 2025.</w:t>
      </w:r>
    </w:p>
    <w:tbl>
      <w:tblPr>
        <w:tblW w:w="10205" w:type="dxa"/>
        <w:jc w:val="left"/>
        <w:tblInd w:w="0" w:type="dxa"/>
        <w:tblLayout w:type="fixed"/>
        <w:tblCellMar>
          <w:top w:w="28" w:type="dxa"/>
          <w:left w:w="28" w:type="dxa"/>
          <w:bottom w:w="28" w:type="dxa"/>
          <w:right w:w="28" w:type="dxa"/>
        </w:tblCellMar>
      </w:tblPr>
      <w:tblGrid>
        <w:gridCol w:w="267"/>
        <w:gridCol w:w="235"/>
        <w:gridCol w:w="235"/>
        <w:gridCol w:w="235"/>
        <w:gridCol w:w="235"/>
        <w:gridCol w:w="238"/>
        <w:gridCol w:w="622"/>
        <w:gridCol w:w="427"/>
        <w:gridCol w:w="429"/>
        <w:gridCol w:w="109"/>
        <w:gridCol w:w="109"/>
        <w:gridCol w:w="109"/>
        <w:gridCol w:w="282"/>
        <w:gridCol w:w="826"/>
        <w:gridCol w:w="146"/>
        <w:gridCol w:w="109"/>
        <w:gridCol w:w="109"/>
        <w:gridCol w:w="109"/>
        <w:gridCol w:w="912"/>
        <w:gridCol w:w="748"/>
        <w:gridCol w:w="751"/>
        <w:gridCol w:w="109"/>
        <w:gridCol w:w="109"/>
        <w:gridCol w:w="109"/>
        <w:gridCol w:w="465"/>
        <w:gridCol w:w="1822"/>
        <w:gridCol w:w="349"/>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44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as Part of Publicly Announced Plans or Programs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Approximate Dollar Value of Shares That May Yet Be Purchased Under the Plans or Program </w:t>
            </w:r>
            <w:r>
              <w:rPr>
                <w:rFonts w:ascii="Times New Roman;serif" w:hAnsi="Times New Roman;serif"/>
                <w:b/>
                <w:color w:val="000000"/>
                <w:sz w:val="10"/>
              </w:rPr>
              <w:t>(1)</w:t>
            </w:r>
          </w:p>
        </w:tc>
      </w:tr>
      <w:tr>
        <w:trPr/>
        <w:tc>
          <w:tcPr>
            <w:tcW w:w="1445"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Period:</w:t>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7/1/2025 to 7/31/2025</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215,713 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215,713 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272,569 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8/1/2025 to 8/31/2025</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206,942 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206,942 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264,520 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9/1/2025 to 9/30/2025</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205,271 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205,271 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256,445 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4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627,926 </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627,926 </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(1)    On July 31, 2023, our Board of Directors authorized a $200 million share repurchase program (the 2023 Repurchase Program), effective through December 31, 2025.</w:t>
      </w:r>
      <w:r>
        <w:rPr>
          <w:color w:val="000000"/>
        </w:rPr>
        <w:t xml:space="preserve"> </w:t>
      </w:r>
      <w:r>
        <w:rPr>
          <w:rFonts w:ascii="Times New Roman;serif" w:hAnsi="Times New Roman;serif"/>
          <w:b w:val="false"/>
          <w:color w:val="000000"/>
          <w:sz w:val="16"/>
        </w:rPr>
        <w:t>On February 5, 2025, our Board of Directors authorized an additional $250 million repurchase program (the 2025 Repurchase Program), effective through December 31, 2027 and extended the effectiveness of the 2023 Repurchase Program through December 31, 2027 to align its remaining tenor with that of the 2025 Repurchase Program. See Part I, Item 1, “</w:t>
      </w:r>
      <w:r>
        <w:rPr>
          <w:rFonts w:ascii="Times New Roman;serif" w:hAnsi="Times New Roman;serif"/>
          <w:b w:val="false"/>
          <w:i/>
          <w:color w:val="000000"/>
          <w:sz w:val="16"/>
        </w:rPr>
        <w:t>Financial Statements - Notes to Condensed Consolidated Financial Statements - Note 10, Stockholder's Equity</w:t>
      </w:r>
      <w:r>
        <w:rPr>
          <w:color w:val="000000"/>
        </w:rPr>
        <w:t xml:space="preserve">” </w:t>
      </w:r>
      <w:r>
        <w:rPr>
          <w:rFonts w:ascii="Times New Roman;serif" w:hAnsi="Times New Roman;serif"/>
          <w:b w:val="false"/>
          <w:color w:val="000000"/>
          <w:sz w:val="16"/>
        </w:rPr>
        <w:t>for additional information.</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10b5-1 Trading Arrangements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Section 16 officers and directors (as defined in Rule 16a-1 under the Exchange Act) may from time to time enter into plans for the purchase or sale of the Company's stock that are intended to satisfy the affirmative defense conditions of Rule 10b5-1(c) under the Exchange Act. During the quarter ended September 30, 2025, none of our Section 16 officers or directors adopted, modified or terminated “Rule 10b5-1 trading arrangements” or "non-Rule 10b5-1 trading arrangements" (each as defined in Item 408 under Regulation S-K of the Exchange Act).</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Severance Plans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2, 2025, the Company adopted the NMI Holdings, Inc. Amended and Restated Severance Benefit Plan (the “Severance Plan”) and the NMI Holdings, Inc. Amended and Restated Change in Control Severance Benefit Plan (the “CIC Severance Plan”).</w:t>
      </w:r>
    </w:p>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Severance Plan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Severance Plan, the Company provides eligible employees severance payments and benefits upon certain involuntary terminations of employment, including a reduction in force, elimination of the participant’s position or lack of work. Subject to the conditions set forth in the Severance Plan, including the execution and non-revocation by the employee of a separation agreement, an eligible employee will be entitled to the following payments and benefits upon a qualifying termination of employment: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u w:val="single"/>
        </w:rPr>
        <w:t>Managers and Individual Contributors</w:t>
      </w:r>
      <w:r>
        <w:rPr>
          <w:color w:val="000000"/>
        </w:rPr>
        <w:t xml:space="preserve"> – </w:t>
      </w:r>
      <w:r>
        <w:rPr>
          <w:rFonts w:ascii="Times New Roman;serif" w:hAnsi="Times New Roman;serif"/>
          <w:b w:val="false"/>
          <w:color w:val="000000"/>
          <w:sz w:val="20"/>
        </w:rPr>
        <w:t>(i) two weeks of base salary if terminated within the first year of service and (ii) two weeks of base salary and one month of health coverage contributions under the Consolidated Omnibus Budget Reconciliation Act of 1985 (“COBRA”) for each full year of service if terminated after the first year of service, up to a maximum of four months of base salary and four months of COBRA contributions.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u w:val="single"/>
        </w:rPr>
        <w:t>Directors</w:t>
      </w:r>
      <w:r>
        <w:rPr>
          <w:color w:val="000000"/>
        </w:rPr>
        <w:t xml:space="preserve"> – </w:t>
      </w:r>
      <w:r>
        <w:rPr>
          <w:rFonts w:ascii="Times New Roman;serif" w:hAnsi="Times New Roman;serif"/>
          <w:b w:val="false"/>
          <w:color w:val="000000"/>
          <w:sz w:val="20"/>
        </w:rPr>
        <w:t>(i) one month of base salary and one month of COBRA contributions if terminated within the first year of service and (ii) one month of base salary and one month of COBRA contributions for each full year of service if terminated after the first year of service, up to a maximum of six months of base salary and six months of COBRA contributions.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u w:val="single"/>
        </w:rPr>
        <w:t>Senior Vice Presidents</w:t>
      </w:r>
      <w:r>
        <w:rPr>
          <w:color w:val="000000"/>
        </w:rPr>
        <w:t xml:space="preserve"> – </w:t>
      </w:r>
      <w:r>
        <w:rPr>
          <w:rFonts w:ascii="Times New Roman;serif" w:hAnsi="Times New Roman;serif"/>
          <w:b w:val="false"/>
          <w:color w:val="000000"/>
          <w:sz w:val="20"/>
        </w:rPr>
        <w:t xml:space="preserve">(i) two months of base salary and two months of COBRA contributions if terminated within the first year of service and (ii) two months of base salary and two months of COBRA contributions for each full year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service if terminated after the first year of service, up to a maximum of eight months of base salary and eight months of COBRA contributions.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u w:val="single"/>
        </w:rPr>
        <w:t>Executive Vice Presidents, Executive Chairman, and President CEO</w:t>
      </w:r>
      <w:r>
        <w:rPr>
          <w:color w:val="000000"/>
        </w:rPr>
        <w:t xml:space="preserve"> – </w:t>
      </w:r>
      <w:r>
        <w:rPr>
          <w:rFonts w:ascii="Times New Roman;serif" w:hAnsi="Times New Roman;serif"/>
          <w:b w:val="false"/>
          <w:color w:val="000000"/>
          <w:sz w:val="20"/>
        </w:rPr>
        <w:t>(i) three months of base salary and target annual bonus opportunity if terminated within the first year of service and (ii) three months of base salary and target annual bonus opportunity for each full year of service (up to a maximum of 18 months or, for the Executive Chairman and President and Chief Executive Officer, 24 months) if terminated after the first year of service, as well as, in each case, a prorated target bonus based for the year of termination based on the employee’s period of service during the year prior to termination and 12 months (or, for the Executive Chairman and President and Chief Executive Officer, 18 months) of COBRA contributions.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Severance Plan is qualified in its entirety by reference to the full text thereof, which is attached to this Quarterly Report on Form 10-Q as Exhibit 10.22 and incorporated herein by reference.</w:t>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CIC Severance Plan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CIC Severance Plan, the Company provides certain payments and benefits to eligible executives and employees who experience a termination by the Company without cause or by the participant for good reason within 24 months following a change in control of the Company. Upon such a termination, each participant in the CIC Severance Plan will be entitled to: (i) a lump sum cash payment equal to (x) a multiple set forth in the participant’s notice of participation (the “Severance Multiple”), which is 2.0x for Adam Pollitzer and Bradley Shuster and 1.5x for the other named executive officers, multiplied by (y) the sum of the participant’s annual base salary and target annual bonus for the year of termination, (ii) a lump sum cash payment equal to a number of monthly COBRA premiums based on the participant’s Severance Multiple, (iii) a lump sum prorated bonus based on the greater of (x) the participant’s target annual bonus for the year of termination or (y) the amount accrued with respect to the participant’s annual bonus for the year of termination (annualized for the full year), (iv) a lump sum cash payment for any earned but unpaid base salary and accrued paid time off, as applicable, (v) any unpaid annual incentive payment for any prior award period and (vi) any other amounts of benefits required to be paid or provided under the Company’s benefit plans. Amounts payable under clauses (i), (ii) and (iii) are conditioned upon the participant executing an effective separation agreement and release of claims. The CIC Severance Plan also provides that if payments would be subject to an excise tax under Section 4999 of the Internal Revenue Code, such payments may be reduced if the participant would have a greater net after-tax receipt of such payments.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CIC Severance Plan is qualified in its entirety by reference to the full text thereof, which is attached to this Quarterly Report on Form 10-Q as Exhibit 10.23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2603"/>
        <w:gridCol w:w="2592"/>
        <w:gridCol w:w="3693"/>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3693"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Underwriting Agreement, dated May 7, 2024, among the Company, RBC Capital Markets, LLC, Goldman Sachs &amp; Co. LLC, BMO Capital Markets Corp., Citigroup Global Markets Inc. and Truist Securities, Inc. acting as representatives of several underwriters named therein</w:t>
              </w:r>
            </w:hyperlink>
            <w:r>
              <w:rPr>
                <w:color w:val="000000"/>
              </w:rPr>
              <w:t xml:space="preserve"> </w:t>
            </w:r>
            <w:r>
              <w:rPr>
                <w:rFonts w:ascii="Times New Roman;serif" w:hAnsi="Times New Roman;serif"/>
                <w:b w:val="false"/>
                <w:color w:val="000000"/>
                <w:sz w:val="20"/>
              </w:rPr>
              <w:t>(incorporated herein by reference to Exhibit 1.1 to our Form 8-K, filed on May 8, 2024)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Third Amended and Restated Certificate of Incorporation</w:t>
              </w:r>
            </w:hyperlink>
            <w:r>
              <w:rPr>
                <w:color w:val="000000"/>
              </w:rPr>
              <w:t xml:space="preserve"> </w:t>
            </w:r>
            <w:r>
              <w:rPr>
                <w:rFonts w:ascii="Times New Roman;serif" w:hAnsi="Times New Roman;serif"/>
                <w:b w:val="false"/>
                <w:color w:val="000000"/>
                <w:sz w:val="20"/>
              </w:rPr>
              <w:t xml:space="preserve">(incorporated herein by reference to Exhibit 3.1 to our Form 8-K, filed on May 10, 2024) </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Fifth Amended and Restated Bylaws</w:t>
              </w:r>
            </w:hyperlink>
            <w:r>
              <w:rPr>
                <w:color w:val="000000"/>
              </w:rPr>
              <w:t xml:space="preserve"> </w:t>
            </w:r>
            <w:r>
              <w:rPr>
                <w:rFonts w:ascii="Times New Roman;serif" w:hAnsi="Times New Roman;serif"/>
                <w:b w:val="false"/>
                <w:color w:val="000000"/>
                <w:sz w:val="20"/>
              </w:rPr>
              <w:t>(incorporated herein by reference to Exhibit 3.2 to our Form 8-K, filed on May 10, 2024)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80"/>
                  <w:sz w:val="20"/>
                  <w:u w:val="single"/>
                </w:rPr>
                <w:t xml:space="preserve">Indenture, dated </w:t>
              </w:r>
            </w:hyperlink>
            <w:hyperlink r:id="rId6">
              <w:r>
                <w:rPr>
                  <w:rStyle w:val="InternetLink"/>
                  <w:rFonts w:ascii="Times New Roman;serif" w:hAnsi="Times New Roman;serif"/>
                  <w:b w:val="false"/>
                  <w:color w:val="000080"/>
                  <w:sz w:val="20"/>
                  <w:u w:val="single"/>
                </w:rPr>
                <w:t>May 21, 2024, by and between NMI Holdings, Inc. and The Bank of New York Mellon Trust Company, N.A. as Trustee</w:t>
              </w:r>
            </w:hyperlink>
            <w:r>
              <w:rPr>
                <w:color w:val="000000"/>
              </w:rPr>
              <w:t xml:space="preserve"> </w:t>
            </w:r>
            <w:r>
              <w:rPr>
                <w:rFonts w:ascii="Times New Roman;serif" w:hAnsi="Times New Roman;serif"/>
                <w:b w:val="false"/>
                <w:color w:val="000000"/>
                <w:sz w:val="20"/>
              </w:rPr>
              <w:t>(incorporated herein by reference to Exhibit 4.1 to our Form 8-K, filed on May 21, 2024)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80"/>
                  <w:sz w:val="20"/>
                  <w:u w:val="single"/>
                </w:rPr>
                <w:t xml:space="preserve">Supplemental Indenture, dated </w:t>
              </w:r>
            </w:hyperlink>
            <w:hyperlink r:id="rId8">
              <w:r>
                <w:rPr>
                  <w:rStyle w:val="InternetLink"/>
                  <w:rFonts w:ascii="Times New Roman;serif" w:hAnsi="Times New Roman;serif"/>
                  <w:b w:val="false"/>
                  <w:color w:val="000080"/>
                  <w:sz w:val="20"/>
                  <w:u w:val="single"/>
                </w:rPr>
                <w:t>May 21, 2024, by and between NMI Holdings, Inc. and The Bank of New York Mellon Trust Company, N.A. as Trustee</w:t>
              </w:r>
            </w:hyperlink>
            <w:r>
              <w:rPr>
                <w:color w:val="000000"/>
              </w:rPr>
              <w:t xml:space="preserve"> </w:t>
            </w:r>
            <w:r>
              <w:rPr>
                <w:rFonts w:ascii="Times New Roman;serif" w:hAnsi="Times New Roman;serif"/>
                <w:b w:val="false"/>
                <w:color w:val="000000"/>
                <w:sz w:val="20"/>
              </w:rPr>
              <w:t>(including the form of the Notes) (incorporated herein by reference to Exhibit 4.2 to our Form 8-K, filed on May 21, 2024)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Description of Securities</w:t>
              </w:r>
            </w:hyperlink>
            <w:r>
              <w:rPr>
                <w:color w:val="000000"/>
              </w:rPr>
              <w:t xml:space="preserve"> </w:t>
            </w:r>
            <w:r>
              <w:rPr>
                <w:rFonts w:ascii="Times New Roman;serif" w:hAnsi="Times New Roman;serif"/>
                <w:b w:val="false"/>
                <w:color w:val="000000"/>
                <w:sz w:val="20"/>
              </w:rPr>
              <w:t>(incorporated herein by reference to Exhibit 4.4 to our Form 10-Q, filed on July 31, 2024)</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NMI Holdings, Inc. 2012 Stock Incentive Plan</w:t>
              </w:r>
            </w:hyperlink>
            <w:r>
              <w:rPr>
                <w:color w:val="000000"/>
              </w:rPr>
              <w:t xml:space="preserve"> </w:t>
            </w:r>
            <w:r>
              <w:rPr>
                <w:rFonts w:ascii="Times New Roman;serif" w:hAnsi="Times New Roman;serif"/>
                <w:b w:val="false"/>
                <w:color w:val="000000"/>
                <w:sz w:val="20"/>
              </w:rPr>
              <w:t>(incorporated herein by reference to Exhibit 10.1 to our Form S-1 Registration Statement (Registration No. 333-191635), filed on October 9, 2013)</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NMI Holdings, Inc. 2012 Stock Incentive Plan Nonqualified Stock Option Award Agreement (For CEO and CFO)</w:t>
              </w:r>
            </w:hyperlink>
            <w:r>
              <w:rPr>
                <w:color w:val="000000"/>
              </w:rPr>
              <w:t xml:space="preserve"> </w:t>
            </w:r>
            <w:r>
              <w:rPr>
                <w:rFonts w:ascii="Times New Roman;serif" w:hAnsi="Times New Roman;serif"/>
                <w:b w:val="false"/>
                <w:color w:val="000000"/>
                <w:sz w:val="20"/>
              </w:rPr>
              <w:t>(incorporated herein by reference to Exhibit 10.5 to our Form S-1 Registration Statement (Registration No. 333-191635), filed on October 9, 2013)</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NMI Holdings, Inc. 2012 Stock Incentive Plan Nonqualified Stock Option Award Agreement (For Management)</w:t>
              </w:r>
            </w:hyperlink>
            <w:r>
              <w:rPr>
                <w:color w:val="000000"/>
              </w:rPr>
              <w:t xml:space="preserve"> </w:t>
            </w:r>
            <w:r>
              <w:rPr>
                <w:rFonts w:ascii="Times New Roman;serif" w:hAnsi="Times New Roman;serif"/>
                <w:b w:val="false"/>
                <w:color w:val="000000"/>
                <w:sz w:val="20"/>
              </w:rPr>
              <w:t>(incorporated herein by reference to Exhibit 10.6 to our Form S-1 Registration Statement (Registration No. 333-191635), filed on October 9, 2013)</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NMI Holdings, Inc. 2012 Stock Incentive Plan Nonqualified Stock Option Award Agreement (For Non-Employee Directors)</w:t>
              </w:r>
            </w:hyperlink>
            <w:r>
              <w:rPr>
                <w:color w:val="000000"/>
              </w:rPr>
              <w:t xml:space="preserve"> </w:t>
            </w:r>
            <w:r>
              <w:rPr>
                <w:rFonts w:ascii="Times New Roman;serif" w:hAnsi="Times New Roman;serif"/>
                <w:b w:val="false"/>
                <w:color w:val="000000"/>
                <w:sz w:val="20"/>
              </w:rPr>
              <w:t>(incorporated herein by reference to Exhibit 10.7 to our Form S-1 Registration Statement (Registration No. 333-191635), filed on October 9, 2013)</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Form of NMI Holdings, Inc. 2012 Stock Incentive Plan Nonqualified Stock Option Award Agreement (For CEO/CFO)</w:t>
              </w:r>
            </w:hyperlink>
            <w:r>
              <w:rPr>
                <w:color w:val="000000"/>
              </w:rPr>
              <w:t xml:space="preserve"> </w:t>
            </w:r>
            <w:r>
              <w:rPr>
                <w:rFonts w:ascii="Times New Roman;serif" w:hAnsi="Times New Roman;serif"/>
                <w:b w:val="false"/>
                <w:color w:val="000000"/>
                <w:sz w:val="20"/>
              </w:rPr>
              <w:t>(incorporated herein by reference to Exhibit 10.8 to our Form 10-K, filed on February 17, 2017)</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NMI Holdings, Inc. 2012 Stock Incentive Plan Nonqualified Stock Option Award Agreement (For Employees)</w:t>
              </w:r>
            </w:hyperlink>
            <w:r>
              <w:rPr>
                <w:color w:val="000000"/>
              </w:rPr>
              <w:t xml:space="preserve"> </w:t>
            </w:r>
            <w:r>
              <w:rPr>
                <w:rFonts w:ascii="Times New Roman;serif" w:hAnsi="Times New Roman;serif"/>
                <w:b w:val="false"/>
                <w:color w:val="000000"/>
                <w:sz w:val="20"/>
              </w:rPr>
              <w:t>(incorporated herein by reference to Exhibit 10.9 to our Form 10-K, filed on February 17, 2017)</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 xml:space="preserve">Form of NMI Holdings, Inc. 2012 Stock Incentive Plan Nonqualified Stock Option Agreement (For Employees) </w:t>
              </w:r>
            </w:hyperlink>
            <w:r>
              <w:rPr>
                <w:rFonts w:ascii="Times New Roman;serif" w:hAnsi="Times New Roman;serif"/>
                <w:b w:val="false"/>
                <w:color w:val="000000"/>
                <w:sz w:val="20"/>
              </w:rPr>
              <w:t>(incorporated herein by reference to Exhibit 10.32 to our Form 10-Q, filed on May 2, 2019)</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NMI Holdings, Inc. Amended and Restated 2014 Omnibus Incentive Plan</w:t>
              </w:r>
            </w:hyperlink>
            <w:r>
              <w:rPr>
                <w:color w:val="000000"/>
              </w:rPr>
              <w:t xml:space="preserve"> </w:t>
            </w:r>
            <w:r>
              <w:rPr>
                <w:rFonts w:ascii="Times New Roman;serif" w:hAnsi="Times New Roman;serif"/>
                <w:b w:val="false"/>
                <w:color w:val="000000"/>
                <w:sz w:val="20"/>
              </w:rPr>
              <w:t>(incorporated herein by reference to Appendix A to our 2022 Annual Proxy Statement, filed on March 29, 2022)</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Form of NMI Holdings, Inc. Amended and Restated 2014 Omnibus Incentive Plan Nonqualified Stock Option Award Agreement (For CEO)</w:t>
              </w:r>
            </w:hyperlink>
            <w:r>
              <w:rPr>
                <w:color w:val="000000"/>
              </w:rPr>
              <w:t xml:space="preserve"> </w:t>
            </w:r>
            <w:r>
              <w:rPr>
                <w:rFonts w:ascii="Times New Roman;serif" w:hAnsi="Times New Roman;serif"/>
                <w:b w:val="false"/>
                <w:color w:val="000000"/>
                <w:sz w:val="20"/>
              </w:rPr>
              <w:t>(incorporated herein by reference to Exhibit 10.23 to our Form 10-Q filed on August 1, 2017)</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Form of NMI Holdings, Inc. Amended and Restated 2014 Omnibus Incentive Plan Nonqualified Stock Option Award Agreement (For Executive Officers and Employees</w:t>
              </w:r>
            </w:hyperlink>
            <w:r>
              <w:rPr>
                <w:rFonts w:ascii="Times New Roman;serif" w:hAnsi="Times New Roman;serif"/>
                <w:b w:val="false"/>
                <w:color w:val="000000"/>
                <w:sz w:val="20"/>
              </w:rPr>
              <w:t>) (incorporated herein by reference to Exhibit 10.24 to our Form 10-Q filed on August 1, 2017)</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erif" w:hAnsi="Times New Roman;serif"/>
                <w:b w:val="false"/>
                <w:color w:val="000000"/>
                <w:sz w:val="20"/>
              </w:rPr>
              <w:t>(incorporated herein by reference to Exhibit 10.38 to our Form 10-Q, filed on May 7, 2020)</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u w:val="single"/>
                </w:rPr>
                <w:t>Form of NMI Holdings, Inc. Amended and Restated 2014 Omnibus Incentive Plan Restricted Stock Unit Award Agreement (For Independent Directors)</w:t>
              </w:r>
            </w:hyperlink>
            <w:r>
              <w:rPr>
                <w:color w:val="000000"/>
              </w:rPr>
              <w:t xml:space="preserve"> </w:t>
            </w:r>
            <w:r>
              <w:rPr>
                <w:rFonts w:ascii="Times New Roman;serif" w:hAnsi="Times New Roman;serif"/>
                <w:b w:val="false"/>
                <w:color w:val="000000"/>
                <w:sz w:val="20"/>
              </w:rPr>
              <w:t>(incorporated herein by reference to Exhibit 10.20 to our Form 10-K, filed on February 15, 2024)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20"/>
                  <w:u w:val="single"/>
                </w:rPr>
                <w:t>Form of NMI Holdings, Inc. Amended and Restated 2014 Omnibus Incentive Plan Restricted Stock Unit Award Agreement (For Employees</w:t>
              </w:r>
            </w:hyperlink>
            <w:r>
              <w:rPr>
                <w:rFonts w:ascii="Times New Roman;serif" w:hAnsi="Times New Roman;serif"/>
                <w:b w:val="false"/>
                <w:color w:val="000000"/>
                <w:sz w:val="20"/>
              </w:rPr>
              <w:t>) (incorporated herein by reference to Exhibit 10.12 to our Form 10-K, filed on February 14, 2025)</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u w:val="single"/>
                </w:rPr>
                <w:t>Form of NMI Holdings, Inc. Amended and Restated 2014 Omnibus Incentive Plan Restricted Stock Unit Award Agreement (For Executives)</w:t>
              </w:r>
            </w:hyperlink>
            <w:r>
              <w:rPr>
                <w:color w:val="000000"/>
              </w:rPr>
              <w:t xml:space="preserve"> </w:t>
            </w:r>
            <w:r>
              <w:rPr>
                <w:rFonts w:ascii="Times New Roman;serif" w:hAnsi="Times New Roman;serif"/>
                <w:b w:val="false"/>
                <w:color w:val="000000"/>
                <w:sz w:val="20"/>
              </w:rPr>
              <w:t>(incorporated herein by reference to Exhibit 10.22 to our Form 10-K, filed on February 15,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7"/>
        <w:gridCol w:w="207"/>
        <w:gridCol w:w="210"/>
        <w:gridCol w:w="109"/>
        <w:gridCol w:w="109"/>
        <w:gridCol w:w="109"/>
        <w:gridCol w:w="2815"/>
        <w:gridCol w:w="2654"/>
        <w:gridCol w:w="3755"/>
      </w:tblGrid>
      <w:tr>
        <w:trPr/>
        <w:tc>
          <w:tcPr>
            <w:tcW w:w="2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20"/>
                  <w:u w:val="single"/>
                </w:rPr>
                <w:t>Form of NMI Holdings, Inc. Amended and Restated 2014 Omnibus Incentive Plan Restricted Stock Unit Award Agreement (For Employees)</w:t>
              </w:r>
            </w:hyperlink>
            <w:r>
              <w:rPr>
                <w:color w:val="000000"/>
              </w:rPr>
              <w:t xml:space="preserve"> </w:t>
            </w:r>
            <w:r>
              <w:rPr>
                <w:rFonts w:ascii="Times New Roman;serif" w:hAnsi="Times New Roman;serif"/>
                <w:b w:val="false"/>
                <w:color w:val="000000"/>
                <w:sz w:val="20"/>
              </w:rPr>
              <w:t>(incorporated herein by reference to Exhibit 10.23 to our Form 10-K, filed on February 15, 2024)</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erif" w:hAnsi="Times New Roman;serif"/>
                <w:b w:val="false"/>
                <w:color w:val="000000"/>
                <w:sz w:val="20"/>
              </w:rPr>
              <w:t>(incorporated herein by reference to Exhibit 10.24 to our Form 10-K, filed on February 15, 2024)</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u w:val="single"/>
                </w:rPr>
                <w:t>Form of NMI Holdings, Inc. Amended and Restated 2014 Omnibus Incentive Plan Nonqualified Stock Option Agreement (For Employees</w:t>
              </w:r>
            </w:hyperlink>
            <w:r>
              <w:rPr>
                <w:rFonts w:ascii="Times New Roman;serif" w:hAnsi="Times New Roman;serif"/>
                <w:b w:val="false"/>
                <w:color w:val="000000"/>
                <w:sz w:val="20"/>
              </w:rPr>
              <w:t>) (incorporated herein by reference to Exhibit 10.35 to our Form 10-Q, filed on May 2, 2019)</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u w:val="single"/>
                </w:rPr>
                <w:t>Form of NMI Holdings, Inc. Amended and Restated 2014 Omnibus Incentive Plan Restricted Stock Unit Award Agreement (For Executives)</w:t>
              </w:r>
            </w:hyperlink>
            <w:r>
              <w:rPr>
                <w:color w:val="000000"/>
              </w:rPr>
              <w:t xml:space="preserve"> </w:t>
            </w:r>
            <w:r>
              <w:rPr>
                <w:rFonts w:ascii="Times New Roman;serif" w:hAnsi="Times New Roman;serif"/>
                <w:b w:val="false"/>
                <w:color w:val="000000"/>
                <w:sz w:val="20"/>
              </w:rPr>
              <w:t>(incorporated herein by reference to Exhibit 10.18 to our Form 10-K, filed on February 14, 2025)</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20"/>
                  <w:u w:val="single"/>
                </w:rPr>
                <w:t>Form of NMI Holdings, Inc. Amended and Restated 2014 Omnibus Incentive Plan Restricted Stock Unit Award Agreement (For Employees)</w:t>
              </w:r>
            </w:hyperlink>
            <w:r>
              <w:rPr>
                <w:color w:val="000000"/>
              </w:rPr>
              <w:t xml:space="preserve"> </w:t>
            </w:r>
            <w:r>
              <w:rPr>
                <w:rFonts w:ascii="Times New Roman;serif" w:hAnsi="Times New Roman;serif"/>
                <w:b w:val="false"/>
                <w:color w:val="000000"/>
                <w:sz w:val="20"/>
              </w:rPr>
              <w:t>(incorporated herein by reference to Exhibit 10.18 to our Form 10-K, filed on February 14, 2025)</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erif" w:hAnsi="Times New Roman;serif"/>
                <w:b w:val="false"/>
                <w:color w:val="000000"/>
                <w:sz w:val="20"/>
              </w:rPr>
              <w:t>(incorporated herein by reference to Exhibit 10.18 to our Form 10-K, filed on February 14, 2025)</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20"/>
                  <w:u w:val="single"/>
                </w:rPr>
                <w:t>Form of Indemnification Agreement between NMI Holdings, Inc. and its directors and certain executive officers</w:t>
              </w:r>
            </w:hyperlink>
            <w:r>
              <w:rPr>
                <w:color w:val="000000"/>
              </w:rPr>
              <w:t xml:space="preserve"> </w:t>
            </w:r>
            <w:r>
              <w:rPr>
                <w:rFonts w:ascii="Times New Roman;serif" w:hAnsi="Times New Roman;serif"/>
                <w:b w:val="false"/>
                <w:color w:val="000000"/>
                <w:sz w:val="20"/>
              </w:rPr>
              <w:t xml:space="preserve">(incorporated herein by reference to Exhibit 10.1 to our Form 8-K, filed on November 25, 2014) </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10.22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22nmiharseverancebenef.htm">
              <w:r>
                <w:rPr>
                  <w:rStyle w:val="InternetLink"/>
                  <w:rFonts w:ascii="Times New Roman;serif" w:hAnsi="Times New Roman;serif"/>
                  <w:b w:val="false"/>
                  <w:color w:val="0000FF"/>
                  <w:sz w:val="20"/>
                  <w:u w:val="single"/>
                </w:rPr>
                <w:t>NMI Holdings, Inc. Amended and Restated Severance Benefit Plan</w:t>
              </w:r>
            </w:hyperlink>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10.23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23nmiharcicseverancebe.htm">
              <w:r>
                <w:rPr>
                  <w:rStyle w:val="InternetLink"/>
                  <w:rFonts w:ascii="Times New Roman;serif" w:hAnsi="Times New Roman;serif"/>
                  <w:b w:val="false"/>
                  <w:color w:val="0000FF"/>
                  <w:sz w:val="20"/>
                  <w:u w:val="single"/>
                </w:rPr>
                <w:t>NMI Holdings, Inc. Amended and Restated Change in Control Severance Benefit Plan</w:t>
              </w:r>
            </w:hyperlink>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20"/>
                  <w:u w:val="single"/>
                </w:rPr>
                <w:t>Offer Letter by and between NMI Holdings, Inc. and William Leatherberry, dated July 11, 2014</w:t>
              </w:r>
            </w:hyperlink>
            <w:r>
              <w:rPr>
                <w:color w:val="000000"/>
              </w:rPr>
              <w:t xml:space="preserve"> </w:t>
            </w:r>
            <w:r>
              <w:rPr>
                <w:rFonts w:ascii="Times New Roman;serif" w:hAnsi="Times New Roman;serif"/>
                <w:b w:val="false"/>
                <w:color w:val="000000"/>
                <w:sz w:val="20"/>
              </w:rPr>
              <w:t>(incorporated herein by reference to Exhibit 10.10 to our Form 10-Q, filed on April 28, 2016)</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10.25 ~</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u w:val="single"/>
                </w:rPr>
                <w:t>Employment Letter by and between NMI Holdings, Inc. and Bradley M. Shuster, effective as of January 1, 2019</w:t>
              </w:r>
            </w:hyperlink>
            <w:r>
              <w:rPr>
                <w:color w:val="000000"/>
              </w:rPr>
              <w:t xml:space="preserve"> </w:t>
            </w:r>
            <w:r>
              <w:rPr>
                <w:rFonts w:ascii="Times New Roman;serif" w:hAnsi="Times New Roman;serif"/>
                <w:b w:val="false"/>
                <w:color w:val="000000"/>
                <w:sz w:val="20"/>
              </w:rPr>
              <w:t>(incorporated herein by reference to Exhibit 10.1 to our Form 8-K, filed on December 28, 2018)</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20"/>
                  <w:u w:val="single"/>
                </w:rPr>
                <w:t>Offer Letter by and between NMI Holdings, Inc. and Adam Pollitzer, dated September 9, 2021</w:t>
              </w:r>
            </w:hyperlink>
            <w:r>
              <w:rPr>
                <w:color w:val="000000"/>
              </w:rPr>
              <w:t xml:space="preserve"> </w:t>
            </w:r>
            <w:r>
              <w:rPr>
                <w:rFonts w:ascii="Times New Roman;serif" w:hAnsi="Times New Roman;serif"/>
                <w:b w:val="false"/>
                <w:color w:val="000000"/>
                <w:sz w:val="20"/>
              </w:rPr>
              <w:t>(incorporated herein by reference to Exhibit 10.1 to our Form 8-K, filed on September 9, 2021)</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Offer letter by and between NMI Holdings, Inc. and Ravi Mallela, dated December 20, 2021</w:t>
              </w:r>
            </w:hyperlink>
            <w:r>
              <w:rPr>
                <w:color w:val="000000"/>
              </w:rPr>
              <w:t xml:space="preserve"> </w:t>
            </w:r>
            <w:r>
              <w:rPr>
                <w:rFonts w:ascii="Times New Roman;serif" w:hAnsi="Times New Roman;serif"/>
                <w:b w:val="false"/>
                <w:color w:val="000000"/>
                <w:sz w:val="20"/>
              </w:rPr>
              <w:t>(incorporated herein by reference to Exhibit 10.1 to our Form 8-K, filed on December 21, 2021)</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20"/>
                  <w:u w:val="single"/>
                </w:rPr>
                <w:t>Offer Letter by and between NMI Holdings, Inc. and Aurora Swithenbank, dated March 1, 202</w:t>
              </w:r>
            </w:hyperlink>
            <w:r>
              <w:rPr>
                <w:rFonts w:ascii="Times New Roman;serif" w:hAnsi="Times New Roman;serif"/>
                <w:b w:val="false"/>
                <w:color w:val="000000"/>
                <w:sz w:val="20"/>
              </w:rPr>
              <w:t>4 (incorporated herein by reference to Exhibit 10.1 to our Form 8-K, filed on March 4, 2024)</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20"/>
                  <w:u w:val="single"/>
                </w:rPr>
                <w:t>Separation Agreement by and between NMI Holdings, Inc. and Ravi Mallela, dated March 1, 2024</w:t>
              </w:r>
            </w:hyperlink>
            <w:r>
              <w:rPr>
                <w:color w:val="000000"/>
              </w:rPr>
              <w:t xml:space="preserve"> </w:t>
            </w:r>
            <w:r>
              <w:rPr>
                <w:rFonts w:ascii="Times New Roman;serif" w:hAnsi="Times New Roman;serif"/>
                <w:b w:val="false"/>
                <w:color w:val="000000"/>
                <w:sz w:val="20"/>
              </w:rPr>
              <w:t>(incorporated herein by reference to Exhibit 10.2 to our Form 8-K, filed on March 4, 2024)</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u w:val="single"/>
                </w:rPr>
                <w:t>Commitment Letter dated July 12, 2013 for Bulk Fannie Mae-Paid Loss-on-Sale Mortgage Insurance on the Portfolio of approximately $5.46 billion Purchased by Fannie Mae and Identified by Fannie Mae as Deal No. 2013 MIRT 01 and by the Company as Policy No. P-0001-01</w:t>
              </w:r>
            </w:hyperlink>
            <w:r>
              <w:rPr>
                <w:color w:val="000000"/>
              </w:rPr>
              <w:t xml:space="preserve"> </w:t>
            </w:r>
            <w:r>
              <w:rPr>
                <w:rFonts w:ascii="Times New Roman;serif" w:hAnsi="Times New Roman;serif"/>
                <w:b w:val="false"/>
                <w:color w:val="000000"/>
                <w:sz w:val="20"/>
              </w:rPr>
              <w:t>(incorporated herein by reference to Exhibit 10.14 to our Form S-1 Registration Statement (Registration No. 333-191635), filed on October 9, 2013)</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20"/>
                  <w:u w:val="single"/>
                </w:rPr>
                <w:t>Credit Agreement, dated as of April 29, 2024, by and among the Company, the lenders party hereto, and Royal Bank of Canada, as the Agent</w:t>
              </w:r>
            </w:hyperlink>
            <w:r>
              <w:rPr>
                <w:color w:val="000000"/>
              </w:rPr>
              <w:t xml:space="preserve"> </w:t>
            </w:r>
            <w:r>
              <w:rPr>
                <w:rFonts w:ascii="Times New Roman;serif" w:hAnsi="Times New Roman;serif"/>
                <w:b w:val="false"/>
                <w:color w:val="000000"/>
                <w:sz w:val="20"/>
              </w:rPr>
              <w:t>(incorporated herein by reference to Exhibit 10.31 to our Form 10-Q, filed on May 1, 2024)</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20"/>
                  <w:u w:val="single"/>
                </w:rPr>
                <w:t>Insider Trading and Information Policy</w:t>
              </w:r>
            </w:hyperlink>
            <w:r>
              <w:rPr>
                <w:color w:val="000000"/>
              </w:rPr>
              <w:t xml:space="preserve"> </w:t>
            </w:r>
            <w:r>
              <w:rPr>
                <w:rFonts w:ascii="Times New Roman;serif" w:hAnsi="Times New Roman;serif"/>
                <w:b w:val="false"/>
                <w:color w:val="000000"/>
                <w:sz w:val="20"/>
              </w:rPr>
              <w:t>(incorporated herein by reference to Exhibit 19.1 to our Form 10-K, filed on February 14, 2025)</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FF"/>
                  <w:sz w:val="20"/>
                  <w:u w:val="single"/>
                </w:rPr>
                <w:t>Subsidiaries of NMI Holdings, Inc.</w:t>
              </w:r>
            </w:hyperlink>
            <w:r>
              <w:rPr>
                <w:color w:val="000000"/>
              </w:rPr>
              <w:t xml:space="preserve"> </w:t>
            </w:r>
            <w:r>
              <w:rPr>
                <w:rFonts w:ascii="Times New Roman;serif" w:hAnsi="Times New Roman;serif"/>
                <w:b w:val="false"/>
                <w:color w:val="000000"/>
                <w:sz w:val="20"/>
              </w:rPr>
              <w:t>(incorporated herein by reference to Exhibit 21.1 to our Form 10-Q, filed on October 30, 2015)</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q32025.htm">
              <w:r>
                <w:rPr>
                  <w:rStyle w:val="InternetLink"/>
                  <w:rFonts w:ascii="Times New Roman;serif" w:hAnsi="Times New Roman;serif"/>
                  <w:b w:val="false"/>
                  <w:color w:val="0000FF"/>
                  <w:sz w:val="20"/>
                  <w:u w:val="single"/>
                </w:rPr>
                <w:t>Principal Executive Officer's Certification Pursuant to Section 302 of the Sarbanes-Oxley Act of 2002</w:t>
              </w:r>
            </w:hyperlink>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q32025.htm">
              <w:r>
                <w:rPr>
                  <w:rStyle w:val="InternetLink"/>
                  <w:rFonts w:ascii="Times New Roman;serif" w:hAnsi="Times New Roman;serif"/>
                  <w:b w:val="false"/>
                  <w:color w:val="0000FF"/>
                  <w:sz w:val="20"/>
                  <w:u w:val="single"/>
                </w:rPr>
                <w:t>Principal Financial Officer's Certification Pursuant to Section 302 of the Sarbanes-Oxley Act of 2002</w:t>
              </w:r>
            </w:hyperlink>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q32025.htm">
              <w:r>
                <w:rPr>
                  <w:rStyle w:val="InternetLink"/>
                  <w:rFonts w:ascii="Times New Roman;serif" w:hAnsi="Times New Roman;serif"/>
                  <w:b w:val="false"/>
                  <w:color w:val="0000FF"/>
                  <w:sz w:val="20"/>
                  <w:u w:val="single"/>
                </w:rPr>
                <w:t>Certifications of CEO and CFO Pursuant to 18 U.S.C. Section 1350, as Adopted Pursuant to Section 906 of the Sarbanes-Oxley Act of 2002</w:t>
              </w:r>
            </w:hyperlink>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NMI Holdings, Inc. Compensation Recovery Policy, Effective September 13, 2023</w:t>
              </w:r>
            </w:hyperlink>
            <w:r>
              <w:rPr>
                <w:color w:val="000000"/>
              </w:rPr>
              <w:t xml:space="preserve"> </w:t>
            </w:r>
            <w:r>
              <w:rPr>
                <w:rFonts w:ascii="Times New Roman;serif" w:hAnsi="Times New Roman;serif"/>
                <w:b w:val="false"/>
                <w:color w:val="000000"/>
                <w:sz w:val="20"/>
              </w:rPr>
              <w:t xml:space="preserve">(incorporated herein by reference to Exhibit 97.1 to our Form 10-K, filed on February 15, 2024) </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NMI Holdings, Inc.'s Quarterly Report on Form 10-Q for the quarter ended September 30, 2025 (Unaudited) formatted in XBRL (eXtensible Business Reporting Language):</w:t>
            </w:r>
          </w:p>
        </w:tc>
      </w:tr>
      <w:tr>
        <w:trPr/>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Condensed Consolidated Balance Sheets as of September 30, 2025 (Unaudited) and December 31, 2024;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2760"/>
        <w:gridCol w:w="2760"/>
        <w:gridCol w:w="392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 Condensed Consolidated Statements of Operations and Comprehensive Income for the three months ended September 30, 2025 and 2024 (Unaudited);</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(iii) Condensed Consolidated Statements of Changes in Shareholders' Equity for the three months ended September 30, 2025 and 2024 (Unaudited);</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(iv) Condensed Consolidated Statements of Cash Flows for the three months ended September 30, 2025 and 2024 (Unaudited); and</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Notes to Condensed Consolidated Financial Statements (Unaudited). The instance document does not appear in the Interactive Data File because XBRL tags are embedded within the Inline XBRL document.</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NMI Holdings, Inc.'s Quarterly Report on Form 10-Q for the quarter ended September 30, 2025 (formatted as Inline XBRL and contained in Exhibit 101).</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Indicates a management contract or compensatory plan or contract.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Confidential treatment granted as to certain portions, which portions have been filed separately with the SEC.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accordance with Item 601(b)(32)(ii) of Regulation S-K and SEC Release No. 34-47986, the certifications furnished in Exhibit 32.1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tc>
      </w:tr>
    </w:tbl>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80"/>
        <w:ind w:left="0" w:right="0" w:firstLine="720"/>
        <w:jc w:val="both"/>
        <w:rPr/>
      </w:pPr>
      <w:r>
        <w:rPr/>
      </w:r>
    </w:p>
    <w:tbl>
      <w:tblPr>
        <w:tblW w:w="7199" w:type="dxa"/>
        <w:jc w:val="left"/>
        <w:tblInd w:w="0" w:type="dxa"/>
        <w:tblLayout w:type="fixed"/>
        <w:tblCellMar>
          <w:top w:w="28" w:type="dxa"/>
          <w:left w:w="28" w:type="dxa"/>
          <w:bottom w:w="28" w:type="dxa"/>
          <w:right w:w="28" w:type="dxa"/>
        </w:tblCellMar>
      </w:tblPr>
      <w:tblGrid>
        <w:gridCol w:w="759"/>
        <w:gridCol w:w="668"/>
        <w:gridCol w:w="672"/>
        <w:gridCol w:w="1491"/>
        <w:gridCol w:w="1491"/>
        <w:gridCol w:w="211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NMI HOLDINGS, INC.</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Aurora Swithenbank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Name: Aurora Swithenbank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 and Duly Authorized Signatory</w:t>
            </w:r>
          </w:p>
        </w:tc>
      </w:tr>
    </w:tbl>
    <w:p>
      <w:pPr>
        <w:pStyle w:val="TextBody"/>
        <w:bidi w:val="0"/>
        <w:spacing w:before="60" w:after="283"/>
        <w:ind w:left="0" w:right="0" w:firstLine="720"/>
        <w:jc w:val="left"/>
        <w:rPr/>
      </w:pPr>
      <w:r>
        <w:rPr/>
      </w:r>
    </w:p>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10.22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0.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NMI Holdings, Inc.</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Amended and Restated Severance Benefit Plan</w:t>
      </w:r>
    </w:p>
    <w:p>
      <w:pPr>
        <w:pStyle w:val="TextBody"/>
        <w:bidi w:val="0"/>
        <w:spacing w:before="0" w:after="0"/>
        <w:jc w:val="center"/>
        <w:rPr/>
      </w:pPr>
      <w:r>
        <w:rPr/>
      </w:r>
    </w:p>
    <w:p>
      <w:pPr>
        <w:pStyle w:val="TextBody"/>
        <w:bidi w:val="0"/>
        <w:spacing w:lineRule="auto" w:line="240" w:before="0" w:after="240"/>
        <w:ind w:left="0" w:right="0" w:hanging="720"/>
        <w:jc w:val="left"/>
        <w:rPr>
          <w:rFonts w:ascii="sans-serif" w:hAnsi="sans-serif"/>
          <w:b/>
          <w:color w:val="000000"/>
          <w:sz w:val="24"/>
        </w:rPr>
      </w:pPr>
      <w:r>
        <w:rPr>
          <w:rFonts w:ascii="sans-serif" w:hAnsi="sans-serif"/>
          <w:b/>
          <w:color w:val="000000"/>
          <w:sz w:val="24"/>
        </w:rPr>
        <w:t>I.PURPOSE</w:t>
      </w:r>
    </w:p>
    <w:p>
      <w:pPr>
        <w:pStyle w:val="TextBody"/>
        <w:bidi w:val="0"/>
        <w:spacing w:lineRule="auto" w:line="288" w:before="0" w:after="200"/>
        <w:jc w:val="both"/>
        <w:rPr/>
      </w:pPr>
      <w:r>
        <w:rPr>
          <w:rFonts w:ascii="sans-serif" w:hAnsi="sans-serif"/>
          <w:b w:val="false"/>
          <w:color w:val="000000"/>
          <w:sz w:val="24"/>
        </w:rPr>
        <w:t>NMI Holdings, Inc. (“</w:t>
      </w:r>
      <w:r>
        <w:rPr>
          <w:rFonts w:ascii="sans-serif" w:hAnsi="sans-serif"/>
          <w:b/>
          <w:i/>
          <w:color w:val="000000"/>
          <w:sz w:val="24"/>
        </w:rPr>
        <w:t>NMI</w:t>
      </w:r>
      <w:r>
        <w:rPr>
          <w:color w:val="000000"/>
        </w:rPr>
        <w:t xml:space="preserve">” </w:t>
      </w:r>
      <w:r>
        <w:rPr>
          <w:rFonts w:ascii="sans-serif" w:hAnsi="sans-serif"/>
          <w:b w:val="false"/>
          <w:color w:val="000000"/>
          <w:sz w:val="24"/>
        </w:rPr>
        <w:t>or the “</w:t>
      </w:r>
      <w:r>
        <w:rPr>
          <w:rFonts w:ascii="sans-serif" w:hAnsi="sans-serif"/>
          <w:b/>
          <w:i/>
          <w:color w:val="000000"/>
          <w:sz w:val="24"/>
        </w:rPr>
        <w:t>Company</w:t>
      </w:r>
      <w:r>
        <w:rPr>
          <w:color w:val="000000"/>
        </w:rPr>
        <w:t>”</w:t>
      </w:r>
      <w:r>
        <w:rPr>
          <w:rFonts w:ascii="sans-serif" w:hAnsi="sans-serif"/>
          <w:b w:val="false"/>
          <w:color w:val="000000"/>
          <w:sz w:val="24"/>
        </w:rPr>
        <w:t>) has established this Severance Benefit Plan (this “</w:t>
      </w:r>
      <w:r>
        <w:rPr>
          <w:rFonts w:ascii="sans-serif" w:hAnsi="sans-serif"/>
          <w:b/>
          <w:i/>
          <w:color w:val="000000"/>
          <w:sz w:val="24"/>
        </w:rPr>
        <w:t>Plan</w:t>
      </w:r>
      <w:r>
        <w:rPr>
          <w:color w:val="000000"/>
        </w:rPr>
        <w:t>”</w:t>
      </w:r>
      <w:r>
        <w:rPr>
          <w:rFonts w:ascii="sans-serif" w:hAnsi="sans-serif"/>
          <w:b w:val="false"/>
          <w:color w:val="000000"/>
          <w:sz w:val="24"/>
        </w:rPr>
        <w:t xml:space="preserve">) in order to ease the financial burden on eligible terminated employees as a result of job loss or position elimination. This Plan is designed to apply in situations where NMI terminates the employment of an eligible employee due to: </w:t>
      </w:r>
    </w:p>
    <w:p>
      <w:pPr>
        <w:pStyle w:val="TextBody"/>
        <w:bidi w:val="0"/>
        <w:spacing w:lineRule="auto" w:line="288" w:before="0" w:after="0"/>
        <w:ind w:left="0" w:right="0" w:hanging="360"/>
        <w:jc w:val="both"/>
        <w:rPr>
          <w:rFonts w:ascii="sans-serif" w:hAnsi="sans-serif"/>
          <w:b w:val="false"/>
          <w:color w:val="000000"/>
          <w:sz w:val="24"/>
        </w:rPr>
      </w:pPr>
      <w:r>
        <w:rPr>
          <w:rFonts w:ascii="sans-serif" w:hAnsi="sans-serif"/>
          <w:b w:val="false"/>
          <w:color w:val="000000"/>
          <w:sz w:val="24"/>
        </w:rPr>
        <w:t>1.a reduction in the work force;</w:t>
      </w:r>
    </w:p>
    <w:p>
      <w:pPr>
        <w:pStyle w:val="TextBody"/>
        <w:bidi w:val="0"/>
        <w:spacing w:lineRule="auto" w:line="288" w:before="0" w:after="0"/>
        <w:ind w:left="0" w:right="0" w:hanging="360"/>
        <w:jc w:val="both"/>
        <w:rPr>
          <w:rFonts w:ascii="sans-serif" w:hAnsi="sans-serif"/>
          <w:b w:val="false"/>
          <w:color w:val="000000"/>
          <w:sz w:val="24"/>
        </w:rPr>
      </w:pPr>
      <w:r>
        <w:rPr>
          <w:rFonts w:ascii="sans-serif" w:hAnsi="sans-serif"/>
          <w:b w:val="false"/>
          <w:color w:val="000000"/>
          <w:sz w:val="24"/>
        </w:rPr>
        <w:t>2.elimination of his or her position;</w:t>
      </w:r>
    </w:p>
    <w:p>
      <w:pPr>
        <w:pStyle w:val="TextBody"/>
        <w:bidi w:val="0"/>
        <w:spacing w:lineRule="auto" w:line="288" w:before="0" w:after="0"/>
        <w:ind w:left="0" w:right="0" w:hanging="360"/>
        <w:jc w:val="both"/>
        <w:rPr>
          <w:rFonts w:ascii="sans-serif" w:hAnsi="sans-serif"/>
          <w:b w:val="false"/>
          <w:color w:val="000000"/>
          <w:sz w:val="24"/>
        </w:rPr>
      </w:pPr>
      <w:r>
        <w:rPr>
          <w:rFonts w:ascii="sans-serif" w:hAnsi="sans-serif"/>
          <w:b w:val="false"/>
          <w:color w:val="000000"/>
          <w:sz w:val="24"/>
        </w:rPr>
        <w:t>3.lack of work; or</w:t>
      </w:r>
    </w:p>
    <w:p>
      <w:pPr>
        <w:pStyle w:val="TextBody"/>
        <w:bidi w:val="0"/>
        <w:spacing w:lineRule="auto" w:line="288" w:before="0" w:after="200"/>
        <w:ind w:left="0" w:right="0" w:hanging="360"/>
        <w:jc w:val="both"/>
        <w:rPr>
          <w:rFonts w:ascii="sans-serif" w:hAnsi="sans-serif"/>
          <w:b w:val="false"/>
          <w:color w:val="000000"/>
          <w:sz w:val="24"/>
        </w:rPr>
      </w:pPr>
      <w:r>
        <w:rPr>
          <w:rFonts w:ascii="sans-serif" w:hAnsi="sans-serif"/>
          <w:b w:val="false"/>
          <w:color w:val="000000"/>
          <w:sz w:val="24"/>
        </w:rPr>
        <w:t>4.any other reason approved in the sole discretion of the Company.</w:t>
      </w:r>
    </w:p>
    <w:p>
      <w:pPr>
        <w:pStyle w:val="TextBody"/>
        <w:bidi w:val="0"/>
        <w:spacing w:lineRule="auto" w:line="288" w:before="0" w:after="200"/>
        <w:jc w:val="both"/>
        <w:rPr>
          <w:rFonts w:ascii="sans-serif" w:hAnsi="sans-serif"/>
          <w:b w:val="false"/>
          <w:color w:val="000000"/>
          <w:sz w:val="24"/>
        </w:rPr>
      </w:pPr>
      <w:r>
        <w:rPr>
          <w:rFonts w:ascii="sans-serif" w:hAnsi="sans-serif"/>
          <w:b w:val="false"/>
          <w:color w:val="000000"/>
          <w:sz w:val="24"/>
        </w:rPr>
        <w:t>Provided they meet all requirements, as specified below, these employees may be eligible to participate in this Plan, the terms of which are further described below. Benefits under this Plan are only available upon an involuntary termination due to layoff, elimination of position or lack of work, and are not available for other involuntary terminations, unless approved by an authorized officer of the Company. Employees who voluntarily terminate employment or who retire, die or become disabled are not eligible for severance benefits under this Plan. Employees who are on a Company-approved leave of absence at the time of a Company-initiated action that would eliminate his or her position will be considered for severance benefits under this Plan at the conclusion of the approved leave. At such time, the employee must meet all of the necessary prerequisites to return to active employment under the terms of the approved leave and must also satisfy the eligibility requirements of this Plan in order to be eligible to receive severance benefits.</w:t>
      </w:r>
    </w:p>
    <w:p>
      <w:pPr>
        <w:pStyle w:val="TextBody"/>
        <w:bidi w:val="0"/>
        <w:spacing w:lineRule="auto" w:line="288" w:before="0" w:after="200"/>
        <w:jc w:val="both"/>
        <w:rPr/>
      </w:pPr>
      <w:r>
        <w:rPr>
          <w:rFonts w:ascii="sans-serif" w:hAnsi="sans-serif"/>
          <w:b w:val="false"/>
          <w:color w:val="000000"/>
          <w:sz w:val="24"/>
        </w:rPr>
        <w:t>This Plan is intended to constitute an “employee welfare benefit plan” as that term is defined in Section 3(1) of the Employee Retirement Income Security Act of 1974, as amended (“</w:t>
      </w:r>
      <w:r>
        <w:rPr>
          <w:rFonts w:ascii="sans-serif" w:hAnsi="sans-serif"/>
          <w:b/>
          <w:i/>
          <w:color w:val="000000"/>
          <w:sz w:val="24"/>
        </w:rPr>
        <w:t>ERISA</w:t>
      </w:r>
      <w:r>
        <w:rPr>
          <w:color w:val="000000"/>
        </w:rPr>
        <w:t>”</w:t>
      </w:r>
      <w:r>
        <w:rPr>
          <w:rFonts w:ascii="sans-serif" w:hAnsi="sans-serif"/>
          <w:b w:val="false"/>
          <w:color w:val="000000"/>
          <w:sz w:val="24"/>
        </w:rPr>
        <w:t xml:space="preserve">). This document constitutes the summary plan description and plan document with respect to this Plan. This Plan supersedes and replaces any and all prior severance, workforce reduction or similar policies or programs that may have been applicable to eligible employees of NMI. </w:t>
      </w:r>
    </w:p>
    <w:p>
      <w:pPr>
        <w:pStyle w:val="TextBody"/>
        <w:bidi w:val="0"/>
        <w:spacing w:lineRule="auto" w:line="288" w:before="0" w:after="200"/>
        <w:jc w:val="both"/>
        <w:rPr/>
      </w:pPr>
      <w:r>
        <w:rPr>
          <w:rFonts w:ascii="sans-serif" w:hAnsi="sans-serif"/>
          <w:b w:val="false"/>
          <w:color w:val="000000"/>
          <w:sz w:val="24"/>
        </w:rPr>
        <w:t xml:space="preserve">This Plan was originally effective as of February 10, 2016 and is amended and restated as of </w:t>
      </w:r>
      <w:r>
        <w:rPr>
          <w:rFonts w:ascii="sans-serif" w:hAnsi="sans-serif"/>
          <w:b w:val="false"/>
          <w:color w:val="000000"/>
          <w:sz w:val="22"/>
        </w:rPr>
        <w:t>November 2</w:t>
      </w:r>
      <w:r>
        <w:rPr>
          <w:rFonts w:ascii="sans-serif" w:hAnsi="sans-serif"/>
          <w:b w:val="false"/>
          <w:color w:val="000000"/>
          <w:sz w:val="24"/>
        </w:rPr>
        <w:t xml:space="preserve">, 2025, and it will remain in effect unless it is amended or terminated sooner by the Company, which the Company reserves the right to do. </w:t>
      </w:r>
    </w:p>
    <w:p>
      <w:pPr>
        <w:pStyle w:val="TextBody"/>
        <w:bidi w:val="0"/>
        <w:spacing w:lineRule="auto" w:line="240" w:before="0" w:after="240"/>
        <w:ind w:left="0" w:right="0" w:hanging="720"/>
        <w:jc w:val="left"/>
        <w:rPr>
          <w:rFonts w:ascii="sans-serif" w:hAnsi="sans-serif"/>
          <w:b/>
          <w:color w:val="000000"/>
          <w:sz w:val="24"/>
        </w:rPr>
      </w:pPr>
      <w:r>
        <w:rPr>
          <w:rFonts w:ascii="sans-serif" w:hAnsi="sans-serif"/>
          <w:b/>
          <w:color w:val="000000"/>
          <w:sz w:val="24"/>
        </w:rPr>
        <w:t>II.ELIGIBILITY</w:t>
      </w:r>
    </w:p>
    <w:p>
      <w:pPr>
        <w:pStyle w:val="TextBody"/>
        <w:bidi w:val="0"/>
        <w:spacing w:lineRule="auto" w:line="288" w:before="0" w:after="200"/>
        <w:jc w:val="both"/>
        <w:rPr/>
      </w:pPr>
      <w:r>
        <w:rPr>
          <w:rFonts w:ascii="sans-serif" w:hAnsi="sans-serif"/>
          <w:b w:val="false"/>
          <w:color w:val="000000"/>
          <w:sz w:val="24"/>
        </w:rPr>
        <w:t>Any regular “full-time” or “part-time” employee of the Company or its subsidiaries (an “</w:t>
      </w:r>
      <w:r>
        <w:rPr>
          <w:rFonts w:ascii="sans-serif" w:hAnsi="sans-serif"/>
          <w:b/>
          <w:i/>
          <w:color w:val="000000"/>
          <w:sz w:val="24"/>
        </w:rPr>
        <w:t>Employee</w:t>
      </w:r>
      <w:r>
        <w:rPr>
          <w:color w:val="000000"/>
        </w:rPr>
        <w:t>”</w:t>
      </w:r>
      <w:r>
        <w:rPr>
          <w:rFonts w:ascii="sans-serif" w:hAnsi="sans-serif"/>
          <w:b w:val="false"/>
          <w:color w:val="000000"/>
          <w:sz w:val="24"/>
        </w:rPr>
        <w:t>) may be eligible for severance pay or benefits under this Plan if the Employee satisfies all of the conditions set forth in this Plan. Temporary employees are not eligible for severance pay or benefits.</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hanging="720"/>
        <w:jc w:val="left"/>
        <w:rPr>
          <w:rFonts w:ascii="sans-serif" w:hAnsi="sans-serif"/>
          <w:b/>
          <w:color w:val="000000"/>
          <w:sz w:val="24"/>
        </w:rPr>
      </w:pPr>
      <w:r>
        <w:rPr>
          <w:rFonts w:ascii="sans-serif" w:hAnsi="sans-serif"/>
          <w:b/>
          <w:color w:val="000000"/>
          <w:sz w:val="24"/>
        </w:rPr>
        <w:t>III.CONDITIONS FOR SEVERANCE BENEFITS</w:t>
      </w:r>
    </w:p>
    <w:p>
      <w:pPr>
        <w:pStyle w:val="TextBody"/>
        <w:bidi w:val="0"/>
        <w:spacing w:lineRule="auto" w:line="288" w:before="0" w:after="200"/>
        <w:jc w:val="both"/>
        <w:rPr>
          <w:rFonts w:ascii="sans-serif" w:hAnsi="sans-serif"/>
          <w:b w:val="false"/>
          <w:color w:val="000000"/>
          <w:sz w:val="24"/>
        </w:rPr>
      </w:pPr>
      <w:r>
        <w:rPr>
          <w:rFonts w:ascii="sans-serif" w:hAnsi="sans-serif"/>
          <w:b w:val="false"/>
          <w:color w:val="000000"/>
          <w:sz w:val="24"/>
        </w:rPr>
        <w:t>Subject to the provisions set forth above, an Employee is eligible to begin receiving severance benefits if he or she meets all of the following conditions:</w:t>
      </w:r>
    </w:p>
    <w:p>
      <w:pPr>
        <w:pStyle w:val="TextBody"/>
        <w:bidi w:val="0"/>
        <w:spacing w:lineRule="auto" w:line="288" w:before="0" w:after="200"/>
        <w:ind w:left="0" w:right="0" w:hanging="720"/>
        <w:jc w:val="both"/>
        <w:rPr/>
      </w:pPr>
      <w:r>
        <w:rPr>
          <w:rFonts w:ascii="sans-serif" w:hAnsi="sans-serif"/>
          <w:b w:val="false"/>
          <w:color w:val="000000"/>
          <w:sz w:val="24"/>
        </w:rPr>
        <w:t>1.The Employee properly executes a Separation Agreement and Release of All Claims in a form presented by the Company (the “</w:t>
      </w:r>
      <w:r>
        <w:rPr>
          <w:rFonts w:ascii="sans-serif" w:hAnsi="sans-serif"/>
          <w:b/>
          <w:i/>
          <w:color w:val="000000"/>
          <w:sz w:val="24"/>
        </w:rPr>
        <w:t>Separation Agreement</w:t>
      </w:r>
      <w:r>
        <w:rPr>
          <w:color w:val="000000"/>
        </w:rPr>
        <w:t>”</w:t>
      </w:r>
      <w:r>
        <w:rPr>
          <w:rFonts w:ascii="sans-serif" w:hAnsi="sans-serif"/>
          <w:b w:val="false"/>
          <w:color w:val="000000"/>
          <w:sz w:val="24"/>
        </w:rPr>
        <w:t>) within the time period specified in the Separation Agreement, and does not thereafter revoke the Separation Agreement. The Separation Agreement must be signed on or after the Employee’s last day worked (the “</w:t>
      </w:r>
      <w:r>
        <w:rPr>
          <w:rFonts w:ascii="sans-serif" w:hAnsi="sans-serif"/>
          <w:b/>
          <w:i/>
          <w:color w:val="000000"/>
          <w:sz w:val="24"/>
        </w:rPr>
        <w:t>Termination Date</w:t>
      </w:r>
      <w:r>
        <w:rPr>
          <w:color w:val="000000"/>
        </w:rPr>
        <w:t>”</w:t>
      </w:r>
      <w:r>
        <w:rPr>
          <w:rFonts w:ascii="sans-serif" w:hAnsi="sans-serif"/>
          <w:b w:val="false"/>
          <w:color w:val="000000"/>
          <w:sz w:val="24"/>
        </w:rPr>
        <w:t xml:space="preserve">). No benefits will be paid until the Separation Agreement becomes effective according to its terms. </w:t>
      </w:r>
    </w:p>
    <w:p>
      <w:pPr>
        <w:pStyle w:val="TextBody"/>
        <w:bidi w:val="0"/>
        <w:spacing w:lineRule="auto" w:line="288" w:before="0" w:after="200"/>
        <w:ind w:left="0" w:right="0" w:hanging="720"/>
        <w:jc w:val="both"/>
        <w:rPr>
          <w:rFonts w:ascii="sans-serif" w:hAnsi="sans-serif"/>
          <w:b w:val="false"/>
          <w:color w:val="000000"/>
          <w:sz w:val="24"/>
        </w:rPr>
      </w:pPr>
      <w:r>
        <w:rPr>
          <w:rFonts w:ascii="sans-serif" w:hAnsi="sans-serif"/>
          <w:b w:val="false"/>
          <w:color w:val="000000"/>
          <w:sz w:val="24"/>
        </w:rPr>
        <w:t>2.The Employee remains an active employee of the Company until the ultimate date established by the Company as the Termination Date.</w:t>
      </w:r>
    </w:p>
    <w:p>
      <w:pPr>
        <w:pStyle w:val="TextBody"/>
        <w:bidi w:val="0"/>
        <w:spacing w:lineRule="auto" w:line="288" w:before="0" w:after="200"/>
        <w:ind w:left="0" w:right="0" w:hanging="720"/>
        <w:jc w:val="both"/>
        <w:rPr>
          <w:rFonts w:ascii="sans-serif" w:hAnsi="sans-serif"/>
          <w:b w:val="false"/>
          <w:color w:val="000000"/>
          <w:sz w:val="24"/>
        </w:rPr>
      </w:pPr>
      <w:r>
        <w:rPr>
          <w:rFonts w:ascii="sans-serif" w:hAnsi="sans-serif"/>
          <w:b w:val="false"/>
          <w:color w:val="000000"/>
          <w:sz w:val="24"/>
        </w:rPr>
        <w:t>3.If requested by NMI, the Employee assists with the transition of his or her job duties and responsibilities.</w:t>
      </w:r>
    </w:p>
    <w:p>
      <w:pPr>
        <w:pStyle w:val="TextBody"/>
        <w:bidi w:val="0"/>
        <w:spacing w:lineRule="auto" w:line="288" w:before="0" w:after="200"/>
        <w:jc w:val="both"/>
        <w:rPr>
          <w:rFonts w:ascii="sans-serif" w:hAnsi="sans-serif"/>
          <w:b w:val="false"/>
          <w:color w:val="000000"/>
          <w:sz w:val="24"/>
        </w:rPr>
      </w:pPr>
      <w:r>
        <w:rPr>
          <w:rFonts w:ascii="sans-serif" w:hAnsi="sans-serif"/>
          <w:b w:val="false"/>
          <w:color w:val="000000"/>
          <w:sz w:val="24"/>
        </w:rPr>
        <w:t xml:space="preserve">Severance benefits under this Plan are extra compensation to eligible Employees, not compensation that the Company is required to pay outside of this Plan. Therefore, the severance benefits will be provided as consideration for the Employee’s execution of and compliance with the Separation Agreement and for the Employee’s cooperation in NMI’s transition efforts. </w:t>
      </w:r>
    </w:p>
    <w:p>
      <w:pPr>
        <w:pStyle w:val="TextBody"/>
        <w:bidi w:val="0"/>
        <w:spacing w:lineRule="auto" w:line="240" w:before="0" w:after="240"/>
        <w:ind w:left="0" w:right="0" w:hanging="720"/>
        <w:jc w:val="left"/>
        <w:rPr>
          <w:rFonts w:ascii="sans-serif" w:hAnsi="sans-serif"/>
          <w:b/>
          <w:color w:val="000000"/>
          <w:sz w:val="24"/>
        </w:rPr>
      </w:pPr>
      <w:r>
        <w:rPr>
          <w:rFonts w:ascii="sans-serif" w:hAnsi="sans-serif"/>
          <w:b/>
          <w:color w:val="000000"/>
          <w:sz w:val="24"/>
        </w:rPr>
        <w:t>IV.BENEFITS</w:t>
      </w:r>
    </w:p>
    <w:p>
      <w:pPr>
        <w:pStyle w:val="TextBody"/>
        <w:bidi w:val="0"/>
        <w:spacing w:lineRule="auto" w:line="288" w:before="0" w:after="200"/>
        <w:jc w:val="both"/>
        <w:rPr>
          <w:rFonts w:ascii="sans-serif" w:hAnsi="sans-serif"/>
          <w:b w:val="false"/>
          <w:color w:val="000000"/>
          <w:sz w:val="24"/>
        </w:rPr>
      </w:pPr>
      <w:r>
        <w:rPr>
          <w:rFonts w:ascii="sans-serif" w:hAnsi="sans-serif"/>
          <w:b w:val="false"/>
          <w:color w:val="000000"/>
          <w:sz w:val="24"/>
        </w:rPr>
        <w:t>Eligible Employees who meet the conditions set forth in this Plan, and who have signed the applicable Separation Agreement, will be provided the following, according to their position and length of service:</w:t>
      </w:r>
    </w:p>
    <w:tbl>
      <w:tblPr>
        <w:tblW w:w="10205" w:type="dxa"/>
        <w:jc w:val="left"/>
        <w:tblInd w:w="0" w:type="dxa"/>
        <w:tblLayout w:type="fixed"/>
        <w:tblCellMar>
          <w:top w:w="28" w:type="dxa"/>
          <w:left w:w="28" w:type="dxa"/>
          <w:bottom w:w="28" w:type="dxa"/>
          <w:right w:w="28" w:type="dxa"/>
        </w:tblCellMar>
      </w:tblPr>
      <w:tblGrid>
        <w:gridCol w:w="946"/>
        <w:gridCol w:w="716"/>
        <w:gridCol w:w="616"/>
        <w:gridCol w:w="957"/>
        <w:gridCol w:w="957"/>
        <w:gridCol w:w="965"/>
        <w:gridCol w:w="504"/>
        <w:gridCol w:w="504"/>
        <w:gridCol w:w="506"/>
        <w:gridCol w:w="969"/>
        <w:gridCol w:w="969"/>
        <w:gridCol w:w="978"/>
        <w:gridCol w:w="179"/>
        <w:gridCol w:w="179"/>
        <w:gridCol w:w="260"/>
      </w:tblGrid>
      <w:tr>
        <w:trPr/>
        <w:tc>
          <w:tcPr>
            <w:tcW w:w="94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595959"/>
              <w:left w:val="single" w:sz="8" w:space="0" w:color="595959"/>
              <w:right w:val="single" w:sz="8" w:space="0" w:color="595959"/>
            </w:tcBorders>
            <w:tcMar>
              <w:top w:w="30" w:type="dxa"/>
              <w:bottom w:w="0" w:type="dxa"/>
            </w:tcMar>
            <w:vAlign w:val="center"/>
          </w:tcPr>
          <w:p>
            <w:pPr>
              <w:pStyle w:val="TableContents"/>
              <w:bidi w:val="0"/>
              <w:spacing w:lineRule="auto" w:line="319" w:before="0" w:after="283"/>
              <w:jc w:val="center"/>
              <w:rPr>
                <w:rFonts w:ascii="sans-serif" w:hAnsi="sans-serif"/>
                <w:b/>
                <w:color w:val="000000"/>
                <w:sz w:val="40"/>
              </w:rPr>
            </w:pPr>
            <w:r>
              <w:rPr>
                <w:rFonts w:ascii="sans-serif" w:hAnsi="sans-serif"/>
                <w:b/>
                <w:color w:val="000000"/>
                <w:sz w:val="40"/>
              </w:rPr>
              <w:t>Severance Benefits</w:t>
            </w:r>
          </w:p>
        </w:tc>
      </w:tr>
      <w:tr>
        <w:trPr/>
        <w:tc>
          <w:tcPr>
            <w:tcW w:w="2278" w:type="dxa"/>
            <w:gridSpan w:val="3"/>
            <w:tcBorders>
              <w:top w:val="single" w:sz="24" w:space="0" w:color="595959"/>
              <w:left w:val="single" w:sz="8" w:space="0" w:color="595959"/>
            </w:tcBorders>
            <w:shd w:fill="DEDEDE" w:val="clear"/>
            <w:tcMar>
              <w:top w:w="30" w:type="dxa"/>
              <w:bottom w:w="0" w:type="dxa"/>
              <w:right w:w="0" w:type="dxa"/>
            </w:tcMar>
            <w:vAlign w:val="center"/>
          </w:tcPr>
          <w:p>
            <w:pPr>
              <w:pStyle w:val="TableContents"/>
              <w:bidi w:val="0"/>
              <w:spacing w:lineRule="auto" w:line="319" w:before="0" w:after="283"/>
              <w:jc w:val="center"/>
              <w:rPr>
                <w:rFonts w:ascii="sans-serif" w:hAnsi="sans-serif"/>
                <w:b/>
                <w:color w:val="000000"/>
                <w:sz w:val="24"/>
              </w:rPr>
            </w:pPr>
            <w:r>
              <w:rPr>
                <w:rFonts w:ascii="sans-serif" w:hAnsi="sans-serif"/>
                <w:b/>
                <w:color w:val="000000"/>
                <w:sz w:val="24"/>
              </w:rPr>
              <w:t>Employee Level</w:t>
            </w:r>
          </w:p>
        </w:tc>
        <w:tc>
          <w:tcPr>
            <w:tcW w:w="2879" w:type="dxa"/>
            <w:gridSpan w:val="3"/>
            <w:tcBorders>
              <w:top w:val="single" w:sz="24" w:space="0" w:color="595959"/>
              <w:left w:val="single" w:sz="8" w:space="0" w:color="595959"/>
            </w:tcBorders>
            <w:shd w:fill="DEDEDE" w:val="clear"/>
            <w:tcMar>
              <w:top w:w="30" w:type="dxa"/>
              <w:bottom w:w="0" w:type="dxa"/>
              <w:right w:w="0" w:type="dxa"/>
            </w:tcMar>
            <w:vAlign w:val="center"/>
          </w:tcPr>
          <w:p>
            <w:pPr>
              <w:pStyle w:val="TableContents"/>
              <w:bidi w:val="0"/>
              <w:spacing w:lineRule="auto" w:line="319" w:before="0" w:after="283"/>
              <w:jc w:val="center"/>
              <w:rPr>
                <w:rFonts w:ascii="sans-serif" w:hAnsi="sans-serif"/>
                <w:b/>
                <w:color w:val="000000"/>
                <w:sz w:val="24"/>
              </w:rPr>
            </w:pPr>
            <w:r>
              <w:rPr>
                <w:rFonts w:ascii="sans-serif" w:hAnsi="sans-serif"/>
                <w:b/>
                <w:color w:val="000000"/>
                <w:sz w:val="24"/>
              </w:rPr>
              <w:t>Benefits</w:t>
            </w:r>
          </w:p>
        </w:tc>
        <w:tc>
          <w:tcPr>
            <w:tcW w:w="1514" w:type="dxa"/>
            <w:gridSpan w:val="3"/>
            <w:tcBorders>
              <w:top w:val="single" w:sz="24" w:space="0" w:color="595959"/>
              <w:left w:val="single" w:sz="8" w:space="0" w:color="595959"/>
            </w:tcBorders>
            <w:shd w:fill="DEDEDE" w:val="clear"/>
            <w:tcMar>
              <w:top w:w="30" w:type="dxa"/>
              <w:bottom w:w="0" w:type="dxa"/>
              <w:right w:w="0" w:type="dxa"/>
            </w:tcMar>
            <w:vAlign w:val="center"/>
          </w:tcPr>
          <w:p>
            <w:pPr>
              <w:pStyle w:val="TableContents"/>
              <w:bidi w:val="0"/>
              <w:spacing w:lineRule="auto" w:line="319" w:before="0" w:after="283"/>
              <w:jc w:val="center"/>
              <w:rPr>
                <w:rFonts w:ascii="sans-serif" w:hAnsi="sans-serif"/>
                <w:b/>
                <w:color w:val="000000"/>
                <w:sz w:val="24"/>
              </w:rPr>
            </w:pPr>
            <w:r>
              <w:rPr>
                <w:rFonts w:ascii="sans-serif" w:hAnsi="sans-serif"/>
                <w:b/>
                <w:color w:val="000000"/>
                <w:sz w:val="24"/>
              </w:rPr>
              <w:t>Employee Level</w:t>
            </w:r>
          </w:p>
        </w:tc>
        <w:tc>
          <w:tcPr>
            <w:tcW w:w="2916" w:type="dxa"/>
            <w:gridSpan w:val="3"/>
            <w:tcBorders>
              <w:top w:val="single" w:sz="24" w:space="0" w:color="595959"/>
              <w:left w:val="single" w:sz="8" w:space="0" w:color="595959"/>
            </w:tcBorders>
            <w:shd w:fill="DEDEDE" w:val="clear"/>
            <w:tcMar>
              <w:top w:w="30" w:type="dxa"/>
              <w:bottom w:w="0" w:type="dxa"/>
              <w:right w:w="0" w:type="dxa"/>
            </w:tcMar>
            <w:vAlign w:val="center"/>
          </w:tcPr>
          <w:p>
            <w:pPr>
              <w:pStyle w:val="TableContents"/>
              <w:bidi w:val="0"/>
              <w:spacing w:lineRule="auto" w:line="319" w:before="0" w:after="283"/>
              <w:jc w:val="center"/>
              <w:rPr>
                <w:rFonts w:ascii="sans-serif" w:hAnsi="sans-serif"/>
                <w:b/>
                <w:color w:val="000000"/>
                <w:sz w:val="24"/>
              </w:rPr>
            </w:pPr>
            <w:r>
              <w:rPr>
                <w:rFonts w:ascii="sans-serif" w:hAnsi="sans-serif"/>
                <w:b/>
                <w:color w:val="000000"/>
                <w:sz w:val="24"/>
              </w:rPr>
              <w:t>Benefits</w:t>
            </w:r>
          </w:p>
        </w:tc>
        <w:tc>
          <w:tcPr>
            <w:tcW w:w="618" w:type="dxa"/>
            <w:gridSpan w:val="3"/>
            <w:tcBorders>
              <w:top w:val="single" w:sz="24" w:space="0" w:color="595959"/>
              <w:left w:val="single" w:sz="8" w:space="0" w:color="595959"/>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top w:val="single" w:sz="8" w:space="0" w:color="595959"/>
              <w:left w:val="single" w:sz="8" w:space="0" w:color="595959"/>
              <w:bottom w:val="single" w:sz="8" w:space="0" w:color="595959"/>
            </w:tcBorders>
            <w:shd w:fill="A5CCED" w:val="clear"/>
            <w:tcMar>
              <w:top w:w="30" w:type="dxa"/>
              <w:bottom w:w="30" w:type="dxa"/>
              <w:right w:w="0" w:type="dxa"/>
            </w:tcMar>
            <w:vAlign w:val="center"/>
          </w:tcPr>
          <w:p>
            <w:pPr>
              <w:pStyle w:val="TableContents"/>
              <w:bidi w:val="0"/>
              <w:spacing w:lineRule="auto" w:line="319" w:before="0" w:after="283"/>
              <w:jc w:val="left"/>
              <w:rPr>
                <w:rFonts w:ascii="sans-serif" w:hAnsi="sans-serif"/>
                <w:b/>
                <w:color w:val="000000"/>
                <w:sz w:val="24"/>
              </w:rPr>
            </w:pPr>
            <w:r>
              <w:rPr>
                <w:rFonts w:ascii="sans-serif" w:hAnsi="sans-serif"/>
                <w:b/>
                <w:color w:val="000000"/>
                <w:sz w:val="24"/>
              </w:rPr>
              <w:t>Managers and Individual Contributors</w:t>
            </w:r>
          </w:p>
        </w:tc>
        <w:tc>
          <w:tcPr>
            <w:tcW w:w="2879" w:type="dxa"/>
            <w:gridSpan w:val="3"/>
            <w:tcBorders>
              <w:top w:val="single" w:sz="8" w:space="0" w:color="595959"/>
              <w:left w:val="single" w:sz="8" w:space="0" w:color="595959"/>
              <w:bottom w:val="single" w:sz="8" w:space="0" w:color="595959"/>
            </w:tcBorders>
            <w:tcMar>
              <w:top w:w="30" w:type="dxa"/>
              <w:bottom w:w="30" w:type="dxa"/>
              <w:right w:w="0" w:type="dxa"/>
            </w:tcMar>
            <w:vAlign w:val="center"/>
          </w:tcPr>
          <w:p>
            <w:pPr>
              <w:pStyle w:val="TableContents"/>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Within first year – 2 weeks of base salary </w:t>
            </w:r>
          </w:p>
          <w:p>
            <w:pPr>
              <w:pStyle w:val="TableContents"/>
              <w:bidi w:val="0"/>
              <w:spacing w:before="0" w:after="0"/>
              <w:jc w:val="left"/>
              <w:rPr/>
            </w:pPr>
            <w:r>
              <w:rPr/>
            </w:r>
          </w:p>
          <w:p>
            <w:pPr>
              <w:pStyle w:val="TableContents"/>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After first year – 2 weeks of base salary and 1 month of health coverage contribution for each full year of service</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(maximum of 4 months of base salary &amp; 4 months of health coverage) </w:t>
            </w:r>
          </w:p>
        </w:tc>
        <w:tc>
          <w:tcPr>
            <w:tcW w:w="1514" w:type="dxa"/>
            <w:gridSpan w:val="3"/>
            <w:tcBorders>
              <w:top w:val="single" w:sz="8" w:space="0" w:color="595959"/>
              <w:left w:val="single" w:sz="8" w:space="0" w:color="595959"/>
              <w:bottom w:val="single" w:sz="8" w:space="0" w:color="595959"/>
            </w:tcBorders>
            <w:shd w:fill="A5CCED" w:val="clear"/>
            <w:tcMar>
              <w:top w:w="30" w:type="dxa"/>
              <w:bottom w:w="30" w:type="dxa"/>
              <w:right w:w="0" w:type="dxa"/>
            </w:tcMar>
            <w:vAlign w:val="center"/>
          </w:tcPr>
          <w:p>
            <w:pPr>
              <w:pStyle w:val="TableContents"/>
              <w:bidi w:val="0"/>
              <w:spacing w:lineRule="auto" w:line="319" w:before="0" w:after="283"/>
              <w:jc w:val="left"/>
              <w:rPr>
                <w:rFonts w:ascii="sans-serif" w:hAnsi="sans-serif"/>
                <w:b/>
                <w:color w:val="000000"/>
                <w:sz w:val="24"/>
              </w:rPr>
            </w:pPr>
            <w:r>
              <w:rPr>
                <w:rFonts w:ascii="sans-serif" w:hAnsi="sans-serif"/>
                <w:b/>
                <w:color w:val="000000"/>
                <w:sz w:val="24"/>
              </w:rPr>
              <w:t>S/VPs</w:t>
            </w:r>
          </w:p>
        </w:tc>
        <w:tc>
          <w:tcPr>
            <w:tcW w:w="2916" w:type="dxa"/>
            <w:gridSpan w:val="3"/>
            <w:tcBorders>
              <w:top w:val="single" w:sz="8" w:space="0" w:color="595959"/>
              <w:left w:val="single" w:sz="8" w:space="0" w:color="595959"/>
              <w:bottom w:val="single" w:sz="8" w:space="0" w:color="595959"/>
            </w:tcBorders>
            <w:tcMar>
              <w:top w:w="30" w:type="dxa"/>
              <w:bottom w:w="30" w:type="dxa"/>
              <w:right w:w="0" w:type="dxa"/>
            </w:tcMar>
            <w:vAlign w:val="center"/>
          </w:tcPr>
          <w:p>
            <w:pPr>
              <w:pStyle w:val="TableContents"/>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Within first year – 2 months of base salary and 2 months of health coverage </w:t>
            </w:r>
          </w:p>
          <w:p>
            <w:pPr>
              <w:pStyle w:val="TableContents"/>
              <w:bidi w:val="0"/>
              <w:spacing w:before="0" w:after="0"/>
              <w:jc w:val="left"/>
              <w:rPr/>
            </w:pPr>
            <w:r>
              <w:rPr/>
            </w:r>
          </w:p>
          <w:p>
            <w:pPr>
              <w:pStyle w:val="TableContents"/>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After first year – 2 months of base salary and 2 months of health coverage contribution for each full year of service</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(maximum of 8 months of base salary &amp; 8 months of health coverage) </w:t>
            </w:r>
          </w:p>
        </w:tc>
        <w:tc>
          <w:tcPr>
            <w:tcW w:w="618" w:type="dxa"/>
            <w:gridSpan w:val="3"/>
            <w:tcBorders>
              <w:left w:val="single" w:sz="8" w:space="0" w:color="59595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00"/>
        <w:jc w:val="left"/>
        <w:rPr/>
      </w:pPr>
      <w:r>
        <w:rPr/>
      </w:r>
    </w:p>
    <w:p>
      <w:pPr>
        <w:pStyle w:val="TextBody"/>
        <w:bidi w:val="0"/>
        <w:spacing w:before="0" w:after="200"/>
        <w:jc w:val="left"/>
        <w:rPr/>
      </w:pPr>
      <w:r>
        <w:rPr/>
      </w:r>
    </w:p>
    <w:tbl>
      <w:tblPr>
        <w:tblW w:w="10205" w:type="dxa"/>
        <w:jc w:val="left"/>
        <w:tblInd w:w="0" w:type="dxa"/>
        <w:tblLayout w:type="fixed"/>
        <w:tblCellMar>
          <w:top w:w="28" w:type="dxa"/>
          <w:left w:w="28" w:type="dxa"/>
          <w:bottom w:w="28" w:type="dxa"/>
          <w:right w:w="28" w:type="dxa"/>
        </w:tblCellMar>
      </w:tblPr>
      <w:tblGrid>
        <w:gridCol w:w="541"/>
        <w:gridCol w:w="475"/>
        <w:gridCol w:w="476"/>
        <w:gridCol w:w="773"/>
        <w:gridCol w:w="773"/>
        <w:gridCol w:w="780"/>
        <w:gridCol w:w="833"/>
        <w:gridCol w:w="709"/>
        <w:gridCol w:w="711"/>
        <w:gridCol w:w="1215"/>
        <w:gridCol w:w="1215"/>
        <w:gridCol w:w="1704"/>
      </w:tblGrid>
      <w:tr>
        <w:trPr/>
        <w:tc>
          <w:tcPr>
            <w:tcW w:w="5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op w:val="single" w:sz="8" w:space="0" w:color="595959"/>
              <w:left w:val="single" w:sz="8" w:space="0" w:color="595959"/>
            </w:tcBorders>
            <w:shd w:fill="D9D9D9" w:val="clear"/>
            <w:tcMar>
              <w:top w:w="30" w:type="dxa"/>
              <w:bottom w:w="0" w:type="dxa"/>
              <w:right w:w="0" w:type="dxa"/>
            </w:tcMar>
            <w:vAlign w:val="center"/>
          </w:tcPr>
          <w:p>
            <w:pPr>
              <w:pStyle w:val="TableContents"/>
              <w:bidi w:val="0"/>
              <w:spacing w:lineRule="auto" w:line="319" w:before="0" w:after="0"/>
              <w:jc w:val="center"/>
              <w:rPr>
                <w:rFonts w:ascii="sans-serif" w:hAnsi="sans-serif"/>
                <w:b/>
                <w:color w:val="000000"/>
                <w:sz w:val="24"/>
              </w:rPr>
            </w:pPr>
            <w:r>
              <w:rPr>
                <w:rFonts w:ascii="sans-serif" w:hAnsi="sans-serif"/>
                <w:b/>
                <w:color w:val="000000"/>
                <w:sz w:val="24"/>
              </w:rPr>
              <w:t>Employee Level</w:t>
            </w:r>
          </w:p>
        </w:tc>
        <w:tc>
          <w:tcPr>
            <w:tcW w:w="2326" w:type="dxa"/>
            <w:gridSpan w:val="3"/>
            <w:tcBorders>
              <w:top w:val="single" w:sz="8" w:space="0" w:color="595959"/>
              <w:left w:val="single" w:sz="8" w:space="0" w:color="595959"/>
            </w:tcBorders>
            <w:shd w:fill="D9D9D9" w:val="clear"/>
            <w:tcMar>
              <w:top w:w="30" w:type="dxa"/>
              <w:bottom w:w="0" w:type="dxa"/>
              <w:right w:w="0" w:type="dxa"/>
            </w:tcMar>
            <w:vAlign w:val="center"/>
          </w:tcPr>
          <w:p>
            <w:pPr>
              <w:pStyle w:val="TableContents"/>
              <w:bidi w:val="0"/>
              <w:spacing w:lineRule="auto" w:line="319" w:before="0" w:after="0"/>
              <w:ind w:left="0" w:right="0" w:hanging="360"/>
              <w:jc w:val="center"/>
              <w:rPr>
                <w:rFonts w:ascii="sans-serif" w:hAnsi="sans-serif"/>
                <w:b/>
                <w:color w:val="000000"/>
                <w:sz w:val="24"/>
              </w:rPr>
            </w:pPr>
            <w:r>
              <w:rPr>
                <w:rFonts w:ascii="sans-serif" w:hAnsi="sans-serif"/>
                <w:b/>
                <w:color w:val="000000"/>
                <w:sz w:val="24"/>
              </w:rPr>
              <w:t>Benefits</w:t>
            </w:r>
          </w:p>
        </w:tc>
        <w:tc>
          <w:tcPr>
            <w:tcW w:w="2253" w:type="dxa"/>
            <w:gridSpan w:val="3"/>
            <w:tcBorders>
              <w:top w:val="single" w:sz="8" w:space="0" w:color="595959"/>
              <w:left w:val="single" w:sz="8" w:space="0" w:color="595959"/>
            </w:tcBorders>
            <w:shd w:fill="D9D9D9" w:val="clear"/>
            <w:tcMar>
              <w:top w:w="30" w:type="dxa"/>
              <w:bottom w:w="0" w:type="dxa"/>
              <w:right w:w="0" w:type="dxa"/>
            </w:tcMar>
            <w:vAlign w:val="center"/>
          </w:tcPr>
          <w:p>
            <w:pPr>
              <w:pStyle w:val="TableContents"/>
              <w:bidi w:val="0"/>
              <w:spacing w:lineRule="auto" w:line="319" w:before="0" w:after="0"/>
              <w:jc w:val="center"/>
              <w:rPr>
                <w:rFonts w:ascii="sans-serif" w:hAnsi="sans-serif"/>
                <w:b/>
                <w:color w:val="000000"/>
                <w:sz w:val="24"/>
              </w:rPr>
            </w:pPr>
            <w:r>
              <w:rPr>
                <w:rFonts w:ascii="sans-serif" w:hAnsi="sans-serif"/>
                <w:b/>
                <w:color w:val="000000"/>
                <w:sz w:val="24"/>
              </w:rPr>
              <w:t>Employee Level</w:t>
            </w:r>
          </w:p>
        </w:tc>
        <w:tc>
          <w:tcPr>
            <w:tcW w:w="4134" w:type="dxa"/>
            <w:gridSpan w:val="3"/>
            <w:tcBorders>
              <w:top w:val="single" w:sz="8" w:space="0" w:color="595959"/>
              <w:left w:val="single" w:sz="8" w:space="0" w:color="595959"/>
              <w:right w:val="single" w:sz="8" w:space="0" w:color="595959"/>
            </w:tcBorders>
            <w:shd w:fill="D9D9D9" w:val="clear"/>
            <w:tcMar>
              <w:top w:w="30" w:type="dxa"/>
              <w:bottom w:w="0" w:type="dxa"/>
            </w:tcMar>
            <w:vAlign w:val="center"/>
          </w:tcPr>
          <w:p>
            <w:pPr>
              <w:pStyle w:val="TableContents"/>
              <w:bidi w:val="0"/>
              <w:spacing w:lineRule="auto" w:line="319" w:before="0" w:after="0"/>
              <w:ind w:left="0" w:right="0" w:hanging="360"/>
              <w:jc w:val="center"/>
              <w:rPr>
                <w:rFonts w:ascii="sans-serif" w:hAnsi="sans-serif"/>
                <w:b/>
                <w:color w:val="000000"/>
                <w:sz w:val="24"/>
              </w:rPr>
            </w:pPr>
            <w:r>
              <w:rPr>
                <w:rFonts w:ascii="sans-serif" w:hAnsi="sans-serif"/>
                <w:b/>
                <w:color w:val="000000"/>
                <w:sz w:val="24"/>
              </w:rPr>
              <w:t>Benefits</w:t>
            </w:r>
          </w:p>
        </w:tc>
      </w:tr>
      <w:tr>
        <w:trPr/>
        <w:tc>
          <w:tcPr>
            <w:tcW w:w="1492" w:type="dxa"/>
            <w:gridSpan w:val="3"/>
            <w:tcBorders>
              <w:top w:val="single" w:sz="8" w:space="0" w:color="595959"/>
              <w:left w:val="single" w:sz="8" w:space="0" w:color="595959"/>
              <w:bottom w:val="single" w:sz="8" w:space="0" w:color="595959"/>
            </w:tcBorders>
            <w:shd w:fill="A5CCED" w:val="clear"/>
            <w:tcMar>
              <w:top w:w="30" w:type="dxa"/>
              <w:bottom w:w="30" w:type="dxa"/>
              <w:right w:w="0" w:type="dxa"/>
            </w:tcMar>
            <w:vAlign w:val="center"/>
          </w:tcPr>
          <w:p>
            <w:pPr>
              <w:pStyle w:val="TableContents"/>
              <w:bidi w:val="0"/>
              <w:spacing w:lineRule="auto" w:line="319" w:before="0" w:after="283"/>
              <w:jc w:val="left"/>
              <w:rPr>
                <w:rFonts w:ascii="sans-serif" w:hAnsi="sans-serif"/>
                <w:b/>
                <w:color w:val="000000"/>
                <w:sz w:val="24"/>
              </w:rPr>
            </w:pPr>
            <w:r>
              <w:rPr>
                <w:rFonts w:ascii="sans-serif" w:hAnsi="sans-serif"/>
                <w:b/>
                <w:color w:val="000000"/>
                <w:sz w:val="24"/>
              </w:rPr>
              <w:t>Directors</w:t>
            </w:r>
          </w:p>
        </w:tc>
        <w:tc>
          <w:tcPr>
            <w:tcW w:w="2326" w:type="dxa"/>
            <w:gridSpan w:val="3"/>
            <w:tcBorders>
              <w:top w:val="single" w:sz="8" w:space="0" w:color="595959"/>
              <w:left w:val="single" w:sz="8" w:space="0" w:color="595959"/>
              <w:bottom w:val="single" w:sz="8" w:space="0" w:color="595959"/>
            </w:tcBorders>
            <w:tcMar>
              <w:top w:w="30" w:type="dxa"/>
              <w:bottom w:w="30" w:type="dxa"/>
              <w:right w:w="0" w:type="dxa"/>
            </w:tcMar>
            <w:vAlign w:val="center"/>
          </w:tcPr>
          <w:p>
            <w:pPr>
              <w:pStyle w:val="TableContents"/>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Within first year – 1 month of base salary and 1 month of health coverage </w:t>
            </w:r>
          </w:p>
          <w:p>
            <w:pPr>
              <w:pStyle w:val="TableContents"/>
              <w:bidi w:val="0"/>
              <w:spacing w:before="0" w:after="0"/>
              <w:jc w:val="left"/>
              <w:rPr/>
            </w:pPr>
            <w:r>
              <w:rPr/>
            </w:r>
          </w:p>
          <w:p>
            <w:pPr>
              <w:pStyle w:val="TableContents"/>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After first year – 1 month of base salary and 1 month of health coverage contribution for each full year of service </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(maximum of 6 months of base salary &amp; 6 months of health coverage) </w:t>
            </w:r>
          </w:p>
        </w:tc>
        <w:tc>
          <w:tcPr>
            <w:tcW w:w="2253" w:type="dxa"/>
            <w:gridSpan w:val="3"/>
            <w:tcBorders>
              <w:top w:val="single" w:sz="8" w:space="0" w:color="595959"/>
              <w:left w:val="single" w:sz="8" w:space="0" w:color="595959"/>
              <w:bottom w:val="single" w:sz="8" w:space="0" w:color="595959"/>
            </w:tcBorders>
            <w:shd w:fill="A5CCED" w:val="clear"/>
            <w:tcMar>
              <w:top w:w="30" w:type="dxa"/>
              <w:bottom w:w="30" w:type="dxa"/>
              <w:right w:w="0" w:type="dxa"/>
            </w:tcMar>
            <w:vAlign w:val="center"/>
          </w:tcPr>
          <w:p>
            <w:pPr>
              <w:pStyle w:val="TableContents"/>
              <w:bidi w:val="0"/>
              <w:spacing w:lineRule="auto" w:line="288" w:before="0" w:after="0"/>
              <w:jc w:val="left"/>
              <w:rPr/>
            </w:pPr>
            <w:r>
              <w:rPr>
                <w:rFonts w:ascii="sans-serif" w:hAnsi="sans-serif"/>
                <w:b/>
                <w:color w:val="000000"/>
                <w:sz w:val="24"/>
              </w:rPr>
              <w:t xml:space="preserve">EVPs, Executive Chairman, President &amp; CEO </w:t>
            </w:r>
            <w:r>
              <w:rPr>
                <w:rFonts w:ascii="sans-serif" w:hAnsi="sans-serif"/>
                <w:b w:val="false"/>
                <w:color w:val="000000"/>
                <w:sz w:val="22"/>
              </w:rPr>
              <w:t>(without employment agreement)</w:t>
            </w:r>
          </w:p>
        </w:tc>
        <w:tc>
          <w:tcPr>
            <w:tcW w:w="4134" w:type="dxa"/>
            <w:gridSpan w:val="3"/>
            <w:tcBorders>
              <w:top w:val="single" w:sz="8" w:space="0" w:color="595959"/>
              <w:left w:val="single" w:sz="8" w:space="0" w:color="595959"/>
              <w:bottom w:val="single" w:sz="8" w:space="0" w:color="595959"/>
              <w:right w:val="single" w:sz="8" w:space="0" w:color="595959"/>
            </w:tcBorders>
            <w:tcMar>
              <w:top w:w="30" w:type="dxa"/>
              <w:bottom w:w="30" w:type="dxa"/>
            </w:tcMar>
            <w:vAlign w:val="center"/>
          </w:tcPr>
          <w:p>
            <w:pPr>
              <w:pStyle w:val="TableContents"/>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Within first year – 3 months of base salary and target annual bonus opportunity </w:t>
            </w:r>
          </w:p>
          <w:p>
            <w:pPr>
              <w:pStyle w:val="TableContents"/>
              <w:bidi w:val="0"/>
              <w:spacing w:before="0" w:after="0"/>
              <w:jc w:val="left"/>
              <w:rPr/>
            </w:pPr>
            <w:r>
              <w:rPr/>
            </w:r>
          </w:p>
          <w:p>
            <w:pPr>
              <w:pStyle w:val="TableContents"/>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After first year – 3 months of base salary and target annual bonus opportunity for each full year of service (maximum of 18 months (24 months for the Executive Chairman, President &amp; CEO)) </w:t>
            </w:r>
          </w:p>
          <w:p>
            <w:pPr>
              <w:pStyle w:val="TableContents"/>
              <w:bidi w:val="0"/>
              <w:spacing w:before="0" w:after="0"/>
              <w:jc w:val="left"/>
              <w:rPr/>
            </w:pPr>
            <w:r>
              <w:rPr/>
            </w:r>
          </w:p>
          <w:p>
            <w:pPr>
              <w:pStyle w:val="TableContents"/>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An amount equal to the product of (x) the Employee’s target annual bonus opportunity multiplied by (y) a fraction, the numerator of which is the number of days in the then-current fiscal year through the Termination Date and the denominator of which is the total number of days in the then-current fiscal year</w:t>
            </w:r>
          </w:p>
          <w:p>
            <w:pPr>
              <w:pStyle w:val="TableContents"/>
              <w:bidi w:val="0"/>
              <w:spacing w:before="0" w:after="0"/>
              <w:jc w:val="left"/>
              <w:rPr/>
            </w:pPr>
            <w:r>
              <w:rPr/>
            </w:r>
          </w:p>
          <w:p>
            <w:pPr>
              <w:pStyle w:val="TableContents"/>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12 months (18 months for the Executive Chairman, President &amp; CEO) of health coverage contribution</w:t>
            </w:r>
          </w:p>
        </w:tc>
      </w:tr>
    </w:tbl>
    <w:p>
      <w:pPr>
        <w:pStyle w:val="TextBody"/>
        <w:bidi w:val="0"/>
        <w:spacing w:before="0" w:after="200"/>
        <w:jc w:val="both"/>
        <w:rPr/>
      </w:pPr>
      <w:r>
        <w:rPr/>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 xml:space="preserve">The cash severance pay will be paid out in one lump sum within seventy (70) days following the applicable Employee’s Termination Date. All cash severance pay under this Plan shall be subject to applicable federal, state, local, or other tax withholding. </w:t>
      </w:r>
    </w:p>
    <w:p>
      <w:pPr>
        <w:pStyle w:val="TextBody"/>
        <w:bidi w:val="0"/>
        <w:spacing w:lineRule="auto" w:line="288" w:before="0" w:after="240"/>
        <w:jc w:val="both"/>
        <w:rPr/>
      </w:pPr>
      <w:r>
        <w:rPr>
          <w:rFonts w:ascii="sans-serif" w:hAnsi="sans-serif"/>
          <w:b w:val="false"/>
          <w:color w:val="000000"/>
          <w:sz w:val="24"/>
        </w:rPr>
        <w:t>Pursuant to the Benefits chart detailed above, NMI will continue to pay the employer contribution towards the eligible Employee’s applicable monthly Consolidated Omnibus Budget Reconciliation Act of 1985 (“</w:t>
      </w:r>
      <w:r>
        <w:rPr>
          <w:rFonts w:ascii="sans-serif" w:hAnsi="sans-serif"/>
          <w:b/>
          <w:i/>
          <w:color w:val="000000"/>
          <w:sz w:val="24"/>
        </w:rPr>
        <w:t>COBRA</w:t>
      </w:r>
      <w:r>
        <w:rPr>
          <w:color w:val="000000"/>
        </w:rPr>
        <w:t>”</w:t>
      </w:r>
      <w:r>
        <w:rPr>
          <w:rFonts w:ascii="sans-serif" w:hAnsi="sans-serif"/>
          <w:b w:val="false"/>
          <w:color w:val="000000"/>
          <w:sz w:val="24"/>
        </w:rPr>
        <w:t xml:space="preserve">) premium (including the employer portion for the eligible Employee’s dependents) for the time period specified above, according to the Employee’s position and, as applicable, length of service, provided the Employee is eligible for and timely elects COBRA coverage.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hanging="720"/>
        <w:jc w:val="left"/>
        <w:rPr>
          <w:rFonts w:ascii="sans-serif" w:hAnsi="sans-serif"/>
          <w:b/>
          <w:color w:val="000000"/>
          <w:sz w:val="24"/>
        </w:rPr>
      </w:pPr>
      <w:r>
        <w:rPr>
          <w:rFonts w:ascii="sans-serif" w:hAnsi="sans-serif"/>
          <w:b/>
          <w:color w:val="000000"/>
          <w:sz w:val="24"/>
        </w:rPr>
        <w:t>V.APPEALS PROCESS</w:t>
      </w:r>
    </w:p>
    <w:p>
      <w:pPr>
        <w:pStyle w:val="TextBody"/>
        <w:bidi w:val="0"/>
        <w:spacing w:lineRule="auto" w:line="240" w:before="0" w:after="240"/>
        <w:ind w:left="0" w:right="0" w:hanging="720"/>
        <w:jc w:val="left"/>
        <w:rPr/>
      </w:pPr>
      <w:r>
        <w:rPr>
          <w:rFonts w:ascii="Arial;sans-serif" w:hAnsi="Arial;sans-serif"/>
          <w:b/>
          <w:color w:val="000000"/>
          <w:sz w:val="22"/>
        </w:rPr>
        <w:t>A.</w:t>
      </w:r>
      <w:r>
        <w:rPr>
          <w:rFonts w:ascii="sans-serif" w:hAnsi="sans-serif"/>
          <w:b/>
          <w:color w:val="000000"/>
          <w:sz w:val="24"/>
        </w:rPr>
        <w:t>Initial Claims</w:t>
      </w:r>
    </w:p>
    <w:p>
      <w:pPr>
        <w:pStyle w:val="TextBody"/>
        <w:bidi w:val="0"/>
        <w:spacing w:lineRule="auto" w:line="288" w:before="0" w:after="240"/>
        <w:jc w:val="both"/>
        <w:rPr/>
      </w:pPr>
      <w:r>
        <w:rPr>
          <w:rFonts w:ascii="sans-serif" w:hAnsi="sans-serif"/>
          <w:b w:val="false"/>
          <w:color w:val="000000"/>
          <w:sz w:val="24"/>
        </w:rPr>
        <w:t>If an employee believes that (i) he/she was improperly excluded from participation in this Plan, (ii) benefits under this Plan have been improperly denied or (iii) benefits provided were incorrectly calculated, he/she has the right to submit a written claim to NMI’s Director of Compensation &amp; Benefits (the “</w:t>
      </w:r>
      <w:r>
        <w:rPr>
          <w:rFonts w:ascii="sans-serif" w:hAnsi="sans-serif"/>
          <w:b/>
          <w:i/>
          <w:color w:val="000000"/>
          <w:sz w:val="24"/>
        </w:rPr>
        <w:t>Director</w:t>
      </w:r>
      <w:r>
        <w:rPr>
          <w:color w:val="000000"/>
        </w:rPr>
        <w:t>”</w:t>
      </w:r>
      <w:r>
        <w:rPr>
          <w:rFonts w:ascii="sans-serif" w:hAnsi="sans-serif"/>
          <w:b w:val="false"/>
          <w:color w:val="000000"/>
          <w:sz w:val="24"/>
        </w:rPr>
        <w:t xml:space="preserve">). In order to be considered timely, the claim must be submitted within thirty (30) days after the date on which the employee first learns of the facts giving rise to the claim. </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The claim must identify the relief requested, and include a statement of the facts supporting the claim. The Director will, in his/her sole discretion, grant or deny the claim. If the claim is denied, the Director will give written notice to the employee, setting forth the reasons for denial, and/or requesting additional material or information, as well as an explanation of this Plan’s claim review procedures. The notice will be given to the employee within ninety (90) days after receipt of the claim. However, the Director, in collaboration with the Senior Vice President, Human Resources, may, in his/her discretion, extend this period for an additional ninety (90) days. Under these circumstances, the Director will give written notice of any extension to the employee before the expiration of the initial ninety (90) day period, and will set forth the circumstances requiring the extension and the date by which the final decision is expected to be issued. If written notice of a claim decision is not provided to the employee within the period described (including any extension), then the claim will be deemed denied at the expiration of such period, and the employee may appeal the denial as described below.</w:t>
      </w:r>
    </w:p>
    <w:p>
      <w:pPr>
        <w:pStyle w:val="TextBody"/>
        <w:bidi w:val="0"/>
        <w:spacing w:lineRule="auto" w:line="240" w:before="0" w:after="240"/>
        <w:ind w:left="0" w:right="0" w:hanging="720"/>
        <w:jc w:val="left"/>
        <w:rPr/>
      </w:pPr>
      <w:r>
        <w:rPr>
          <w:rFonts w:ascii="Arial;sans-serif" w:hAnsi="Arial;sans-serif"/>
          <w:b/>
          <w:color w:val="000000"/>
          <w:sz w:val="22"/>
        </w:rPr>
        <w:t>B.</w:t>
      </w:r>
      <w:r>
        <w:rPr>
          <w:rFonts w:ascii="sans-serif" w:hAnsi="sans-serif"/>
          <w:b/>
          <w:color w:val="000000"/>
          <w:sz w:val="24"/>
        </w:rPr>
        <w:t>Appeals</w:t>
      </w:r>
    </w:p>
    <w:p>
      <w:pPr>
        <w:pStyle w:val="TextBody"/>
        <w:bidi w:val="0"/>
        <w:spacing w:lineRule="auto" w:line="288" w:before="0" w:after="240"/>
        <w:jc w:val="both"/>
        <w:rPr/>
      </w:pPr>
      <w:r>
        <w:rPr>
          <w:rFonts w:ascii="sans-serif" w:hAnsi="sans-serif"/>
          <w:b w:val="false"/>
          <w:color w:val="000000"/>
          <w:sz w:val="24"/>
        </w:rPr>
        <w:t>An employee whose claim has been denied, in whole or in part, may request a review of such denial by filing a written notice of appeal with the Senior Vice President, Human Resources for the Company (the “</w:t>
      </w:r>
      <w:r>
        <w:rPr>
          <w:rFonts w:ascii="sans-serif" w:hAnsi="sans-serif"/>
          <w:b/>
          <w:i/>
          <w:color w:val="000000"/>
          <w:sz w:val="24"/>
        </w:rPr>
        <w:t>Plan Administrator</w:t>
      </w:r>
      <w:r>
        <w:rPr>
          <w:color w:val="000000"/>
        </w:rPr>
        <w:t>”</w:t>
      </w:r>
      <w:r>
        <w:rPr>
          <w:rFonts w:ascii="sans-serif" w:hAnsi="sans-serif"/>
          <w:b w:val="false"/>
          <w:color w:val="000000"/>
          <w:sz w:val="24"/>
        </w:rPr>
        <w:t xml:space="preserve">). </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 xml:space="preserve">The appeal must be made within sixty (60) days after the date on which the initial claim was denied or deemed denied. No action at law or equity may be brought to recover benefits under this Plan unless and until the employee requests an internal administrative appeal during the sixty (60)-day period and the appeal is finally denied by the Plan Administrator. In connection with an appeal, the employee (or the employee’s authorized representative) may review pertinent documents and submit evidence and written argument to the Plan Administrator. All information provided will be considered in deciding the questions presented by the appeal. The Plan Administrator will decide the questions presented by the appeal, either with or without holding a meeting, and will issue a written notice of decision to the employee setting forth the specific reasons for the denial and any other information the Plan Administrator deems appropriate. The notice will be issued within sixty (60) days after receipt of the request for review. However, this period may be extended for an additional sixty (60) days if the Plan Administrator determines, in his/her sole discretion, that circumstances require an extension. Written notice of any extension will be given to the employee before the expiration of the initial sixty (60)-day period, and will indicate the circumstances requiring the extension and the date by which the final decision is expected to be issued. If notice of an appeal decision is not provided to the employee within the period described (including any extension), then the claim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will be deemed denied at the expiration of the period. Any decision of the Plan Administrator shall be final and conclusive except to the extent that the employee proves in a civil lawsuit pursuant to a final and non-appealable judgment that the decision of the Plan Administrator was an abuse of discretion.</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No legal action may be commenced prior to the completion of the benefits claims procedure described in this Plan. In addition, no legal action may be commenced after the later of (i) 180 days after receiving a written response of the Plan Administrator to an appeal or (ii) 365 days after the date the claimant was terminated.</w:t>
      </w:r>
    </w:p>
    <w:p>
      <w:pPr>
        <w:pStyle w:val="TextBody"/>
        <w:bidi w:val="0"/>
        <w:spacing w:lineRule="auto" w:line="240" w:before="0" w:after="240"/>
        <w:ind w:left="0" w:right="0" w:hanging="720"/>
        <w:jc w:val="left"/>
        <w:rPr/>
      </w:pPr>
      <w:r>
        <w:rPr>
          <w:rFonts w:ascii="sans-serif" w:hAnsi="sans-serif"/>
          <w:b w:val="false"/>
          <w:color w:val="000000"/>
          <w:sz w:val="24"/>
        </w:rPr>
        <w:t>VI.</w:t>
      </w:r>
      <w:r>
        <w:rPr>
          <w:rFonts w:ascii="sans-serif" w:hAnsi="sans-serif"/>
          <w:b/>
          <w:color w:val="000000"/>
          <w:sz w:val="24"/>
        </w:rPr>
        <w:t>RIGHTS UNDER ERISA</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 xml:space="preserve">Participants in this Plan are entitled to certain rights and protections under ERISA. ERISA provides that all Plan participants shall be entitled to: </w:t>
      </w:r>
    </w:p>
    <w:p>
      <w:pPr>
        <w:pStyle w:val="TextBody"/>
        <w:bidi w:val="0"/>
        <w:spacing w:before="0" w:after="0"/>
        <w:jc w:val="left"/>
        <w:rPr/>
      </w:pPr>
      <w:r>
        <w:rPr/>
      </w:r>
    </w:p>
    <w:p>
      <w:pPr>
        <w:pStyle w:val="TextBody"/>
        <w:bidi w:val="0"/>
        <w:spacing w:lineRule="auto" w:line="288" w:before="0" w:after="267"/>
        <w:ind w:left="0" w:right="0" w:hanging="540"/>
        <w:jc w:val="both"/>
        <w:rPr/>
      </w:pPr>
      <w:r>
        <w:rPr>
          <w:color w:val="000000"/>
        </w:rPr>
        <w:t>•</w:t>
      </w:r>
      <w:r>
        <w:rPr>
          <w:rFonts w:ascii="sans-serif" w:hAnsi="sans-serif"/>
          <w:b w:val="false"/>
          <w:color w:val="000000"/>
          <w:sz w:val="24"/>
        </w:rPr>
        <w:t xml:space="preserve">Examine all documents governing this Plan, including collective bargaining agreements and copies of all documents filed by this Plan with the U.S. Department of Labor, without charge at the office of the Senior Vice President of Human Resources. </w:t>
      </w:r>
    </w:p>
    <w:p>
      <w:pPr>
        <w:pStyle w:val="TextBody"/>
        <w:bidi w:val="0"/>
        <w:spacing w:lineRule="auto" w:line="288" w:before="0" w:after="267"/>
        <w:ind w:left="0" w:right="0" w:hanging="540"/>
        <w:jc w:val="both"/>
        <w:rPr/>
      </w:pPr>
      <w:r>
        <w:rPr>
          <w:color w:val="000000"/>
        </w:rPr>
        <w:t>•</w:t>
      </w:r>
      <w:r>
        <w:rPr>
          <w:rFonts w:ascii="sans-serif" w:hAnsi="sans-serif"/>
          <w:b w:val="false"/>
          <w:color w:val="000000"/>
          <w:sz w:val="24"/>
        </w:rPr>
        <w:t xml:space="preserve">Obtain copies of documents governing the operation of this Plan, including collective bargaining agreements and an updated summary plan description, upon written request to the Plan Administrator. A reasonable charge may be made for the copies. </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 xml:space="preserve">In addition to creating rights for Plan participants, ERISA imposes duties upon the people who are responsible for the operation of this Plan. The people who operate this Plan, called “fiduciaries” of this Plan, have a duty to operate this Plan prudently and in the interest of you and other Plan participants and beneficiaries.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 xml:space="preserve">No one, including your employer, may fire you or otherwise discriminate against you in any way to prevent you from obtaining a benefit or exercising your ERISA rights.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 xml:space="preserve">If your claim for a benefit is denied or ignored in whole or in part, you have a right to know why this was done, to obtain copies of documents relating to the decision without charge, and to appeal any denial, all within certain time schedules. Under ERISA, there are steps you can take to enforce the above rights. For instance, if you request a copy of Plan documents from the Plan Administrator and do not receive them within thirty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 xml:space="preserve">If you have a claim for benefits which is denied or ignored, in whole or in part, you may file suit in a state or federal court.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00"/>
        <w:jc w:val="both"/>
        <w:rPr>
          <w:rFonts w:ascii="sans-serif" w:hAnsi="sans-serif"/>
          <w:b w:val="false"/>
          <w:color w:val="000000"/>
          <w:sz w:val="24"/>
        </w:rPr>
      </w:pPr>
      <w:r>
        <w:rPr>
          <w:rFonts w:ascii="sans-serif" w:hAnsi="sans-serif"/>
          <w:b w:val="false"/>
          <w:color w:val="000000"/>
          <w:sz w:val="24"/>
        </w:rPr>
        <w:t xml:space="preserve">If you have any questions about this Plan, you should contact the Plan Administrator. If you have any questions about this statement or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 (1-866-444-3272) or by visiting www.dol.gov/ebsa. </w:t>
      </w:r>
    </w:p>
    <w:p>
      <w:pPr>
        <w:pStyle w:val="TextBody"/>
        <w:bidi w:val="0"/>
        <w:spacing w:lineRule="auto" w:line="240" w:before="0" w:after="240"/>
        <w:ind w:left="0" w:right="0" w:hanging="720"/>
        <w:jc w:val="left"/>
        <w:rPr/>
      </w:pPr>
      <w:r>
        <w:rPr>
          <w:rFonts w:ascii="sans-serif" w:hAnsi="sans-serif"/>
          <w:b w:val="false"/>
          <w:color w:val="000000"/>
          <w:sz w:val="24"/>
        </w:rPr>
        <w:t>VII.</w:t>
      </w:r>
      <w:r>
        <w:rPr>
          <w:rFonts w:ascii="sans-serif" w:hAnsi="sans-serif"/>
          <w:b/>
          <w:color w:val="000000"/>
          <w:sz w:val="24"/>
        </w:rPr>
        <w:t>ADDITIONAL PLAN INFORMATION AND PLAN ADMINISTRATION</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The Plan sponsor and employer is:</w:t>
      </w:r>
    </w:p>
    <w:p>
      <w:pPr>
        <w:pStyle w:val="TextBody"/>
        <w:bidi w:val="0"/>
        <w:spacing w:lineRule="auto" w:line="288" w:before="0" w:after="120"/>
        <w:jc w:val="center"/>
        <w:rPr>
          <w:rFonts w:ascii="sans-serif" w:hAnsi="sans-serif"/>
          <w:b w:val="false"/>
          <w:color w:val="000000"/>
          <w:sz w:val="24"/>
        </w:rPr>
      </w:pPr>
      <w:r>
        <w:rPr>
          <w:rFonts w:ascii="sans-serif" w:hAnsi="sans-serif"/>
          <w:b w:val="false"/>
          <w:color w:val="000000"/>
          <w:sz w:val="24"/>
        </w:rPr>
        <w:t>NMI Holdings, Inc.</w:t>
      </w:r>
    </w:p>
    <w:p>
      <w:pPr>
        <w:pStyle w:val="TextBody"/>
        <w:bidi w:val="0"/>
        <w:spacing w:lineRule="auto" w:line="288" w:before="0" w:after="120"/>
        <w:jc w:val="center"/>
        <w:rPr/>
      </w:pPr>
      <w:r>
        <w:rPr>
          <w:rFonts w:ascii="sans-serif" w:hAnsi="sans-serif"/>
          <w:b w:val="false"/>
          <w:color w:val="000000"/>
          <w:sz w:val="24"/>
        </w:rPr>
        <w:t>2100 Powell Street, 12</w:t>
      </w:r>
      <w:r>
        <w:rPr>
          <w:rFonts w:ascii="sans-serif" w:hAnsi="sans-serif"/>
          <w:b w:val="false"/>
          <w:color w:val="000000"/>
          <w:sz w:val="16"/>
        </w:rPr>
        <w:t>th</w:t>
      </w:r>
      <w:r>
        <w:rPr>
          <w:color w:val="000000"/>
        </w:rPr>
        <w:t xml:space="preserve"> </w:t>
      </w:r>
      <w:r>
        <w:rPr>
          <w:rFonts w:ascii="sans-serif" w:hAnsi="sans-serif"/>
          <w:b w:val="false"/>
          <w:color w:val="000000"/>
          <w:sz w:val="24"/>
        </w:rPr>
        <w:t xml:space="preserve">Fl. </w:t>
      </w:r>
    </w:p>
    <w:p>
      <w:pPr>
        <w:pStyle w:val="TextBody"/>
        <w:bidi w:val="0"/>
        <w:spacing w:lineRule="auto" w:line="288" w:before="0" w:after="120"/>
        <w:jc w:val="center"/>
        <w:rPr>
          <w:rFonts w:ascii="sans-serif" w:hAnsi="sans-serif"/>
          <w:b w:val="false"/>
          <w:color w:val="000000"/>
          <w:sz w:val="24"/>
        </w:rPr>
      </w:pPr>
      <w:r>
        <w:rPr>
          <w:rFonts w:ascii="sans-serif" w:hAnsi="sans-serif"/>
          <w:b w:val="false"/>
          <w:color w:val="000000"/>
          <w:sz w:val="24"/>
        </w:rPr>
        <w:t>Emeryville, CA 94608</w:t>
      </w:r>
    </w:p>
    <w:p>
      <w:pPr>
        <w:pStyle w:val="TextBody"/>
        <w:bidi w:val="0"/>
        <w:spacing w:lineRule="auto" w:line="288" w:before="360" w:after="240"/>
        <w:jc w:val="both"/>
        <w:rPr>
          <w:rFonts w:ascii="sans-serif" w:hAnsi="sans-serif"/>
          <w:b w:val="false"/>
          <w:color w:val="000000"/>
          <w:sz w:val="24"/>
        </w:rPr>
      </w:pPr>
      <w:r>
        <w:rPr>
          <w:rFonts w:ascii="sans-serif" w:hAnsi="sans-serif"/>
          <w:b w:val="false"/>
          <w:color w:val="000000"/>
          <w:sz w:val="24"/>
        </w:rPr>
        <w:t>The Plan Administrator of this Plan is the Senior Vice President of Human Resources of NMI. The Plan Administrator is the named fiduciary of this Plan as defined by ERISA. The Plan Administrator may delegate its authority and responsibilities under this Plan to one or more persons.</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The Plan Administrator may be contacted at:</w:t>
      </w:r>
    </w:p>
    <w:p>
      <w:pPr>
        <w:pStyle w:val="TextBody"/>
        <w:bidi w:val="0"/>
        <w:spacing w:lineRule="auto" w:line="288" w:before="0" w:after="120"/>
        <w:jc w:val="center"/>
        <w:rPr>
          <w:rFonts w:ascii="sans-serif" w:hAnsi="sans-serif"/>
          <w:b w:val="false"/>
          <w:color w:val="000000"/>
          <w:sz w:val="24"/>
        </w:rPr>
      </w:pPr>
      <w:r>
        <w:rPr>
          <w:rFonts w:ascii="sans-serif" w:hAnsi="sans-serif"/>
          <w:b w:val="false"/>
          <w:color w:val="000000"/>
          <w:sz w:val="24"/>
        </w:rPr>
        <w:t>NMI Holdings, Inc.</w:t>
      </w:r>
    </w:p>
    <w:p>
      <w:pPr>
        <w:pStyle w:val="TextBody"/>
        <w:bidi w:val="0"/>
        <w:spacing w:lineRule="auto" w:line="288" w:before="0" w:after="120"/>
        <w:jc w:val="center"/>
        <w:rPr/>
      </w:pPr>
      <w:r>
        <w:rPr>
          <w:rFonts w:ascii="sans-serif" w:hAnsi="sans-serif"/>
          <w:b w:val="false"/>
          <w:color w:val="000000"/>
          <w:sz w:val="24"/>
        </w:rPr>
        <w:t>2100 Powell Street, 12</w:t>
      </w:r>
      <w:r>
        <w:rPr>
          <w:rFonts w:ascii="sans-serif" w:hAnsi="sans-serif"/>
          <w:b w:val="false"/>
          <w:color w:val="000000"/>
          <w:sz w:val="16"/>
        </w:rPr>
        <w:t>th</w:t>
      </w:r>
      <w:r>
        <w:rPr>
          <w:color w:val="000000"/>
        </w:rPr>
        <w:t xml:space="preserve"> </w:t>
      </w:r>
      <w:r>
        <w:rPr>
          <w:rFonts w:ascii="sans-serif" w:hAnsi="sans-serif"/>
          <w:b w:val="false"/>
          <w:color w:val="000000"/>
          <w:sz w:val="24"/>
        </w:rPr>
        <w:t xml:space="preserve">Fl. </w:t>
      </w:r>
    </w:p>
    <w:p>
      <w:pPr>
        <w:pStyle w:val="TextBody"/>
        <w:bidi w:val="0"/>
        <w:spacing w:lineRule="auto" w:line="288" w:before="0" w:after="120"/>
        <w:jc w:val="center"/>
        <w:rPr>
          <w:rFonts w:ascii="sans-serif" w:hAnsi="sans-serif"/>
          <w:b w:val="false"/>
          <w:color w:val="000000"/>
          <w:sz w:val="24"/>
        </w:rPr>
      </w:pPr>
      <w:r>
        <w:rPr>
          <w:rFonts w:ascii="sans-serif" w:hAnsi="sans-serif"/>
          <w:b w:val="false"/>
          <w:color w:val="000000"/>
          <w:sz w:val="24"/>
        </w:rPr>
        <w:t>Emeryville, CA 94608</w:t>
      </w:r>
    </w:p>
    <w:p>
      <w:pPr>
        <w:pStyle w:val="TextBody"/>
        <w:bidi w:val="0"/>
        <w:spacing w:lineRule="auto" w:line="288" w:before="0" w:after="120"/>
        <w:jc w:val="center"/>
        <w:rPr>
          <w:rFonts w:ascii="sans-serif" w:hAnsi="sans-serif"/>
          <w:b w:val="false"/>
          <w:color w:val="000000"/>
          <w:sz w:val="24"/>
        </w:rPr>
      </w:pPr>
      <w:r>
        <w:rPr>
          <w:rFonts w:ascii="sans-serif" w:hAnsi="sans-serif"/>
          <w:b w:val="false"/>
          <w:color w:val="000000"/>
          <w:sz w:val="24"/>
        </w:rPr>
        <w:t>Tel: (510) 858-0360</w:t>
      </w:r>
    </w:p>
    <w:p>
      <w:pPr>
        <w:pStyle w:val="TextBody"/>
        <w:bidi w:val="0"/>
        <w:spacing w:lineRule="auto" w:line="288" w:before="360" w:after="240"/>
        <w:jc w:val="both"/>
        <w:rPr>
          <w:rFonts w:ascii="sans-serif" w:hAnsi="sans-serif"/>
          <w:b w:val="false"/>
          <w:color w:val="000000"/>
          <w:sz w:val="24"/>
        </w:rPr>
      </w:pPr>
      <w:r>
        <w:rPr>
          <w:rFonts w:ascii="sans-serif" w:hAnsi="sans-serif"/>
          <w:b w:val="false"/>
          <w:color w:val="000000"/>
          <w:sz w:val="24"/>
        </w:rPr>
        <w:t>The Plan Administrator has full discretion to administer and interpret this Plan and to decide any and all matters arising under this Plan, including the right to make findings of fact; to determine eligibility for participation, benefits, and other rights under this Plan; to determine whether any notice requirement or other administrative procedure under this Plan has been adequately observed; to determine the proper recipient(s) of any benefits under this Plan; to remedy possible ambiguities, inconsistencies, or omissions by general rule or particular decision; and otherwise to interpret this Plan in accordance with its terms. The Plan Administrator’s determination on any and all questions arising out of the interpretation or administration of this Plan shall be final, conclusive and binding on all parties.</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This Plan’s agent for service of process is the Plan Administrator, who may be contacted at the address listed above.</w:t>
      </w:r>
    </w:p>
    <w:p>
      <w:pPr>
        <w:pStyle w:val="TextBody"/>
        <w:bidi w:val="0"/>
        <w:spacing w:lineRule="auto" w:line="288" w:before="120" w:after="120"/>
        <w:jc w:val="both"/>
        <w:rPr>
          <w:rFonts w:ascii="sans-serif" w:hAnsi="sans-serif"/>
          <w:b w:val="false"/>
          <w:color w:val="000000"/>
          <w:sz w:val="24"/>
        </w:rPr>
      </w:pPr>
      <w:r>
        <w:rPr>
          <w:rFonts w:ascii="sans-serif" w:hAnsi="sans-serif"/>
          <w:b w:val="false"/>
          <w:color w:val="000000"/>
          <w:sz w:val="24"/>
        </w:rPr>
        <w:t>The Company’s Employment Identification Number is: 45 4914248</w:t>
      </w:r>
    </w:p>
    <w:p>
      <w:pPr>
        <w:pStyle w:val="TextBody"/>
        <w:bidi w:val="0"/>
        <w:spacing w:lineRule="auto" w:line="288" w:before="120" w:after="120"/>
        <w:jc w:val="both"/>
        <w:rPr>
          <w:rFonts w:ascii="sans-serif" w:hAnsi="sans-serif"/>
          <w:b w:val="false"/>
          <w:color w:val="000000"/>
          <w:sz w:val="24"/>
        </w:rPr>
      </w:pPr>
      <w:r>
        <w:rPr>
          <w:rFonts w:ascii="sans-serif" w:hAnsi="sans-serif"/>
          <w:b w:val="false"/>
          <w:color w:val="000000"/>
          <w:sz w:val="24"/>
        </w:rPr>
        <w:t>The Plan Number is:         LC024.1</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120"/>
        <w:jc w:val="both"/>
        <w:rPr>
          <w:rFonts w:ascii="sans-serif" w:hAnsi="sans-serif"/>
          <w:b w:val="false"/>
          <w:color w:val="000000"/>
          <w:sz w:val="24"/>
        </w:rPr>
      </w:pPr>
      <w:r>
        <w:rPr>
          <w:rFonts w:ascii="sans-serif" w:hAnsi="sans-serif"/>
          <w:b w:val="false"/>
          <w:color w:val="000000"/>
          <w:sz w:val="24"/>
        </w:rPr>
        <w:t>The Plan Year ends:         December 31</w:t>
      </w:r>
    </w:p>
    <w:p>
      <w:pPr>
        <w:pStyle w:val="TextBody"/>
        <w:bidi w:val="0"/>
        <w:spacing w:lineRule="auto" w:line="288" w:before="120" w:after="120"/>
        <w:jc w:val="both"/>
        <w:rPr>
          <w:rFonts w:ascii="sans-serif" w:hAnsi="sans-serif"/>
          <w:b w:val="false"/>
          <w:color w:val="000000"/>
          <w:sz w:val="24"/>
        </w:rPr>
      </w:pPr>
      <w:r>
        <w:rPr>
          <w:rFonts w:ascii="sans-serif" w:hAnsi="sans-serif"/>
          <w:b w:val="false"/>
          <w:color w:val="000000"/>
          <w:sz w:val="24"/>
        </w:rPr>
        <w:t>Plan Type:             ERISA Welfare Plan</w:t>
      </w:r>
    </w:p>
    <w:p>
      <w:pPr>
        <w:pStyle w:val="TextBody"/>
        <w:bidi w:val="0"/>
        <w:spacing w:lineRule="auto" w:line="288" w:before="120" w:after="120"/>
        <w:jc w:val="both"/>
        <w:rPr>
          <w:rFonts w:ascii="sans-serif" w:hAnsi="sans-serif"/>
          <w:b w:val="false"/>
          <w:color w:val="000000"/>
          <w:sz w:val="24"/>
        </w:rPr>
      </w:pPr>
      <w:r>
        <w:rPr>
          <w:rFonts w:ascii="sans-serif" w:hAnsi="sans-serif"/>
          <w:b w:val="false"/>
          <w:color w:val="000000"/>
          <w:sz w:val="24"/>
        </w:rPr>
        <w:t>Source of Funding:         The Company’s General Assets</w:t>
      </w:r>
    </w:p>
    <w:p>
      <w:pPr>
        <w:pStyle w:val="TextBody"/>
        <w:bidi w:val="0"/>
        <w:spacing w:before="120" w:after="120"/>
        <w:jc w:val="both"/>
        <w:rPr/>
      </w:pPr>
      <w:r>
        <w:rPr/>
      </w:r>
    </w:p>
    <w:p>
      <w:pPr>
        <w:pStyle w:val="TextBody"/>
        <w:bidi w:val="0"/>
        <w:spacing w:lineRule="auto" w:line="240" w:before="0" w:after="240"/>
        <w:ind w:left="0" w:right="0" w:hanging="720"/>
        <w:jc w:val="left"/>
        <w:rPr>
          <w:rFonts w:ascii="sans-serif" w:hAnsi="sans-serif"/>
          <w:b/>
          <w:color w:val="000000"/>
          <w:sz w:val="24"/>
        </w:rPr>
      </w:pPr>
      <w:r>
        <w:rPr>
          <w:rFonts w:ascii="sans-serif" w:hAnsi="sans-serif"/>
          <w:b/>
          <w:color w:val="000000"/>
          <w:sz w:val="24"/>
        </w:rPr>
        <w:t>VIII.Other Terms and Conditions</w:t>
      </w:r>
    </w:p>
    <w:p>
      <w:pPr>
        <w:pStyle w:val="TextBody"/>
        <w:bidi w:val="0"/>
        <w:spacing w:lineRule="auto" w:line="319" w:before="0" w:after="0"/>
        <w:ind w:left="0" w:right="0" w:hanging="360"/>
        <w:jc w:val="both"/>
        <w:rPr/>
      </w:pPr>
      <w:r>
        <w:rPr>
          <w:color w:val="000000"/>
        </w:rPr>
        <w:t>•</w:t>
      </w:r>
      <w:r>
        <w:rPr>
          <w:rFonts w:ascii="sans-serif" w:hAnsi="sans-serif"/>
          <w:b w:val="false"/>
          <w:color w:val="000000"/>
          <w:sz w:val="24"/>
        </w:rPr>
        <w:t>No Benefits will be payable under this Plan unless an Employee timely signs and delivers a Separation Agreement to the Plan Administrator within the time period designated in the Separation Agreement and does not revoke the Separation Agreement as provided by its terms.</w:t>
      </w:r>
    </w:p>
    <w:p>
      <w:pPr>
        <w:pStyle w:val="TextBody"/>
        <w:bidi w:val="0"/>
        <w:spacing w:lineRule="auto" w:line="319" w:before="0" w:after="0"/>
        <w:ind w:left="0" w:right="0" w:hanging="360"/>
        <w:jc w:val="both"/>
        <w:rPr/>
      </w:pPr>
      <w:r>
        <w:rPr>
          <w:color w:val="000000"/>
        </w:rPr>
        <w:t>•</w:t>
      </w:r>
      <w:r>
        <w:rPr>
          <w:rFonts w:ascii="sans-serif" w:hAnsi="sans-serif"/>
          <w:b w:val="false"/>
          <w:color w:val="000000"/>
          <w:sz w:val="24"/>
        </w:rPr>
        <w:t>Unless otherwise specified in the Separation Agreement, all benefits of employment terminate as of the Employee’s Termination Date.</w:t>
      </w:r>
    </w:p>
    <w:p>
      <w:pPr>
        <w:pStyle w:val="TextBody"/>
        <w:bidi w:val="0"/>
        <w:spacing w:lineRule="auto" w:line="319" w:before="0" w:after="0"/>
        <w:ind w:left="0" w:right="0" w:hanging="360"/>
        <w:jc w:val="both"/>
        <w:rPr/>
      </w:pPr>
      <w:r>
        <w:rPr>
          <w:color w:val="000000"/>
        </w:rPr>
        <w:t>•</w:t>
      </w:r>
      <w:r>
        <w:rPr>
          <w:rFonts w:ascii="sans-serif" w:hAnsi="sans-serif"/>
          <w:b w:val="false"/>
          <w:color w:val="000000"/>
          <w:sz w:val="24"/>
        </w:rPr>
        <w:t>This Plan does not constitute a contract of employment or impose on NMI any obligation to retain employees. Nothing in this Plan will be deemed to modify or affect in any way any Employee’s at-will status.</w:t>
      </w:r>
    </w:p>
    <w:p>
      <w:pPr>
        <w:pStyle w:val="TextBody"/>
        <w:bidi w:val="0"/>
        <w:spacing w:lineRule="auto" w:line="319" w:before="0" w:after="0"/>
        <w:ind w:left="0" w:right="0" w:hanging="360"/>
        <w:jc w:val="both"/>
        <w:rPr/>
      </w:pPr>
      <w:r>
        <w:rPr>
          <w:color w:val="000000"/>
        </w:rPr>
        <w:t>•</w:t>
      </w:r>
      <w:r>
        <w:rPr>
          <w:rFonts w:ascii="sans-serif" w:hAnsi="sans-serif"/>
          <w:b w:val="false"/>
          <w:color w:val="000000"/>
          <w:sz w:val="24"/>
        </w:rPr>
        <w:t>This document is the official plan document for this Plan. Upon any conflict between this document and any other document, instrument, or communication describing the policies or procedures with respect to benefits for Employees eligible to participate in this Plan, the terms of this document will control.</w:t>
      </w:r>
    </w:p>
    <w:p>
      <w:pPr>
        <w:pStyle w:val="TextBody"/>
        <w:bidi w:val="0"/>
        <w:spacing w:lineRule="auto" w:line="319" w:before="0" w:after="0"/>
        <w:ind w:left="0" w:right="0" w:hanging="360"/>
        <w:jc w:val="both"/>
        <w:rPr/>
      </w:pPr>
      <w:r>
        <w:rPr>
          <w:color w:val="000000"/>
        </w:rPr>
        <w:t>•</w:t>
      </w:r>
      <w:r>
        <w:rPr>
          <w:rFonts w:ascii="sans-serif" w:hAnsi="sans-serif"/>
          <w:b w:val="false"/>
          <w:color w:val="000000"/>
          <w:sz w:val="24"/>
        </w:rPr>
        <w:t>All benefits under this Plan are provided entirely from NMI’s general assets. No portion of this Plan is funded.</w:t>
      </w:r>
    </w:p>
    <w:p>
      <w:pPr>
        <w:pStyle w:val="TextBody"/>
        <w:bidi w:val="0"/>
        <w:spacing w:lineRule="auto" w:line="319" w:before="0" w:after="0"/>
        <w:ind w:left="0" w:right="0" w:hanging="360"/>
        <w:jc w:val="both"/>
        <w:rPr/>
      </w:pPr>
      <w:r>
        <w:rPr>
          <w:color w:val="000000"/>
        </w:rPr>
        <w:t>•</w:t>
      </w:r>
      <w:r>
        <w:rPr>
          <w:rFonts w:ascii="sans-serif" w:hAnsi="sans-serif"/>
          <w:b w:val="false"/>
          <w:color w:val="000000"/>
          <w:sz w:val="24"/>
        </w:rPr>
        <w:t>NMI reserves the right, at any time, by written direction, to terminate, modify, or amend, in whole or in part, any and all of the provisions of this Plan.</w:t>
      </w:r>
    </w:p>
    <w:p>
      <w:pPr>
        <w:pStyle w:val="TextBody"/>
        <w:bidi w:val="0"/>
        <w:spacing w:lineRule="auto" w:line="319" w:before="0" w:after="0"/>
        <w:ind w:left="0" w:right="0" w:hanging="360"/>
        <w:jc w:val="both"/>
        <w:rPr/>
      </w:pPr>
      <w:r>
        <w:rPr>
          <w:color w:val="000000"/>
        </w:rPr>
        <w:t>•</w:t>
      </w:r>
      <w:r>
        <w:rPr>
          <w:rFonts w:ascii="sans-serif" w:hAnsi="sans-serif"/>
          <w:b w:val="false"/>
          <w:color w:val="000000"/>
          <w:sz w:val="24"/>
        </w:rPr>
        <w:t>If any provision of this Plan is held to be in conflict with or in violation of any federal, state or local statute, rule or decision, all other provisions of this Plan shall continue in full force and effect.</w:t>
      </w:r>
    </w:p>
    <w:p>
      <w:pPr>
        <w:pStyle w:val="TextBody"/>
        <w:bidi w:val="0"/>
        <w:spacing w:lineRule="auto" w:line="319" w:before="0" w:after="200"/>
        <w:ind w:left="0" w:right="0" w:hanging="360"/>
        <w:jc w:val="both"/>
        <w:rPr/>
      </w:pPr>
      <w:r>
        <w:rPr>
          <w:color w:val="000000"/>
        </w:rPr>
        <w:t>•</w:t>
      </w:r>
      <w:r>
        <w:rPr>
          <w:rFonts w:ascii="sans-serif" w:hAnsi="sans-serif"/>
          <w:b w:val="false"/>
          <w:color w:val="000000"/>
          <w:sz w:val="24"/>
        </w:rPr>
        <w:t>This Plan shall be governed by ERISA and, to the extent not preempted thereby, the laws of the State of California.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sans-serif" w:hAnsi="sans-serif"/>
          <w:b/>
          <w:color w:val="000000"/>
          <w:sz w:val="24"/>
        </w:rPr>
      </w:pPr>
      <w:r>
        <w:rPr>
          <w:rFonts w:ascii="sans-serif" w:hAnsi="sans-serif"/>
          <w:b/>
          <w:color w:val="000000"/>
          <w:sz w:val="24"/>
        </w:rPr>
        <w:t>Exhibit 10.23</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2.8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NMI Holdings, Inc.</w:t>
        <w:br/>
        <w:t>Amended and Restated Change in Control Severance Benefit Plan</w:t>
      </w:r>
    </w:p>
    <w:p>
      <w:pPr>
        <w:pStyle w:val="TextBody"/>
        <w:bidi w:val="0"/>
        <w:spacing w:before="0" w:after="240"/>
        <w:jc w:val="center"/>
        <w:rPr/>
      </w:pPr>
      <w:r>
        <w:rPr/>
      </w:r>
    </w:p>
    <w:p>
      <w:pPr>
        <w:pStyle w:val="TextBody"/>
        <w:bidi w:val="0"/>
        <w:spacing w:lineRule="auto" w:line="240" w:before="0" w:after="240"/>
        <w:ind w:left="0" w:right="0" w:hanging="720"/>
        <w:jc w:val="both"/>
        <w:rPr>
          <w:rFonts w:ascii="sans-serif" w:hAnsi="sans-serif"/>
          <w:b/>
          <w:color w:val="000000"/>
          <w:sz w:val="24"/>
        </w:rPr>
      </w:pPr>
      <w:r>
        <w:rPr>
          <w:rFonts w:ascii="sans-serif" w:hAnsi="sans-serif"/>
          <w:b/>
          <w:color w:val="000000"/>
          <w:sz w:val="24"/>
        </w:rPr>
        <w:t>I.PURPOSE</w:t>
      </w:r>
    </w:p>
    <w:p>
      <w:pPr>
        <w:pStyle w:val="TextBody"/>
        <w:bidi w:val="0"/>
        <w:spacing w:lineRule="auto" w:line="288" w:before="0" w:after="240"/>
        <w:ind w:left="0" w:right="0" w:firstLine="720"/>
        <w:jc w:val="both"/>
        <w:rPr/>
      </w:pPr>
      <w:r>
        <w:rPr>
          <w:rFonts w:ascii="sans-serif" w:hAnsi="sans-serif"/>
          <w:b w:val="false"/>
          <w:color w:val="000000"/>
          <w:sz w:val="24"/>
        </w:rPr>
        <w:t>NMI Holdings, Inc. (the “</w:t>
      </w:r>
      <w:r>
        <w:rPr>
          <w:rFonts w:ascii="sans-serif" w:hAnsi="sans-serif"/>
          <w:b/>
          <w:i/>
          <w:color w:val="000000"/>
          <w:sz w:val="24"/>
        </w:rPr>
        <w:t>Company</w:t>
      </w:r>
      <w:r>
        <w:rPr>
          <w:color w:val="000000"/>
        </w:rPr>
        <w:t>”</w:t>
      </w:r>
      <w:r>
        <w:rPr>
          <w:rFonts w:ascii="sans-serif" w:hAnsi="sans-serif"/>
          <w:b w:val="false"/>
          <w:color w:val="000000"/>
          <w:sz w:val="24"/>
        </w:rPr>
        <w:t>) has established this Amended and Restated Change in Control Severance Benefit Plan (this “</w:t>
      </w:r>
      <w:r>
        <w:rPr>
          <w:rFonts w:ascii="sans-serif" w:hAnsi="sans-serif"/>
          <w:b/>
          <w:i/>
          <w:color w:val="000000"/>
          <w:sz w:val="24"/>
        </w:rPr>
        <w:t>Plan</w:t>
      </w:r>
      <w:r>
        <w:rPr>
          <w:color w:val="000000"/>
        </w:rPr>
        <w:t>”</w:t>
      </w:r>
      <w:r>
        <w:rPr>
          <w:rFonts w:ascii="sans-serif" w:hAnsi="sans-serif"/>
          <w:b w:val="false"/>
          <w:color w:val="000000"/>
          <w:sz w:val="24"/>
        </w:rPr>
        <w:t>) in order to assure the Company that it will have the continued dedication of specified executives and employees and eliminate the distractions of personal uncertainties associated with potential transactions that the Company may undertake in the future by providing for certain benefits and payments to those executives who experience qualifying terminations of employment in connection with such transactions, as described herein.</w:t>
      </w:r>
    </w:p>
    <w:p>
      <w:pPr>
        <w:pStyle w:val="TextBody"/>
        <w:bidi w:val="0"/>
        <w:spacing w:lineRule="auto" w:line="240" w:before="0" w:after="240"/>
        <w:ind w:left="0" w:right="0" w:hanging="720"/>
        <w:jc w:val="both"/>
        <w:rPr>
          <w:rFonts w:ascii="sans-serif" w:hAnsi="sans-serif"/>
          <w:b/>
          <w:color w:val="000000"/>
          <w:sz w:val="24"/>
        </w:rPr>
      </w:pPr>
      <w:r>
        <w:rPr>
          <w:rFonts w:ascii="sans-serif" w:hAnsi="sans-serif"/>
          <w:b/>
          <w:color w:val="000000"/>
          <w:sz w:val="24"/>
        </w:rPr>
        <w:t>II.PLAN TERM</w:t>
      </w:r>
    </w:p>
    <w:p>
      <w:pPr>
        <w:pStyle w:val="TextBody"/>
        <w:bidi w:val="0"/>
        <w:spacing w:lineRule="auto" w:line="288" w:before="0" w:after="240"/>
        <w:ind w:left="0" w:right="0" w:firstLine="720"/>
        <w:jc w:val="both"/>
        <w:rPr/>
      </w:pPr>
      <w:r>
        <w:rPr>
          <w:rFonts w:ascii="sans-serif" w:hAnsi="sans-serif"/>
          <w:b w:val="false"/>
          <w:color w:val="000000"/>
          <w:sz w:val="24"/>
        </w:rPr>
        <w:t>This Plan was originally effective as of February 16, 2017, and is amended and restated effective as of November 2, 2025 (the “</w:t>
      </w:r>
      <w:r>
        <w:rPr>
          <w:rFonts w:ascii="sans-serif" w:hAnsi="sans-serif"/>
          <w:b/>
          <w:i/>
          <w:color w:val="000000"/>
          <w:sz w:val="24"/>
        </w:rPr>
        <w:t>Effective Date</w:t>
      </w:r>
      <w:r>
        <w:rPr>
          <w:color w:val="000000"/>
        </w:rPr>
        <w:t>”</w:t>
      </w:r>
      <w:r>
        <w:rPr>
          <w:rFonts w:ascii="sans-serif" w:hAnsi="sans-serif"/>
          <w:b w:val="false"/>
          <w:color w:val="000000"/>
          <w:sz w:val="24"/>
        </w:rPr>
        <w:t xml:space="preserve">), and it will remain in effect unless it is amended or terminated sooner by the Company. If a Change in Control occurs, this Plan shall continue in full force and effect until all obligations under this Plan have been satisfied. </w:t>
      </w:r>
    </w:p>
    <w:p>
      <w:pPr>
        <w:pStyle w:val="TextBody"/>
        <w:bidi w:val="0"/>
        <w:spacing w:lineRule="auto" w:line="240" w:before="0" w:after="240"/>
        <w:ind w:left="0" w:right="0" w:hanging="720"/>
        <w:jc w:val="both"/>
        <w:rPr>
          <w:rFonts w:ascii="sans-serif" w:hAnsi="sans-serif"/>
          <w:b/>
          <w:color w:val="000000"/>
          <w:sz w:val="24"/>
        </w:rPr>
      </w:pPr>
      <w:r>
        <w:rPr>
          <w:rFonts w:ascii="sans-serif" w:hAnsi="sans-serif"/>
          <w:b/>
          <w:color w:val="000000"/>
          <w:sz w:val="24"/>
        </w:rPr>
        <w:t>III.AMENDMENT; TERMINATION</w:t>
      </w:r>
    </w:p>
    <w:p>
      <w:pPr>
        <w:pStyle w:val="TextBody"/>
        <w:bidi w:val="0"/>
        <w:spacing w:lineRule="auto" w:line="288" w:before="0" w:after="240"/>
        <w:ind w:left="0" w:right="0" w:firstLine="720"/>
        <w:jc w:val="both"/>
        <w:rPr/>
      </w:pPr>
      <w:r>
        <w:rPr>
          <w:rFonts w:ascii="Times New Roman;serif" w:hAnsi="Times New Roman;serif"/>
          <w:b/>
          <w:color w:val="000000"/>
          <w:sz w:val="24"/>
        </w:rPr>
        <w:t>IV.</w:t>
      </w:r>
      <w:r>
        <w:rPr>
          <w:rFonts w:ascii="sans-serif" w:hAnsi="sans-serif"/>
          <w:b w:val="false"/>
          <w:color w:val="000000"/>
          <w:sz w:val="24"/>
        </w:rPr>
        <w:t xml:space="preserve">Prior to the occurrence of a Change in Control, this Plan may be amended or terminated by the Committee; </w:t>
      </w:r>
      <w:r>
        <w:rPr>
          <w:rFonts w:ascii="sans-serif" w:hAnsi="sans-serif"/>
          <w:b w:val="false"/>
          <w:color w:val="000000"/>
          <w:sz w:val="24"/>
          <w:u w:val="single"/>
        </w:rPr>
        <w:t>provided</w:t>
      </w:r>
      <w:r>
        <w:rPr>
          <w:rFonts w:ascii="sans-serif" w:hAnsi="sans-serif"/>
          <w:b w:val="false"/>
          <w:color w:val="000000"/>
          <w:sz w:val="24"/>
        </w:rPr>
        <w:t xml:space="preserve">, </w:t>
      </w:r>
      <w:r>
        <w:rPr>
          <w:rFonts w:ascii="sans-serif" w:hAnsi="sans-serif"/>
          <w:b w:val="false"/>
          <w:color w:val="000000"/>
          <w:sz w:val="24"/>
          <w:u w:val="single"/>
        </w:rPr>
        <w:t>however</w:t>
      </w:r>
      <w:r>
        <w:rPr>
          <w:rFonts w:ascii="sans-serif" w:hAnsi="sans-serif"/>
          <w:b w:val="false"/>
          <w:color w:val="000000"/>
          <w:sz w:val="24"/>
        </w:rPr>
        <w:t>, that during the 12 months prior to a Change in Control, the Committee may not amend this Plan in any manner that adversely affects the rights or benefits of any Participant without such Participant’s consent. Following the occurrence of a Change in Control, this Plan may not be amended or terminated in any respect that adversely affects the rights or benefits (or potential rights or potential benefits) of any Participant and may not be terminated until all obligations under this Plan have been satisfied.</w:t>
      </w:r>
    </w:p>
    <w:p>
      <w:pPr>
        <w:pStyle w:val="TextBody"/>
        <w:bidi w:val="0"/>
        <w:spacing w:lineRule="auto" w:line="240" w:before="0" w:after="240"/>
        <w:ind w:left="0" w:right="0" w:hanging="720"/>
        <w:jc w:val="both"/>
        <w:rPr>
          <w:rFonts w:ascii="sans-serif" w:hAnsi="sans-serif"/>
          <w:b/>
          <w:color w:val="000000"/>
          <w:sz w:val="24"/>
        </w:rPr>
      </w:pPr>
      <w:r>
        <w:rPr>
          <w:rFonts w:ascii="sans-serif" w:hAnsi="sans-serif"/>
          <w:b/>
          <w:color w:val="000000"/>
          <w:sz w:val="24"/>
        </w:rPr>
        <w:t>V.ADMINISTRATION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sans-serif" w:hAnsi="sans-serif"/>
          <w:b w:val="false"/>
          <w:color w:val="000000"/>
          <w:sz w:val="24"/>
        </w:rPr>
        <w:t>This Plan shall be administered by the Committee, which shall have full and exclusive power to interpret this Plan and to adopt rules, regulations and guidelines to carry out this Plan as it deems necessary or appropriate. Any Committee decision in interpreting and administering this Plan shall lie within its sole and absolute discretion and shall be final, conclusive and binding on all parties concerned. Notwithstanding anything in this Plan to the contrary, following a Change in Control, a Participant shall have the right to challenge any determination by the Committee regarding such Participant’s rights under this Plan in a court or tribunal of competent jurisdiction and the Committee’s determination shall be subject to de novo review. Such de novo standard shall apply notwithstanding the grant of full discretion hereunder to the Committee or any person or characterization of any decision by the Committee or by such person as final, binding or conclusive on any party.</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sans-serif" w:hAnsi="sans-serif"/>
          <w:b/>
          <w:color w:val="000000"/>
          <w:sz w:val="24"/>
        </w:rPr>
      </w:pPr>
      <w:r>
        <w:rPr>
          <w:rFonts w:ascii="sans-serif" w:hAnsi="sans-serif"/>
          <w:b/>
          <w:color w:val="000000"/>
          <w:sz w:val="24"/>
        </w:rPr>
        <w:t>VI.ELIGIBILITY</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From time to time, the Committee may, in its sole discretion, designate in writing the names of the employees who shall be eligible for benefits under this Plan. Promptly following the date on which the Committee designates the employees who shall be Participants in this Plan, the Committee shall deliver each Participant a written notice of participation which specifies the Participant’s applicable Severance Multiple and COBRA Period. The Committee may designate Participants at any time. The Committee may revoke employees as Participants if, and only if, such Committee action occurs at least 12 months prior to a Change in Control.</w:t>
      </w:r>
    </w:p>
    <w:p>
      <w:pPr>
        <w:pStyle w:val="TextBody"/>
        <w:bidi w:val="0"/>
        <w:spacing w:lineRule="auto" w:line="240" w:before="0" w:after="240"/>
        <w:ind w:left="0" w:right="0" w:hanging="720"/>
        <w:jc w:val="both"/>
        <w:rPr>
          <w:rFonts w:ascii="sans-serif" w:hAnsi="sans-serif"/>
          <w:b/>
          <w:color w:val="000000"/>
          <w:sz w:val="24"/>
        </w:rPr>
      </w:pPr>
      <w:r>
        <w:rPr>
          <w:rFonts w:ascii="sans-serif" w:hAnsi="sans-serif"/>
          <w:b/>
          <w:color w:val="000000"/>
          <w:sz w:val="24"/>
        </w:rPr>
        <w:t>VII.SEVERANCE BENEFITS</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Upon a Qualifying Termination that occurs within 24 months following a Change in Control, each Participant shall be entitled to receive the following benefits:</w:t>
      </w:r>
    </w:p>
    <w:p>
      <w:pPr>
        <w:pStyle w:val="TextBody"/>
        <w:bidi w:val="0"/>
        <w:spacing w:lineRule="auto" w:line="240" w:before="0" w:after="240"/>
        <w:ind w:left="0" w:right="0" w:hanging="720"/>
        <w:jc w:val="both"/>
        <w:rPr/>
      </w:pPr>
      <w:r>
        <w:rPr>
          <w:rFonts w:ascii="sans-serif" w:hAnsi="sans-serif"/>
          <w:b w:val="false"/>
          <w:color w:val="000000"/>
          <w:sz w:val="24"/>
        </w:rPr>
        <w:t>1.A lump sum cash payment in an amount equal to (a) the Severance Multiple multiplied by (b) the sum of (i) the Participant’s annual base salary in effect as of the date of termination and (ii) the Participant’s target annual bonus for the year in which the date of termination occurs (the “</w:t>
      </w:r>
      <w:r>
        <w:rPr>
          <w:rFonts w:ascii="sans-serif" w:hAnsi="sans-serif"/>
          <w:b/>
          <w:i/>
          <w:color w:val="000000"/>
          <w:sz w:val="24"/>
        </w:rPr>
        <w:t>Severance Amount</w:t>
      </w:r>
      <w:r>
        <w:rPr>
          <w:color w:val="000000"/>
        </w:rPr>
        <w:t>”</w:t>
      </w:r>
      <w:r>
        <w:rPr>
          <w:rFonts w:ascii="sans-serif" w:hAnsi="sans-serif"/>
          <w:b w:val="false"/>
          <w:color w:val="000000"/>
          <w:sz w:val="24"/>
        </w:rPr>
        <w:t>), which, subject to Section VII, shall be paid within 60 days following the Participant’s date of termination. For purposes of determining the Severance Amount, the amount of the Participant’s annual base salary and target annual bonus will be determined without regard to any reduction if such reduction is the reason for the Participant’s termination of employment under this Plan under clause (a) or (b) of the definition of Good Reason.</w:t>
      </w:r>
    </w:p>
    <w:p>
      <w:pPr>
        <w:pStyle w:val="TextBody"/>
        <w:bidi w:val="0"/>
        <w:spacing w:lineRule="auto" w:line="240" w:before="0" w:after="240"/>
        <w:ind w:left="0" w:right="0" w:hanging="720"/>
        <w:jc w:val="both"/>
        <w:rPr/>
      </w:pPr>
      <w:r>
        <w:rPr>
          <w:rFonts w:ascii="sans-serif" w:hAnsi="sans-serif"/>
          <w:b w:val="false"/>
          <w:color w:val="000000"/>
          <w:sz w:val="24"/>
        </w:rPr>
        <w:t>2.A lump sum cash payment in an amount equal to the cost of (a) the monthly premiums for medical coverage for the Participant and his or her eligible dependents pursuant to Section 4980B(f) of the Code (or any successor provision thereof) in effect as of the date of termination, less the active employee rate for such coverage, multiplied by (b) the number of months in the COBRA Period, which amount, subject to Section VII, shall be paid within 60 days following the Participant’s date of termination (the “</w:t>
      </w:r>
      <w:r>
        <w:rPr>
          <w:rFonts w:ascii="sans-serif" w:hAnsi="sans-serif"/>
          <w:b/>
          <w:i/>
          <w:color w:val="000000"/>
          <w:sz w:val="24"/>
        </w:rPr>
        <w:t>COBRA Amount</w:t>
      </w:r>
      <w:r>
        <w:rPr>
          <w:color w:val="000000"/>
        </w:rPr>
        <w:t>”</w:t>
      </w:r>
      <w:r>
        <w:rPr>
          <w:rFonts w:ascii="sans-serif" w:hAnsi="sans-serif"/>
          <w:b w:val="false"/>
          <w:color w:val="000000"/>
          <w:sz w:val="24"/>
        </w:rPr>
        <w:t>). For the avoidance of doubt, the COBRA Period will be set to align with the Severance Multiple, but stated on a monthly basis (e.g., a 2.0 multiple would be 24 months, while a 1.5 multiple would be 18 months).</w:t>
      </w:r>
    </w:p>
    <w:p>
      <w:pPr>
        <w:pStyle w:val="TextBody"/>
        <w:bidi w:val="0"/>
        <w:spacing w:lineRule="auto" w:line="240" w:before="0" w:after="240"/>
        <w:ind w:left="0" w:right="0" w:hanging="720"/>
        <w:jc w:val="both"/>
        <w:rPr/>
      </w:pPr>
      <w:r>
        <w:rPr>
          <w:rFonts w:ascii="sans-serif" w:hAnsi="sans-serif"/>
          <w:b w:val="false"/>
          <w:color w:val="000000"/>
          <w:sz w:val="24"/>
        </w:rPr>
        <w:t>3.A lump sum cash payment in an amount equal to (a) the greater of (x) Participant’s target annual bonus for the year in which the date of termination occurs or (y) the amount being accrued on the books and records of the Company in respect of the Participant’s annual bonus for the year in which the date of termination occurs (annualized for the full year), multiplied by (b) a fraction, the numerator of which is the number of days that have elapsed through and including the date of termination during the fiscal year of the Company in which the date of termination occurs, and the denominator of which is the total number of days in such fiscal year, which amount, subject to Section VII, shall be paid within 60 days following the Participant’s date of termination. The amount of the Participant’s target annual bonus will be determined without regard to any reduction if such reduction is the reason for the Participant’s termination of employment under this Plan under clause (b) of the definition of Good Reason (the “</w:t>
      </w:r>
      <w:r>
        <w:rPr>
          <w:rFonts w:ascii="sans-serif" w:hAnsi="sans-serif"/>
          <w:b/>
          <w:i/>
          <w:color w:val="000000"/>
          <w:sz w:val="24"/>
        </w:rPr>
        <w:t>Prorated Bonus</w:t>
      </w:r>
      <w:r>
        <w:rPr>
          <w:color w:val="000000"/>
        </w:rPr>
        <w:t>”</w:t>
      </w:r>
      <w:r>
        <w:rPr>
          <w:rFonts w:ascii="sans-serif" w:hAnsi="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hanging="720"/>
        <w:jc w:val="both"/>
        <w:rPr>
          <w:rFonts w:ascii="sans-serif" w:hAnsi="sans-serif"/>
          <w:b w:val="false"/>
          <w:color w:val="000000"/>
          <w:sz w:val="24"/>
        </w:rPr>
      </w:pPr>
      <w:r>
        <w:rPr>
          <w:rFonts w:ascii="sans-serif" w:hAnsi="sans-serif"/>
          <w:b w:val="false"/>
          <w:color w:val="000000"/>
          <w:sz w:val="24"/>
        </w:rPr>
        <w:t xml:space="preserve">4.A lump sum cash payment consisting of the Participant’s earned but unpaid annual base salary through the date of his or her termination of employment and any accrued vacation pay or other paid time off to the extent required by any policy in effect prior to the Change in Control, or otherwise payable under applicable law, which shall be paid within 30 days following the date of the Participant’s termination of employment. </w:t>
      </w:r>
    </w:p>
    <w:p>
      <w:pPr>
        <w:pStyle w:val="TextBody"/>
        <w:bidi w:val="0"/>
        <w:spacing w:lineRule="auto" w:line="240" w:before="0" w:after="240"/>
        <w:ind w:left="0" w:right="0" w:hanging="720"/>
        <w:jc w:val="both"/>
        <w:rPr/>
      </w:pPr>
      <w:r>
        <w:rPr>
          <w:rFonts w:ascii="sans-serif" w:hAnsi="sans-serif"/>
          <w:b w:val="false"/>
          <w:color w:val="000000"/>
          <w:sz w:val="24"/>
        </w:rPr>
        <w:t>5.Any annual incentive payment for any prior award period that has ended but has not yet been paid to the Participant as of his or her date of termination, which shall be paid no later than the 15</w:t>
      </w:r>
      <w:r>
        <w:rPr>
          <w:rFonts w:ascii="sans-serif" w:hAnsi="sans-serif"/>
          <w:b w:val="false"/>
          <w:color w:val="000000"/>
          <w:sz w:val="16"/>
        </w:rPr>
        <w:t>th</w:t>
      </w:r>
      <w:r>
        <w:rPr>
          <w:color w:val="000000"/>
        </w:rPr>
        <w:t xml:space="preserve"> </w:t>
      </w:r>
      <w:r>
        <w:rPr>
          <w:rFonts w:ascii="sans-serif" w:hAnsi="sans-serif"/>
          <w:b w:val="false"/>
          <w:color w:val="000000"/>
          <w:sz w:val="24"/>
        </w:rPr>
        <w:t>day of the third month following the last day of the fiscal year with respect to which such incentive payment is attributed (other than any portion of such annual incentive payment that was previously deferred, which shall be paid in accordance with the applicable deferral arrangement and any election thereunder).</w:t>
      </w:r>
    </w:p>
    <w:p>
      <w:pPr>
        <w:pStyle w:val="TextBody"/>
        <w:bidi w:val="0"/>
        <w:spacing w:lineRule="auto" w:line="240" w:before="0" w:after="240"/>
        <w:ind w:left="0" w:right="0" w:hanging="720"/>
        <w:jc w:val="both"/>
        <w:rPr>
          <w:rFonts w:ascii="sans-serif" w:hAnsi="sans-serif"/>
          <w:b w:val="false"/>
          <w:color w:val="000000"/>
          <w:sz w:val="24"/>
        </w:rPr>
      </w:pPr>
      <w:r>
        <w:rPr>
          <w:rFonts w:ascii="sans-serif" w:hAnsi="sans-serif"/>
          <w:b w:val="false"/>
          <w:color w:val="000000"/>
          <w:sz w:val="24"/>
        </w:rPr>
        <w:t>6.To the extent not paid or provided prior to the Participant’s date of termination, any other amounts or benefits required to be paid or provided, or which the Participant is eligible to receive under any plan, program, policy, practice, contract or agreement of the Company or its affiliates through the date of termination, including unreimbursed expenses due and owing to the Participant under the Company’s expense reimbursement policy as of the date of termination.</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Upon a Qualifying Termination that occurs during the six-month period immediately preceding the date on which a Change in Control occurs but after the date a definitive transaction agreement is executed that contemplates such a Change in Control, and if it is reasonably demonstrated by the Participant that such termination of employment was initiated by the acquiror or merger partner in connection with the Change in Control, then, for purposes of this Plan, the Participant’s employment shall be deemed to have terminated immediately following the closing of the Change in Control, and the amount paid to the Participant under this Plan shall be reduced by the amount of any severance benefits paid to the Participant in connection with such termination of employment or that the Participant is entitled to receive in connection with such termination of employment pursuant to any other severance plan, policy or Individual Agreement.</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Participants who voluntarily terminate employment without Good Reason or terminate employment due to death or Disability or are terminated by the Company for Cause will not be eligible for benefits under this Plan.</w:t>
      </w:r>
    </w:p>
    <w:p>
      <w:pPr>
        <w:pStyle w:val="TextBody"/>
        <w:bidi w:val="0"/>
        <w:spacing w:lineRule="auto" w:line="288" w:before="0" w:after="240"/>
        <w:ind w:left="0" w:right="0" w:firstLine="720"/>
        <w:jc w:val="both"/>
        <w:rPr/>
      </w:pPr>
      <w:r>
        <w:rPr>
          <w:rFonts w:ascii="sans-serif" w:hAnsi="sans-serif"/>
          <w:b w:val="false"/>
          <w:color w:val="000000"/>
          <w:sz w:val="24"/>
        </w:rPr>
        <w:t>Participants shall have no obligation to mitigate the severance obligations under this Plan and compensation from a subsequent employer will not reduce benefits under this Plan. The Company’s obligation to make the payments provided under Section VI and otherwise to perform its obligations under this Plan shall not be affected by any set off, counterclaim, recoupment, defense or other claim, right or action that the Company may have against the Participant or others. If a Participant’s employment is terminated because of a mass layoff or other event to which the Worker Adjustment and Retraining Notification Act of 1988 or similar state law (collectively, “</w:t>
      </w:r>
      <w:r>
        <w:rPr>
          <w:rFonts w:ascii="sans-serif" w:hAnsi="sans-serif"/>
          <w:b/>
          <w:i/>
          <w:color w:val="000000"/>
          <w:sz w:val="24"/>
        </w:rPr>
        <w:t>WARN</w:t>
      </w:r>
      <w:r>
        <w:rPr>
          <w:color w:val="000000"/>
        </w:rPr>
        <w:t>”</w:t>
      </w:r>
      <w:r>
        <w:rPr>
          <w:rFonts w:ascii="sans-serif" w:hAnsi="sans-serif"/>
          <w:b w:val="false"/>
          <w:color w:val="000000"/>
          <w:sz w:val="24"/>
        </w:rPr>
        <w:t>) applies, then the amount of the payments and benefits under Section VI to which the Participant is entitled shall not be reduced by the amount of any pay provided to the Participant in lieu of the notice required by WARN.</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All payments and benefits under this Plan shall be less any required tax withholdings.</w:t>
      </w:r>
    </w:p>
    <w:p>
      <w:pPr>
        <w:pStyle w:val="TextBody"/>
        <w:bidi w:val="0"/>
        <w:spacing w:lineRule="auto" w:line="240" w:before="0" w:after="240"/>
        <w:ind w:left="0" w:right="0" w:hanging="720"/>
        <w:jc w:val="both"/>
        <w:rPr>
          <w:rFonts w:ascii="sans-serif" w:hAnsi="sans-serif"/>
          <w:b/>
          <w:color w:val="000000"/>
          <w:sz w:val="24"/>
        </w:rPr>
      </w:pPr>
      <w:r>
        <w:rPr>
          <w:rFonts w:ascii="sans-serif" w:hAnsi="sans-serif"/>
          <w:b/>
          <w:color w:val="000000"/>
          <w:sz w:val="24"/>
        </w:rPr>
        <w:t>VIII.RELEASE REQUIREMENT</w:t>
      </w:r>
    </w:p>
    <w:p>
      <w:pPr>
        <w:pStyle w:val="TextBody"/>
        <w:bidi w:val="0"/>
        <w:spacing w:lineRule="auto" w:line="288" w:before="0" w:after="240"/>
        <w:ind w:left="0" w:right="0" w:firstLine="720"/>
        <w:jc w:val="both"/>
        <w:rPr/>
      </w:pPr>
      <w:r>
        <w:rPr>
          <w:rFonts w:ascii="Times New Roman;serif" w:hAnsi="Times New Roman;serif"/>
          <w:b/>
          <w:color w:val="000000"/>
          <w:sz w:val="24"/>
        </w:rPr>
        <w:t>IX.</w:t>
      </w:r>
      <w:r>
        <w:rPr>
          <w:rFonts w:ascii="sans-serif" w:hAnsi="sans-serif"/>
          <w:b w:val="false"/>
          <w:color w:val="000000"/>
          <w:sz w:val="24"/>
        </w:rPr>
        <w:t xml:space="preserve">A Participant shall not be entitled to the Severance Amount, the COBRA Amount or the Prorated Bonus unless the Participant executes a Separation Agreement and Release of All Claims substantially in the form attached hereto as </w:t>
      </w:r>
      <w:r>
        <w:rPr>
          <w:rFonts w:ascii="sans-serif" w:hAnsi="sans-serif"/>
          <w:b w:val="false"/>
          <w:color w:val="000000"/>
          <w:sz w:val="24"/>
          <w:u w:val="single"/>
        </w:rPr>
        <w:t>Annex A</w:t>
      </w:r>
      <w:r>
        <w:rPr>
          <w:color w:val="000000"/>
        </w:rPr>
        <w:t xml:space="preserve"> </w:t>
      </w:r>
      <w:r>
        <w:rPr>
          <w:rFonts w:ascii="sans-serif" w:hAnsi="sans-serif"/>
          <w:b w:val="false"/>
          <w:color w:val="000000"/>
          <w:sz w:val="24"/>
        </w:rPr>
        <w:t>(the “</w:t>
      </w:r>
      <w:r>
        <w:rPr>
          <w:rFonts w:ascii="sans-serif" w:hAnsi="sans-serif"/>
          <w:b/>
          <w:i/>
          <w:color w:val="000000"/>
          <w:sz w:val="24"/>
        </w:rPr>
        <w:t>Separation Agreement</w:t>
      </w:r>
      <w:r>
        <w:rPr>
          <w:color w:val="000000"/>
        </w:rPr>
        <w:t>”</w:t>
      </w:r>
      <w:r>
        <w:rPr>
          <w:rFonts w:ascii="sans-serif" w:hAnsi="sans-serif"/>
          <w:b w:val="false"/>
          <w:color w:val="000000"/>
          <w:sz w:val="24"/>
        </w:rPr>
        <w:t>) within 30 days (or 45 days, if applicable law requires the Participant be entitled to consider the Separation Agreement for a longer period), and the Separation Agreement becomes effective in accordance with its terms prior to the 60</w:t>
      </w:r>
      <w:r>
        <w:rPr>
          <w:rFonts w:ascii="sans-serif" w:hAnsi="sans-serif"/>
          <w:b w:val="false"/>
          <w:color w:val="000000"/>
          <w:sz w:val="16"/>
        </w:rPr>
        <w:t>th</w:t>
      </w:r>
      <w:r>
        <w:rPr>
          <w:color w:val="000000"/>
        </w:rPr>
        <w:t xml:space="preserve"> </w:t>
      </w:r>
      <w:r>
        <w:rPr>
          <w:rFonts w:ascii="sans-serif" w:hAnsi="sans-serif"/>
          <w:b w:val="false"/>
          <w:color w:val="000000"/>
          <w:sz w:val="24"/>
        </w:rPr>
        <w:t xml:space="preserve">day following the Participant’s date of termination. </w:t>
      </w:r>
    </w:p>
    <w:p>
      <w:pPr>
        <w:pStyle w:val="TextBody"/>
        <w:bidi w:val="0"/>
        <w:spacing w:lineRule="auto" w:line="240" w:before="0" w:after="240"/>
        <w:ind w:left="0" w:right="0" w:hanging="720"/>
        <w:jc w:val="both"/>
        <w:rPr>
          <w:rFonts w:ascii="sans-serif" w:hAnsi="sans-serif"/>
          <w:b/>
          <w:color w:val="000000"/>
          <w:sz w:val="24"/>
        </w:rPr>
      </w:pPr>
      <w:r>
        <w:rPr>
          <w:rFonts w:ascii="sans-serif" w:hAnsi="sans-serif"/>
          <w:b/>
          <w:color w:val="000000"/>
          <w:sz w:val="24"/>
        </w:rPr>
        <w:t>X.SEVERANCE BENEFITS REQUIRED BY OTHER AGREEMENT</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 xml:space="preserve">If a Participant is entitled to severance benefits under this Plan and one or more other severance plans or agreements or an Individual Agreement, such Participant shall only receive the severance benefits under this Plan (subject to receipt of a signed (and unrevoked) Separation Agreement). For clarity, this Section VIII shall not limit a Participant’s entitlement to equity award vesting or other compensation or benefits of a type not addressed in this Plan in connection with a termination of employment. Further, a Participant’s resignation under this Plan with or without Good Reason shall in no way affect the Participant’s ability to terminate employment by reason of “retirement” under any compensation and benefits plans, programs or arrangements of the Company or any of its affiliates or to be eligible to receive benefits under any compensation or benefit plans, programs or arrangements of the Company or any of its affiliates, and any termination that otherwise qualifies as Good Reason shall be treated as such even if it is also a “retirement” for purposes of any such plan. </w:t>
      </w:r>
    </w:p>
    <w:p>
      <w:pPr>
        <w:pStyle w:val="TextBody"/>
        <w:bidi w:val="0"/>
        <w:spacing w:lineRule="auto" w:line="240" w:before="0" w:after="240"/>
        <w:ind w:left="0" w:right="0" w:hanging="720"/>
        <w:jc w:val="both"/>
        <w:rPr>
          <w:rFonts w:ascii="sans-serif" w:hAnsi="sans-serif"/>
          <w:b/>
          <w:color w:val="000000"/>
          <w:sz w:val="24"/>
        </w:rPr>
      </w:pPr>
      <w:r>
        <w:rPr>
          <w:rFonts w:ascii="sans-serif" w:hAnsi="sans-serif"/>
          <w:b/>
          <w:color w:val="000000"/>
          <w:sz w:val="24"/>
        </w:rPr>
        <w:t>XI.LIMITATION ON CERTAIN PAYMENTS</w:t>
      </w:r>
    </w:p>
    <w:p>
      <w:pPr>
        <w:pStyle w:val="TextBody"/>
        <w:bidi w:val="0"/>
        <w:spacing w:lineRule="auto" w:line="288" w:before="0" w:after="240"/>
        <w:ind w:left="0" w:right="0" w:firstLine="720"/>
        <w:jc w:val="both"/>
        <w:rPr/>
      </w:pPr>
      <w:r>
        <w:rPr>
          <w:rFonts w:ascii="sans-serif" w:hAnsi="sans-serif"/>
          <w:b w:val="false"/>
          <w:color w:val="000000"/>
          <w:sz w:val="24"/>
        </w:rPr>
        <w:t>Anything in this Plan to the contrary notwithstanding, if the Accounting Firm (as defined below) shall determine that receipt of all Payments (as defined below) would subject the Participant to the excise tax under Section 4999 of the Code, the Accounting Firm shall determine whether to reduce any of the Payments paid or payable pursuant to this Plan (the “</w:t>
      </w:r>
      <w:r>
        <w:rPr>
          <w:rFonts w:ascii="sans-serif" w:hAnsi="sans-serif"/>
          <w:b/>
          <w:i/>
          <w:color w:val="000000"/>
          <w:sz w:val="24"/>
        </w:rPr>
        <w:t>Agreement Payments</w:t>
      </w:r>
      <w:r>
        <w:rPr>
          <w:color w:val="000000"/>
        </w:rPr>
        <w:t>”</w:t>
      </w:r>
      <w:r>
        <w:rPr>
          <w:rFonts w:ascii="sans-serif" w:hAnsi="sans-serif"/>
          <w:b w:val="false"/>
          <w:color w:val="000000"/>
          <w:sz w:val="24"/>
        </w:rPr>
        <w:t>) so that the Parachute Value (as defined below) of all Payments, in the aggregate, equals the Safe Harbor Amount (as defined below). The Agreement Payments shall be so reduced only if the Accounting Firm determines that the Participant would have a greater Net After-Tax Receipt (as defined below) of aggregate Payments if the Agreement Payments were so reduced. If the Accounting Firm determines that the Participant would not have a greater Net After-Tax Receipt of aggregate Payments if the Agreement Payments were so reduced, the Participant shall receive all Agreement Payments to which the Participant is entitled hereunder.</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If the Accounting Firm determines that aggregate Agreement Payments should be reduced so that the Parachute Value of all Payments, in the aggregate, equals the Safe Harbor Amount, the Company shall promptly give the Participant notice to that effect and a copy of the detailed calculation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sans-serif" w:hAnsi="sans-serif"/>
          <w:b w:val="false"/>
          <w:color w:val="000000"/>
          <w:sz w:val="24"/>
        </w:rPr>
        <w:t>As a result of the uncertainty in the application of Section 4999 of the Code at the time of the initial determination by the Accounting Firm hereunder, it is possible that amounts will have been paid or distributed by the Company to or for the benefit of the Participant pursuant to this Plan which should not have been so paid or distributed (“</w:t>
      </w:r>
      <w:r>
        <w:rPr>
          <w:rFonts w:ascii="sans-serif" w:hAnsi="sans-serif"/>
          <w:b/>
          <w:i/>
          <w:color w:val="000000"/>
          <w:sz w:val="24"/>
        </w:rPr>
        <w:t>Overpayment</w:t>
      </w:r>
      <w:r>
        <w:rPr>
          <w:color w:val="000000"/>
        </w:rPr>
        <w:t>”</w:t>
      </w:r>
      <w:r>
        <w:rPr>
          <w:rFonts w:ascii="sans-serif" w:hAnsi="sans-serif"/>
          <w:b w:val="false"/>
          <w:color w:val="000000"/>
          <w:sz w:val="24"/>
        </w:rPr>
        <w:t>) or that additional amounts which will have not been paid or distributed by the Company to or for the benefit of the Participant pursuant to this Plan could have been so paid or distributed (“</w:t>
      </w:r>
      <w:r>
        <w:rPr>
          <w:rFonts w:ascii="sans-serif" w:hAnsi="sans-serif"/>
          <w:b/>
          <w:i/>
          <w:color w:val="000000"/>
          <w:sz w:val="24"/>
        </w:rPr>
        <w:t>Underpayment</w:t>
      </w:r>
      <w:r>
        <w:rPr>
          <w:color w:val="000000"/>
        </w:rPr>
        <w:t>”</w:t>
      </w:r>
      <w:r>
        <w:rPr>
          <w:rFonts w:ascii="sans-serif" w:hAnsi="sans-serif"/>
          <w:b w:val="false"/>
          <w:color w:val="000000"/>
          <w:sz w:val="24"/>
        </w:rPr>
        <w:t xml:space="preserve">), in each case, consistent with the calculation of the Safe Harbor Amount hereunder. If the Accounting Firm, based upon the assertion of a deficiency by the Internal Revenue Service against either the Company or the Participant which the Accounting Firm believes has a high probability of success, determines that an Overpayment has been made, the Participant shall pay promptly (and in no event later than 60 days following the date on which the Overpayment is determined) pay promptly any such Overpayment to the Company together with interest at the applicable federal rate provided for in Section 7872(f)(2)(A) of the Code; </w:t>
      </w:r>
      <w:r>
        <w:rPr>
          <w:rFonts w:ascii="sans-serif" w:hAnsi="sans-serif"/>
          <w:b w:val="false"/>
          <w:color w:val="000000"/>
          <w:sz w:val="24"/>
          <w:u w:val="single"/>
        </w:rPr>
        <w:t>provided</w:t>
      </w:r>
      <w:r>
        <w:rPr>
          <w:rFonts w:ascii="sans-serif" w:hAnsi="sans-serif"/>
          <w:b w:val="false"/>
          <w:color w:val="000000"/>
          <w:sz w:val="24"/>
        </w:rPr>
        <w:t xml:space="preserve">, </w:t>
      </w:r>
      <w:r>
        <w:rPr>
          <w:rFonts w:ascii="sans-serif" w:hAnsi="sans-serif"/>
          <w:b w:val="false"/>
          <w:color w:val="000000"/>
          <w:sz w:val="24"/>
          <w:u w:val="single"/>
        </w:rPr>
        <w:t>however</w:t>
      </w:r>
      <w:r>
        <w:rPr>
          <w:rFonts w:ascii="sans-serif" w:hAnsi="sans-serif"/>
          <w:b w:val="false"/>
          <w:color w:val="000000"/>
          <w:sz w:val="24"/>
        </w:rPr>
        <w:t>, that no amount shall be payable by the Participant to the Company if and to the extent such payment would not either reduce the amount on which the Participant is subject to tax under Sections 1 and 4999 of the Code or generate a refund of such taxes. If the Accounting Firm, based upon controlling precedent or substantial authority, determines that an Underpayment has occurred, any such Underpayment shall be paid promptly (and in no event later than 60 days following the date on which the Underpayment is determined) by the Company to or for the benefit of the Participant together with interest at the applicable Federal rate provided for in Section 7872(f)(2)(A) of the Code.</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To the extent requested by the Participant, the Company shall cooperate with the Participant in good faith in valuing, and the Accounting Firm shall take into account the value of, services provided or to be provided by the Participant (including, without limitation, the Participant’s agreeing to refrain from performing services pursuant to a covenant not to compete or similar covenant) before, on or after the date of a change in ownership or control of the Company (within the meaning of Q&amp;A-2(b) of Treasury Regulation Section 1.280G-1 under Section 280G of the Code), such that payments in respect of such services may be considered reasonable compensation within the meaning of Q&amp;A-9 and Q&amp;A-40 to Q&amp;A-44 of Treasury Regulation Section 1.280G-1 under Section 280G of the Code and/or exempt from the definition of the term “parachute payment” within the meaning of Q&amp;A-2(a) of Treasury Regulation Section 1.280G-1 under Section 280G of the Code in accordance with Q&amp;A-5(a) of Treasury Regulation Section 1.280G-1 under Section 280G of the Code.</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All determinations made by the Accounting Firm under this Section shall be binding upon the Company and the Participant and shall be made as soon as reasonably practicable and in no event later than 15 days following the date of the Participant’s termination. All fees and expenses of the Accounting Firm shall be borne solely by the Company.</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The following terms shall have the following meanings for purposes of this Section.</w:t>
      </w:r>
    </w:p>
    <w:p>
      <w:pPr>
        <w:pStyle w:val="TextBody"/>
        <w:bidi w:val="0"/>
        <w:spacing w:lineRule="auto" w:line="288" w:before="0" w:after="240"/>
        <w:ind w:left="0" w:right="0" w:hanging="360"/>
        <w:jc w:val="both"/>
        <w:rPr/>
      </w:pPr>
      <w:r>
        <w:rPr>
          <w:rFonts w:ascii="sans-serif" w:hAnsi="sans-serif"/>
          <w:b w:val="false"/>
          <w:color w:val="000000"/>
          <w:sz w:val="24"/>
        </w:rPr>
        <w:t>1.</w:t>
      </w:r>
      <w:r>
        <w:rPr>
          <w:color w:val="000000"/>
        </w:rPr>
        <w:t>“</w:t>
      </w:r>
      <w:r>
        <w:rPr>
          <w:rFonts w:ascii="sans-serif" w:hAnsi="sans-serif"/>
          <w:b/>
          <w:i/>
          <w:color w:val="000000"/>
          <w:sz w:val="24"/>
        </w:rPr>
        <w:t>Accounting Firm</w:t>
      </w:r>
      <w:r>
        <w:rPr>
          <w:color w:val="000000"/>
        </w:rPr>
        <w:t xml:space="preserve">” </w:t>
      </w:r>
      <w:r>
        <w:rPr>
          <w:rFonts w:ascii="sans-serif" w:hAnsi="sans-serif"/>
          <w:b w:val="false"/>
          <w:color w:val="000000"/>
          <w:sz w:val="24"/>
        </w:rPr>
        <w:t xml:space="preserve">means a nationally recognized certified public accounting firm that is selected by the Company prior to a Change in Control for purposes of making the applicable determinations hereunder, which firm shall not, without the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Participant’s consent, be a firm serving as accountant or auditor for the individual, entity or group effecting the Change in Control.</w:t>
      </w:r>
    </w:p>
    <w:p>
      <w:pPr>
        <w:pStyle w:val="TextBody"/>
        <w:bidi w:val="0"/>
        <w:spacing w:lineRule="auto" w:line="288" w:before="0" w:after="240"/>
        <w:ind w:left="0" w:right="0" w:hanging="360"/>
        <w:jc w:val="both"/>
        <w:rPr/>
      </w:pPr>
      <w:r>
        <w:rPr>
          <w:rFonts w:ascii="sans-serif" w:hAnsi="sans-serif"/>
          <w:b w:val="false"/>
          <w:color w:val="000000"/>
          <w:sz w:val="24"/>
        </w:rPr>
        <w:t>2.</w:t>
      </w:r>
      <w:r>
        <w:rPr>
          <w:color w:val="000000"/>
        </w:rPr>
        <w:t>“</w:t>
      </w:r>
      <w:r>
        <w:rPr>
          <w:rFonts w:ascii="sans-serif" w:hAnsi="sans-serif"/>
          <w:b/>
          <w:i/>
          <w:color w:val="000000"/>
          <w:sz w:val="24"/>
        </w:rPr>
        <w:t>Net After-Tax Receipt</w:t>
      </w:r>
      <w:r>
        <w:rPr>
          <w:color w:val="000000"/>
        </w:rPr>
        <w:t xml:space="preserve">” </w:t>
      </w:r>
      <w:r>
        <w:rPr>
          <w:rFonts w:ascii="sans-serif" w:hAnsi="sans-serif"/>
          <w:b w:val="false"/>
          <w:color w:val="000000"/>
          <w:sz w:val="24"/>
        </w:rPr>
        <w:t>means the present value (as determined in accordance with Sections 280G(b)(2)(A)(ii) and 280G(d)(4) of the Code) of a Payment net of all taxes imposed on the Participant with respect thereto under Sections 1 and 4999 of the Code and under applicable state and local laws, determined by applying the highest marginal rate under Section 1 of the Code and under state and local laws which applied to the Participant’s taxable income for the immediately preceding taxable year, or such other rate(s) as the Accounting Firm determined to be likely to apply to the Participant in the relevant tax year(s).</w:t>
      </w:r>
    </w:p>
    <w:p>
      <w:pPr>
        <w:pStyle w:val="TextBody"/>
        <w:bidi w:val="0"/>
        <w:spacing w:lineRule="auto" w:line="288" w:before="0" w:after="240"/>
        <w:ind w:left="0" w:right="0" w:hanging="360"/>
        <w:jc w:val="both"/>
        <w:rPr/>
      </w:pPr>
      <w:r>
        <w:rPr>
          <w:rFonts w:ascii="sans-serif" w:hAnsi="sans-serif"/>
          <w:b w:val="false"/>
          <w:color w:val="000000"/>
          <w:sz w:val="24"/>
        </w:rPr>
        <w:t>3.</w:t>
      </w:r>
      <w:r>
        <w:rPr>
          <w:color w:val="000000"/>
        </w:rPr>
        <w:t>“</w:t>
      </w:r>
      <w:r>
        <w:rPr>
          <w:rFonts w:ascii="sans-serif" w:hAnsi="sans-serif"/>
          <w:b/>
          <w:i/>
          <w:color w:val="000000"/>
          <w:sz w:val="24"/>
        </w:rPr>
        <w:t>Parachute Value</w:t>
      </w:r>
      <w:r>
        <w:rPr>
          <w:color w:val="000000"/>
        </w:rPr>
        <w:t xml:space="preserve">” </w:t>
      </w:r>
      <w:r>
        <w:rPr>
          <w:rFonts w:ascii="sans-serif" w:hAnsi="sans-serif"/>
          <w:b w:val="false"/>
          <w:color w:val="000000"/>
          <w:sz w:val="24"/>
        </w:rPr>
        <w:t>of a Payment means the present value as of the date of the Change in Control for purposes of Section 280G of the Code of the portion of such Payment that constitutes a “parachute payment” under Section 280G(b)(2) of the Code, as determined by the Accounting Firm for purposes of determining whether and to what extent the excise tax under Section 4999 of the Code will apply to such Payment.</w:t>
      </w:r>
    </w:p>
    <w:p>
      <w:pPr>
        <w:pStyle w:val="TextBody"/>
        <w:bidi w:val="0"/>
        <w:spacing w:lineRule="auto" w:line="288" w:before="0" w:after="240"/>
        <w:ind w:left="0" w:right="0" w:hanging="360"/>
        <w:jc w:val="both"/>
        <w:rPr/>
      </w:pPr>
      <w:r>
        <w:rPr>
          <w:rFonts w:ascii="sans-serif" w:hAnsi="sans-serif"/>
          <w:b w:val="false"/>
          <w:color w:val="000000"/>
          <w:sz w:val="24"/>
        </w:rPr>
        <w:t>4.</w:t>
      </w:r>
      <w:r>
        <w:rPr>
          <w:color w:val="000000"/>
        </w:rPr>
        <w:t>“</w:t>
      </w:r>
      <w:r>
        <w:rPr>
          <w:rFonts w:ascii="sans-serif" w:hAnsi="sans-serif"/>
          <w:b/>
          <w:i/>
          <w:color w:val="000000"/>
          <w:sz w:val="24"/>
        </w:rPr>
        <w:t>Payment</w:t>
      </w:r>
      <w:r>
        <w:rPr>
          <w:color w:val="000000"/>
        </w:rPr>
        <w:t xml:space="preserve">” </w:t>
      </w:r>
      <w:r>
        <w:rPr>
          <w:rFonts w:ascii="sans-serif" w:hAnsi="sans-serif"/>
          <w:b w:val="false"/>
          <w:color w:val="000000"/>
          <w:sz w:val="24"/>
        </w:rPr>
        <w:t>means any payment or distribution in the nature of compensation (within the meaning of Section 280G(b)(2) of the Code) to or for the benefit of the Participant, whether paid or payable pursuant to this Plan or otherwise.</w:t>
      </w:r>
    </w:p>
    <w:p>
      <w:pPr>
        <w:pStyle w:val="TextBody"/>
        <w:bidi w:val="0"/>
        <w:spacing w:lineRule="auto" w:line="288" w:before="0" w:after="240"/>
        <w:ind w:left="0" w:right="0" w:hanging="360"/>
        <w:jc w:val="both"/>
        <w:rPr/>
      </w:pPr>
      <w:r>
        <w:rPr>
          <w:rFonts w:ascii="sans-serif" w:hAnsi="sans-serif"/>
          <w:b w:val="false"/>
          <w:color w:val="000000"/>
          <w:sz w:val="24"/>
        </w:rPr>
        <w:t>5.</w:t>
      </w:r>
      <w:r>
        <w:rPr>
          <w:color w:val="000000"/>
        </w:rPr>
        <w:t>“</w:t>
      </w:r>
      <w:r>
        <w:rPr>
          <w:rFonts w:ascii="sans-serif" w:hAnsi="sans-serif"/>
          <w:b/>
          <w:i/>
          <w:color w:val="000000"/>
          <w:sz w:val="24"/>
        </w:rPr>
        <w:t>Safe Harbor Amount</w:t>
      </w:r>
      <w:r>
        <w:rPr>
          <w:color w:val="000000"/>
        </w:rPr>
        <w:t xml:space="preserve">” </w:t>
      </w:r>
      <w:r>
        <w:rPr>
          <w:rFonts w:ascii="sans-serif" w:hAnsi="sans-serif"/>
          <w:b w:val="false"/>
          <w:color w:val="000000"/>
          <w:sz w:val="24"/>
        </w:rPr>
        <w:t>means (x) 3.0 times the Participant’s “base amount,” within the meaning of Section 280G(b)(3) of the Code, minus (y) $1.00.</w:t>
      </w:r>
    </w:p>
    <w:p>
      <w:pPr>
        <w:pStyle w:val="TextBody"/>
        <w:bidi w:val="0"/>
        <w:spacing w:lineRule="auto" w:line="240" w:before="0" w:after="240"/>
        <w:ind w:left="0" w:right="0" w:hanging="720"/>
        <w:jc w:val="both"/>
        <w:rPr>
          <w:rFonts w:ascii="sans-serif" w:hAnsi="sans-serif"/>
          <w:b/>
          <w:color w:val="000000"/>
          <w:sz w:val="24"/>
        </w:rPr>
      </w:pPr>
      <w:r>
        <w:rPr>
          <w:rFonts w:ascii="sans-serif" w:hAnsi="sans-serif"/>
          <w:b/>
          <w:color w:val="000000"/>
          <w:sz w:val="24"/>
        </w:rPr>
        <w:t>XII.SECTION 409A</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sans-serif" w:hAnsi="sans-serif"/>
          <w:b w:val="false"/>
          <w:color w:val="000000"/>
          <w:sz w:val="24"/>
        </w:rPr>
        <w:t xml:space="preserve">It is intended that payments and benefits made or provided under this Plan shall not result in penalty taxes or accelerated taxation pursuant to Section 409A of the Code. Any payments that qualify for the “short-term deferral” exception, the separation pay exception or another exception under Section 409A of the Code shall be paid under the applicable exception. For purposes of the limitations on nonqualified deferred compensation under Section 409A of the Code, each payment of compensation under this Plan shall be treated as a separate payment of compensation for purposes of applying the exclusion under Section 409A of the Code for short-term deferral amounts, the separation pay exception or any other exception or exclusion under Section 409A of the Code. All payments to be made upon a termination of employment under this Plan may only be made upon a “separation from service” under Section 409A of the Code to the extent necessary in order to avoid the imposition of penalty taxes on a Participant pursuant to Section 409A of the Code. In no event may a Participant, directly or indirectly, designate the calendar year of any payment under this Plan, including, without limitation, through the timing of the delivery of the Separation Agreement, such that, for the avoidance of doubt, any payment that may be paid in more than one taxable year, depending on the date of delivery of the Release by a Participant, shall be paid in the later taxable year.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sans-serif" w:hAnsi="sans-serif"/>
          <w:b w:val="false"/>
          <w:color w:val="000000"/>
          <w:sz w:val="24"/>
        </w:rPr>
        <w:t xml:space="preserve">Notwithstanding anything to the contrary in this Plan, all reimbursements and in-kind benefits provided under this Plan that are subject to Section 409A of the Code shall be made in accordance with the requirements of Section 409A of the Code, including, where applicable, the requirement that (i) any reimbursement is for expenses incurred during a Participant’s lifetime (or during a shorter period of time specified in this Plan); (ii) the amount of expenses eligible for reimbursement, or in-kind benefits provided, during a calendar year may not affect the expenses eligible for reimbursement, or in-kind benefits to be provided, in any other calendar year; (iii) the reimbursement of an eligible expense shall be made no later than the last day of the calendar year following the year in which the expense is incurred; and (iv) the right to reimbursement or in-kind benefits is not subject to liquidation or exchange for another benefit. </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sans-serif" w:hAnsi="sans-serif"/>
          <w:b w:val="false"/>
          <w:color w:val="000000"/>
          <w:sz w:val="24"/>
        </w:rPr>
        <w:t>Notwithstanding any other provision of this Plan to the contrary, if a Participant is considered a “specified employee” for purposes of Section 409A of the Code (as determined in accordance with the methodology established by the Company as in effect on the Participant’s date of termination), any payment that constitutes nonqualified deferred compensation within the meaning of Section 409A of the Code that is otherwise due to such Participant under this Plan during the six-month period immediately following such Participant’s separation from service (as determined in accordance with Section 409A of the Code) on account of such Participant’s separation from service shall be accumulated and paid to such Participant on the first business day of the seventh month following the Participant’s separation from service (the “</w:t>
      </w:r>
      <w:r>
        <w:rPr>
          <w:rFonts w:ascii="sans-serif" w:hAnsi="sans-serif"/>
          <w:b/>
          <w:i/>
          <w:color w:val="000000"/>
          <w:sz w:val="24"/>
        </w:rPr>
        <w:t>Delayed Payment Date</w:t>
      </w:r>
      <w:r>
        <w:rPr>
          <w:color w:val="000000"/>
        </w:rPr>
        <w:t>”</w:t>
      </w:r>
      <w:r>
        <w:rPr>
          <w:rFonts w:ascii="sans-serif" w:hAnsi="sans-serif"/>
          <w:b w:val="false"/>
          <w:color w:val="000000"/>
          <w:sz w:val="24"/>
        </w:rPr>
        <w:t xml:space="preserve">), to the extent necessary to avoid penalty taxes or accelerated taxation pursuant to Section 409A of the Code. If such Participant dies during the postponement period, the amounts and entitlements delayed on account of Section 409A of the Code shall be paid to the personal representative of the Participant’s estate on the first to occur of the Delayed Payment Date or 30 calendar days after the date of such Participant’s death. </w:t>
      </w:r>
    </w:p>
    <w:p>
      <w:pPr>
        <w:pStyle w:val="TextBody"/>
        <w:bidi w:val="0"/>
        <w:spacing w:lineRule="auto" w:line="240" w:before="0" w:after="240"/>
        <w:ind w:left="0" w:right="0" w:hanging="720"/>
        <w:jc w:val="both"/>
        <w:rPr>
          <w:rFonts w:ascii="sans-serif" w:hAnsi="sans-serif"/>
          <w:b/>
          <w:color w:val="000000"/>
          <w:sz w:val="24"/>
        </w:rPr>
      </w:pPr>
      <w:r>
        <w:rPr>
          <w:rFonts w:ascii="sans-serif" w:hAnsi="sans-serif"/>
          <w:b/>
          <w:color w:val="000000"/>
          <w:sz w:val="24"/>
        </w:rPr>
        <w:t>XIII.OTHER TERMS AND CONDITIONS</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Unless otherwise specified in this Plan, all benefits of employment terminate as of the Participant’s date of termination.</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This Plan does not constitute a contract of employment or impose on the Company any obligation to retain Participants. Nothing in this Plan will be deemed to modify or affect in any way any Participant’s at-will status.</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 xml:space="preserve">This Plan will bind any successor of the Company, its assets, or its businesses (whether direct or indirect, by purchase, merger, consolidation, or otherwise), in the same manner and to the same extent that the Company would be obligated under this Plan if no succession had taken place. The Company will require any successor (whether direct or indirect, by purchase, merger, consolidation, or otherwise) to all or substantially all of the business and/or assets of the Company to assume expressly and to honor this Plan in the same manner and to the same extent that the Company would be required to honor it if no such succession had taken place, unless such successor succeeds to this Plan by operation of law. The term “Company,” as used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in this Plan, shall mean the Company as hereinbefore defined and any successor or assignee to the business or assets which by reason hereof becomes bound by this Plan.</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In the event of any conflict between this document and any other document, instrument, or communication describing the policies or procedures with respect to benefits for employees eligible to participate in this Plan, the terms of this document will control.</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The benefits under this Plan are provided entirely from the Company’s general assets. No portion of this Plan is funded.</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If any provision of this Plan is held to be in conflict with or in violation of any federal, state or local statute, rule or decision, all other provisions of this Plan shall continue in full force and effect. Notwithstanding anything else contained herein, the Company shall not be required to make any payment or take any other action prohibited by law, including, but not limited to, any regulation, directive, or order of federal or state regulatory authorities. The invalidity or unenforceability of any provision of this Plan shall not affect the validity or enforceability of any other provision of this Plan, which shall remain in full force and effect, and any prohibition or unenforceability in any jurisdiction shall not invalidate or render unenforceable such provision in any other jurisdiction. The captions of this Plan are not part of the provisions hereof and shall have no force or effect. Neither a Participant’s nor the Company’s failure to insist upon strict compliance with any provision of this Plan, or the failure to assert any right a Participant or the Company may have hereunder, shall be deemed to be a waiver of such provision or right or any other provision or right of this Plan.</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Following a Change in Control, the Company agrees to pay as incurred, within 10 days following the Company’s receipt of an invoice from the Participant and to the fullest extent permitted by law, all legal fees and expenses that the Participant may reasonably incur as a result of any contest (regardless of the outcome thereof) by the Company, the Participant or others of the validity or enforceability of, or liability under, any provision of this Plan or any guarantee of performance thereof, whether such contest is between the Company and the Participant or between either of them and any third party (including as a result of any contest by the Participant about the amount of any payment pursuant to this Plan), plus in each case interest on any delayed payment at the applicable federal rate provided for in Section 7872(f)(2)(A) of the Code determined as of the date such legal fees and expenses were incurred.</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This Plan shall be governed by the laws of the State of California.</w:t>
      </w:r>
    </w:p>
    <w:p>
      <w:pPr>
        <w:pStyle w:val="TextBody"/>
        <w:bidi w:val="0"/>
        <w:spacing w:lineRule="auto" w:line="288" w:before="0" w:after="240"/>
        <w:ind w:left="0" w:right="0" w:firstLine="720"/>
        <w:jc w:val="both"/>
        <w:rPr/>
      </w:pPr>
      <w:r>
        <w:rPr>
          <w:rFonts w:ascii="sans-serif" w:hAnsi="sans-serif"/>
          <w:b w:val="false"/>
          <w:color w:val="000000"/>
          <w:sz w:val="24"/>
        </w:rPr>
        <w:t>This Plan does not require an ongoing administrative scheme and, therefore, is intended to be a payroll practice which is not subject to the Employee Retirement Income Security Act of 1974, as amended (“</w:t>
      </w:r>
      <w:r>
        <w:rPr>
          <w:rFonts w:ascii="sans-serif" w:hAnsi="sans-serif"/>
          <w:b/>
          <w:i/>
          <w:color w:val="000000"/>
          <w:sz w:val="24"/>
        </w:rPr>
        <w:t>ERISA</w:t>
      </w:r>
      <w:r>
        <w:rPr>
          <w:color w:val="000000"/>
        </w:rPr>
        <w:t>”</w:t>
      </w:r>
      <w:r>
        <w:rPr>
          <w:rFonts w:ascii="sans-serif" w:hAnsi="sans-serif"/>
          <w:b w:val="false"/>
          <w:color w:val="000000"/>
          <w:sz w:val="24"/>
        </w:rPr>
        <w:t>). However, if it is determined that this Plan is subject to ERISA, (a) it shall be considered to be an unfunded plan maintained by the Company primarily for the purpose of providing deferred compensation for a select group of management or highly compensated employees (a “</w:t>
      </w:r>
      <w:r>
        <w:rPr>
          <w:rFonts w:ascii="sans-serif" w:hAnsi="sans-serif"/>
          <w:b/>
          <w:i/>
          <w:color w:val="000000"/>
          <w:sz w:val="24"/>
        </w:rPr>
        <w:t>top-hat plan</w:t>
      </w:r>
      <w:r>
        <w:rPr>
          <w:color w:val="000000"/>
        </w:rPr>
        <w:t>”</w:t>
      </w:r>
      <w:r>
        <w:rPr>
          <w:rFonts w:ascii="sans-serif" w:hAnsi="sans-serif"/>
          <w:b w:val="false"/>
          <w:color w:val="000000"/>
          <w:sz w:val="24"/>
        </w:rPr>
        <w:t>), and (b) it shall be administered in a manner which complies with the provisions of ERISA that are applicable to top-hat plans.</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hanging="720"/>
        <w:jc w:val="both"/>
        <w:rPr>
          <w:rFonts w:ascii="sans-serif" w:hAnsi="sans-serif"/>
          <w:b/>
          <w:color w:val="000000"/>
          <w:sz w:val="24"/>
        </w:rPr>
      </w:pPr>
      <w:r>
        <w:rPr>
          <w:rFonts w:ascii="sans-serif" w:hAnsi="sans-serif"/>
          <w:b/>
          <w:color w:val="000000"/>
          <w:sz w:val="24"/>
        </w:rPr>
        <w:t xml:space="preserve">XIV.CERTAIN DEFINITIONS </w:t>
      </w:r>
    </w:p>
    <w:p>
      <w:pPr>
        <w:pStyle w:val="TextBody"/>
        <w:bidi w:val="0"/>
        <w:spacing w:lineRule="auto" w:line="288" w:before="0" w:after="0"/>
        <w:ind w:left="0" w:right="0" w:firstLine="720"/>
        <w:jc w:val="both"/>
        <w:rPr/>
      </w:pPr>
      <w:r>
        <w:rPr>
          <w:color w:val="000000"/>
        </w:rPr>
        <w:t>“</w:t>
      </w:r>
      <w:r>
        <w:rPr>
          <w:rFonts w:ascii="sans-serif" w:hAnsi="sans-serif"/>
          <w:b/>
          <w:i/>
          <w:color w:val="000000"/>
          <w:sz w:val="24"/>
        </w:rPr>
        <w:t>Cause</w:t>
      </w:r>
      <w:r>
        <w:rPr>
          <w:color w:val="000000"/>
        </w:rPr>
        <w:t xml:space="preserve">” </w:t>
      </w:r>
      <w:r>
        <w:rPr>
          <w:rFonts w:ascii="sans-serif" w:hAnsi="sans-serif"/>
          <w:b w:val="false"/>
          <w:color w:val="000000"/>
          <w:sz w:val="24"/>
        </w:rPr>
        <w:t xml:space="preserve">means (a) “Cause” as defined in the Participant’s Individual Agreement or (b) if the Participant is not subject to an Individual Agreement or it does not define Cause: (i) conviction of, or plea of guilty or nolo contendere by, the Participant for committing a felony under federal law or the law of the state in which such action occurred, in effect after exhaustion of all rights of appeal, that is materially and demonstrably injurious to the Company; (ii) willful, continued and deliberate failure on the part of the Participant to perform his or her employment duties in any material respect for 10 days (or such longer period as the Company may determine to be appropriate) after a written demand for substantial performance is delivered to the Participant by the Company that specifically identifies the manner in which the Participant has not substantially performed his or her employment duties; (iii) dishonesty in the course of fulfilling the Participant’s employment duties that is materially and demonstrably injurious to the Company; or (iv) a material violation of the Company’s ethics and compliance program; </w:t>
      </w:r>
      <w:r>
        <w:rPr>
          <w:rFonts w:ascii="sans-serif" w:hAnsi="sans-serif"/>
          <w:b w:val="false"/>
          <w:color w:val="000000"/>
          <w:sz w:val="24"/>
          <w:u w:val="single"/>
        </w:rPr>
        <w:t>provided</w:t>
      </w:r>
      <w:r>
        <w:rPr>
          <w:rFonts w:ascii="sans-serif" w:hAnsi="sans-serif"/>
          <w:b w:val="false"/>
          <w:color w:val="000000"/>
          <w:sz w:val="24"/>
        </w:rPr>
        <w:t xml:space="preserve">, </w:t>
      </w:r>
      <w:r>
        <w:rPr>
          <w:rFonts w:ascii="sans-serif" w:hAnsi="sans-serif"/>
          <w:b w:val="false"/>
          <w:color w:val="000000"/>
          <w:sz w:val="24"/>
          <w:u w:val="single"/>
        </w:rPr>
        <w:t>however</w:t>
      </w:r>
      <w:r>
        <w:rPr>
          <w:rFonts w:ascii="sans-serif" w:hAnsi="sans-serif"/>
          <w:b w:val="false"/>
          <w:color w:val="000000"/>
          <w:sz w:val="24"/>
        </w:rPr>
        <w:t>, that, for purposes of this definition of “Cause,” no act, or failure to act, on the part of the Participant will be considered “willful” unless it is done, or omitted to be done, by the Participant in bad faith or without reasonable belief that the Participant’s action or omission was in the best interests of the Company. Any act, or failure to act, based upon authority given pursuant to a resolution duly adopted by the board of directors of the Company (the “</w:t>
      </w:r>
      <w:r>
        <w:rPr>
          <w:rFonts w:ascii="sans-serif" w:hAnsi="sans-serif"/>
          <w:b/>
          <w:i/>
          <w:color w:val="000000"/>
          <w:sz w:val="24"/>
        </w:rPr>
        <w:t>Board</w:t>
      </w:r>
      <w:r>
        <w:rPr>
          <w:color w:val="000000"/>
        </w:rPr>
        <w:t>”</w:t>
      </w:r>
      <w:r>
        <w:rPr>
          <w:rFonts w:ascii="sans-serif" w:hAnsi="sans-serif"/>
          <w:b w:val="false"/>
          <w:color w:val="000000"/>
          <w:sz w:val="24"/>
        </w:rPr>
        <w:t>), or if the Company is not the ultimate parent entity of the Company and is not publicly traded, the board of directors (or, for a non-corporate entity, equivalent governing body) of the ultimate parent of the Company (the “</w:t>
      </w:r>
      <w:r>
        <w:rPr>
          <w:rFonts w:ascii="sans-serif" w:hAnsi="sans-serif"/>
          <w:b/>
          <w:i/>
          <w:color w:val="000000"/>
          <w:sz w:val="24"/>
        </w:rPr>
        <w:t>Applicable Board</w:t>
      </w:r>
      <w:r>
        <w:rPr>
          <w:color w:val="000000"/>
        </w:rPr>
        <w:t>”</w:t>
      </w:r>
      <w:r>
        <w:rPr>
          <w:rFonts w:ascii="sans-serif" w:hAnsi="sans-serif"/>
          <w:b w:val="false"/>
          <w:color w:val="000000"/>
          <w:sz w:val="24"/>
        </w:rPr>
        <w:t>) or upon the instructions of an officer to whom the Participant reports or based upon the advice of counsel for the Company shall be conclusively presumed to be done, or omitted to be done, by the Participant in good faith and in the best interests of the Company and its Affiliates. The cessation of employment of the Participant shall not be deemed to be for Cause unless and until there shall have been delivered to the Participant a copy of a resolution duly adopted by the affirmative vote of not less than three-quarters of the entire membership of the Applicable Board (excluding the Participant if the Participant is a member of the Applicable Board) at a meeting of the Applicable Board called and held for such purpose (after reasonable notice is provided to the Participant and the Participant is given an opportunity, together with counsel for the Participant, to be heard before the Applicable Board), finding that, in the good-faith opinion of the Applicable Board, the Participant is guilty of the conduct described in subparagraph (i) through (iv) above, and specifying the particulars thereof in detail.</w:t>
      </w:r>
      <w:r>
        <w:rPr>
          <w:color w:val="000000"/>
        </w:rPr>
        <w:t xml:space="preserve"> </w:t>
      </w:r>
      <w:r>
        <w:rPr>
          <w:rFonts w:ascii="sans-serif" w:hAnsi="sans-serif"/>
          <w:b w:val="false"/>
          <w:color w:val="000000"/>
          <w:sz w:val="24"/>
        </w:rPr>
        <w:t>Following a Change in Control, any determination by the Committee as to whether Cause exists shall be subject to de novo review.</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sans-serif" w:hAnsi="sans-serif"/>
          <w:b/>
          <w:i/>
          <w:color w:val="000000"/>
          <w:sz w:val="24"/>
        </w:rPr>
        <w:t>Change in Control</w:t>
      </w:r>
      <w:r>
        <w:rPr>
          <w:color w:val="000000"/>
        </w:rPr>
        <w:t xml:space="preserve">” </w:t>
      </w:r>
      <w:r>
        <w:rPr>
          <w:rFonts w:ascii="sans-serif" w:hAnsi="sans-serif"/>
          <w:b w:val="false"/>
          <w:color w:val="000000"/>
          <w:sz w:val="24"/>
        </w:rPr>
        <w:t>means the occurrence of any of the following events:</w:t>
      </w:r>
    </w:p>
    <w:p>
      <w:pPr>
        <w:pStyle w:val="TextBody"/>
        <w:bidi w:val="0"/>
        <w:spacing w:lineRule="auto" w:line="288"/>
        <w:ind w:left="0" w:right="0" w:hanging="360"/>
        <w:jc w:val="both"/>
        <w:rPr/>
      </w:pPr>
      <w:r>
        <w:rPr>
          <w:rFonts w:ascii="sans-serif" w:hAnsi="sans-serif"/>
          <w:b w:val="false"/>
          <w:color w:val="000000"/>
          <w:sz w:val="24"/>
        </w:rPr>
        <w:t>(a)An acquisition by any individual, entity or group (within the meaning of Section 13(d)(3) or 14(d)(2) of the Securities Exchange Act of 1934, as amended from time to time (the “</w:t>
      </w:r>
      <w:r>
        <w:rPr>
          <w:rFonts w:ascii="sans-serif" w:hAnsi="sans-serif"/>
          <w:b/>
          <w:i/>
          <w:color w:val="000000"/>
          <w:sz w:val="24"/>
        </w:rPr>
        <w:t>Exchange Act</w:t>
      </w:r>
      <w:r>
        <w:rPr>
          <w:color w:val="000000"/>
        </w:rPr>
        <w:t>”</w:t>
      </w:r>
      <w:r>
        <w:rPr>
          <w:rFonts w:ascii="sans-serif" w:hAnsi="sans-serif"/>
          <w:b w:val="false"/>
          <w:color w:val="000000"/>
          <w:sz w:val="24"/>
        </w:rPr>
        <w:t>)) (a “</w:t>
      </w:r>
      <w:r>
        <w:rPr>
          <w:rFonts w:ascii="sans-serif" w:hAnsi="sans-serif"/>
          <w:b/>
          <w:i/>
          <w:color w:val="000000"/>
          <w:sz w:val="24"/>
        </w:rPr>
        <w:t>Person</w:t>
      </w:r>
      <w:r>
        <w:rPr>
          <w:color w:val="000000"/>
        </w:rPr>
        <w:t>”</w:t>
      </w:r>
      <w:r>
        <w:rPr>
          <w:rFonts w:ascii="sans-serif" w:hAnsi="sans-serif"/>
          <w:b w:val="false"/>
          <w:color w:val="000000"/>
          <w:sz w:val="24"/>
        </w:rPr>
        <w:t>) of beneficial ownership (within the meaning of Rule 13d-3 promulgated under the Exchange Act) of 30% or more of either (i) the then-outstanding shares of common stock of the Company (the “</w:t>
      </w:r>
      <w:r>
        <w:rPr>
          <w:rFonts w:ascii="sans-serif" w:hAnsi="sans-serif"/>
          <w:b/>
          <w:i/>
          <w:color w:val="000000"/>
          <w:sz w:val="24"/>
        </w:rPr>
        <w:t xml:space="preserve">Outstanding Company Common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r>
        <w:rPr>
          <w:rFonts w:ascii="sans-serif" w:hAnsi="sans-serif"/>
          <w:b/>
          <w:i/>
          <w:color w:val="000000"/>
          <w:sz w:val="24"/>
        </w:rPr>
        <w:t>Stock</w:t>
      </w:r>
      <w:r>
        <w:rPr>
          <w:color w:val="000000"/>
        </w:rPr>
        <w:t>”</w:t>
      </w:r>
      <w:r>
        <w:rPr>
          <w:rFonts w:ascii="sans-serif" w:hAnsi="sans-serif"/>
          <w:b w:val="false"/>
          <w:color w:val="000000"/>
          <w:sz w:val="24"/>
        </w:rPr>
        <w:t>) or (ii) the combined voting power of the then-outstanding voting securities of the Company entitled to vote generally in the election of directors (the “</w:t>
      </w:r>
      <w:r>
        <w:rPr>
          <w:rFonts w:ascii="sans-serif" w:hAnsi="sans-serif"/>
          <w:b/>
          <w:i/>
          <w:color w:val="000000"/>
          <w:sz w:val="24"/>
        </w:rPr>
        <w:t>Outstanding Company Voting Securities</w:t>
      </w:r>
      <w:r>
        <w:rPr>
          <w:color w:val="000000"/>
        </w:rPr>
        <w:t>”</w:t>
      </w:r>
      <w:r>
        <w:rPr>
          <w:rFonts w:ascii="sans-serif" w:hAnsi="sans-serif"/>
          <w:b w:val="false"/>
          <w:color w:val="000000"/>
          <w:sz w:val="24"/>
        </w:rPr>
        <w:t xml:space="preserve">); </w:t>
      </w:r>
      <w:r>
        <w:rPr>
          <w:rFonts w:ascii="sans-serif" w:hAnsi="sans-serif"/>
          <w:b w:val="false"/>
          <w:color w:val="000000"/>
          <w:sz w:val="24"/>
          <w:u w:val="single"/>
        </w:rPr>
        <w:t>provided</w:t>
      </w:r>
      <w:r>
        <w:rPr>
          <w:rFonts w:ascii="sans-serif" w:hAnsi="sans-serif"/>
          <w:b w:val="false"/>
          <w:color w:val="000000"/>
          <w:sz w:val="24"/>
        </w:rPr>
        <w:t xml:space="preserve">, </w:t>
      </w:r>
      <w:r>
        <w:rPr>
          <w:rFonts w:ascii="sans-serif" w:hAnsi="sans-serif"/>
          <w:b w:val="false"/>
          <w:color w:val="000000"/>
          <w:sz w:val="24"/>
          <w:u w:val="single"/>
        </w:rPr>
        <w:t>however</w:t>
      </w:r>
      <w:r>
        <w:rPr>
          <w:rFonts w:ascii="sans-serif" w:hAnsi="sans-serif"/>
          <w:b w:val="false"/>
          <w:color w:val="000000"/>
          <w:sz w:val="24"/>
        </w:rPr>
        <w:t>, that for purposes of this subsection (a), the following acquisitions shall not constitute a Change in Control: (A) any acquisition directly from the Company, (B) any acquisition by the Company, (C) any acquisition by any employee benefit plan (or related trust) sponsored or maintained by the Company or any entity controlled by the Company, or (D) any acquisition by any entity pursuant to a transaction which complies with clauses (i), (ii) and (iii) of subsection (c) of this definition; or</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sans-serif" w:hAnsi="sans-serif"/>
          <w:b w:val="false"/>
          <w:color w:val="000000"/>
          <w:sz w:val="24"/>
        </w:rPr>
        <w:t>(b)A change in the composition of the Board such that the individuals who, as of the Effective Date, constitute the Board (the “</w:t>
      </w:r>
      <w:r>
        <w:rPr>
          <w:rFonts w:ascii="sans-serif" w:hAnsi="sans-serif"/>
          <w:b/>
          <w:i/>
          <w:color w:val="000000"/>
          <w:sz w:val="24"/>
        </w:rPr>
        <w:t>Incumbent Board</w:t>
      </w:r>
      <w:r>
        <w:rPr>
          <w:color w:val="000000"/>
        </w:rPr>
        <w:t>”</w:t>
      </w:r>
      <w:r>
        <w:rPr>
          <w:rFonts w:ascii="sans-serif" w:hAnsi="sans-serif"/>
          <w:b w:val="false"/>
          <w:color w:val="000000"/>
          <w:sz w:val="24"/>
        </w:rPr>
        <w:t xml:space="preserve">) cease for any reason to constitute at least a majority of the Board; </w:t>
      </w:r>
      <w:r>
        <w:rPr>
          <w:rFonts w:ascii="sans-serif" w:hAnsi="sans-serif"/>
          <w:b w:val="false"/>
          <w:color w:val="000000"/>
          <w:sz w:val="24"/>
          <w:u w:val="single"/>
        </w:rPr>
        <w:t>provided</w:t>
      </w:r>
      <w:r>
        <w:rPr>
          <w:rFonts w:ascii="sans-serif" w:hAnsi="sans-serif"/>
          <w:b w:val="false"/>
          <w:color w:val="000000"/>
          <w:sz w:val="24"/>
        </w:rPr>
        <w:t xml:space="preserve">, </w:t>
      </w:r>
      <w:r>
        <w:rPr>
          <w:rFonts w:ascii="sans-serif" w:hAnsi="sans-serif"/>
          <w:b w:val="false"/>
          <w:color w:val="000000"/>
          <w:sz w:val="24"/>
          <w:u w:val="single"/>
        </w:rPr>
        <w:t>however</w:t>
      </w:r>
      <w:r>
        <w:rPr>
          <w:rFonts w:ascii="sans-serif" w:hAnsi="sans-serif"/>
          <w:b w:val="false"/>
          <w:color w:val="000000"/>
          <w:sz w:val="24"/>
        </w:rPr>
        <w:t xml:space="preserve">, that, for purposes of this definition, any individual who becomes a member of the Board subsequent to the Effective Date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w:t>
      </w:r>
      <w:r>
        <w:rPr>
          <w:rFonts w:ascii="sans-serif" w:hAnsi="sans-serif"/>
          <w:b w:val="false"/>
          <w:color w:val="000000"/>
          <w:sz w:val="24"/>
          <w:u w:val="single"/>
        </w:rPr>
        <w:t>provided</w:t>
      </w:r>
      <w:r>
        <w:rPr>
          <w:rFonts w:ascii="sans-serif" w:hAnsi="sans-serif"/>
          <w:b w:val="false"/>
          <w:color w:val="000000"/>
          <w:sz w:val="24"/>
        </w:rPr>
        <w:t xml:space="preserve">, </w:t>
      </w:r>
      <w:r>
        <w:rPr>
          <w:rFonts w:ascii="sans-serif" w:hAnsi="sans-serif"/>
          <w:b w:val="false"/>
          <w:color w:val="000000"/>
          <w:sz w:val="24"/>
          <w:u w:val="single"/>
        </w:rPr>
        <w:t>further</w:t>
      </w:r>
      <w:r>
        <w:rPr>
          <w:rFonts w:ascii="sans-serif" w:hAnsi="sans-serif"/>
          <w:b w:val="false"/>
          <w:color w:val="000000"/>
          <w:sz w:val="24"/>
        </w:rPr>
        <w:t>,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 or</w:t>
      </w:r>
    </w:p>
    <w:p>
      <w:pPr>
        <w:pStyle w:val="TextBody"/>
        <w:bidi w:val="0"/>
        <w:spacing w:before="0" w:after="0"/>
        <w:jc w:val="both"/>
        <w:rPr/>
      </w:pPr>
      <w:r>
        <w:rPr/>
      </w:r>
    </w:p>
    <w:p>
      <w:pPr>
        <w:pStyle w:val="TextBody"/>
        <w:bidi w:val="0"/>
        <w:spacing w:lineRule="auto" w:line="288"/>
        <w:ind w:left="0" w:right="0" w:hanging="360"/>
        <w:jc w:val="both"/>
        <w:rPr/>
      </w:pPr>
      <w:r>
        <w:rPr>
          <w:rFonts w:ascii="sans-serif" w:hAnsi="sans-serif"/>
          <w:b w:val="false"/>
          <w:color w:val="000000"/>
          <w:sz w:val="24"/>
        </w:rPr>
        <w:t>(c)The consummation of a reorganization, merger, statutory share exchange or consolidation or similar transaction involving the Company or any of its subsidiaries or sale or other disposition of all or substantially all of the assets of the Company, or the acquisition of assets or securities of another entity by the Company or any of its subsidiaries (a “</w:t>
      </w:r>
      <w:r>
        <w:rPr>
          <w:rFonts w:ascii="sans-serif" w:hAnsi="sans-serif"/>
          <w:b/>
          <w:i/>
          <w:color w:val="000000"/>
          <w:sz w:val="24"/>
        </w:rPr>
        <w:t>Business Combination</w:t>
      </w:r>
      <w:r>
        <w:rPr>
          <w:color w:val="000000"/>
        </w:rPr>
        <w:t>”</w:t>
      </w:r>
      <w:r>
        <w:rPr>
          <w:rFonts w:ascii="sans-serif" w:hAnsi="sans-serif"/>
          <w:b w:val="false"/>
          <w:color w:val="000000"/>
          <w:sz w:val="24"/>
        </w:rPr>
        <w:t xml:space="preserve">),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(or, for a non-corporate entity, equivalent securities) and the combined voting power of the then-outstanding voting securities entitled to vote generally in the election of directors (or, for a non-corporate entity, equivalent securities),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immediately prior to such Business Combination of the Outstanding Company Common Stock and Outstanding Company Voting Securities, as the case may be, (ii) no Person (excluding any entity resulting from such Business Combination or any employee benefit plan (or related trust) of the Company or such entity resulting from such Business Combination) beneficially owns, directly or indirectly, 30% or more of, 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prior to the Business Combination, and (iii) at least a majority of the members of the board of directors (or, for a non-corporate entity, equivalent body or committee) of the entity resulting from such Business Combination were members of the Incumbent Board at the time of the execution of the initial agreement, or of the action of the Board, providing for such Business Combination; or</w:t>
      </w:r>
    </w:p>
    <w:p>
      <w:pPr>
        <w:pStyle w:val="TextBody"/>
        <w:bidi w:val="0"/>
        <w:spacing w:before="0" w:after="0"/>
        <w:jc w:val="both"/>
        <w:rPr/>
      </w:pPr>
      <w:r>
        <w:rPr/>
      </w:r>
    </w:p>
    <w:p>
      <w:pPr>
        <w:pStyle w:val="TextBody"/>
        <w:bidi w:val="0"/>
        <w:spacing w:lineRule="auto" w:line="288" w:before="0" w:after="240"/>
        <w:ind w:left="0" w:right="0" w:hanging="360"/>
        <w:jc w:val="both"/>
        <w:rPr>
          <w:rFonts w:ascii="sans-serif" w:hAnsi="sans-serif"/>
          <w:b w:val="false"/>
          <w:color w:val="000000"/>
          <w:sz w:val="24"/>
        </w:rPr>
      </w:pPr>
      <w:r>
        <w:rPr>
          <w:rFonts w:ascii="sans-serif" w:hAnsi="sans-serif"/>
          <w:b w:val="false"/>
          <w:color w:val="000000"/>
          <w:sz w:val="24"/>
        </w:rPr>
        <w:t xml:space="preserve">(d)The approval by the shareholders of the Company of a complete liquidation or dissolution of the Company. </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 xml:space="preserve">Notwithstanding the foregoing, solely for the purpose of determining the timing of payment or distribution of any compensation or benefit that constitutes “nonqualified deferred compensation” within the meaning of Section 409A of the Code (and not the right to vest in or be entitled to receive any such payment or benefit) that may only be made or changed (including a change in the form of payment) upon an event described in Section 409A(a)(2)(A)(v) of the Code and the regulations thereunder, such payment shall only be made or timing or form changed if the Change in Control constitutes a “change in ownership” of the Company, a “change in effective control” of the Company or a “change in the ownership of a substantial portion of the assets” of the Company, in each case, as defined under Section 409A of the Code. </w:t>
      </w:r>
    </w:p>
    <w:p>
      <w:pPr>
        <w:pStyle w:val="TextBody"/>
        <w:bidi w:val="0"/>
        <w:spacing w:lineRule="auto" w:line="288" w:before="0" w:after="0"/>
        <w:ind w:left="0" w:right="0" w:firstLine="720"/>
        <w:jc w:val="both"/>
        <w:rPr/>
      </w:pPr>
      <w:r>
        <w:rPr>
          <w:color w:val="000000"/>
        </w:rPr>
        <w:t>“</w:t>
      </w:r>
      <w:r>
        <w:rPr>
          <w:rFonts w:ascii="sans-serif" w:hAnsi="sans-serif"/>
          <w:b/>
          <w:i/>
          <w:color w:val="000000"/>
          <w:sz w:val="24"/>
        </w:rPr>
        <w:t>COBRA Period</w:t>
      </w:r>
      <w:r>
        <w:rPr>
          <w:color w:val="000000"/>
        </w:rPr>
        <w:t xml:space="preserve">” </w:t>
      </w:r>
      <w:r>
        <w:rPr>
          <w:rFonts w:ascii="sans-serif" w:hAnsi="sans-serif"/>
          <w:b w:val="false"/>
          <w:color w:val="000000"/>
          <w:sz w:val="24"/>
        </w:rPr>
        <w:t>means the period of months following the Participant’s termination of employment set forth in the written notice of participation provided to the Participant by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sans-serif" w:hAnsi="sans-serif"/>
          <w:b w:val="false"/>
          <w:color w:val="000000"/>
          <w:sz w:val="24"/>
        </w:rPr>
        <w:t>The “</w:t>
      </w:r>
      <w:r>
        <w:rPr>
          <w:rFonts w:ascii="sans-serif" w:hAnsi="sans-serif"/>
          <w:b/>
          <w:i/>
          <w:color w:val="000000"/>
          <w:sz w:val="24"/>
        </w:rPr>
        <w:t>Code</w:t>
      </w:r>
      <w:r>
        <w:rPr>
          <w:color w:val="000000"/>
        </w:rPr>
        <w:t xml:space="preserve">” </w:t>
      </w:r>
      <w:r>
        <w:rPr>
          <w:rFonts w:ascii="sans-serif" w:hAnsi="sans-serif"/>
          <w:b w:val="false"/>
          <w:color w:val="000000"/>
          <w:sz w:val="24"/>
        </w:rPr>
        <w:t>means the Internal Revenue Code of 1986, as amended.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sans-serif" w:hAnsi="sans-serif"/>
          <w:b/>
          <w:i/>
          <w:color w:val="000000"/>
          <w:sz w:val="24"/>
        </w:rPr>
        <w:t>Committee</w:t>
      </w:r>
      <w:r>
        <w:rPr>
          <w:color w:val="000000"/>
        </w:rPr>
        <w:t xml:space="preserve">” </w:t>
      </w:r>
      <w:r>
        <w:rPr>
          <w:rFonts w:ascii="sans-serif" w:hAnsi="sans-serif"/>
          <w:b w:val="false"/>
          <w:color w:val="000000"/>
          <w:sz w:val="24"/>
        </w:rPr>
        <w:t>means the Compensation Committee of the Board, or any other committee designated by the Board to administer this Plan.</w:t>
      </w:r>
    </w:p>
    <w:p>
      <w:pPr>
        <w:pStyle w:val="TextBody"/>
        <w:bidi w:val="0"/>
        <w:spacing w:before="0" w:after="0"/>
        <w:ind w:left="0" w:right="0" w:hanging="360"/>
        <w:jc w:val="both"/>
        <w:rPr/>
      </w:pPr>
      <w:r>
        <w:rPr/>
      </w:r>
    </w:p>
    <w:p>
      <w:pPr>
        <w:pStyle w:val="TextBody"/>
        <w:bidi w:val="0"/>
        <w:spacing w:lineRule="auto" w:line="288"/>
        <w:ind w:left="0" w:right="0" w:firstLine="720"/>
        <w:jc w:val="both"/>
        <w:rPr/>
      </w:pPr>
      <w:r>
        <w:rPr>
          <w:color w:val="000000"/>
        </w:rPr>
        <w:t>“</w:t>
      </w:r>
      <w:r>
        <w:rPr>
          <w:rFonts w:ascii="sans-serif" w:hAnsi="sans-serif"/>
          <w:b/>
          <w:i/>
          <w:color w:val="000000"/>
          <w:sz w:val="24"/>
        </w:rPr>
        <w:t>Disability</w:t>
      </w:r>
      <w:r>
        <w:rPr>
          <w:color w:val="000000"/>
        </w:rPr>
        <w:t xml:space="preserve">” </w:t>
      </w:r>
      <w:r>
        <w:rPr>
          <w:rFonts w:ascii="sans-serif" w:hAnsi="sans-serif"/>
          <w:b w:val="false"/>
          <w:color w:val="000000"/>
          <w:sz w:val="24"/>
        </w:rPr>
        <w:t xml:space="preserve">means (a) “Disability” as defined in the Participant’s Individual Agreement or (b) if the Participant is not subject to an Individual Agreement or it does not define disability, a condition entitling the Participant to receive benefits under a long-term disability plan of the Company or an affiliate or, in the absence of such a plan, the complete and permanent inability by reason of illness or accident to perform the duties of the occupation at which the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was employed or served when such disability commenced or, as determined by the Committee, based upon medical evidence acceptable to it.</w:t>
      </w:r>
    </w:p>
    <w:p>
      <w:pPr>
        <w:pStyle w:val="TextBody"/>
        <w:bidi w:val="0"/>
        <w:spacing w:before="0" w:after="240"/>
        <w:ind w:left="0" w:right="0" w:firstLine="720"/>
        <w:jc w:val="both"/>
        <w:rPr/>
      </w:pPr>
      <w:r>
        <w:rPr/>
      </w:r>
    </w:p>
    <w:p>
      <w:pPr>
        <w:pStyle w:val="TextBody"/>
        <w:bidi w:val="0"/>
        <w:spacing w:lineRule="auto" w:line="288" w:before="0" w:after="0"/>
        <w:jc w:val="left"/>
        <w:rPr/>
      </w:pPr>
      <w:r>
        <w:rPr>
          <w:color w:val="000000"/>
        </w:rPr>
        <w:t>“</w:t>
      </w:r>
      <w:r>
        <w:rPr>
          <w:rFonts w:ascii="sans-serif" w:hAnsi="sans-serif"/>
          <w:b/>
          <w:i/>
          <w:color w:val="000000"/>
          <w:sz w:val="24"/>
        </w:rPr>
        <w:t>Good Reason</w:t>
      </w:r>
      <w:r>
        <w:rPr>
          <w:color w:val="000000"/>
        </w:rPr>
        <w:t xml:space="preserve">” </w:t>
      </w:r>
      <w:r>
        <w:rPr>
          <w:rFonts w:ascii="sans-serif" w:hAnsi="sans-serif"/>
          <w:b w:val="false"/>
          <w:color w:val="000000"/>
          <w:sz w:val="24"/>
        </w:rPr>
        <w:t>means (a) “Good Reason” as defined in the Participant’s Individual Agreement or (b) if the Participant is not subject to an Individual Agreement or it does not define Good Reason: (i) a 10% (or greater) reduction in the Participant’s base salary, (ii) a 10% (or greater) reduction in the Participant’s target annual incentive opportunity or target long-term incentive opportunity, (iii) a material diminution in the Participant’s title or position or a material diminution in the Participant’s duties, authorities or responsibilities, or the assignment to the Participant of any duties or responsibilities (including reporting responsibilities) materially inconsistent with the Participant’s position, (iv) any relocation of the Participant’s principal place of business at the requirement of the Company (excluding any remote work arrangement) to a location more than 30 miles from the Participant’s principal place of business prior to such relocation (to the extent the Participant is required regularly to work at such principal place of business and is not permitted to work on a remote basis to perform a substantial portion of his or her duties), provided that, if the Participant is permitted</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to work on a remote basis to perform a substantial portion of his or her duties as of</w:t>
      </w:r>
    </w:p>
    <w:p>
      <w:pPr>
        <w:pStyle w:val="TextBody"/>
        <w:bidi w:val="0"/>
        <w:spacing w:lineRule="auto" w:line="288" w:before="0" w:after="0"/>
        <w:jc w:val="left"/>
        <w:rPr/>
      </w:pPr>
      <w:r>
        <w:rPr>
          <w:rFonts w:ascii="sans-serif" w:hAnsi="sans-serif"/>
          <w:b w:val="false"/>
          <w:color w:val="000000"/>
          <w:sz w:val="24"/>
        </w:rPr>
        <w:t>immediately prior to the Change in Control, a change in such arrangement shall constitute Good Reason, or (v) a material breach by the Company or its affiliates of this Plan or any agreement between the Company or its affiliates and the Participant. In order to invoke a termination for Good Reason, the Participant shall provide written notice to the Company of the existence of one or more of the conditions described in the foregoing clauses (i) through (v) within 60 days following the Participant’s knowledge of the initial existence of such condition or conditions, specifying in reasonable detail the conditions constituting Good Reason, and the Company shall have 30 days following receipt of such written notice (the “</w:t>
      </w:r>
      <w:r>
        <w:rPr>
          <w:rFonts w:ascii="sans-serif" w:hAnsi="sans-serif"/>
          <w:b/>
          <w:i/>
          <w:color w:val="000000"/>
          <w:sz w:val="24"/>
        </w:rPr>
        <w:t>Cure Period</w:t>
      </w:r>
      <w:r>
        <w:rPr>
          <w:color w:val="000000"/>
        </w:rPr>
        <w:t>”</w:t>
      </w:r>
      <w:r>
        <w:rPr>
          <w:rFonts w:ascii="sans-serif" w:hAnsi="sans-serif"/>
          <w:b w:val="false"/>
          <w:color w:val="000000"/>
          <w:sz w:val="24"/>
        </w:rPr>
        <w:t>) during which it may remedy the condition if such condition is reasonably subject to cure. If the Company fails to remedy the condition constituting Good Reason during the applicable Cure Period, the Participant’s “separation from service” (within the meaning of Section 409A of the Code) must occur, if at all, within 60 days following such Cure Period in order for such termination as a result of such condition to constitute a termination for Good Reason.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sans-serif" w:hAnsi="sans-serif"/>
          <w:b/>
          <w:i/>
          <w:color w:val="000000"/>
          <w:sz w:val="24"/>
        </w:rPr>
        <w:t>Individual Agreement</w:t>
      </w:r>
      <w:r>
        <w:rPr>
          <w:color w:val="000000"/>
        </w:rPr>
        <w:t xml:space="preserve">” </w:t>
      </w:r>
      <w:r>
        <w:rPr>
          <w:rFonts w:ascii="sans-serif" w:hAnsi="sans-serif"/>
          <w:b w:val="false"/>
          <w:color w:val="000000"/>
          <w:sz w:val="24"/>
        </w:rPr>
        <w:t>means an employment, consulting or similar agreement or arrangement between a Participant and the Company or one of its subsidiaries or affiliates.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sans-serif" w:hAnsi="sans-serif"/>
          <w:b/>
          <w:i/>
          <w:color w:val="000000"/>
          <w:sz w:val="24"/>
        </w:rPr>
        <w:t>Participant</w:t>
      </w:r>
      <w:r>
        <w:rPr>
          <w:color w:val="000000"/>
        </w:rPr>
        <w:t xml:space="preserve">” </w:t>
      </w:r>
      <w:r>
        <w:rPr>
          <w:rFonts w:ascii="sans-serif" w:hAnsi="sans-serif"/>
          <w:b w:val="false"/>
          <w:color w:val="000000"/>
          <w:sz w:val="24"/>
        </w:rPr>
        <w:t>means any executive, employee or consultant of the Company that the Committee has designated in writing as eligible to receive benefits under this Plan in accordance with Section V.</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sans-serif" w:hAnsi="sans-serif"/>
          <w:b/>
          <w:i/>
          <w:color w:val="000000"/>
          <w:sz w:val="24"/>
        </w:rPr>
        <w:t>Qualifying Termination</w:t>
      </w:r>
      <w:r>
        <w:rPr>
          <w:color w:val="000000"/>
        </w:rPr>
        <w:t xml:space="preserve">” </w:t>
      </w:r>
      <w:r>
        <w:rPr>
          <w:rFonts w:ascii="sans-serif" w:hAnsi="sans-serif"/>
          <w:b w:val="false"/>
          <w:color w:val="000000"/>
          <w:sz w:val="24"/>
        </w:rPr>
        <w:t xml:space="preserve">means a termination of the Participant’s employment by the Company without Cause or a resignation by the Participant with Good Reason.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sans-serif" w:hAnsi="sans-serif"/>
          <w:b/>
          <w:i/>
          <w:color w:val="000000"/>
          <w:sz w:val="24"/>
        </w:rPr>
        <w:t>Severance Multiple</w:t>
      </w:r>
      <w:r>
        <w:rPr>
          <w:color w:val="000000"/>
        </w:rPr>
        <w:t xml:space="preserve">” </w:t>
      </w:r>
      <w:r>
        <w:rPr>
          <w:rFonts w:ascii="sans-serif" w:hAnsi="sans-serif"/>
          <w:b w:val="false"/>
          <w:color w:val="000000"/>
          <w:sz w:val="24"/>
        </w:rPr>
        <w:t>means the multiple set forth in the written notice of participation provided to the Participant by the Company.</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4"/>
          <w:u w:val="single"/>
        </w:rPr>
      </w:pPr>
      <w:r>
        <w:rPr>
          <w:rFonts w:ascii="sans-serif" w:hAnsi="sans-serif"/>
          <w:b/>
          <w:color w:val="000000"/>
          <w:sz w:val="24"/>
          <w:u w:val="single"/>
        </w:rPr>
        <w:t>Annex A</w:t>
      </w:r>
    </w:p>
    <w:p>
      <w:pPr>
        <w:pStyle w:val="TextBody"/>
        <w:bidi w:val="0"/>
        <w:spacing w:lineRule="auto" w:line="288"/>
        <w:jc w:val="center"/>
        <w:rPr>
          <w:rFonts w:ascii="sans-serif" w:hAnsi="sans-serif"/>
          <w:b w:val="false"/>
          <w:color w:val="000000"/>
          <w:sz w:val="24"/>
        </w:rPr>
      </w:pPr>
      <w:r>
        <w:rPr>
          <w:rFonts w:ascii="sans-serif" w:hAnsi="sans-serif"/>
          <w:b w:val="false"/>
          <w:color w:val="000000"/>
          <w:sz w:val="24"/>
        </w:rPr>
        <w:t>Separation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PRINCIPAL EXECUTIVE OFFICER’S 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Adam S. Pollitzer, certify that: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NMI Holdings, Inc.;</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094" w:type="dxa"/>
        <w:jc w:val="center"/>
        <w:tblInd w:w="0" w:type="dxa"/>
        <w:tblLayout w:type="fixed"/>
        <w:tblCellMar>
          <w:top w:w="28" w:type="dxa"/>
          <w:left w:w="28" w:type="dxa"/>
          <w:bottom w:w="28" w:type="dxa"/>
          <w:right w:w="28" w:type="dxa"/>
        </w:tblCellMar>
      </w:tblPr>
      <w:tblGrid>
        <w:gridCol w:w="587"/>
        <w:gridCol w:w="516"/>
        <w:gridCol w:w="517"/>
        <w:gridCol w:w="723"/>
        <w:gridCol w:w="723"/>
        <w:gridCol w:w="1028"/>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Adam S. Pollitzer </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S. Pollitzer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PRINCIPAL FINANCIAL OFFICER’S CERTIFICATION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417" w:before="0" w:after="120"/>
        <w:jc w:val="left"/>
        <w:rPr>
          <w:rFonts w:ascii="Times New Roman;serif" w:hAnsi="Times New Roman;serif"/>
          <w:b w:val="false"/>
          <w:color w:val="000000"/>
          <w:sz w:val="20"/>
        </w:rPr>
      </w:pPr>
      <w:r>
        <w:rPr>
          <w:rFonts w:ascii="Times New Roman;serif" w:hAnsi="Times New Roman;serif"/>
          <w:b w:val="false"/>
          <w:color w:val="000000"/>
          <w:sz w:val="20"/>
        </w:rPr>
        <w:t>I, Aurora Swithenbank,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NMI Holdings, Inc.;</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034" w:type="dxa"/>
        <w:jc w:val="left"/>
        <w:tblInd w:w="0" w:type="dxa"/>
        <w:tblLayout w:type="fixed"/>
        <w:tblCellMar>
          <w:top w:w="28" w:type="dxa"/>
          <w:left w:w="28" w:type="dxa"/>
          <w:bottom w:w="28" w:type="dxa"/>
          <w:right w:w="28" w:type="dxa"/>
        </w:tblCellMar>
      </w:tblPr>
      <w:tblGrid>
        <w:gridCol w:w="587"/>
        <w:gridCol w:w="516"/>
        <w:gridCol w:w="517"/>
        <w:gridCol w:w="707"/>
        <w:gridCol w:w="707"/>
        <w:gridCol w:w="1000"/>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Aurora Swithenbank </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Aurora Swithenbank</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CERTIFICATION OF CEO AND CFO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12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NMI Holdings, Inc. (the "Company") on Form 10-Q for the quarter ended September 30, 2025,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bl>
      <w:tblPr>
        <w:tblW w:w="4094" w:type="dxa"/>
        <w:jc w:val="left"/>
        <w:tblInd w:w="0" w:type="dxa"/>
        <w:tblLayout w:type="fixed"/>
        <w:tblCellMar>
          <w:top w:w="28" w:type="dxa"/>
          <w:left w:w="28" w:type="dxa"/>
          <w:bottom w:w="28" w:type="dxa"/>
          <w:right w:w="28" w:type="dxa"/>
        </w:tblCellMar>
      </w:tblPr>
      <w:tblGrid>
        <w:gridCol w:w="587"/>
        <w:gridCol w:w="516"/>
        <w:gridCol w:w="517"/>
        <w:gridCol w:w="723"/>
        <w:gridCol w:w="723"/>
        <w:gridCol w:w="1028"/>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Adam S. Pollitzer              </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S. Pollitzer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4034" w:type="dxa"/>
        <w:jc w:val="center"/>
        <w:tblInd w:w="0" w:type="dxa"/>
        <w:tblLayout w:type="fixed"/>
        <w:tblCellMar>
          <w:top w:w="28" w:type="dxa"/>
          <w:left w:w="28" w:type="dxa"/>
          <w:bottom w:w="28" w:type="dxa"/>
          <w:right w:w="28" w:type="dxa"/>
        </w:tblCellMar>
      </w:tblPr>
      <w:tblGrid>
        <w:gridCol w:w="587"/>
        <w:gridCol w:w="516"/>
        <w:gridCol w:w="517"/>
        <w:gridCol w:w="707"/>
        <w:gridCol w:w="707"/>
        <w:gridCol w:w="1000"/>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Aurora Swithenbank </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Aurora Swithenbank</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p>
      <w:pPr>
        <w:pStyle w:val="TextBody"/>
        <w:bidi w:val="0"/>
        <w:spacing w:before="18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7903/000119312524134340/d816160dex11.htm" TargetMode="External"/><Relationship Id="rId3" Type="http://schemas.openxmlformats.org/officeDocument/2006/relationships/hyperlink" Target="https://www.sec.gov/Archives/edgar/data/1547903/000154790324000111/nmih-certificateofincorpor.htm" TargetMode="External"/><Relationship Id="rId4" Type="http://schemas.openxmlformats.org/officeDocument/2006/relationships/hyperlink" Target="https://www.sec.gov/Archives/edgar/data/1547903/000154790324000111/fifthamendedandrestatedbyl.htm" TargetMode="External"/><Relationship Id="rId5" Type="http://schemas.openxmlformats.org/officeDocument/2006/relationships/hyperlink" Target="https://www.sec.gov/Archives/edgar/data/1547903/000119312524144008/d768666dex41.htm" TargetMode="External"/><Relationship Id="rId6" Type="http://schemas.openxmlformats.org/officeDocument/2006/relationships/hyperlink" Target="https://www.sec.gov/Archives/edgar/data/1547903/000119312524144008/d768666dex41.htm" TargetMode="External"/><Relationship Id="rId7" Type="http://schemas.openxmlformats.org/officeDocument/2006/relationships/hyperlink" Target="https://www.sec.gov/Archives/edgar/data/1547903/000119312524144008/d768666dex42.htm" TargetMode="External"/><Relationship Id="rId8" Type="http://schemas.openxmlformats.org/officeDocument/2006/relationships/hyperlink" Target="https://www.sec.gov/Archives/edgar/data/1547903/000119312524144008/d768666dex42.htm" TargetMode="External"/><Relationship Id="rId9" Type="http://schemas.openxmlformats.org/officeDocument/2006/relationships/hyperlink" Target="https://www.sec.gov/Archives/edgar/data/1547903/000154790324000139/exhibit44nmihdescriptionof.htm" TargetMode="External"/><Relationship Id="rId10" Type="http://schemas.openxmlformats.org/officeDocument/2006/relationships/hyperlink" Target="https://www.sec.gov/Archives/edgar/data/1547903/000154790313000020/a101nmiholdingsinc2012stoc.htm" TargetMode="External"/><Relationship Id="rId11" Type="http://schemas.openxmlformats.org/officeDocument/2006/relationships/hyperlink" Target="https://www.sec.gov/Archives/edgar/data/1547903/000154790313000020/a105formofnonqualifiedstoc.htm" TargetMode="External"/><Relationship Id="rId12" Type="http://schemas.openxmlformats.org/officeDocument/2006/relationships/hyperlink" Target="https://www.sec.gov/Archives/edgar/data/1547903/000154790313000020/a106formofnonqualifiedstoc.htm" TargetMode="External"/><Relationship Id="rId13" Type="http://schemas.openxmlformats.org/officeDocument/2006/relationships/hyperlink" Target="https://www.sec.gov/Archives/edgar/data/1547903/000154790313000020/a107formofnonqualifiedstoc.htm" TargetMode="External"/><Relationship Id="rId14" Type="http://schemas.openxmlformats.org/officeDocument/2006/relationships/hyperlink" Target="https://www.sec.gov/Archives/edgar/data/1547903/000154790317000032/exhibit108-2012stockincent.htm" TargetMode="External"/><Relationship Id="rId15" Type="http://schemas.openxmlformats.org/officeDocument/2006/relationships/hyperlink" Target="https://www.sec.gov/Archives/edgar/data/1547903/000154790317000032/exhibit109-2012stockincent.htm" TargetMode="External"/><Relationship Id="rId16" Type="http://schemas.openxmlformats.org/officeDocument/2006/relationships/hyperlink" Target="https://www.sec.gov/Archives/edgar/data/1547903/000154790319000064/exhibit1032.htm" TargetMode="External"/><Relationship Id="rId17" Type="http://schemas.openxmlformats.org/officeDocument/2006/relationships/hyperlink" Target="https://www.sec.gov/ix?doc=/Archives/edgar/data/1547903/000154790324000103/nmih-20240331.htm" TargetMode="External"/><Relationship Id="rId18" Type="http://schemas.openxmlformats.org/officeDocument/2006/relationships/hyperlink" Target="https://www.sec.gov/Archives/edgar/data/1547903/000154790317000100/ex1023nqsceo.htm" TargetMode="External"/><Relationship Id="rId19" Type="http://schemas.openxmlformats.org/officeDocument/2006/relationships/hyperlink" Target="https://www.sec.gov/Archives/edgar/data/1547903/000154790317000100/ex1024nqseoee.htm" TargetMode="External"/><Relationship Id="rId20" Type="http://schemas.openxmlformats.org/officeDocument/2006/relationships/hyperlink" Target="https://www.sec.gov/Archives/edgar/data/1547903/000154790320000045/ex1038202010q.htm" TargetMode="External"/><Relationship Id="rId21" Type="http://schemas.openxmlformats.org/officeDocument/2006/relationships/hyperlink" Target="https://www.sec.gov/Archives/edgar/data/1547903/000154790325000026/ex1012rsuagreementforindep.htm" TargetMode="External"/><Relationship Id="rId22" Type="http://schemas.openxmlformats.org/officeDocument/2006/relationships/hyperlink" Target="https://www.sec.gov/Archives/edgar/data/1547903/000154790319000064/exhibit1034.htm" TargetMode="External"/><Relationship Id="rId23" Type="http://schemas.openxmlformats.org/officeDocument/2006/relationships/hyperlink" Target="https://www.sec.gov/Archives/edgar/data/1547903/000154790324000035/ex1022ye2023rsuawardagreem.htm" TargetMode="External"/><Relationship Id="rId24" Type="http://schemas.openxmlformats.org/officeDocument/2006/relationships/hyperlink" Target="https://www.sec.gov/Archives/edgar/data/1547903/000154790324000035/ex1023ye2023rsuawardagreem.htm" TargetMode="External"/><Relationship Id="rId25" Type="http://schemas.openxmlformats.org/officeDocument/2006/relationships/hyperlink" Target="https://www.sec.gov/Archives/edgar/data/1547903/000154790324000035/ex1024ye2023rsuawardagreem.htm" TargetMode="External"/><Relationship Id="rId26" Type="http://schemas.openxmlformats.org/officeDocument/2006/relationships/hyperlink" Target="https://www.sec.gov/Archives/edgar/data/1547903/000154790319000064/exhibit1035.htm" TargetMode="External"/><Relationship Id="rId27" Type="http://schemas.openxmlformats.org/officeDocument/2006/relationships/hyperlink" Target="https://www.sec.gov/Archives/edgar/data/1547903/000154790325000026/ex1018rsuagreementforexecu.htm" TargetMode="External"/><Relationship Id="rId28" Type="http://schemas.openxmlformats.org/officeDocument/2006/relationships/hyperlink" Target="https://www.sec.gov/Archives/edgar/data/1547903/000154790325000026/ex1019rsuagreementforemplo.htm" TargetMode="External"/><Relationship Id="rId29" Type="http://schemas.openxmlformats.org/officeDocument/2006/relationships/hyperlink" Target="https://www.sec.gov/Archives/edgar/data/1547903/000154790325000026/ex1020rsuagreementperforma.htm" TargetMode="External"/><Relationship Id="rId30" Type="http://schemas.openxmlformats.org/officeDocument/2006/relationships/hyperlink" Target="https://www.sec.gov/Archives/edgar/data/1547903/000154790314000146/exhibit101november252014.htm" TargetMode="External"/><Relationship Id="rId31" Type="http://schemas.openxmlformats.org/officeDocument/2006/relationships/hyperlink" Target="https://www.sec.gov/Archives/edgar/data/1547903/000154790316000230/exhibit1010leatherberrybil.htm" TargetMode="External"/><Relationship Id="rId32" Type="http://schemas.openxmlformats.org/officeDocument/2006/relationships/hyperlink" Target="https://www.sec.gov/Archives/edgar/data/1547903/000154790318000137/exhibit101shuster.htm" TargetMode="External"/><Relationship Id="rId33" Type="http://schemas.openxmlformats.org/officeDocument/2006/relationships/hyperlink" Target="https://www.sec.gov/Archives/edgar/data/0001547903/000154790321000153/exhibit101-nmihxapollitz.htm" TargetMode="External"/><Relationship Id="rId34" Type="http://schemas.openxmlformats.org/officeDocument/2006/relationships/hyperlink" Target="https://www.sec.gov/Archives/edgar/data/0001547903/000154790321000188/rmallelaofferletter.htm" TargetMode="External"/><Relationship Id="rId35" Type="http://schemas.openxmlformats.org/officeDocument/2006/relationships/hyperlink" Target="https://www.sec.gov/Archives/edgar/data/1547903/000154790324000041/nmih-aswithenbankofferlett.htm" TargetMode="External"/><Relationship Id="rId36" Type="http://schemas.openxmlformats.org/officeDocument/2006/relationships/hyperlink" Target="https://www.sec.gov/Archives/edgar/data/1547903/000154790324000041/nmih-rmallelaseparationagr.htm" TargetMode="External"/><Relationship Id="rId37" Type="http://schemas.openxmlformats.org/officeDocument/2006/relationships/hyperlink" Target="https://www.sec.gov/Archives/edgar/data/1547903/000154790313000020/a1014commitmentletterforbu.htm" TargetMode="External"/><Relationship Id="rId38" Type="http://schemas.openxmlformats.org/officeDocument/2006/relationships/hyperlink" Target="https://www.sec.gov/Archives/edgar/data/1547903/000154790324000103/ex1031q12024.htm" TargetMode="External"/><Relationship Id="rId39" Type="http://schemas.openxmlformats.org/officeDocument/2006/relationships/hyperlink" Target="https://www.sec.gov/Archives/edgar/data/1547903/000154790325000026/ex191insidertradingandinfo.htm" TargetMode="External"/><Relationship Id="rId40" Type="http://schemas.openxmlformats.org/officeDocument/2006/relationships/hyperlink" Target="https://www.sec.gov/Archives/edgar/data/1547903/000154790315000133/exhibit211subsidiariesofnm.htm" TargetMode="External"/><Relationship Id="rId41" Type="http://schemas.openxmlformats.org/officeDocument/2006/relationships/hyperlink" Target="https://www.sec.gov/Archives/edgar/data/1547903/000154790324000035/ex971ye2023compensationrec.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39991</Words>
  <Characters>215262</Characters>
  <CharactersWithSpaces>253091</CharactersWithSpaces>
  <Paragraphs>4356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