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41910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2016</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 SECURITIES EXCHANGE ACT OF 1934</w:t>
            </w:r>
          </w:p>
        </w:tc>
      </w:tr>
      <w:tr>
        <w:trPr>
          <w:trHeight w:val="194"/>
        </w:trPr>
        <w:tc>
          <w:tcPr>
            <w:tcW w:w="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w:t>
            </w:r>
          </w:p>
        </w:tc>
        <w:tc>
          <w:tcPr>
            <w:tcW w:w="248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6"/>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Times New Roman" w:cs="Times New Roman" w:eastAsia="Times New Roman" w:hAnsi="Times New Roman"/>
                <w:sz w:val="32"/>
                <w:szCs w:val="32"/>
                <w:b w:val="1"/>
                <w:bCs w:val="1"/>
                <w:color w:val="auto"/>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3"/>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040" w:type="dxa"/>
            <w:vAlign w:val="bottom"/>
          </w:tcPr>
          <w:p>
            <w:pPr>
              <w:spacing w:after="0"/>
              <w:rPr>
                <w:sz w:val="16"/>
                <w:szCs w:val="16"/>
                <w:color w:val="auto"/>
              </w:rPr>
            </w:pPr>
          </w:p>
        </w:tc>
      </w:tr>
      <w:tr>
        <w:trPr>
          <w:trHeight w:val="539"/>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45-4914248</w:t>
            </w:r>
          </w:p>
        </w:tc>
      </w:tr>
      <w:tr>
        <w:trPr>
          <w:trHeight w:val="287"/>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9"/>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2100 Powell Street, Emeryville, CA</w:t>
            </w:r>
          </w:p>
        </w:tc>
        <w:tc>
          <w:tcPr>
            <w:tcW w:w="232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287"/>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0"/>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0" w:lineRule="exact"/>
        <w:rPr>
          <w:sz w:val="24"/>
          <w:szCs w:val="24"/>
          <w:color w:val="auto"/>
        </w:rPr>
      </w:pPr>
    </w:p>
    <w:p>
      <w:pPr>
        <w:spacing w:after="0" w:line="26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x NO o</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x NO o</w:t>
      </w:r>
    </w:p>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x</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$0.01 par value per share, of the registrant outstanding on October 31, 2016 was 59,138,663 shares.</w:t>
      </w:r>
    </w:p>
    <w:p>
      <w:pPr>
        <w:sectPr>
          <w:pgSz w:w="11900" w:h="16838" w:orient="portrait"/>
          <w:cols w:equalWidth="0" w:num="1">
            <w:col w:w="11420"/>
          </w:cols>
          <w:pgMar w:left="240" w:top="67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21</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Controls and Procedures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38">
              <w:r>
                <w:rPr>
                  <w:rFonts w:ascii="Times New Roman" w:cs="Times New Roman" w:eastAsia="Times New Roman" w:hAnsi="Times New Roman"/>
                  <w:sz w:val="18"/>
                  <w:szCs w:val="18"/>
                  <w:color w:val="0000EE"/>
                  <w:w w:val="88"/>
                </w:rPr>
                <w:t>38</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39</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w w:val="97"/>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Times New Roman" w:cs="Times New Roman" w:eastAsia="Times New Roman" w:hAnsi="Times New Roman"/>
                <w:sz w:val="18"/>
                <w:szCs w:val="18"/>
                <w:color w:val="0000EE"/>
                <w:w w:val="97"/>
                <w:shd w:val="clear" w:color="auto" w:fill="CCEEFF"/>
              </w:rPr>
            </w:pPr>
            <w:hyperlink w:anchor="page39">
              <w:r>
                <w:rPr>
                  <w:rFonts w:ascii="Times New Roman" w:cs="Times New Roman" w:eastAsia="Times New Roman" w:hAnsi="Times New Roman"/>
                  <w:sz w:val="18"/>
                  <w:szCs w:val="18"/>
                  <w:color w:val="0000EE"/>
                  <w:w w:val="9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Exhibits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40</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41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4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world's financial and capital markets and our access to such markets, including reinsurance;</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our existing certificates of authority in each state and the District of Columbia (D.C.) and our ability to remain a mortgage insurer in good standing in each state and D.C.;</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practices of Fannie Mae and Freddie Mac (collectively, the GSEs), including implementation of the new Private Mortgage Insurer Eligibility Requirements (PMIERs) or decisions that have the impact of decreasing or discontinuing the use of mortgage insurance as credit enhancement;</w:t>
      </w:r>
    </w:p>
    <w:p>
      <w:pPr>
        <w:spacing w:after="0" w:line="6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an eligible mortgage insurer under the PMIERs and other requirements imposed by the GSEs, which they may change at any time;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existing competitors, including governmental agencies like the Federal Housing Administration (FHA) and the Veterans Administration (VA), and potential market entry by new competitors or consolidation of existing competitors;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or changes to existing laws and regulations or their enforcement and implementation by regulators;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GSEs' role in the secondary mortgage market or other changes that could affect the residential mortgage industry generally or mortgage insurance in particular;</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lawsuits, investigations or inquiries or resolution of current lawsuits or inquiries;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and implement our capital plans, including our ability to access the reinsurance market and to enter into, and receive approval of, reinsurance arrangements on terms and conditions that are acceptable to us, the GSEs and our regulators;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diverse customer base, including the largest mortgage originators;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risk management or pricing or investment strategies;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unexpected claim and coverage issues, including claims exceeding our reserves or amounts we had expected to experience;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counter-parties, including third party reinsurers, to meet their obligations to us;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improve and continue to develop necessary information technology (IT) systems or the failure of technology providers to perform;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train and retain key personnel.</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more information regarding these risks and uncertainties as well as certain additional risks that we face, you should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our Annual Report on Form 10-K for the year ended December 31, 2015 (2015 10-K) and in Part II, Item 1A of this report, as subsequently updated in other reports we file from time to time with the U.S. Securities and Exchange Commission (SEC).</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Condensed Consolidated Balance Sheets as of September 30, 2016 and December 31, 2015</w:t>
            </w:r>
          </w:p>
        </w:tc>
        <w:tc>
          <w:tcPr>
            <w:tcW w:w="180" w:type="dxa"/>
            <w:vAlign w:val="bottom"/>
            <w:gridSpan w:val="2"/>
            <w:shd w:val="clear" w:color="auto" w:fill="CCEEFF"/>
          </w:tcPr>
          <w:p>
            <w:pPr>
              <w:jc w:val="right"/>
              <w:spacing w:after="0"/>
              <w:rPr>
                <w:rFonts w:ascii="Times New Roman" w:cs="Times New Roman" w:eastAsia="Times New Roman" w:hAnsi="Times New Roman"/>
                <w:sz w:val="18"/>
                <w:szCs w:val="18"/>
                <w:color w:val="0000EE"/>
                <w:shd w:val="clear" w:color="auto" w:fill="CCEEFF"/>
              </w:rPr>
            </w:pPr>
            <w:hyperlink w:anchor="page6">
              <w:r>
                <w:rPr>
                  <w:rFonts w:ascii="Times New Roman" w:cs="Times New Roman" w:eastAsia="Times New Roman" w:hAnsi="Times New Roman"/>
                  <w:sz w:val="18"/>
                  <w:szCs w:val="18"/>
                  <w:color w:val="0000EE"/>
                  <w:shd w:val="clear" w:color="auto" w:fill="CCEEFF"/>
                </w:rPr>
                <w:t>6</w:t>
              </w:r>
            </w:hyperlink>
          </w:p>
        </w:tc>
        <w:tc>
          <w:tcPr>
            <w:tcW w:w="20" w:type="dxa"/>
            <w:vAlign w:val="bottom"/>
            <w:shd w:val="clear" w:color="auto" w:fill="CCEEFF"/>
          </w:tcPr>
          <w:p>
            <w:pPr>
              <w:spacing w:after="0"/>
              <w:rPr>
                <w:sz w:val="22"/>
                <w:szCs w:val="22"/>
                <w:color w:val="auto"/>
              </w:rPr>
            </w:pPr>
          </w:p>
        </w:tc>
      </w:tr>
      <w:tr>
        <w:trPr>
          <w:trHeight w:val="225"/>
        </w:trPr>
        <w:tc>
          <w:tcPr>
            <w:tcW w:w="112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for the three and nine months ended September 30, 2016 and</w:t>
            </w: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94"/>
        </w:trPr>
        <w:tc>
          <w:tcPr>
            <w:tcW w:w="1122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2015</w:t>
            </w:r>
          </w:p>
        </w:tc>
        <w:tc>
          <w:tcPr>
            <w:tcW w:w="200" w:type="dxa"/>
            <w:vAlign w:val="bottom"/>
            <w:gridSpan w:val="3"/>
          </w:tcPr>
          <w:p>
            <w:pPr>
              <w:jc w:val="right"/>
              <w:ind w:right="20"/>
              <w:spacing w:after="0" w:line="194"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for the nine months ended September 30, 2016 and the year ended</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December 31, 2015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Times New Roman" w:cs="Times New Roman" w:eastAsia="Times New Roman" w:hAnsi="Times New Roman"/>
                <w:sz w:val="18"/>
                <w:szCs w:val="18"/>
                <w:color w:val="0000EE"/>
                <w:w w:val="88"/>
                <w:shd w:val="clear" w:color="auto" w:fill="CCEEFF"/>
              </w:rPr>
            </w:pPr>
            <w:hyperlink w:anchor="page8">
              <w:r>
                <w:rPr>
                  <w:rFonts w:ascii="Times New Roman" w:cs="Times New Roman" w:eastAsia="Times New Roman" w:hAnsi="Times New Roman"/>
                  <w:sz w:val="18"/>
                  <w:szCs w:val="18"/>
                  <w:color w:val="0000EE"/>
                  <w:w w:val="88"/>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30, 2016 and 2015</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10">
              <w:r>
                <w:rPr>
                  <w:rFonts w:ascii="Times New Roman" w:cs="Times New Roman" w:eastAsia="Times New Roman" w:hAnsi="Times New Roman"/>
                  <w:sz w:val="18"/>
                  <w:szCs w:val="18"/>
                  <w:color w:val="0000EE"/>
                  <w:w w:val="88"/>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1"/>
                <w:szCs w:val="21"/>
                <w:color w:val="auto"/>
              </w:rPr>
            </w:pPr>
          </w:p>
        </w:tc>
        <w:tc>
          <w:tcPr>
            <w:tcW w:w="33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r>
      <w:tr>
        <w:trPr>
          <w:trHeight w:val="23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maturities, available-for-sale, at fair value (amortized cost of $628,209 and $564,319 as of</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1"/>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September 30, 2016 and December 31, 2015, 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641,572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559,235</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57,317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5,143</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1,428</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17,530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15,201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792,166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144,230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143,939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90,773</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22,725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Reinsurance funds withheld</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 liability, at fair value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tax payable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361,897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259,720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 class A shares, $0.01 par value;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59,138,663 and 58,807,825 shares issued and outstanding as of September 30, 2016 and December 31,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41"/>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2015, respectively (250,000,000 shares authorized)</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570,340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(160,723)</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430,269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402,731</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792,166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6"/>
          <w:szCs w:val="16"/>
          <w:color w:val="auto"/>
        </w:rPr>
        <w:t>ONDENSED CONSOLIDATED STATEMENTS OF OPERATIONS AND COMPREHENSIVE INCOME (LOSS)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30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2"/>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ind w:left="240"/>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77,656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28,626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35,520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34,746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Insurance claims and claims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58,912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59,191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59,130,401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58,741,328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59,047,758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58,650,043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60,284,746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58,741,328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59,861,916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58,650,043</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unrealized gains (losses) in accumulated other</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gain (loss), net of tax (benefit) expense of $0</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 all periods presented</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adjustment for losses (gains) included in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net of tax expense of $0 for all periods presented</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i w:val="1"/>
                <w:iCs w:val="1"/>
                <w:color w:val="auto"/>
                <w:w w:val="89"/>
              </w:rPr>
              <w:t>See accompanying</w:t>
            </w: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notes to consolidated</w:t>
            </w:r>
          </w:p>
        </w:tc>
        <w:tc>
          <w:tcPr>
            <w:tcW w:w="100" w:type="dxa"/>
            <w:vAlign w:val="bottom"/>
            <w:vMerge w:val="continue"/>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financial statements.</w:t>
            </w:r>
          </w:p>
        </w:tc>
        <w:tc>
          <w:tcPr>
            <w:tcW w:w="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1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Common Stock - Class A</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34"/>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4"/>
                <w:szCs w:val="4"/>
                <w:color w:val="auto"/>
              </w:rPr>
            </w:pPr>
          </w:p>
        </w:tc>
        <w:tc>
          <w:tcPr>
            <w:tcW w:w="1200" w:type="dxa"/>
            <w:vAlign w:val="bottom"/>
            <w:vMerge w:val="restart"/>
          </w:tcPr>
          <w:p>
            <w:pPr>
              <w:jc w:val="center"/>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4"/>
                <w:szCs w:val="4"/>
                <w:color w:val="auto"/>
              </w:rPr>
            </w:pPr>
          </w:p>
        </w:tc>
        <w:tc>
          <w:tcPr>
            <w:tcW w:w="1080" w:type="dxa"/>
            <w:vAlign w:val="bottom"/>
            <w:vMerge w:val="restart"/>
          </w:tcPr>
          <w:p>
            <w:pPr>
              <w:jc w:val="right"/>
              <w:ind w:right="133"/>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3780" w:type="dxa"/>
            <w:vAlign w:val="bottom"/>
          </w:tcPr>
          <w:p>
            <w:pPr>
              <w:spacing w:after="0"/>
              <w:rPr>
                <w:sz w:val="4"/>
                <w:szCs w:val="4"/>
                <w:color w:val="auto"/>
              </w:rPr>
            </w:pPr>
          </w:p>
        </w:tc>
        <w:tc>
          <w:tcPr>
            <w:tcW w:w="12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3"/>
          </w:tcPr>
          <w:p>
            <w:pPr>
              <w:jc w:val="center"/>
              <w:ind w:right="1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January 1, 2015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58,429</w:t>
            </w:r>
          </w:p>
        </w:tc>
        <w:tc>
          <w:tcPr>
            <w:tcW w:w="92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584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562,911</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426,958</w:t>
            </w: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class A shares issued under stock</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plans, net of shares withheld for employee taxes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8,123</w:t>
            </w: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unrealized investment gains/losses, net</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tax of $0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(27,793)</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Balances, December 31, 2015</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58,808</w:t>
            </w:r>
          </w:p>
        </w:tc>
        <w:tc>
          <w:tcPr>
            <w:tcW w:w="92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588</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570,340</w:t>
            </w: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(160,723)</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402,731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Common stock: class A shares issued under stock</w:t>
            </w: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4,979</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unrealized investment gains/losses, net</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tax of $0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18,448</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18,448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4,279</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September 30, 2016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59,139</w:t>
            </w:r>
          </w:p>
        </w:tc>
        <w:tc>
          <w:tcPr>
            <w:tcW w:w="92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591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575,148</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430,269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2"/>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8"/>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40" w:type="dxa"/>
            <w:vAlign w:val="bottom"/>
          </w:tcPr>
          <w:p>
            <w:pPr>
              <w:spacing w:after="0"/>
              <w:rPr>
                <w:sz w:val="20"/>
                <w:szCs w:val="20"/>
                <w:color w:val="auto"/>
              </w:rPr>
            </w:pPr>
          </w:p>
        </w:tc>
        <w:tc>
          <w:tcPr>
            <w:tcW w:w="1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20"/>
                <w:szCs w:val="20"/>
                <w:color w:val="auto"/>
              </w:rPr>
            </w:pPr>
          </w:p>
        </w:tc>
      </w:tr>
      <w:tr>
        <w:trPr>
          <w:trHeight w:val="255"/>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4,279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(22,972)</w:t>
            </w: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Loss (gain) from change in fair value of warrant liability</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3,646</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amortization of premium on investment securities</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4,987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5,895</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Current tax payable</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w:t>
            </w: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Premiums receivable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271</w:t>
            </w: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(9,196)</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453</w:t>
            </w: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Unearned premiums</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54,628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40,003</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Reserve for insurance claims and claims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275</w:t>
            </w: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Reinsurance balances,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3,131</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52,212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16,171</w:t>
            </w:r>
          </w:p>
        </w:tc>
      </w:tr>
      <w:tr>
        <w:trPr>
          <w:trHeight w:val="29"/>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(251,056)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(111,215)</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redemptions, maturities and sale of fixed-maturity investments, available-for-sale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195,791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129,666</w:t>
            </w: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software and equipment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(4,173)</w:t>
            </w:r>
          </w:p>
        </w:tc>
      </w:tr>
      <w:tr>
        <w:trPr>
          <w:trHeight w:val="29"/>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14,278</w:t>
            </w:r>
          </w:p>
        </w:tc>
      </w:tr>
      <w:tr>
        <w:trPr>
          <w:trHeight w:val="235"/>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Issuance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415</w:t>
            </w: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Repayments of term loan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9"/>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29,770</w:t>
            </w: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57,317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103,021</w:t>
            </w:r>
          </w:p>
        </w:tc>
      </w:tr>
      <w:tr>
        <w:trPr>
          <w:trHeight w:val="244"/>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44,522</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132,791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financing activities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Interest paid</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9,669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In April 2012, we completed a private placement of our securities, through which we offered and sold an aggregate of 55,000,000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on a limited basis to mortgage loan originators.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2015, included in our 2015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2016.</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Policy Acquisition Costs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DAC is reviewed periodically to determine that it does not exceed recoverable amounts and is adjusted as appropriate for policy cancellations to be consistent with our revenue recognition policy. We estimate the rate of amortization to reflect actual experience and any changes to persistency or loss development. For each book year of business, these costs are amortized to expense in proportion to estimated gross profits over the estimated life of the policies. Total amortization of DAC for the nine months ended September 30, 2016 and 2015, net of a portion of ceding commission related to the 2016 QSR Transaction (see Note 5), was $3.4 million and $1.8 million, respectively.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 Deficiency Reserves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whether a premium deficiency exists at each fiscal quarter using best estimate assumptions as of the testing date. Per Financial Accounting Standards Board (FASB) Accounting Standards Codification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nine months ended September 30, 2016 or 2015.</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Reinsurance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premiums, losses and loss expenses that are ceded to reinsurers on bases consistent with those we use to account for the original policies we issue and pursuant to the terms of our reinsurance contracts. We account for premiums ceded to reinsurers as reductions to premium revenue. We earn profit commissions, which represent a percentage of the profits recognized by the reinsurers that are returned to us, based on the level of losses ceded. We recognize any profit commissions we earn as increases in net premium revenue.</w:t>
      </w:r>
    </w:p>
    <w:p>
      <w:pPr>
        <w:spacing w:after="0" w:line="12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receive ceding commissions, calculated as a percentage of ceded written premiums, which are intended to cover our costs to acquire and service the direct policies. We earn the ceding commissions in a manner consistent with our recognition of earnings on the underlying insurance policies, over the terms of the policies reinsured. We account for ceding commissions as reductions to underwriting and operating expenses.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We cede a portion of loss reserves, paid losses and loss expenses, which are accounted for as reductions to loss expense and as reinsurance recoverables. We remain directly liable for all loss payments in the event we are unable to collect from any reinsurer.</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This update is intended to provide a consistent approach in recognizing revenue. In accordance with the new standard, 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 beginning after December 15, 2017. The Company is currently evaluating the impact the adoption of this ASU will have, if any, on the consolidated financial statements.</w:t>
      </w:r>
    </w:p>
    <w:p>
      <w:pPr>
        <w:spacing w:after="0" w:line="1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2014, the FASB issued an update that requires an entity's management to evaluate whether there is substantial doubt about that entity's ability to continue as a going concern and, if so, disclose that fact. An entity's management will also be required to evaluate and disclose whether its plans alleviate that doubt. The guidance is effective for annual periods ending after December 15, 2016 and for interim and annual periods thereafter. We do not expect the adoption of this update to have a material effect on the presentation of our financial statements and notes therein.</w:t>
      </w:r>
    </w:p>
    <w:p>
      <w:pPr>
        <w:spacing w:after="0" w:line="12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May 2015, the FASB issued ASU 2015-09, </w:t>
      </w:r>
      <w:r>
        <w:rPr>
          <w:rFonts w:ascii="Times New Roman" w:cs="Times New Roman" w:eastAsia="Times New Roman" w:hAnsi="Times New Roman"/>
          <w:sz w:val="18"/>
          <w:szCs w:val="18"/>
          <w:i w:val="1"/>
          <w:iCs w:val="1"/>
          <w:color w:val="auto"/>
        </w:rPr>
        <w:t>Disclosures about Short-Duration Contracts</w:t>
      </w:r>
      <w:r>
        <w:rPr>
          <w:rFonts w:ascii="Times New Roman" w:cs="Times New Roman" w:eastAsia="Times New Roman" w:hAnsi="Times New Roman"/>
          <w:sz w:val="18"/>
          <w:szCs w:val="18"/>
          <w:color w:val="auto"/>
        </w:rPr>
        <w:t xml:space="preserve"> (Topic 944), which requires insurance entities to disclose additional information related to the liability for unpaid claims and claims adjustment expenses. These disclosures include the nature, amount, timing and uncertainty of cash flows related to those liabilities and the effects of those cash flows on comprehensive income. This update is effective for annual periods beginning after December 15, 2015 and interim periods within annual periods beginning after December 15, 2016. We do not expect the adoption of this update to have a material effect on the presentation of our financial statements and notes therein.</w:t>
      </w:r>
    </w:p>
    <w:p>
      <w:pPr>
        <w:spacing w:after="0" w:line="12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The Company is currently evaluating the impact the adoption of this ASU will have on the consolidated financial statements.</w:t>
      </w:r>
    </w:p>
    <w:p>
      <w:pPr>
        <w:spacing w:after="0" w:line="1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 This update is intended to provide improvements to employee share-based payment accounting. The areas for simplification in the update involve several aspects of the accounting for share-based payment transactions, including the income tax consequences, classification of awards as either equity or liabilities, and classification on the statement of cash flows. For public business entities, the amendments in this update are effective for annual periods beginning after December 15, 2016, and interim periods within those annual periods. Early adoption is permitted in any period. The Company is currently evaluating the impact the adoption of this ASU will have on the consolidated financial statements.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This update requires companies to measure all expected credit losses for financial assets held at the reporting date. The accounting for credit losses on available-for-sale debt securities and purchased financial assets with credit deterioration also is amended in the standard. The standard will take effect for public business entities for fiscal years, and interim periods within those fiscal years, beginning after December 15, 2019. The Company is currently evaluating the impact the adoption of this ASU will have on the presentation of the consolidated financial statements.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(Topic 230). This update is intended to reduce diversity in practice in how certain cash receipts and cash payments are presented and classified in the statement of cash flows. The standard will take effect for public business entities for fiscal years, and interim periods within those fiscal years, beginning after December 15, 2017. The Company is currently evaluating the impact the adoption of this ASU will have on the presentation of the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loss in shareholders' equity. Net realized investment gains and losses are reported in income based upon specific identification of securities sold.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Values and Gross Unrealized Gains and Losses on Investments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57,338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57,877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40,057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336,113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346,329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120,429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122,069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553,937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567,208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74,272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74,364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628,209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13,713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641,572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84,968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543,770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538,681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20,554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564,319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559,235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2016 and December 31, 2015, there were approximately $6.9 million and $7.0 million, respectively, of cash and investments in the form of U.S. Treasury securities on deposit with various state insurance departments to satisfy regulatory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values of available for sale securities as of September 30, 2016 and December 31, 2015,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3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3"/>
                <w:szCs w:val="13"/>
                <w:color w:val="auto"/>
              </w:rPr>
            </w:pPr>
          </w:p>
        </w:tc>
        <w:tc>
          <w:tcPr>
            <w:tcW w:w="116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100,443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100,556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158,761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161,063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238,559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248,040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120,429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122,069</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628,209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641,572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32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3"/>
                <w:szCs w:val="13"/>
                <w:color w:val="auto"/>
              </w:rPr>
            </w:pPr>
          </w:p>
        </w:tc>
        <w:tc>
          <w:tcPr>
            <w:tcW w:w="116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62,745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62,743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187,633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186,629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193,379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190,055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19,015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101,320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100,793</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564,319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559,235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Aging of Unrealized Losses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2016, the investment portfolio had gross unrealized losses of $0.3 million, $0.2 million of which has been in an unrealized loss position for a period of 12 months or greater. We did not consider these securities to be other-than-temporarily impaired as of September 30, 2016. We based our conclusion that these investments were not other-than-temporarily impaired as of September 30, 2016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of Securities</w:t>
            </w:r>
          </w:p>
        </w:tc>
        <w:tc>
          <w:tcPr>
            <w:tcW w:w="8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6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00" w:type="dxa"/>
            <w:vAlign w:val="bottom"/>
          </w:tcPr>
          <w:p>
            <w:pPr>
              <w:spacing w:after="0"/>
              <w:rPr>
                <w:sz w:val="12"/>
                <w:szCs w:val="12"/>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of Securities</w:t>
            </w:r>
          </w:p>
        </w:tc>
        <w:tc>
          <w:tcPr>
            <w:tcW w:w="8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6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00" w:type="dxa"/>
            <w:vAlign w:val="bottom"/>
          </w:tcPr>
          <w:p>
            <w:pPr>
              <w:spacing w:after="0"/>
              <w:rPr>
                <w:sz w:val="12"/>
                <w:szCs w:val="12"/>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244,128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253,348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6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40" w:type="dxa"/>
            <w:vAlign w:val="bottom"/>
          </w:tcPr>
          <w:p>
            <w:pPr>
              <w:spacing w:after="0"/>
              <w:rPr>
                <w:sz w:val="16"/>
                <w:szCs w:val="16"/>
                <w:color w:val="auto"/>
              </w:rPr>
            </w:pPr>
          </w:p>
        </w:tc>
        <w:tc>
          <w:tcPr>
            <w:tcW w:w="30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expenses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i w:val="1"/>
                <w:iCs w:val="1"/>
                <w:color w:val="auto"/>
              </w:rPr>
              <w:t>Net Realized Investment Gains (Losses)</w:t>
            </w: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4240" w:type="dxa"/>
            <w:vAlign w:val="bottom"/>
          </w:tcPr>
          <w:p>
            <w:pPr>
              <w:spacing w:after="0"/>
              <w:rPr>
                <w:sz w:val="24"/>
                <w:szCs w:val="24"/>
                <w:color w:val="auto"/>
              </w:rPr>
            </w:pPr>
          </w:p>
        </w:tc>
        <w:tc>
          <w:tcPr>
            <w:tcW w:w="36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40" w:type="dxa"/>
            <w:vAlign w:val="bottom"/>
          </w:tcPr>
          <w:p>
            <w:pPr>
              <w:spacing w:after="0"/>
              <w:rPr>
                <w:sz w:val="24"/>
                <w:szCs w:val="24"/>
                <w:color w:val="auto"/>
              </w:rPr>
            </w:pPr>
          </w:p>
        </w:tc>
        <w:tc>
          <w:tcPr>
            <w:tcW w:w="30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realized investment gains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realized investment losses</w:t>
            </w:r>
          </w:p>
        </w:tc>
        <w:tc>
          <w:tcPr>
            <w:tcW w:w="112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those assets and liabilities that are measured at fair value by hierarchy level:</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2016</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57,877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40,933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346,329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346,329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122,069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122,069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118,886</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164,284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521,810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686,094</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2015</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19,297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20,079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333,327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100,793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77,872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473,496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616,553</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is a roll-forward of Level 3 liabilities measured at fair value: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 included in earnings</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revalue the warrant liability quarterly using a Black-Scholes option-pricing model, in combination with a binomial model, and we value the pricing protection features within the warrants using a Monte-Carlo simulation model. As of September 30, 2016, the assumptions used in the option-pricing model were as follows: a common stock price as of September 30, 2016 of $7.62, risk free interest rate of 1.15%, expected life of 5.08 years, expected volatility of 33.1% and a dividend yield of 0%. The change in fair value is primarily attributable to an increase in the price of our common stock from December 31, 2015 to September 30, 2016.</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Term Loan</w:t>
      </w:r>
    </w:p>
    <w:p>
      <w:pPr>
        <w:spacing w:after="0" w:line="175" w:lineRule="exact"/>
        <w:rPr>
          <w:sz w:val="20"/>
          <w:szCs w:val="20"/>
          <w:color w:val="auto"/>
        </w:rPr>
      </w:pPr>
    </w:p>
    <w:p>
      <w:pPr>
        <w:ind w:right="320" w:firstLine="648"/>
        <w:spacing w:after="0" w:line="276" w:lineRule="auto"/>
        <w:rPr>
          <w:sz w:val="20"/>
          <w:szCs w:val="20"/>
          <w:color w:val="auto"/>
        </w:rPr>
      </w:pPr>
      <w:r>
        <w:rPr>
          <w:rFonts w:ascii="Times New Roman" w:cs="Times New Roman" w:eastAsia="Times New Roman" w:hAnsi="Times New Roman"/>
          <w:sz w:val="17"/>
          <w:szCs w:val="17"/>
          <w:color w:val="auto"/>
        </w:rPr>
        <w:t>On November 10, 2015, we entered into a credit agreement (the Credit Agreement) to obtain a three-year senior secured term loan B (the Term Loan) for $150 million. The Term Loan bears interest at the Eurodollar Rate, as defined in the Credit Agreement, (1% floor) plus an annual margin rate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(an all-in rate of 8.5% from inception through September 30, 2016), payable quarterly. Quarterly principal payments of $375 thousand are also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as of September 30, 2016 was $148.5 million.</w:t>
      </w:r>
    </w:p>
    <w:p>
      <w:pPr>
        <w:spacing w:after="0" w:line="15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Debt issuance costs totaling $4.4 million and a 1% debt discount are being amortized to interest expense, using the effective interest method, over the contractual life of the Term Loan. Effective interest rate for the Term Loan includes interest, amortization of issuance cost and the discount. For the nine months ended September 30, 2016, the Company recorded $11.1 million of interest expense, including amortization of the issuance cost and discount.</w:t>
      </w:r>
    </w:p>
    <w:p>
      <w:pPr>
        <w:spacing w:after="0" w:line="12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NMIH is subject to certain quarterly covenants under the Credit Agreement. These covenants include, but are not limited to the following: a maximum debt-to-total capitalization ratio (as defined) of 35%, maximum risk-to-capital (RTC) ratio of 22.0:1.0, liquidity (as defined) of $28.4 million as of September 30, 2016, compliance with the PMIERs financial requirements (subject to any GSE-approved waivers), and equity requirements. This description is not intended to be complete in all respects and is qualified in its entirety by the terms of the Credit Agreement, including its covenants and events of default. We were in compliance with all covenants as of September 30, 2016.</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principal payments for the Company's Term Loan as of September 30, 2016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22"/>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4"/>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146,625</w:t>
            </w: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148,500</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w:t>
      </w:r>
    </w:p>
    <w:p>
      <w:pPr>
        <w:spacing w:after="0" w:line="173"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September 2016, in order to continue to grow our business and manage insurance risk and our </w:t>
      </w:r>
      <w:r>
        <w:rPr>
          <w:rFonts w:ascii="Times New Roman" w:cs="Times New Roman" w:eastAsia="Times New Roman" w:hAnsi="Times New Roman"/>
          <w:sz w:val="18"/>
          <w:szCs w:val="18"/>
          <w:i w:val="1"/>
          <w:iCs w:val="1"/>
          <w:color w:val="auto"/>
        </w:rPr>
        <w:t>minimum required assets</w:t>
      </w:r>
      <w:r>
        <w:rPr>
          <w:rFonts w:ascii="Times New Roman" w:cs="Times New Roman" w:eastAsia="Times New Roman" w:hAnsi="Times New Roman"/>
          <w:sz w:val="18"/>
          <w:szCs w:val="18"/>
          <w:color w:val="auto"/>
        </w:rPr>
        <w:t xml:space="preserve"> under PMIERs financial requirements, the Company entered into a quota-share reinsurance transaction with a panel of third-party reinsurers, subject to certain conditions (2016 QSR Transaction). Each of the third-party reinsurers has an insurer financial strength rating of A- or better by Standard and Poor’s Rating Services (S&amp;P), A.M.</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Best or both. The GSEs and the Wisconsin Office of the Commissioner of Insurance (Wisconsin OCI) approved the 2016 QSR Transaction (subject to certain conditions), giving full capital credit under PMIERs and statutory accounting principles, respectively, for the risk ceded under the agreement. The credit that we receive under PMIERs is subject to periodic review by the GSEs.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2016 QSR Transaction, effective September 1, 2016, NMIC ceded premiums related to:</w:t>
      </w:r>
    </w:p>
    <w:p>
      <w:pPr>
        <w:spacing w:after="0" w:line="252" w:lineRule="exact"/>
        <w:rPr>
          <w:sz w:val="20"/>
          <w:szCs w:val="20"/>
          <w:color w:val="auto"/>
        </w:rPr>
      </w:pPr>
    </w:p>
    <w:p>
      <w:pPr>
        <w:ind w:left="720" w:hanging="388"/>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25% of existing risk written on eligible policies as of August 31, 2016;</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our existing risk under our pool agreement with Fannie Mae;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risk on eligible policies written from September 1, 2016 through December 31, 2017.</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39"/>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premiums written and earned, net of reinsurance, is as follows:</w:t>
      </w: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64"/>
        </w:trPr>
        <w:tc>
          <w:tcPr>
            <w:tcW w:w="7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7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80" w:type="dxa"/>
            <w:vAlign w:val="bottom"/>
            <w:gridSpan w:val="4"/>
          </w:tcPr>
          <w:p>
            <w:pPr>
              <w:jc w:val="right"/>
              <w:ind w:right="119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75"/>
        </w:trPr>
        <w:tc>
          <w:tcPr>
            <w:tcW w:w="768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 xml:space="preserve">Net premiums written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96,190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68,629</w:t>
            </w:r>
          </w:p>
        </w:tc>
      </w:tr>
      <w:tr>
        <w:trPr>
          <w:trHeight w:val="243"/>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unearned premiums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w:t>
            </w: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77,656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28,626</w:t>
            </w: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800" w:hanging="144"/>
        <w:spacing w:after="0"/>
        <w:tabs>
          <w:tab w:leader="none" w:pos="80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ceded premiums written under the 2016 QSR Transaction.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64"/>
        </w:trPr>
        <w:tc>
          <w:tcPr>
            <w:tcW w:w="7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45"/>
        </w:trPr>
        <w:tc>
          <w:tcPr>
            <w:tcW w:w="7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8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5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premiums written</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133,526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68,629</w:t>
            </w:r>
          </w:p>
        </w:tc>
        <w:tc>
          <w:tcPr>
            <w:tcW w:w="0" w:type="dxa"/>
            <w:vAlign w:val="bottom"/>
          </w:tcPr>
          <w:p>
            <w:pPr>
              <w:spacing w:after="0"/>
              <w:rPr>
                <w:sz w:val="1"/>
                <w:szCs w:val="1"/>
                <w:color w:val="auto"/>
              </w:rPr>
            </w:pPr>
          </w:p>
        </w:tc>
      </w:tr>
      <w:tr>
        <w:trPr>
          <w:trHeight w:val="243"/>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Ceded</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premiums written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96,190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68,629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78,900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28,626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Ceded</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77,656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28,626</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The following tables show the amounts ceded related to the 2016 QSR Transaction:</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64"/>
        </w:trPr>
        <w:tc>
          <w:tcPr>
            <w:tcW w:w="7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45"/>
        </w:trPr>
        <w:tc>
          <w:tcPr>
            <w:tcW w:w="7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8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5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Ceded risk-in-force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1,685,145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Ceded premiums written</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Ceded premiums earned</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Ceding commission written</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Ceding commission earned</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NMIC receives a 20% ceding commission for premiums ceded pursuant to this transaction. NMIC will also receive a profit commission, provided that the loss ratio on the loans covered under the agreement generally remains below 60%, as measured annually. Losses on the ceded risk reduce NMIC's profit commission on a dollar-for-dollar basis.</w:t>
      </w:r>
    </w:p>
    <w:p>
      <w:pPr>
        <w:spacing w:after="0" w:line="136"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8"/>
          <w:szCs w:val="18"/>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Ceded premiums written are recorded on the balance sheet as prepaid reinsurance premiums and amortized to ceded premiums earned in a manner consistent with the recognition of income on direct premiums.</w:t>
      </w:r>
    </w:p>
    <w:p>
      <w:pPr>
        <w:spacing w:after="0" w:line="11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reinsurance recoverable on loss reserves related to our 2016 QSR Transaction was $90 thousand as of September 30, 2016. The reinsurance recoverable balance is further secured by trust accounts established and maintained by each reinsurer in accordance with the PMIERs funding requirements that address ceded risk.</w:t>
      </w:r>
    </w:p>
    <w:p>
      <w:pPr>
        <w:spacing w:after="0" w:line="12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agreement is scheduled to terminate on December 31, 2027, except with respect to the ceded pool risk, which is scheduled to terminate on August 31, 2023. However, NMIC has the option, based on certain conditions and subject to a</w:t>
      </w:r>
    </w:p>
    <w:p>
      <w:pPr>
        <w:sectPr>
          <w:pgSz w:w="11900" w:h="16838" w:orient="portrait"/>
          <w:cols w:equalWidth="0" w:num="1">
            <w:col w:w="11280"/>
          </w:cols>
          <w:pgMar w:left="240" w:top="121" w:right="379" w:bottom="1440" w:gutter="0" w:footer="0" w:header="0"/>
        </w:sect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80"/>
          </w:cols>
          <w:pgMar w:left="240" w:top="121" w:right="37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termination fee, to terminate the agreement as of December 31, 2020, or at the end of any calendar quarter thereafter, which would result in NMIC reassuming the related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Reserves for Insurance Claims and Claims Expenses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establish claim reserves to recognize the estimated liability for insurance claims and claim expenses related to defaults on insured mortgage loans. Our method, consistent with industry practice, is to establish claim reserves only for loans that have been reported to us as having been in default for at least 60 days. Our claim reserves also include amounts for estimated claims incurred on loans that have been in default for at least 60 days that have not yet been reported to us by the servicers, often referred to as IBNR. As of September 30, 2016, we have established reserves for insurance claims and claims expenses of $2.1 million for 115 primary loans in default. We paid 3 claims totaling $93 thousand during the quarter ended September 30, 2016.</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2013, we entered into a pool insurance transaction with Fannie Mae. We only establish claim or IBNR reserves for pool risk if we expect claims to exceed the deductible under the pool agreement, which represents the amount of claims absorbed by Fannie Mae before we are obligated to pay any claims. At September 30, 2016, 46 loans in the pool were past due by 60 days or more. These 46 loans represent approximately $3.2 million in risk-in-force (RIF). Due to the size of the remaining deductible of $10.2 million, the low level of notices of default (NODs) reported through September 30, 2016 and the expected severity (all loans in the pool have loan-to-value ratios (LTVs) under 80%), we have not established any pool reserves for claims or IBNR for the three and nine months ended September 30, 2016 and 2015. In connection with settlement of pool claims, we applied $165 thousand to the pool deductible through September 30, 2016. We have not paid any pool claims to date.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primary insurance claims and claims expenses: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42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0" w:type="dxa"/>
            <w:vAlign w:val="bottom"/>
            <w:gridSpan w:val="3"/>
          </w:tcPr>
          <w:p>
            <w:pPr>
              <w:jc w:val="right"/>
              <w:ind w:right="81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7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5"/>
                <w:szCs w:val="25"/>
                <w:color w:val="auto"/>
                <w:vertAlign w:val="superscript"/>
              </w:rPr>
              <w:t>(1)</w:t>
            </w:r>
          </w:p>
        </w:tc>
        <w:tc>
          <w:tcPr>
            <w:tcW w:w="11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64"/>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1100" w:type="dxa"/>
            <w:vAlign w:val="bottom"/>
            <w:tcBorders>
              <w:top w:val="single" w:sz="8" w:color="auto"/>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claims incurred: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5"/>
                <w:szCs w:val="25"/>
                <w:color w:val="auto"/>
                <w:vertAlign w:val="superscript"/>
              </w:rPr>
              <w:t>(3)</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and claims expenses incurred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claims paid: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5"/>
                <w:szCs w:val="25"/>
                <w:color w:val="auto"/>
                <w:vertAlign w:val="superscript"/>
              </w:rPr>
              <w:t>(3)</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79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5"/>
                <w:szCs w:val="25"/>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Related to ceded losses recoverable on the 2016 QSR Transaction. To date, ceded losses have been immaterial. See Note 5 for additional information.</w:t>
      </w:r>
    </w:p>
    <w:p>
      <w:pPr>
        <w:spacing w:after="0" w:line="23" w:lineRule="exact"/>
        <w:rPr>
          <w:rFonts w:ascii="Times New Roman" w:cs="Times New Roman" w:eastAsia="Times New Roman" w:hAnsi="Times New Roman"/>
          <w:sz w:val="24"/>
          <w:szCs w:val="24"/>
          <w:color w:val="auto"/>
          <w:vertAlign w:val="superscript"/>
        </w:rPr>
      </w:pPr>
    </w:p>
    <w:p>
      <w:pPr>
        <w:ind w:left="200" w:hanging="192"/>
        <w:spacing w:after="0" w:line="182" w:lineRule="auto"/>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Related to defaults occurring in the current year.</w:t>
      </w:r>
    </w:p>
    <w:p>
      <w:pPr>
        <w:spacing w:after="0" w:line="24"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Related to defaults occurring in prior years.</w:t>
      </w:r>
    </w:p>
    <w:p>
      <w:pPr>
        <w:spacing w:after="0" w:line="15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was a $214 thousand favorable prior year development during the nine months ended September 30, 2016 as a result of NOD cures and ongoing analysis of recent loss development trends. We may increase or decrease our original estimates as we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learn additional information about individual defaults and claims. There were $240 thousand of reserves remaining for defaults occurring in prior years as of September 30, 2016 as a result of the aforementioned favorable prior year development and claim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(Loss) per Share (EPS)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based on the weighted average number of shares of common stock outstanding, while diluted earning (loss) per share is based on the weighted average number of shares of common stock outstanding and common stock equivalents that would be issuable upon the exercise of stock options, other share-based compensation arrangements, and the dilutive effect of outstanding warrants. The following table reconciles the net income and the weighted average shares of common stock outstanding used in the computations of basic and diluted earnings (loss) per share of common stock:</w:t>
      </w:r>
    </w:p>
    <w:p>
      <w:pPr>
        <w:spacing w:after="0" w:line="200" w:lineRule="exact"/>
        <w:rPr>
          <w:sz w:val="20"/>
          <w:szCs w:val="20"/>
          <w:color w:val="auto"/>
        </w:rPr>
      </w:pP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82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4"/>
        </w:trPr>
        <w:tc>
          <w:tcPr>
            <w:tcW w:w="50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00" w:type="dxa"/>
            <w:vAlign w:val="bottom"/>
            <w:gridSpan w:val="5"/>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w:t>
            </w:r>
          </w:p>
        </w:tc>
      </w:tr>
      <w:tr>
        <w:trPr>
          <w:trHeight w:val="297"/>
        </w:trPr>
        <w:tc>
          <w:tcPr>
            <w:tcW w:w="50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59,130,401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58,741,328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59,047,758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58,650,043</w:t>
            </w: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1,154,345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814,158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60,284,746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58,741,328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59,861,916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58,650,043</w:t>
            </w:r>
          </w:p>
        </w:tc>
      </w:tr>
      <w:tr>
        <w:trPr>
          <w:trHeight w:val="297"/>
        </w:trPr>
        <w:tc>
          <w:tcPr>
            <w:tcW w:w="50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2016, 4,012,046 of our common stock equivalents we issued under share-based compensation arrangements and warrants were not included in the calculation of diluted earnings (loss) per share because they were anti-dilutive. Non-vested shares of 1,154,345 and 814,158 were included in our weighted average number of common shares outstanding for the three and nine months ended September 30, 2016, respectively.</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our net losses for the three and nine months ended September 30, 2015, 6,823,234 of our common stock equivalents we issued under share-based compensation arrangements and warrants were not included in the calculation of diluted earnings (loss) per share as of such dates because they were anti-dilutive.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issued 992,000 warrants in connection with our Private Placement. Each warrant gives the holder thereof the right to purchase one share of common stock at an exercise price equal to $10.00. The warrants were issued with an aggregate fair value of $5.1 million.</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exercise of these warrants, the amounts will be treated as additional paid-in capital. During the first quarter of 2014, 7,790 warrants were exercised, and we issued 1,115 Class A common shares via a cashless exercise. Upon exercise we recognized a gain of approximately $37 thousand. No warrants were exercised during the nine months ended September 30, 2016 and 2015.</w:t>
      </w:r>
    </w:p>
    <w:p>
      <w:pPr>
        <w:spacing w:after="0" w:line="1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account for these warrants to purchase our common shares in accordance with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 and Hedging - Contracts in Entity's Own Equity.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U.S. taxpayer and are subject to a statutory U.S. federal corporate income tax rate of 35%. Our holding company files a consolidated U.S. federal and various state income tax returns on behalf of itself and its subsidiaries. Our provision for income taxes for the interim reporting periods are based on an estimated effective tax rate for the year ending December 31, 2016, after the consideration of expected usage of net operating losses. Our effective tax rate on our pre-tax income was 1.8% and 2.6% for the three and nine months ended September 30, 2016, respectively, compared to 0.0% for the comparable 2015 periods. The increase in the effective tax rates for the three and nine months ended September 30, 2016, against the comparable 2015 period was the result of income reported in the current year periods.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Statutory Information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insurance subsidiaries, NMIC and Re One, file financial statements in conformity with statutory basis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NMIC and Re One's combined statutory net loss, statutory surplus, contingency reserve and risk-to-capital (RTC) ratios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and for the nine months and year ended</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123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(23,808)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surplus</w:t>
            </w:r>
          </w:p>
        </w:tc>
        <w:tc>
          <w:tcPr>
            <w:tcW w:w="180" w:type="dxa"/>
            <w:vAlign w:val="bottom"/>
          </w:tcPr>
          <w:p>
            <w:pPr>
              <w:spacing w:after="0"/>
              <w:rPr>
                <w:sz w:val="21"/>
                <w:szCs w:val="21"/>
                <w:color w:val="auto"/>
              </w:rPr>
            </w:pPr>
          </w:p>
        </w:tc>
        <w:tc>
          <w:tcPr>
            <w:tcW w:w="15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367,987</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391,422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Contingency reserve</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72,014</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32,564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Risk-to-Capital</w:t>
            </w:r>
          </w:p>
        </w:tc>
        <w:tc>
          <w:tcPr>
            <w:tcW w:w="180" w:type="dxa"/>
            <w:vAlign w:val="bottom"/>
          </w:tcPr>
          <w:p>
            <w:pPr>
              <w:spacing w:after="0"/>
              <w:rPr>
                <w:sz w:val="21"/>
                <w:szCs w:val="21"/>
                <w:color w:val="auto"/>
              </w:rPr>
            </w:pPr>
          </w:p>
        </w:tc>
        <w:tc>
          <w:tcPr>
            <w:tcW w:w="15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11.7:1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8.7:1</w:t>
            </w:r>
          </w:p>
        </w:tc>
      </w:tr>
    </w:tbl>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recent net profits (subject to certain limitations). Since inception, NMIC has not paid any dividends to NMIH. As NMIC had a statutory net loss for the year ended December 31, 2015, NMIC cannot pay any dividends to NMIH through December 31, 2016, without the prior approval of the Wisconsin OCI.</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2015 10-K, for a more complete understanding of our financial position and results of operations. In addition, investors should review the "Cautionary Note Regarding Forward-Looking Statements" above and the "Risk Factors" detailed in Part I, Item 1A of our 2015 10-K and Part II, Item IA of this report, as subsequently updated in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MI through our insurance subsidiaries. Our primary insurance subsidiary, NMIC, is a qualified MI provider on loans purchased by Fannie Mae and Freddie Mac and is licensed in all 50 states and D.C. to issue MI. Our reinsurance subsidiary, Re One, solely provides reinsurance to NMIC on certain loans insured by NMIC to meet state statutory coverage limits. Our subsidiary, NMIS, provides outsourced loan review services on a limited basis to mortgage loan originators. Our stock trades on the NASDAQ under the symbol "NMIH."</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MI protects mortgage lenders from all or a portion of default-related losses on residential mortgage loans made to home buyers who generally make down payments of less than 20% of a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U.S. who offer MI. Our business strategy is to continue to expand our customer base and write insurance on high quality, low down payment residential mortgages in the U.S. The Company reported its first quarterly profit for the quarter ended June 30, 2016 and has reported year-to-date income of $4.3 million as of September 30, 2016.</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total insurance-in-force (IIF) of $32.1 billion and total risk-in-force (RIF) of $6.9 billion as of September 30, 2016, compared to total IIF of $19.1 billion and total RIF of $3.7 billion as of December 31, 2015. Of total IIF as of September 30, 2016, we had $28.2 billion of primary IIF and $3.8 billion of pool IIF, compared to $14.8 billion of primary IIF and $4.2 billion of pool IIF as of December 31, 2015. As of September 30, 2016, our primary RIF was $6.8 billion, compared to primary RIF of $3.6 billion as of December 31, 2015. Pool RIF was $93.1 million as of September 30, 2016 and December 31, 2015.</w:t>
      </w:r>
    </w:p>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 Our headquarters are located in Emeryville, California and our website is </w:t>
      </w:r>
      <w:r>
        <w:rPr>
          <w:rFonts w:ascii="Times New Roman" w:cs="Times New Roman" w:eastAsia="Times New Roman" w:hAnsi="Times New Roman"/>
          <w:sz w:val="18"/>
          <w:szCs w:val="18"/>
          <w:i w:val="1"/>
          <w:iCs w:val="1"/>
          <w:color w:val="auto"/>
        </w:rPr>
        <w:t>www.nationalmi.com</w:t>
      </w:r>
      <w:r>
        <w:rPr>
          <w:rFonts w:ascii="Times New Roman" w:cs="Times New Roman" w:eastAsia="Times New Roman" w:hAnsi="Times New Roman"/>
          <w:sz w:val="18"/>
          <w:szCs w:val="18"/>
          <w:color w:val="auto"/>
        </w:rPr>
        <w:t>. Our website and the information contained on or accessible through our website are not incorporated by reference into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and Trends Impacting Our Business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Customer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sales and marketing strategy is focused on expanding relationships with existing customers and attracting new mortgage originator customers in the U.S. that fall into two primary categories, which we refer to as "National Accounts" and "Regional Accounts." In the recent quarter, we increased our customer base. We had 1100 master policy holders as of September 30, 2016, compared to 906 master policy holders as of September 30, 2015. Of those master policy holders, 525 or 48% generated new insurance written (NIW) in the third quarter of 2016, compared to 391 or 43% that generated NIW in the third quarter of 2015.</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New Insurance Written, Insurance in Force and Premiums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NMIC's primary insurance may be written on a flow basis, in which loans are insured in individual, loan-by-loan transactions, or on an aggregated basis, in which each loan in a portfolio of loans is individually insured in a single transaction. NMIC has also written pool insurance under an agreement with Fannie Mae, in which it insured a group of loans (or pool) in one transaction. NMIC's pool insurance has a stated aggregate loss limit and a deductible under which no losses are paid by NMIC until losses on the pool of loans exceed the deductible. See Item 1</w:t>
      </w:r>
      <w:r>
        <w:rPr>
          <w:rFonts w:ascii="Times New Roman" w:cs="Times New Roman" w:eastAsia="Times New Roman" w:hAnsi="Times New Roman"/>
          <w:sz w:val="18"/>
          <w:szCs w:val="18"/>
          <w:i w:val="1"/>
          <w:iCs w:val="1"/>
          <w:color w:val="auto"/>
        </w:rPr>
        <w:t>, "Financial Statements and Supplementary Data -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Consolidated Financial Statements - Note 6, Reserves for Insurance Claims and Claims Expenses," </w:t>
      </w:r>
      <w:r>
        <w:rPr>
          <w:rFonts w:ascii="Times New Roman" w:cs="Times New Roman" w:eastAsia="Times New Roman" w:hAnsi="Times New Roman"/>
          <w:sz w:val="18"/>
          <w:szCs w:val="18"/>
          <w:color w:val="auto"/>
        </w:rPr>
        <w:t>above.</w:t>
      </w:r>
    </w:p>
    <w:p>
      <w:pPr>
        <w:spacing w:after="0" w:line="1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set premiums for an insured loan at the time the loan is insured, based on our filed rates and rating rules. We offer borrower-paid (BPMI) and lender-paid (LPMI) mortgage insurance options. Premium rates are based on the risk characteristics 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6" w:right="2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each insured loan and the capital required to support particular products. Capital charges are governed primarily by the GSEs' private mortgage insurer eligibility requirements (PMIERs), as well as by regulatory and economic capital requirements. See "- </w:t>
      </w:r>
      <w:r>
        <w:rPr>
          <w:rFonts w:ascii="Times New Roman" w:cs="Times New Roman" w:eastAsia="Times New Roman" w:hAnsi="Times New Roman"/>
          <w:sz w:val="18"/>
          <w:szCs w:val="18"/>
          <w:i w:val="1"/>
          <w:iCs w:val="1"/>
          <w:color w:val="auto"/>
        </w:rPr>
        <w:t>GSE Oversight"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Capital Position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Insurance Subsidiaries," </w:t>
      </w:r>
      <w:r>
        <w:rPr>
          <w:rFonts w:ascii="Times New Roman" w:cs="Times New Roman" w:eastAsia="Times New Roman" w:hAnsi="Times New Roman"/>
          <w:sz w:val="18"/>
          <w:szCs w:val="18"/>
          <w:color w:val="auto"/>
        </w:rPr>
        <w:t>below.</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offer monthly, single and annual premium payment plans. For monthly policies, premiums are collected and earned each month as coverage is provided. Policies written on a single premium basis are paid through a single, upfront payment, the majority of which is initially deferred as unearned premium and earned over the policy's expected life. Annual policies represent an insignificant amount of our NIW to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reinsurance on our results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September 2016, we entered into the 2016 QSR Transaction, which will impact our results of operations while the agreement is in effect.</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premiums are ceded to reinsurers who assume a portion of the risk under the insurance policies we write. Our net premiums written and earned are net of ceded amounts, offset by a profit commission associated with the premiums ceded. The 2016 QSR Transaction protects us against a fixed percentage of losses arising from policies covered by the agreement, and reduces capital requirements imposed by state regulations and by the GSEs. Going forward, we expect reinsurance to continue to be a component of our capital structure.</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reinsurance affects premiums, underwriting expenses and losses incurred. In the quarter ended September 30, 2016, our net cost of reinsurance was approximately $600 thousand.</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cede a fixed percentage of premiums on insurance covered by the agreement.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the benefit of a profit commission through a reduction in the premiums we cede. The profit commission varies directly and inversely with the level of losses on a dollar for dollar basis and is eliminated at levels of losses that we do not expect to occur. This means that lower levels of losses result in a higher profit commission and less benefit from ceded losses; higher levels of losses result in more benefit from ceded losses and a lower profit commission (or for levels of losses we do not expect, its elimination).</w:t>
      </w:r>
    </w:p>
    <w:p>
      <w:pPr>
        <w:spacing w:after="0" w:line="1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the benefit of a ceding commission equal to 20% of premiums ceded. The ceding commission is deferred and recognized as a reduction in underwriting expenses over the expected life of the risk associated with the reinsured policies.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cede a fixed percentage of losses incurred on insurance covered by the agreement.</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effects described above result in an implied after-tax cost of capital of approximately 3-4%, although the cost of capital is expected to vary depending on the level of ceded losses. An increase in the amount of losses ceded will reduce our profit commissions and ultimately reduce our after-tax cost of capital.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Data</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show primary and pool IIF, NIW and premiums written and earned. Single NIW and IIF include policies written on an aggregated and flow basis. Unless otherwise noted, the following tables do not include the effects of the 2016 QSR Transaction, as described above.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and pool IIF and NIW</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4"/>
            <w:vMerge w:val="restart"/>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200" w:type="dxa"/>
            <w:vAlign w:val="bottom"/>
            <w:gridSpan w:val="4"/>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5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2"/>
                <w:szCs w:val="12"/>
                <w:color w:val="auto"/>
              </w:rPr>
            </w:pPr>
          </w:p>
        </w:tc>
        <w:tc>
          <w:tcPr>
            <w:tcW w:w="110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IIF</w:t>
            </w:r>
          </w:p>
        </w:tc>
        <w:tc>
          <w:tcPr>
            <w:tcW w:w="240" w:type="dxa"/>
            <w:vAlign w:val="bottom"/>
          </w:tcPr>
          <w:p>
            <w:pPr>
              <w:spacing w:after="0"/>
              <w:rPr>
                <w:sz w:val="22"/>
                <w:szCs w:val="22"/>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NIW</w:t>
            </w:r>
          </w:p>
        </w:tc>
        <w:tc>
          <w:tcPr>
            <w:tcW w:w="4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IIF</w:t>
            </w:r>
          </w:p>
        </w:tc>
        <w:tc>
          <w:tcPr>
            <w:tcW w:w="30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NIW</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NIW</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gridSpan w:val="3"/>
          </w:tcPr>
          <w:p>
            <w:pPr>
              <w:jc w:val="right"/>
              <w:ind w:right="855"/>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1,582</w:t>
            </w: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3,960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Single</w:t>
            </w:r>
          </w:p>
        </w:tc>
        <w:tc>
          <w:tcPr>
            <w:tcW w:w="3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2,051</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3,633</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7,877</w:t>
            </w: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Pool</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32,054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14,941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3,633</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7,877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quarter ended September 30, 2016, primary NIW increased 61% over the third quarter of 2015 as a result of continued growth in our customer base and primary flow business. In the third quarter of 2016, monthly premium NIW increased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163% over the third quarter of 2015 due to greater lender demand for our monthly premium MI products and the growth of our insurance business.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and pool premiums written and earned</w:t>
            </w: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r>
      <w:tr>
        <w:trPr>
          <w:trHeight w:val="264"/>
        </w:trPr>
        <w:tc>
          <w:tcPr>
            <w:tcW w:w="7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123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75"/>
        </w:trPr>
        <w:tc>
          <w:tcPr>
            <w:tcW w:w="790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 xml:space="preserve">Net premiums written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9,199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35,360</w:t>
            </w:r>
          </w:p>
        </w:tc>
      </w:tr>
      <w:tr>
        <w:trPr>
          <w:trHeight w:val="341"/>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Net premiums earned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24"/>
                <w:szCs w:val="24"/>
                <w:color w:val="auto"/>
              </w:rPr>
            </w:pP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31,808</w:t>
            </w:r>
          </w:p>
        </w:tc>
        <w:tc>
          <w:tcPr>
            <w:tcW w:w="280" w:type="dxa"/>
            <w:vAlign w:val="bottom"/>
          </w:tcPr>
          <w:p>
            <w:pPr>
              <w:spacing w:after="0"/>
              <w:rPr>
                <w:sz w:val="24"/>
                <w:szCs w:val="24"/>
                <w:color w:val="auto"/>
              </w:rPr>
            </w:pP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12,834</w:t>
            </w:r>
          </w:p>
        </w:tc>
      </w:tr>
    </w:tbl>
    <w:p>
      <w:pPr>
        <w:spacing w:after="0" w:line="69"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Premiums written and earned are reported net of the 2016 QSR Transaction.</w:t>
      </w:r>
    </w:p>
    <w:p>
      <w:pPr>
        <w:spacing w:after="0" w:line="1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quarter ended September 30, 2016, we had net premiums written of $9.2 million and premiums earned of $31.8 million, compared to net premiums written of $35.4 million and premiums earned of $12.8 million for the quarter ended September 30, 2015. The decrease in net premiums written for the quarter ended September 30, 2016 is primarily the result of the 2016 QSR Transaction, in which we ceded approximately 25% of premiums written on existing policies as of August 31, 2016. The associated unearned premium reserve was also ceded.</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Premiums written and earned are influenced by NIW, product mix, pricing and persistency. Additionally, premiums earned are influenced by the amortization of earnings on our single premium product over the policies' expected lives in accordance with the expiration of risk for policies covering more than one year. Pool premiums written and earned for the quarter ended September 30, 2016 were $1.1 million, compared to pool premiums written and earned of $1.2 million for the quarter ended September 30, 2015.</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our industry, a "book" is a group of loans that an MI company insures in a particular period, normally a calendar year. In general, the majority of any underwriting profit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earned premium revenue minus claims and expenses, excluding investment income) that a book generates occurs in the early years of the book, with the largest portion of the underwriting profit for that book realized in the first year.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 The earnings we record and the cash flow we receive vary based on the type of MI product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BPMI or LPMI) and premium plan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single or monthly) our customers select.</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premium rates for our products have changed substantially in response to the PMIERs financial requirements that became effective January 2016. In 2016, based on these requirements, we introduced new rates for monthly premium policies, which historically have represented approximately 75% of industry NIW. To target a mid-teens return on PMIERs required assets across the risk spectrum, we generally increased rates on low FICO/high LTV loans and reduced rates on high FICO/low LTV loans. See, "</w:t>
      </w:r>
      <w:r>
        <w:rPr>
          <w:rFonts w:ascii="Times New Roman" w:cs="Times New Roman" w:eastAsia="Times New Roman" w:hAnsi="Times New Roman"/>
          <w:sz w:val="18"/>
          <w:szCs w:val="18"/>
          <w:i w:val="1"/>
          <w:iCs w:val="1"/>
          <w:color w:val="auto"/>
        </w:rPr>
        <w:t>- GSE Oversight,</w:t>
      </w:r>
      <w:r>
        <w:rPr>
          <w:rFonts w:ascii="Times New Roman" w:cs="Times New Roman" w:eastAsia="Times New Roman" w:hAnsi="Times New Roman"/>
          <w:sz w:val="18"/>
          <w:szCs w:val="18"/>
          <w:color w:val="auto"/>
        </w:rPr>
        <w:t>" below for a discussion of the PMIERs financial requirements. Most of the industry has since moved to similar rate cards for monthly premium policies.</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Single-premium LPMI, which historically has represented approximately 25% of industry NIW, has generally seen greater price competition. In January 2016, in response to the required assets provisions of PMIERs, including the additional capital charges applied to LPMI products, we implemented new LPMI single premium rates, which we expect will improve premium yields on our LPMI single premium policies.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2015, single premium policies had comprised a majority of our NIW, some of which were written at rates below our published rate card. In the first nine months of 2016, we have seen a reduction in LPMI single NIW as a percentage of our mix, as compared to the first nine months of 2015. As a result, during the first nine months of 2016, our mix of MI products has shifted to a higher percentage of monthly premium policies. For the nine months ended September 30, 2016, 65% of our NIW consisted of monthly premium policies. We expect our product mix to continue to trend toward the industry average.</w:t>
      </w:r>
    </w:p>
    <w:p>
      <w:pPr>
        <w:spacing w:after="0" w:line="2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persistency rate is the percentage of IIF that remains on our books after any 12-month period. Because our insurance premiums are earned over the life of a policy, changes in persistency rates can have a significant impact on our earnings. The persistency rate on our portfolio was 81.8% at September 30, 2016. Persistency rates are sensitive to fluctuations in interest rates. Decreases in interest rates typically increase our portfolio's cancellation rate. When cancellations increase, we experience lower profitability and returns on our monthly premium business, and conversely, higher returns on our single premium business because, rather than amortizing the single premium over the expected life of the policy, upon cancellation, we immediately recognize all unamortized single premium as earned.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4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Statistics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primary portfolio trends, by quarter, for the last five quarters.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8"/>
              </w:rPr>
              <w:t>March 31, 2016</w:t>
            </w: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2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4"/>
                <w:szCs w:val="14"/>
                <w:i w:val="1"/>
                <w:iCs w:val="1"/>
                <w:color w:val="auto"/>
              </w:rPr>
              <w:t>Values In Millions)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5"/>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New insurance written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5,857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5,838</w:t>
            </w:r>
          </w:p>
        </w:tc>
        <w:tc>
          <w:tcPr>
            <w:tcW w:w="4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4,254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4,547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3,633</w:t>
            </w:r>
          </w:p>
        </w:tc>
      </w:tr>
      <w:tr>
        <w:trPr>
          <w:trHeight w:val="243"/>
        </w:trPr>
        <w:tc>
          <w:tcPr>
            <w:tcW w:w="2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risk written</w:t>
            </w:r>
          </w:p>
        </w:tc>
        <w:tc>
          <w:tcPr>
            <w:tcW w:w="16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1,415</w:t>
            </w:r>
          </w:p>
        </w:tc>
        <w:tc>
          <w:tcPr>
            <w:tcW w:w="3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1,411</w:t>
            </w:r>
          </w:p>
        </w:tc>
        <w:tc>
          <w:tcPr>
            <w:tcW w:w="48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887</w:t>
            </w:r>
          </w:p>
        </w:tc>
      </w:tr>
      <w:tr>
        <w:trPr>
          <w:trHeight w:val="27"/>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Insurance in force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28,228</w:t>
            </w: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23,624</w:t>
            </w:r>
          </w:p>
        </w:tc>
        <w:tc>
          <w:tcPr>
            <w:tcW w:w="4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18,564</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14,824</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10,601</w:t>
            </w:r>
          </w:p>
        </w:tc>
      </w:tr>
      <w:tr>
        <w:trPr>
          <w:trHeight w:val="270"/>
        </w:trPr>
        <w:tc>
          <w:tcPr>
            <w:tcW w:w="284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Risk in force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6,847</w:t>
            </w:r>
          </w:p>
        </w:tc>
        <w:tc>
          <w:tcPr>
            <w:tcW w:w="30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5,721</w:t>
            </w:r>
          </w:p>
        </w:tc>
        <w:tc>
          <w:tcPr>
            <w:tcW w:w="480" w:type="dxa"/>
            <w:vAlign w:val="bottom"/>
          </w:tcPr>
          <w:p>
            <w:pPr>
              <w:spacing w:after="0"/>
              <w:rPr>
                <w:sz w:val="23"/>
                <w:szCs w:val="23"/>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4,487</w:t>
            </w:r>
          </w:p>
        </w:tc>
        <w:tc>
          <w:tcPr>
            <w:tcW w:w="220" w:type="dxa"/>
            <w:vAlign w:val="bottom"/>
          </w:tcPr>
          <w:p>
            <w:pPr>
              <w:spacing w:after="0"/>
              <w:rPr>
                <w:sz w:val="23"/>
                <w:szCs w:val="23"/>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3,586</w:t>
            </w:r>
          </w:p>
        </w:tc>
        <w:tc>
          <w:tcPr>
            <w:tcW w:w="220" w:type="dxa"/>
            <w:vAlign w:val="bottom"/>
          </w:tcPr>
          <w:p>
            <w:pPr>
              <w:spacing w:after="0"/>
              <w:rPr>
                <w:sz w:val="23"/>
                <w:szCs w:val="23"/>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2,553</w:t>
            </w: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Policies in force (count)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119,002</w:t>
            </w: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100,547</w:t>
            </w:r>
          </w:p>
        </w:tc>
        <w:tc>
          <w:tcPr>
            <w:tcW w:w="4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79,700</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63,948</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46,175</w:t>
            </w:r>
          </w:p>
        </w:tc>
      </w:tr>
      <w:tr>
        <w:trPr>
          <w:trHeight w:val="270"/>
        </w:trPr>
        <w:tc>
          <w:tcPr>
            <w:tcW w:w="284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Weighted-average coverage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3"/>
                <w:szCs w:val="23"/>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8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23"/>
                <w:szCs w:val="23"/>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in default (count)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2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Percentage of loans in default</w:t>
            </w:r>
          </w:p>
        </w:tc>
        <w:tc>
          <w:tcPr>
            <w:tcW w:w="1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Risk in force on defaulted loans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84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Average premium yield </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23"/>
                <w:szCs w:val="23"/>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0.48%</w:t>
            </w:r>
          </w:p>
        </w:tc>
        <w:tc>
          <w:tcPr>
            <w:tcW w:w="3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8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Pr>
          <w:p>
            <w:pPr>
              <w:spacing w:after="0"/>
              <w:rPr>
                <w:sz w:val="23"/>
                <w:szCs w:val="23"/>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Annual persistency </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83.3%</w:t>
            </w:r>
          </w:p>
        </w:tc>
        <w:tc>
          <w:tcPr>
            <w:tcW w:w="4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bl>
    <w:p>
      <w:pPr>
        <w:spacing w:after="0" w:line="139" w:lineRule="exact"/>
        <w:rPr>
          <w:sz w:val="20"/>
          <w:szCs w:val="20"/>
          <w:color w:val="auto"/>
        </w:rPr>
      </w:pPr>
    </w:p>
    <w:p>
      <w:pPr>
        <w:ind w:left="820" w:hanging="488"/>
        <w:spacing w:after="0"/>
        <w:tabs>
          <w:tab w:leader="none" w:pos="8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Reported as of the end of the period.</w:t>
      </w:r>
    </w:p>
    <w:p>
      <w:pPr>
        <w:spacing w:after="0" w:line="17"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End of period RIF divided by IIF.</w:t>
      </w:r>
    </w:p>
    <w:p>
      <w:pPr>
        <w:spacing w:after="0" w:line="1"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Average premium yield is calculated by dividing primary net premiums earned, net of reinsurance, by average gross IIF for the period, annualized.</w:t>
      </w:r>
    </w:p>
    <w:p>
      <w:pPr>
        <w:spacing w:after="0" w:line="1"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the percentage of IIF that remains on our books after any 12-month period.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a summary of the change in total primary IIF for the three and nine months ended September 30, 2016 and 2015.</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5"/>
          </w:tcPr>
          <w:p>
            <w:pPr>
              <w:ind w:left="12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IIF,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23,624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14,824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3,370</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NIW</w:t>
            </w:r>
          </w:p>
        </w:tc>
        <w:tc>
          <w:tcPr>
            <w:tcW w:w="180" w:type="dxa"/>
            <w:vAlign w:val="bottom"/>
          </w:tcPr>
          <w:p>
            <w:pPr>
              <w:spacing w:after="0"/>
              <w:rPr>
                <w:sz w:val="21"/>
                <w:szCs w:val="21"/>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7,877</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Cancellations and other reductions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IIF,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28,228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28,228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10,601</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a summary of our primary IIF and RIF by book year as of September 30, 2016 and 2015.</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As of September 30, 2015</w:t>
            </w:r>
          </w:p>
        </w:tc>
      </w:tr>
      <w:tr>
        <w:trPr>
          <w:trHeight w:val="264"/>
        </w:trPr>
        <w:tc>
          <w:tcPr>
            <w:tcW w:w="42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IIF</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RIF</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IIF</w:t>
            </w: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250"/>
        </w:trPr>
        <w:tc>
          <w:tcPr>
            <w:tcW w:w="4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15,433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06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10,679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1,862</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673</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06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28,228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2,553</w:t>
            </w: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4" w:name="page25"/>
    <w:bookmarkEnd w:id="2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utilize certain risk principles that form the basis of how we underwrite and originate primary NIW. We manage our portfolio credit risk by using several loan eligibility matrices which prescribe the maximum LTV, minimum borrower credit score,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 We monitor the concentrations of various risk attributes in our insurance portfolio. Generally, insuring loans made to borrowers with higher credit scores tends to result in a lower frequency of claims than with loans made to borrowers with lower credit scores.</w:t>
      </w:r>
    </w:p>
    <w:p>
      <w:pPr>
        <w:spacing w:after="0" w:line="2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tables below reflect our total primary NIW by FICO, LTV and purchase/refinance mix for the three and nine months ended September 30, 2016 and 2015. We calculate the LTV of a loan as the percentage of the original loan amount to the original value of the property securing the loan. In general, the lower the LTV the lower the likelihood of a default, and for loans that default, a lower LTV generally results in lower severity for a resulting claim, as the borrower has more equity in the property.</w:t>
      </w:r>
    </w:p>
    <w:p>
      <w:pPr>
        <w:spacing w:after="0" w:line="349"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3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gridSpan w:val="5"/>
          </w:tcPr>
          <w:p>
            <w:pPr>
              <w:ind w:left="13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5"/>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3,795</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740-759</w:t>
            </w: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1,201</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720-739</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1,156</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700-719</w:t>
            </w: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770</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680-699</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613</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&lt;=679</w:t>
            </w: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w:t>
            </w:r>
          </w:p>
        </w:tc>
      </w:tr>
      <w:tr>
        <w:trPr>
          <w:trHeight w:val="27"/>
        </w:trPr>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7,877</w:t>
            </w:r>
          </w:p>
        </w:tc>
      </w:tr>
      <w:tr>
        <w:trPr>
          <w:trHeight w:val="20"/>
        </w:trPr>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r>
      <w:tr>
        <w:trPr>
          <w:trHeight w:val="549"/>
        </w:trPr>
        <w:tc>
          <w:tcPr>
            <w:tcW w:w="3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3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gridSpan w:val="5"/>
          </w:tcPr>
          <w:p>
            <w:pPr>
              <w:ind w:left="13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5"/>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95.01% and above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90.01% to 95.00%</w:t>
            </w: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3,463</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85.01% to 90.00%</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2,677</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85.00% and below</w:t>
            </w: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1,465</w:t>
            </w:r>
          </w:p>
        </w:tc>
      </w:tr>
      <w:tr>
        <w:trPr>
          <w:trHeight w:val="27"/>
        </w:trPr>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7,877</w:t>
            </w:r>
          </w:p>
        </w:tc>
      </w:tr>
      <w:tr>
        <w:trPr>
          <w:trHeight w:val="20"/>
        </w:trPr>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r>
      <w:tr>
        <w:trPr>
          <w:trHeight w:val="549"/>
        </w:trPr>
        <w:tc>
          <w:tcPr>
            <w:tcW w:w="3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2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3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gridSpan w:val="5"/>
          </w:tcPr>
          <w:p>
            <w:pPr>
              <w:ind w:left="13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5"/>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5,023</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Refinance</w:t>
            </w: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2,854</w:t>
            </w:r>
          </w:p>
        </w:tc>
      </w:tr>
      <w:tr>
        <w:trPr>
          <w:trHeight w:val="27"/>
        </w:trPr>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7,877</w:t>
            </w:r>
          </w:p>
        </w:tc>
      </w:tr>
      <w:tr>
        <w:trPr>
          <w:trHeight w:val="20"/>
        </w:trPr>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show the primary weighted average FICO and weighted average LTV, by policy type, for NIW in the quarters presented.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FICO</w:t>
            </w:r>
          </w:p>
        </w:tc>
        <w:tc>
          <w:tcPr>
            <w:tcW w:w="432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64"/>
        </w:trPr>
        <w:tc>
          <w:tcPr>
            <w:tcW w:w="358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49"/>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w:t>
            </w:r>
          </w:p>
        </w:tc>
        <w:tc>
          <w:tcPr>
            <w:tcW w:w="6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Single</w:t>
            </w:r>
          </w:p>
        </w:tc>
        <w:tc>
          <w:tcPr>
            <w:tcW w:w="6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648"/>
        </w:trPr>
        <w:tc>
          <w:tcPr>
            <w:tcW w:w="3580" w:type="dxa"/>
            <w:vAlign w:val="bottom"/>
          </w:tcPr>
          <w:p>
            <w:pPr>
              <w:spacing w:after="0"/>
              <w:rPr>
                <w:sz w:val="24"/>
                <w:szCs w:val="24"/>
                <w:color w:val="auto"/>
              </w:rPr>
            </w:pPr>
          </w:p>
        </w:tc>
        <w:tc>
          <w:tcPr>
            <w:tcW w:w="432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25</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LTV</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64"/>
        </w:trPr>
        <w:tc>
          <w:tcPr>
            <w:tcW w:w="40" w:type="dxa"/>
            <w:vAlign w:val="bottom"/>
            <w:tcBorders>
              <w:bottom w:val="single" w:sz="8" w:color="CCEEFF"/>
            </w:tcBorders>
          </w:tcPr>
          <w:p>
            <w:pPr>
              <w:spacing w:after="0"/>
              <w:rPr>
                <w:sz w:val="22"/>
                <w:szCs w:val="22"/>
                <w:color w:val="auto"/>
              </w:rPr>
            </w:pPr>
          </w:p>
        </w:tc>
        <w:tc>
          <w:tcPr>
            <w:tcW w:w="54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5"/>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49"/>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Single</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1"/>
                <w:szCs w:val="21"/>
                <w:color w:val="auto"/>
              </w:rPr>
            </w:pPr>
          </w:p>
        </w:tc>
      </w:tr>
      <w:tr>
        <w:trPr>
          <w:trHeight w:val="567"/>
        </w:trPr>
        <w:tc>
          <w:tcPr>
            <w:tcW w:w="40" w:type="dxa"/>
            <w:vAlign w:val="bottom"/>
          </w:tcPr>
          <w:p>
            <w:pPr>
              <w:spacing w:after="0"/>
              <w:rPr>
                <w:sz w:val="24"/>
                <w:szCs w:val="24"/>
                <w:color w:val="auto"/>
              </w:rPr>
            </w:pPr>
          </w:p>
        </w:tc>
        <w:tc>
          <w:tcPr>
            <w:tcW w:w="8480" w:type="dxa"/>
            <w:vAlign w:val="bottom"/>
            <w:gridSpan w:val="10"/>
          </w:tcPr>
          <w:p>
            <w:pPr>
              <w:ind w:left="620"/>
              <w:spacing w:after="0"/>
              <w:rPr>
                <w:sz w:val="20"/>
                <w:szCs w:val="20"/>
                <w:color w:val="auto"/>
              </w:rPr>
            </w:pPr>
            <w:r>
              <w:rPr>
                <w:rFonts w:ascii="Times New Roman" w:cs="Times New Roman" w:eastAsia="Times New Roman" w:hAnsi="Times New Roman"/>
                <w:sz w:val="18"/>
                <w:szCs w:val="18"/>
                <w:color w:val="auto"/>
              </w:rPr>
              <w:t>The tables below reflect our total primary IIF and RIF by FICO, average loan size, LTV and loan type.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760</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4,969</w:t>
            </w: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1,703</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1,582</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1,063</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848</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436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10,601</w:t>
            </w: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2"/>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760</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1,174</w:t>
            </w: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413</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391</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260</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209</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106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2,553</w:t>
            </w: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2"/>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Primary Average Loan Size by FICO</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gridSpan w:val="7"/>
          </w:tcPr>
          <w:p>
            <w:pPr>
              <w:ind w:left="6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760</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21"/>
                <w:szCs w:val="21"/>
                <w:color w:val="auto"/>
              </w:rPr>
            </w:pPr>
          </w:p>
        </w:tc>
      </w:tr>
      <w:tr>
        <w:trPr>
          <w:trHeight w:val="522"/>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2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40" w:type="dxa"/>
            <w:vAlign w:val="bottom"/>
          </w:tcPr>
          <w:p>
            <w:pPr>
              <w:spacing w:after="0"/>
              <w:rPr>
                <w:sz w:val="22"/>
                <w:szCs w:val="22"/>
                <w:color w:val="auto"/>
              </w:rPr>
            </w:pPr>
          </w:p>
        </w:tc>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95.01% and above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90.01% to 95.00%</w:t>
            </w:r>
          </w:p>
        </w:tc>
        <w:tc>
          <w:tcPr>
            <w:tcW w:w="4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12,644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4,710</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85.01% to 90.00%</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9,157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85.00% and below</w:t>
            </w:r>
          </w:p>
        </w:tc>
        <w:tc>
          <w:tcPr>
            <w:tcW w:w="4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28,228</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10,601</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0"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90"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Times New Roman" w:cs="Times New Roman" w:eastAsia="Times New Roman" w:hAnsi="Times New Roman"/>
                <w:sz w:val="18"/>
                <w:szCs w:val="18"/>
                <w:color w:val="auto"/>
                <w:w w:val="98"/>
              </w:rPr>
              <w:t>95.01% and above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Times New Roman" w:cs="Times New Roman" w:eastAsia="Times New Roman" w:hAnsi="Times New Roman"/>
                <w:sz w:val="18"/>
                <w:szCs w:val="18"/>
                <w:color w:val="auto"/>
                <w:w w:val="99"/>
              </w:rPr>
              <w:t>90.01% to 95.00%</w:t>
            </w: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Times New Roman" w:cs="Times New Roman" w:eastAsia="Times New Roman" w:hAnsi="Times New Roman"/>
                <w:sz w:val="18"/>
                <w:szCs w:val="18"/>
                <w:color w:val="auto"/>
                <w:w w:val="99"/>
              </w:rPr>
              <w:t>85.01% to 90.00%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Times New Roman" w:cs="Times New Roman" w:eastAsia="Times New Roman" w:hAnsi="Times New Roman"/>
                <w:sz w:val="18"/>
                <w:szCs w:val="18"/>
                <w:color w:val="auto"/>
                <w:w w:val="99"/>
              </w:rPr>
              <w:t>85.00% and below</w:t>
            </w: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6,847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r>
      <w:tr>
        <w:trPr>
          <w:trHeight w:val="20"/>
        </w:trPr>
        <w:tc>
          <w:tcPr>
            <w:tcW w:w="550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2"/>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 w:type="dxa"/>
            <w:vAlign w:val="bottom"/>
          </w:tcPr>
          <w:p>
            <w:pPr>
              <w:spacing w:after="0"/>
              <w:rPr>
                <w:sz w:val="22"/>
                <w:szCs w:val="22"/>
                <w:color w:val="auto"/>
              </w:rPr>
            </w:pPr>
          </w:p>
        </w:tc>
      </w:tr>
      <w:tr>
        <w:trPr>
          <w:trHeight w:val="323"/>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Adjustable rate mortgages: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52"/>
              <w:spacing w:after="0"/>
              <w:rPr>
                <w:sz w:val="20"/>
                <w:szCs w:val="20"/>
                <w:color w:val="auto"/>
              </w:rPr>
            </w:pPr>
            <w:r>
              <w:rPr>
                <w:rFonts w:ascii="Times New Roman" w:cs="Times New Roman" w:eastAsia="Times New Roman" w:hAnsi="Times New Roman"/>
                <w:sz w:val="18"/>
                <w:szCs w:val="18"/>
                <w:color w:val="auto"/>
              </w:rPr>
              <w:t>Less than five years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Five years and longer</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r>
      <w:tr>
        <w:trPr>
          <w:trHeight w:val="27"/>
        </w:trPr>
        <w:tc>
          <w:tcPr>
            <w:tcW w:w="550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2016 and September 30, 2015, 100% of each of our pool IIF and RIF was comprised of insurance on fixed rate mortgages.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primary portfolio statistics, by book year, as of September 30, 2016.</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20" w:type="dxa"/>
            <w:vAlign w:val="bottom"/>
          </w:tcPr>
          <w:p>
            <w:pPr>
              <w:jc w:val="right"/>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 Remaining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Policies Ever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Claims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Incurred Loss</w:t>
            </w:r>
          </w:p>
        </w:tc>
        <w:tc>
          <w:tcPr>
            <w:tcW w:w="12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Origination year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Insurance in</w:t>
            </w:r>
          </w:p>
        </w:tc>
        <w:tc>
          <w:tcPr>
            <w:tcW w:w="1320" w:type="dxa"/>
            <w:vAlign w:val="bottom"/>
          </w:tcPr>
          <w:p>
            <w:pPr>
              <w:jc w:val="right"/>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Loans in</w:t>
            </w:r>
          </w:p>
        </w:tc>
        <w:tc>
          <w:tcPr>
            <w:tcW w:w="78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Ratio (Inception</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Written</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3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9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Force</w:t>
            </w:r>
          </w:p>
        </w:tc>
        <w:tc>
          <w:tcPr>
            <w:tcW w:w="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Paid</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to Date) </w:t>
            </w:r>
            <w:r>
              <w:rPr>
                <w:rFonts w:ascii="Times New Roman" w:cs="Times New Roman" w:eastAsia="Times New Roman" w:hAnsi="Times New Roman"/>
                <w:sz w:val="8"/>
                <w:szCs w:val="8"/>
                <w:b w:val="1"/>
                <w:bCs w:val="1"/>
                <w:color w:val="auto"/>
              </w:rPr>
              <w:t>(1)</w:t>
            </w:r>
          </w:p>
        </w:tc>
        <w:tc>
          <w:tcPr>
            <w:tcW w:w="12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2,062</w:t>
            </w: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11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9,824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10,678</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11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46,902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 (through</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15,434</w:t>
            </w: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63,519</w:t>
            </w:r>
          </w:p>
        </w:tc>
        <w:tc>
          <w:tcPr>
            <w:tcW w:w="11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62,012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31,984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28,228</w:t>
            </w:r>
          </w:p>
        </w:tc>
        <w:tc>
          <w:tcPr>
            <w:tcW w:w="1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131,510</w:t>
            </w:r>
          </w:p>
        </w:tc>
        <w:tc>
          <w:tcPr>
            <w:tcW w:w="11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119,002</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820" w:hanging="488"/>
        <w:spacing w:after="0"/>
        <w:tabs>
          <w:tab w:leader="none" w:pos="8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ratio of total losses incurred (paid and reserved) divided by cumulative premiums earned, without the effects of reinsurance.</w:t>
      </w:r>
    </w:p>
    <w:p>
      <w:pPr>
        <w:spacing w:after="0" w:line="17"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sum of claims paid ever to date and notices of default as of the end of the period divided by policies ever in force.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Geographic Dispersion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the distribution by state of our primary RIF. As of September 30, 2016, our RIF continues to be relatively more concentrated in California, primarily as a result of the location and timing of the acquisition of new customers. The distribution of risk across the states as of September 30, 2016 is not necessarily representative of the geographic distribution we expect in the future. As we add new customers and receive greater allocations of business from our existing customers, we expect we will have increased flexibility to manage our state concentration levels.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3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Top 10 primary RIF by state as of September 30, 2016</w:t>
            </w:r>
          </w:p>
        </w:tc>
        <w:tc>
          <w:tcPr>
            <w:tcW w:w="208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0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5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49"/>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Virginia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Colorado</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Michigan</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Maryland</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Pennsylvania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Utah</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Reserve for Insurance Claims and Claims Expenses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Claims incurred is the expense that is booked within a particular period to reflect actual and estimated claim payments that we believe will ultimately be made as a result of insured loans that are in default. We do not recognize an estimate of claim expense for loans that are not in default. As of September 30, 2016, we have established reserves for insurance claims of $2.1 million for 115 primary loans in default, compared to a reserve of $358 thousand for 20 primary loans in default as of September 30, 2015. We also establish reserves for the related claims expenses, which are the estimated costs to adjust and settle claims. We have not established any pool reserves for claims or IBNR to date. For additional discussion of our reserves, see, Item 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 - Notes to Condensed Consolidated Financial Statements - Note 6. Reserves for Insurance Claims and Claims Expenses.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Claims incurred is affected by a variety of factors, including the state of the economy, declines in housing values, product mix of IIF, the size of loans insured and the percentage of coverage on insured loans. Policies with higher loan amounts and coverage percentages tend to result in higher incurred claim amounts.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that claims incurred will be relatively low in the foreseeable future for the following reasons:</w:t>
      </w:r>
    </w:p>
    <w:p>
      <w:pPr>
        <w:spacing w:after="0" w:line="171" w:lineRule="exact"/>
        <w:rPr>
          <w:sz w:val="20"/>
          <w:szCs w:val="20"/>
          <w:color w:val="auto"/>
        </w:rPr>
      </w:pPr>
    </w:p>
    <w:p>
      <w:pPr>
        <w:ind w:left="840" w:hanging="332"/>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distribution of claims over the life of a book results in fewer defaults during the first two years after loans are originated, usually peaking in years three through six and declining thereafter;</w:t>
      </w:r>
    </w:p>
    <w:p>
      <w:pPr>
        <w:spacing w:after="0" w:line="53"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pool insurance agreement between NMIC and Fannie Mae, NMIC is responsible for claims only to the extent they exceed a deductible; and</w:t>
      </w:r>
    </w:p>
    <w:p>
      <w:pPr>
        <w:spacing w:after="0" w:line="10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NIW in our early years of operations.</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our portfolio matures, we expect our reported loss ratio will be less than 10%, due to loss development being generally insignificant in the early years of a loan cycle combined with strong growth in earned premiums on a year-over-year basis. We expect that the frequency of claims on our initial primary books of business should be between 2% and 3% of mortgages insured over the life of the book. For claims that we may receive, we expect the severity of the claim to be between 85% and 95% of the coverage amount. Based on these expectations, we estimate that the loss ratio over the life of each book will be between 20% and 25% of earned premiums.</w:t>
      </w:r>
    </w:p>
    <w:p>
      <w:pPr>
        <w:spacing w:after="0" w:line="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 To date, our loss experience is developing at a slower pace than historical trends have shown, as a result of high quality underwriting and a favorable housing market.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36" w:right="2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primary insurance claims and claims expenses.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7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5"/>
                <w:szCs w:val="25"/>
                <w:color w:val="auto"/>
                <w:vertAlign w:val="superscript"/>
              </w:rPr>
              <w:t>(1)</w:t>
            </w:r>
          </w:p>
        </w:tc>
        <w:tc>
          <w:tcPr>
            <w:tcW w:w="9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r>
      <w:tr>
        <w:trPr>
          <w:trHeight w:val="318"/>
        </w:trPr>
        <w:tc>
          <w:tcPr>
            <w:tcW w:w="51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claims incurred:</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5"/>
                <w:szCs w:val="25"/>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r>
      <w:tr>
        <w:trPr>
          <w:trHeight w:val="270"/>
        </w:trPr>
        <w:tc>
          <w:tcPr>
            <w:tcW w:w="5160" w:type="dxa"/>
            <w:vAlign w:val="bottom"/>
            <w:tcBorders>
              <w:bottom w:val="single" w:sz="8" w:color="CCEEFF"/>
            </w:tcBorders>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5"/>
                <w:szCs w:val="25"/>
                <w:color w:val="auto"/>
                <w:vertAlign w:val="superscript"/>
              </w:rPr>
              <w:t>(3)</w:t>
            </w: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and claims expenses incurred</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r>
      <w:tr>
        <w:trPr>
          <w:trHeight w:val="318"/>
        </w:trPr>
        <w:tc>
          <w:tcPr>
            <w:tcW w:w="51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claims paid:</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5"/>
                <w:szCs w:val="25"/>
                <w:color w:val="auto"/>
                <w:vertAlign w:val="superscript"/>
              </w:rPr>
              <w:t>(2)</w:t>
            </w:r>
          </w:p>
        </w:tc>
        <w:tc>
          <w:tcPr>
            <w:tcW w:w="9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160" w:type="dxa"/>
            <w:vAlign w:val="bottom"/>
            <w:tcBorders>
              <w:bottom w:val="single" w:sz="8" w:color="CCEEFF"/>
            </w:tcBorders>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5"/>
                <w:szCs w:val="25"/>
                <w:color w:val="auto"/>
                <w:vertAlign w:val="superscript"/>
              </w:rPr>
              <w:t>(3)</w:t>
            </w: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516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r>
      <w:tr>
        <w:trPr>
          <w:trHeight w:val="264"/>
        </w:trPr>
        <w:tc>
          <w:tcPr>
            <w:tcW w:w="5160" w:type="dxa"/>
            <w:vAlign w:val="bottom"/>
            <w:tcBorders>
              <w:bottom w:val="single" w:sz="8" w:color="CCEEFF"/>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5"/>
                <w:szCs w:val="25"/>
                <w:color w:val="auto"/>
                <w:vertAlign w:val="superscript"/>
              </w:rPr>
              <w:t>(1)</w:t>
            </w:r>
          </w:p>
        </w:tc>
        <w:tc>
          <w:tcPr>
            <w:tcW w:w="9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Related to ceded losses recoverable on the 2016 QSR Transaction. To date, ceded losses have been immaterial. See Note 5 for additional information.</w:t>
      </w:r>
    </w:p>
    <w:p>
      <w:pPr>
        <w:spacing w:after="0" w:line="23" w:lineRule="exact"/>
        <w:rPr>
          <w:rFonts w:ascii="Times New Roman" w:cs="Times New Roman" w:eastAsia="Times New Roman" w:hAnsi="Times New Roman"/>
          <w:sz w:val="24"/>
          <w:szCs w:val="24"/>
          <w:color w:val="auto"/>
          <w:vertAlign w:val="superscript"/>
        </w:rPr>
      </w:pPr>
    </w:p>
    <w:p>
      <w:pPr>
        <w:ind w:left="200" w:hanging="192"/>
        <w:spacing w:after="0" w:line="182" w:lineRule="auto"/>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Related to defaults occurring in the current year.</w:t>
      </w:r>
    </w:p>
    <w:p>
      <w:pPr>
        <w:spacing w:after="0" w:line="24"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Related to defaults occurring in prior years.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count of loans in default.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0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6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Plus: new defaults</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claims paid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default inventory</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r>
      <w:tr>
        <w:trPr>
          <w:trHeight w:val="615"/>
        </w:trPr>
        <w:tc>
          <w:tcPr>
            <w:tcW w:w="5160" w:type="dxa"/>
            <w:vAlign w:val="bottom"/>
          </w:tcPr>
          <w:p>
            <w:pPr>
              <w:spacing w:after="0"/>
              <w:rPr>
                <w:sz w:val="24"/>
                <w:szCs w:val="24"/>
                <w:color w:val="auto"/>
              </w:rPr>
            </w:pPr>
          </w:p>
        </w:tc>
        <w:tc>
          <w:tcPr>
            <w:tcW w:w="150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9" w:name="page30"/>
    <w:bookmarkEnd w:id="2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number of defaults at September 30, 2016 compared to September 30, 2015 was primarily due to an increase in the number of policies in force and the increasing maturity of our portfolio.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details of our claims paid for the three and nine months ended September 30, 2016 and September 30, 2015.</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4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45"/>
        </w:trPr>
        <w:tc>
          <w:tcPr>
            <w:tcW w:w="4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00" w:type="dxa"/>
            <w:vAlign w:val="bottom"/>
            <w:gridSpan w:val="3"/>
          </w:tcPr>
          <w:p>
            <w:pPr>
              <w:jc w:val="right"/>
              <w:ind w:right="836"/>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claims paid</w:t>
            </w:r>
          </w:p>
        </w:tc>
        <w:tc>
          <w:tcPr>
            <w:tcW w:w="140" w:type="dxa"/>
            <w:vAlign w:val="bottom"/>
          </w:tcPr>
          <w:p>
            <w:pPr>
              <w:spacing w:after="0"/>
              <w:rPr>
                <w:sz w:val="22"/>
                <w:szCs w:val="22"/>
                <w:color w:val="auto"/>
              </w:rPr>
            </w:pP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2"/>
                <w:szCs w:val="22"/>
                <w:color w:val="auto"/>
              </w:rPr>
            </w:pPr>
          </w:p>
        </w:tc>
        <w:tc>
          <w:tcPr>
            <w:tcW w:w="1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2"/>
                <w:szCs w:val="22"/>
                <w:color w:val="auto"/>
              </w:rPr>
            </w:pPr>
          </w:p>
        </w:tc>
        <w:tc>
          <w:tcPr>
            <w:tcW w:w="14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2"/>
                <w:szCs w:val="22"/>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amount paid for claims</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BFE4FF"/>
            </w:tcBorders>
            <w:shd w:val="clear" w:color="auto" w:fill="BFE4FF"/>
          </w:tcPr>
          <w:p>
            <w:pPr>
              <w:jc w:val="right"/>
              <w:ind w:right="156"/>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BFE4FF"/>
            </w:tcBorders>
            <w:shd w:val="clear" w:color="auto" w:fill="BFE4FF"/>
          </w:tcPr>
          <w:p>
            <w:pPr>
              <w:ind w:left="11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BFE4FF"/>
            </w:tcBorders>
            <w:shd w:val="clear" w:color="auto" w:fill="BFE4FF"/>
          </w:tcPr>
          <w:p>
            <w:pPr>
              <w:jc w:val="right"/>
              <w:ind w:right="156"/>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BFE4FF"/>
            </w:tcBorders>
            <w:shd w:val="clear" w:color="auto" w:fill="BFE4FF"/>
          </w:tcPr>
          <w:p>
            <w:pPr>
              <w:ind w:left="112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amount paid per claim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960" w:type="dxa"/>
            <w:vAlign w:val="bottom"/>
            <w:shd w:val="clear" w:color="auto" w:fill="BFE4FF"/>
          </w:tcPr>
          <w:p>
            <w:pPr>
              <w:ind w:left="40"/>
              <w:spacing w:after="0" w:line="270" w:lineRule="exact"/>
              <w:rPr>
                <w:sz w:val="20"/>
                <w:szCs w:val="20"/>
                <w:color w:val="auto"/>
              </w:rPr>
            </w:pPr>
            <w:r>
              <w:rPr>
                <w:rFonts w:ascii="Times New Roman" w:cs="Times New Roman" w:eastAsia="Times New Roman" w:hAnsi="Times New Roman"/>
                <w:sz w:val="18"/>
                <w:szCs w:val="18"/>
                <w:color w:val="auto"/>
              </w:rPr>
              <w:t>Severity</w:t>
            </w:r>
            <w:r>
              <w:rPr>
                <w:rFonts w:ascii="Times New Roman" w:cs="Times New Roman" w:eastAsia="Times New Roman" w:hAnsi="Times New Roman"/>
                <w:sz w:val="25"/>
                <w:szCs w:val="25"/>
                <w:color w:val="auto"/>
                <w:vertAlign w:val="superscript"/>
              </w:rPr>
              <w:t>(1)</w:t>
            </w:r>
          </w:p>
        </w:tc>
        <w:tc>
          <w:tcPr>
            <w:tcW w:w="140" w:type="dxa"/>
            <w:vAlign w:val="bottom"/>
            <w:shd w:val="clear" w:color="auto" w:fill="BFE4FF"/>
          </w:tcPr>
          <w:p>
            <w:pPr>
              <w:spacing w:after="0"/>
              <w:rPr>
                <w:sz w:val="23"/>
                <w:szCs w:val="23"/>
                <w:color w:val="auto"/>
              </w:rPr>
            </w:pPr>
          </w:p>
        </w:tc>
        <w:tc>
          <w:tcPr>
            <w:tcW w:w="14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BFE4FF"/>
          </w:tcPr>
          <w:p>
            <w:pPr>
              <w:spacing w:after="0"/>
              <w:rPr>
                <w:sz w:val="23"/>
                <w:szCs w:val="23"/>
                <w:color w:val="auto"/>
              </w:rPr>
            </w:pPr>
          </w:p>
        </w:tc>
        <w:tc>
          <w:tcPr>
            <w:tcW w:w="1460" w:type="dxa"/>
            <w:vAlign w:val="bottom"/>
            <w:shd w:val="clear" w:color="auto" w:fill="BFE4FF"/>
          </w:tcPr>
          <w:p>
            <w:pPr>
              <w:ind w:left="11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BFE4FF"/>
          </w:tcPr>
          <w:p>
            <w:pPr>
              <w:spacing w:after="0"/>
              <w:rPr>
                <w:sz w:val="23"/>
                <w:szCs w:val="23"/>
                <w:color w:val="auto"/>
              </w:rPr>
            </w:pPr>
          </w:p>
        </w:tc>
        <w:tc>
          <w:tcPr>
            <w:tcW w:w="1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BFE4FF"/>
          </w:tcPr>
          <w:p>
            <w:pPr>
              <w:spacing w:after="0"/>
              <w:rPr>
                <w:sz w:val="23"/>
                <w:szCs w:val="23"/>
                <w:color w:val="auto"/>
              </w:rPr>
            </w:pPr>
          </w:p>
        </w:tc>
        <w:tc>
          <w:tcPr>
            <w:tcW w:w="1400" w:type="dxa"/>
            <w:vAlign w:val="bottom"/>
            <w:shd w:val="clear" w:color="auto" w:fill="BFE4FF"/>
          </w:tcPr>
          <w:p>
            <w:pPr>
              <w:ind w:left="1120"/>
              <w:spacing w:after="0"/>
              <w:rPr>
                <w:sz w:val="20"/>
                <w:szCs w:val="20"/>
                <w:color w:val="auto"/>
              </w:rPr>
            </w:pPr>
            <w:r>
              <w:rPr>
                <w:rFonts w:ascii="Times New Roman" w:cs="Times New Roman" w:eastAsia="Times New Roman" w:hAnsi="Times New Roman"/>
                <w:sz w:val="18"/>
                <w:szCs w:val="18"/>
                <w:color w:val="auto"/>
              </w:rPr>
              <w:t>5%</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Severity represents the total amount of claims paid divided by the related RIF on the loans.</w:t>
      </w:r>
    </w:p>
    <w:p>
      <w:pPr>
        <w:spacing w:after="0" w:line="168"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number of claims paid for the three and nine months ended September 30, 2016 compared to the same periods ended September 30, 2015 was primarily due to an increase in the number of NODs outstanding as well as the increasing age of the delinquencies.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As of September 30, 2015</w:t>
            </w: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20" w:type="dxa"/>
            <w:vAlign w:val="bottom"/>
            <w:gridSpan w:val="4"/>
          </w:tcPr>
          <w:p>
            <w:pPr>
              <w:jc w:val="right"/>
              <w:ind w:right="169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75"/>
        </w:trPr>
        <w:tc>
          <w:tcPr>
            <w:tcW w:w="698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 xml:space="preserve">Case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IBNR</w:t>
            </w:r>
          </w:p>
        </w:tc>
        <w:tc>
          <w:tcPr>
            <w:tcW w:w="220" w:type="dxa"/>
            <w:vAlign w:val="bottom"/>
          </w:tcPr>
          <w:p>
            <w:pPr>
              <w:spacing w:after="0"/>
              <w:rPr>
                <w:sz w:val="21"/>
                <w:szCs w:val="21"/>
                <w:color w:val="auto"/>
              </w:rPr>
            </w:pPr>
          </w:p>
        </w:tc>
        <w:tc>
          <w:tcPr>
            <w:tcW w:w="1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Defined as the gross reserve per insured loan in default.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GSE Oversight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GSEs are the principal purchasers of mortgages insured by MI companies. As a result, the practices of the private MI industry in the U.S. are driven in large part by the requirements and practices of the GSEs.</w:t>
      </w:r>
    </w:p>
    <w:p>
      <w:pPr>
        <w:spacing w:after="0" w:line="1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December 31, 2015, the GSEs' final updated PMIERs went into effect for existing, GSE-approved private mortgage insurers, i.e., </w:t>
      </w:r>
      <w:r>
        <w:rPr>
          <w:rFonts w:ascii="Times New Roman" w:cs="Times New Roman" w:eastAsia="Times New Roman" w:hAnsi="Times New Roman"/>
          <w:sz w:val="18"/>
          <w:szCs w:val="18"/>
          <w:i w:val="1"/>
          <w:iCs w:val="1"/>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Italicized </w:t>
      </w:r>
      <w:r>
        <w:rPr>
          <w:rFonts w:ascii="Times New Roman" w:cs="Times New Roman" w:eastAsia="Times New Roman" w:hAnsi="Times New Roman"/>
          <w:sz w:val="18"/>
          <w:szCs w:val="18"/>
          <w:color w:val="auto"/>
        </w:rPr>
        <w:t>terms have the same meaning that such terms have in the PMIERs, as described below.) The PMIERs establish operational,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remedial and financial requirements applicable to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The new financial requirements prescribe a risk-based capital methodology whereby the amount of capital required to be held against each insured loan is determined based on certain risk characteristics, such as FICO, vintage (year of origination), performing vs. non-performing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current vs. delinquent), LTV and other risk features. An asset charge is calculated for each insured loan based on its risk profile. In general, higher quality loans carry lower capital charges.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Under the PMIERs financial requirements,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xml:space="preserve"> must maintain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that equal or exceed </w:t>
      </w:r>
      <w:r>
        <w:rPr>
          <w:rFonts w:ascii="Times New Roman" w:cs="Times New Roman" w:eastAsia="Times New Roman" w:hAnsi="Times New Roman"/>
          <w:sz w:val="18"/>
          <w:szCs w:val="18"/>
          <w:i w:val="1"/>
          <w:iCs w:val="1"/>
          <w:color w:val="auto"/>
        </w:rPr>
        <w:t>minimum required assets</w:t>
      </w:r>
      <w:r>
        <w:rPr>
          <w:rFonts w:ascii="Times New Roman" w:cs="Times New Roman" w:eastAsia="Times New Roman" w:hAnsi="Times New Roman"/>
          <w:sz w:val="18"/>
          <w:szCs w:val="18"/>
          <w:color w:val="auto"/>
        </w:rPr>
        <w:t xml:space="preserve">, which is an amount equal to the greater of (i) $400 million or (ii) a total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is a function of the risk profile of an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xml:space="preserve"> net RIF, calculated by applying on a loan-by-loan basis certain risk-based factors derived from tables set out in the PMIERs to the net RIF. The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for primary insurance is subject to a floor of 5.6% of total, performing, primary RIF, and the </w:t>
      </w:r>
      <w:r>
        <w:rPr>
          <w:rFonts w:ascii="Times New Roman" w:cs="Times New Roman" w:eastAsia="Times New Roman" w:hAnsi="Times New Roman"/>
          <w:sz w:val="18"/>
          <w:szCs w:val="18"/>
          <w:i w:val="1"/>
          <w:iCs w:val="1"/>
          <w:color w:val="auto"/>
        </w:rPr>
        <w:t xml:space="preserve">risk-based required asset amount </w:t>
      </w:r>
      <w:r>
        <w:rPr>
          <w:rFonts w:ascii="Times New Roman" w:cs="Times New Roman" w:eastAsia="Times New Roman" w:hAnsi="Times New Roman"/>
          <w:sz w:val="18"/>
          <w:szCs w:val="18"/>
          <w:color w:val="auto"/>
        </w:rPr>
        <w:t>for pool insurance considers both the factors in the tables and the</w:t>
      </w:r>
      <w:r>
        <w:rPr>
          <w:rFonts w:ascii="Times New Roman" w:cs="Times New Roman" w:eastAsia="Times New Roman" w:hAnsi="Times New Roman"/>
          <w:sz w:val="18"/>
          <w:szCs w:val="18"/>
          <w:i w:val="1"/>
          <w:iCs w:val="1"/>
          <w:color w:val="auto"/>
        </w:rPr>
        <w:t xml:space="preserve"> net remaining stop loss </w:t>
      </w:r>
      <w:r>
        <w:rPr>
          <w:rFonts w:ascii="Times New Roman" w:cs="Times New Roman" w:eastAsia="Times New Roman" w:hAnsi="Times New Roman"/>
          <w:sz w:val="18"/>
          <w:szCs w:val="18"/>
          <w:color w:val="auto"/>
        </w:rPr>
        <w:t>for each pool insurance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PMIERs financial requirements also increase the amount of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that must be held by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xml:space="preserve"> for loans originated on or after January 1, 2016 that are insured under LPMI policies.</w:t>
      </w:r>
    </w:p>
    <w:p>
      <w:pPr>
        <w:spacing w:after="0" w:line="1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in 2016, by April 15th of each year, NMIC must certify it met all PMIERs requirements as of December 31st of the prior year. We certified to the GSEs that NMIC fully complies with the PMIERs as of December 31, 2015. NMIC also has an ongoing obligation to immediately notify the GSEs in writing upon discovery of its failure to meet one or more of the PMIERs requirements. We will continue to monitor our compliance with the PMIERs going forward.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comparison of the PMIERs financial requirements as reported by NMIC.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60"/>
        </w:trPr>
        <w:tc>
          <w:tcPr>
            <w:tcW w:w="4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5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64"/>
        </w:trPr>
        <w:tc>
          <w:tcPr>
            <w:tcW w:w="4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00" w:type="dxa"/>
            <w:vAlign w:val="bottom"/>
          </w:tcPr>
          <w:p>
            <w:pPr>
              <w:jc w:val="right"/>
              <w:ind w:right="41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5"/>
        </w:trPr>
        <w:tc>
          <w:tcPr>
            <w:tcW w:w="418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Available Assets</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BFE4FF"/>
            </w:tcBorders>
            <w:shd w:val="clear" w:color="auto" w:fill="BFE4FF"/>
          </w:tcPr>
          <w:p>
            <w:pPr>
              <w:jc w:val="right"/>
              <w:ind w:right="154"/>
              <w:spacing w:after="0"/>
              <w:rPr>
                <w:sz w:val="20"/>
                <w:szCs w:val="20"/>
                <w:color w:val="auto"/>
              </w:rPr>
            </w:pPr>
            <w:r>
              <w:rPr>
                <w:rFonts w:ascii="Times New Roman" w:cs="Times New Roman" w:eastAsia="Times New Roman" w:hAnsi="Times New Roman"/>
                <w:sz w:val="18"/>
                <w:szCs w:val="18"/>
                <w:color w:val="auto"/>
              </w:rPr>
              <w:t>488,635</w:t>
            </w:r>
          </w:p>
        </w:tc>
        <w:tc>
          <w:tcPr>
            <w:tcW w:w="340" w:type="dxa"/>
            <w:vAlign w:val="bottom"/>
            <w:tcBorders>
              <w:bottom w:val="single" w:sz="8" w:color="BFE4FF"/>
            </w:tcBorders>
            <w:shd w:val="clear" w:color="auto" w:fill="BFE4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432,074</w:t>
            </w:r>
          </w:p>
        </w:tc>
        <w:tc>
          <w:tcPr>
            <w:tcW w:w="540" w:type="dxa"/>
            <w:vAlign w:val="bottom"/>
            <w:tcBorders>
              <w:bottom w:val="single" w:sz="8" w:color="BFE4FF"/>
            </w:tcBorders>
            <w:shd w:val="clear" w:color="auto" w:fill="BFE4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BFE4FF"/>
            </w:tcBorders>
            <w:shd w:val="clear" w:color="auto" w:fill="BFE4FF"/>
          </w:tcPr>
          <w:p>
            <w:pPr>
              <w:jc w:val="right"/>
              <w:ind w:right="157"/>
              <w:spacing w:after="0"/>
              <w:rPr>
                <w:sz w:val="20"/>
                <w:szCs w:val="20"/>
                <w:color w:val="auto"/>
              </w:rPr>
            </w:pPr>
            <w:r>
              <w:rPr>
                <w:rFonts w:ascii="Times New Roman" w:cs="Times New Roman" w:eastAsia="Times New Roman" w:hAnsi="Times New Roman"/>
                <w:sz w:val="18"/>
                <w:szCs w:val="18"/>
                <w:color w:val="auto"/>
              </w:rPr>
              <w:t>434,138</w:t>
            </w:r>
          </w:p>
        </w:tc>
        <w:tc>
          <w:tcPr>
            <w:tcW w:w="28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BFE4FF"/>
            </w:tcBorders>
            <w:shd w:val="clear" w:color="auto" w:fill="BFE4FF"/>
          </w:tcPr>
          <w:p>
            <w:pPr>
              <w:jc w:val="right"/>
              <w:ind w:right="94"/>
              <w:spacing w:after="0"/>
              <w:rPr>
                <w:sz w:val="20"/>
                <w:szCs w:val="20"/>
                <w:color w:val="auto"/>
              </w:rPr>
            </w:pPr>
            <w:r>
              <w:rPr>
                <w:rFonts w:ascii="Times New Roman" w:cs="Times New Roman" w:eastAsia="Times New Roman" w:hAnsi="Times New Roman"/>
                <w:sz w:val="18"/>
                <w:szCs w:val="18"/>
                <w:color w:val="auto"/>
              </w:rPr>
              <w:t>431,411</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Risk-Based Required Assets</w:t>
            </w:r>
          </w:p>
        </w:tc>
        <w:tc>
          <w:tcPr>
            <w:tcW w:w="180" w:type="dxa"/>
            <w:vAlign w:val="bottom"/>
          </w:tcPr>
          <w:p>
            <w:pPr>
              <w:spacing w:after="0"/>
              <w:rPr>
                <w:sz w:val="21"/>
                <w:szCs w:val="21"/>
                <w:color w:val="auto"/>
              </w:rPr>
            </w:pPr>
          </w:p>
        </w:tc>
        <w:tc>
          <w:tcPr>
            <w:tcW w:w="15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320,609</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377,468</w:t>
            </w:r>
          </w:p>
        </w:tc>
        <w:tc>
          <w:tcPr>
            <w:tcW w:w="540" w:type="dxa"/>
            <w:vAlign w:val="bottom"/>
          </w:tcPr>
          <w:p>
            <w:pPr>
              <w:spacing w:after="0"/>
              <w:rPr>
                <w:sz w:val="21"/>
                <w:szCs w:val="21"/>
                <w:color w:val="auto"/>
              </w:rPr>
            </w:pPr>
          </w:p>
        </w:tc>
        <w:tc>
          <w:tcPr>
            <w:tcW w:w="15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302,852</w:t>
            </w:r>
          </w:p>
        </w:tc>
        <w:tc>
          <w:tcPr>
            <w:tcW w:w="28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249,805</w:t>
            </w:r>
          </w:p>
        </w:tc>
      </w:tr>
      <w:tr>
        <w:trPr>
          <w:trHeight w:val="27"/>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418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5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880" w:type="dxa"/>
            <w:vAlign w:val="bottom"/>
            <w:gridSpan w:val="2"/>
            <w:shd w:val="clear" w:color="auto" w:fill="BFE4FF"/>
          </w:tcPr>
          <w:p>
            <w:pPr>
              <w:spacing w:after="0"/>
              <w:rPr>
                <w:sz w:val="24"/>
                <w:szCs w:val="24"/>
                <w:color w:val="auto"/>
              </w:rPr>
            </w:pPr>
          </w:p>
        </w:tc>
        <w:tc>
          <w:tcPr>
            <w:tcW w:w="150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1540" w:type="dxa"/>
            <w:vAlign w:val="bottom"/>
            <w:shd w:val="clear" w:color="auto" w:fill="BFE4FF"/>
          </w:tcPr>
          <w:p>
            <w:pPr>
              <w:spacing w:after="0"/>
              <w:rPr>
                <w:sz w:val="24"/>
                <w:szCs w:val="24"/>
                <w:color w:val="auto"/>
              </w:rPr>
            </w:pPr>
          </w:p>
        </w:tc>
      </w:tr>
      <w:tr>
        <w:trPr>
          <w:trHeight w:val="341"/>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Asset charge %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24"/>
                <w:szCs w:val="24"/>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6.14%</w:t>
            </w:r>
          </w:p>
        </w:tc>
        <w:tc>
          <w:tcPr>
            <w:tcW w:w="340" w:type="dxa"/>
            <w:vAlign w:val="bottom"/>
          </w:tcPr>
          <w:p>
            <w:pPr>
              <w:spacing w:after="0"/>
              <w:rPr>
                <w:sz w:val="24"/>
                <w:szCs w:val="24"/>
                <w:color w:val="auto"/>
              </w:rPr>
            </w:pPr>
          </w:p>
        </w:tc>
        <w:tc>
          <w:tcPr>
            <w:tcW w:w="188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6.10%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bl>
    <w:p>
      <w:pPr>
        <w:spacing w:after="0" w:line="66"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Asset charge represents the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i w:val="1"/>
          <w:iCs w:val="1"/>
          <w:color w:val="auto"/>
        </w:rPr>
        <w:t>risk-based required asset amount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divided by the outstanding RIF on performing primary loans.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Position of Our Insurance Subsidiaries and Financial Strength Ratings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GSE-imposed capital requirements, NMIC is also subject to state regulatory minimum capital requirements based on its insured RIF.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formulations of this minimum capital may vary in each jurisdiction, the most common measure allows for a maximum permitted RTC ratio of 25:1.</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2016, NMIC's primary RIF, net of reinsurance, was approximately $5.1 billion, representing insurance on a total of 119,002 policies in force. NMIC ceded 100% of its pool RIF pursuant to the 2016 QSR Transaction. Based on NMIC's total statutory surplus of $406.7 million as of September 30, 2016, NMIC's RTC ratio was 12.6:1. Re One had total statutory capital of $33.3 million as of September 30, 2016, with a RTC ratio of 0.4:1. We plan to contribute capital or to cede risk as needed to maintain compliance with state capital requirements.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2016, S&amp;P affirmed its "BBB-" financial strength and long-term counter-party credit ratings for NMIC. In July 2015, S&amp;P assigned its "BB-" long-term counter-party credit rating to NMIH. S&amp;P's outlook for both companies is "stable." In November 2015, Moody's Investors Service (Moody's) assigned a financial strength rating of "Ba2" for NMIC. Also at that time, Moody's assigned a B2 rating to the $150 million Term Loan held by NMIH. Moody's outlook for both companies is "stable."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MI industry is highly competitive and currently consists of seven private mortgage insurers, including NMIC, as well as governmental agencies like the FHA and the VA. Recently, two of our six competitors agreed to combine in a transaction they expect will close in late 2016 or early 2017.</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Private MI</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 companies compete based on service, customer relationships, underwriting, and other factors including price. In the recent past, lenders have pressured MIs to offer discounted rates, primarily on single premium LPMI. Higher capital requirements imposed by the PMIERs have also had an effect on premium rates. We expect the MI market to remain highly competitive, with pressure for industry participants to grow or maintain their market share in the coming years. Our competitors' respective shares of the private MI market for the quarter ended June 30, 2016 ranged from single percentage points penetration to a high of approximately 18%.</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Competition with FHA</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governmental agencies such as the FHA and VA will recede to historical levels. In 2015, the FHA reduced some of its single-family annual mortgage insurance premiums. To date, the impact from the FHA's premium reduction has not had a significant impact on our continued growth in the market. We believe our pricing continues to be more attractive than the FHA's pricing for a substantial majority of borrowers with credit and loan characteristics similar to those whose loans we insure. It is difficult to predict whether the FHA will further reduce its premium rates in the future, and if it does, we do not believe that any such reductions would have a material impact on our business. There are factors beyond premium rate that influence a lender's decision to choose private MI over FHA insurance, including among others, the FHA's loan eligibility requirements, loan size limits and the relative ease of use of private MI products compared to FHA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4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2"/>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5"/>
          </w:tcPr>
          <w:p>
            <w:pPr>
              <w:ind w:left="1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5"/>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31,808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12,834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77,656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28,626</w:t>
            </w:r>
          </w:p>
        </w:tc>
      </w:tr>
      <w:tr>
        <w:trPr>
          <w:trHeight w:val="24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5,168</w:t>
            </w: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952</w:t>
            </w:r>
          </w:p>
        </w:tc>
      </w:tr>
      <w:tr>
        <w:trPr>
          <w:trHeight w:val="24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35,520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14,703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87,187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34,746</w:t>
            </w: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Insurance claims and claims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20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24,037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69,943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58,912</w:t>
            </w:r>
          </w:p>
        </w:tc>
      </w:tr>
      <w:tr>
        <w:trPr>
          <w:trHeight w:val="27"/>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24,701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19,834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71,535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59,191</w:t>
            </w: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5"/>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gain from change in fair value of warrant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1"/>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liability</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1,473</w:t>
            </w:r>
          </w:p>
        </w:tc>
      </w:tr>
      <w:tr>
        <w:trPr>
          <w:trHeight w:val="24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(22,972)</w:t>
            </w:r>
          </w:p>
        </w:tc>
      </w:tr>
      <w:tr>
        <w:trPr>
          <w:trHeight w:val="24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(22,972)</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ratio</w:t>
            </w:r>
            <w:r>
              <w:rPr>
                <w:rFonts w:ascii="Times New Roman" w:cs="Times New Roman" w:eastAsia="Times New Roman" w:hAnsi="Times New Roman"/>
                <w:sz w:val="25"/>
                <w:szCs w:val="25"/>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40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Expense ratio</w:t>
            </w:r>
            <w:r>
              <w:rPr>
                <w:rFonts w:ascii="Times New Roman" w:cs="Times New Roman" w:eastAsia="Times New Roman" w:hAnsi="Times New Roman"/>
                <w:sz w:val="25"/>
                <w:szCs w:val="25"/>
                <w:color w:val="auto"/>
                <w:vertAlign w:val="superscript"/>
              </w:rPr>
              <w:t>(2)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40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Loss ratio is calculated by dividing the provision for insurance claims and claims expenses by net premiums earned.</w:t>
      </w:r>
    </w:p>
    <w:p>
      <w:pPr>
        <w:spacing w:after="0" w:line="1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Expense ratio is calculated by dividing other underwriting and operating expenses by net premiums earned.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2016, we had net premiums earned of $31.8 million, compared to net premiums earned of $12.8 million for the three months ended September 30, 2015. For the nine months ended September 30, 2016, we had net premiums earned of $77.7 million, compared to net premiums earned of $28.6 million for the nine months ended September 30, 2015. The principal drivers of the increases in premiums earned for the three and nine months ended September 30, 2016 were the continued growth of our NIW and IIF, primarily related to our monthly products, and the significant development of our customer base, including higher allocations of business to us from existing customers, slightly offset by ceded premiums earned related to the 2016 QSR Transaction. Additionally, we had $11.6 million of earned premiums in the nine months ended September 30, 2016 related to cancellations of single premium policies, compared to $3.1 million for the nine months ended September 30, 2015. We believe we will continue to experience higher than expected earnings from cancellations of single premium policies if interest rates remain low, and expect single premium policy cancellations to decrease if interest rates rise significantly.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investment income was higher for the three and nine months ended September 30, 2016 compared to the three and nine months ended September 30, 2015, as a result of an increase in the size of our consolidated securities portfolio. We realized a loss on investments of $0.8 million for the nine months ended September 30, 2016, compared to a gain of $1.0 million for the nine months ended September 30, 2015.</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expenses have historically been related to business development and operating activities. Although we expect our year-over-year expenses to increase as we continue to grow our business, we ultimately expect that the majority of our operating expenses will be relatively fixed in the long term. Until our business matures, our expense ratio is expected to be significantly higher than the industry given the low levels of premium written compared to our "fixed" costs customary to operating an MI company. We expect to see a continued decrease in our expense ratio as our business matures and our revenues increase.</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Insurance claims and claims expenses increased for the three and nine months ended September 30, 2016 compared to the three and nine months ended September 30, 2015, as a result of an increase in our NODs, primarily due to an increase in the number of policies-in-force year-over-year.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 compensation represents the majority of our operating expense, which includes both cash and share-based compensation. Our underwriting and operating expenses grew primarily as the result of hiring new employees and expanding our operations and sales activities. Our headcount grew from 225 as of September 30, 2015 to 273 as of September 30, 2016. Underwriting and operating expenses also include costs related to policy acquisition, technology, professional services and facilities.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incurred interest expense of $11.1 million for the nine months ended September 30, 2016 related to the Term Loan entered into during the fourth quarter of 2015.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recognized net income of $6.2 million for the three months ended September 30, 2016 compared to a net loss of $4.8 million for the three months ended September 30, 2015. The primary driver of the profitable quarter ended September 30, 2016, compared to the quarter ended September 30, 2015, was the significant increase in premiums earned from our IIF as a result of the addition of new customers and higher allocations of business to us from existing customers, slightly offset by personnel and external costs.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641,572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559,235</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57,317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17,530</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13,168</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792,166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144,230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143,939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90,773</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22,725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Reserve for insurance claims and claims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Reinsurance funds withheld</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tax payable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361,897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259,720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430,269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402,731</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792,166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2016, we had approximately $686.1 million in cash and investments, including $77.3 million held at NMIH. The increase in cash and investments from year-end 2015 is the result of premiums collected in the first nine months of 2016.</w:t>
      </w:r>
    </w:p>
    <w:p>
      <w:pPr>
        <w:sectPr>
          <w:pgSz w:w="11900" w:h="16838" w:orient="portrait"/>
          <w:cols w:equalWidth="0" w:num="1">
            <w:col w:w="11420"/>
          </w:cols>
          <w:pgMar w:left="240" w:top="659"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59" w:right="239" w:bottom="1440" w:gutter="0" w:footer="0" w:header="0"/>
          <w:type w:val="continuous"/>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Our cumulative net deferred policy acquisition costs were $28.9 million as of September 30, 2016, compared to $17.5 million at December 31,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driven by the deferrable costs associated with premiums written during the nine months ended September 30, 2016 of $96.2 million.</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other assets balance increased from $13.2 million as of December 31, 2015 to $21.1 million as of September 30, 2016, primarily as a result of the increase in our premiums receivable balance related to the growth in IIF of our monthly policies.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prepaid reinsurance balance was $36.1 million as of September 30, 2016, which reflects the ceded unearned premium balance related to the 2016 QSR Transaction.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unearned premiums balance increased to $145.4 million as of September 30, 2016 from $90.8 million as of December 31, 2015 due to single premiums written in the nine months ended September 30, 2016, offset by cancellations of lender paid single premium policies and earnings of existing unearned premiums in accordance with the expiration of risk in the related policies.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accounts payable and accrued expenses increased to $32.6 million as of September 30, 2016, from $22.7 million at December 31, 2015. The increase is primarily driven by unsettled trades payable, offset by accruals for liabilities related to increased headcount, accrued premium taxes and IT costs.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ceding commission related to the 2016 QSR Transaction was $6.7 million as of September 30, 2016.</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Reinsurance funds withheld was $29.0 million as of September 30, 2016, representing reinsurance premiums payable, offset by our profit and ceding commission receivables related to the 2016 QSR Transaction.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9"/>
        </w:trPr>
        <w:tc>
          <w:tcPr>
            <w:tcW w:w="79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tcPr>
          <w:p>
            <w:pPr>
              <w:spacing w:after="0"/>
              <w:rPr>
                <w:sz w:val="21"/>
                <w:szCs w:val="21"/>
                <w:color w:val="auto"/>
              </w:rPr>
            </w:pPr>
          </w:p>
        </w:tc>
        <w:tc>
          <w:tcPr>
            <w:tcW w:w="20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52,212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16,171</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14,278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29,770</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$52.2 million for the nine months ended September 30, 2016, compared to $16.2 million in the same period in 2015. The increase in positive cash flow from operating activities for the nine months ended September 30, 2016 compared to the same period ended September 30, 2015 was the result of an increase in premiums written, partially offset by increased personnel costs.</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2016 was higher compared to cash provided by investing activities for the nine months ended September 30, 2015, primarily due to the purchase of fixed maturities as a result of an increase in the amount of available operating cash.</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cash used in financing activities for the nine months ended September 30, 2016 compared to the same period ended September 30, 2015 was primarily due to the repayments of principal on the Term Loan entered into during the fourth quarter of 2015.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subsidiaries; (iii) potential tax payments to the Internal Revenue Service (IRS); (iv) the payment of principal and interest related to the Term Loan; and (v)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September 30, 2016, NMIH's shareholders' equity was approximately $430 million.</w:t>
      </w:r>
    </w:p>
    <w:p>
      <w:pPr>
        <w:spacing w:after="0" w:line="1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2016, NMIH had $77 million of cash and investments. NMIH's principal source of operating cash is investment income and in the future could include dividends from NMIC, if available and permitted under law and by the GSEs.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661" w:right="239" w:bottom="1440" w:gutter="0" w:footer="0" w:header="0"/>
        </w:sectPr>
      </w:pPr>
    </w:p>
    <w:bookmarkStart w:id="34" w:name="page35"/>
    <w:bookmarkEnd w:id="34"/>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 xml:space="preserve">NMIH's future capital requirements depend on many factors, including NMIC's ability to successfully write new business, establish premium rates at levels sufficient to cover claims and operating costs and meet </w:t>
      </w:r>
      <w:r>
        <w:rPr>
          <w:rFonts w:ascii="Times New Roman" w:cs="Times New Roman" w:eastAsia="Times New Roman" w:hAnsi="Times New Roman"/>
          <w:sz w:val="17"/>
          <w:szCs w:val="17"/>
          <w:i w:val="1"/>
          <w:iCs w:val="1"/>
          <w:color w:val="auto"/>
        </w:rPr>
        <w:t>minimum required asset</w:t>
      </w:r>
      <w:r>
        <w:rPr>
          <w:rFonts w:ascii="Times New Roman" w:cs="Times New Roman" w:eastAsia="Times New Roman" w:hAnsi="Times New Roman"/>
          <w:sz w:val="17"/>
          <w:szCs w:val="17"/>
          <w:color w:val="auto"/>
        </w:rPr>
        <w:t xml:space="preserve"> thresholds under the PMIERs and state capital requirements. We expect NMIH may make additional capital contributions to its insurance subsidiaries to support their applicable capital adequacy requirements from time-to-time.</w:t>
      </w:r>
    </w:p>
    <w:p>
      <w:pPr>
        <w:spacing w:after="0" w:line="10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NMIH has entered into expense-sharing agreements with its subsidiaries which have been approved by the Wisconsin OCI, but such approval may be changed or revoked at any time. NMIC's ability to pay dividends to NMIH is subject to insurance department notice or approval. In general, dividends in excess of prescribed limits are deemed "extraordinary" and require insurance regulatory approval. Since inception, NMIC has not paid any dividends to NMIH. As NMIC had a statutory net loss for the year ended December 31, 2015, NMIC cannot pay any dividends to NMIH through December 31, 2016 without the prior approval of the Wisconsin OCI. Certain other states in which NMIC is licensed also have statutes or regulations that restrict its ability to pay dividends.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MI companies' principal operating sources of liquidity are premiums that we receive from policies in force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slower rate than NIW over the coming years.</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fourth quarter of 2015, NMIH entered into the Credit Agreement for the Term Loan to support the continued growth of its IIF. The Credit Agreement contains various restrictive covenants and required financial ratios and tests that we are required to meet or maintain. These covenants include, but are not limited to the following: a maximum debt-to-total capitalization ratio (as defined) of 35%, maximum RTC ratio of 22.0:1.0, liquidity (as defined) of $28.4 million as of September 30, 2016, compliance with PMIERs financial requirements (subject to any GSE-approved waivers), and minimum equity requirements. The Term Loan bears interest at the Eurodollar Rate (1%) plus an annual margin rate of 7.5% (an all-in rate of 8.5% from inception through September 30, 2016), payable quarterly. The Company recorded $11.1 million of interest expense for the nine months ended September 30, 2016. The Term Loan matures on November 10,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net investment income for the nine months ended September 30, 2016 was $10.1 million, compared to $5.2 million for the nine months ended September 30, 2015. As of September 30, 2016,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operations, such as net premiums received, and investment earnings.</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pre-tax book yield on our portfolio as of September 30, 2016 was 2.1%, excluding unrealized gains and losses. The book yield is calculated on our year-to-date net investment income over our average portfolio book value as of September 30, 2016. We believe that the yield on our investment portfolio likely will change over time based on potential changes to the interest rate environment, the duration or mix of our investment portfolio or other factors.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sectors of our investment portfolio, including cash and cash equivalents appear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23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9"/>
        </w:trPr>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40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408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0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0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35</w:t>
            </w: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The ratings of our investment portfolio were: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portfolio ratings</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49"/>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BBB</w:t>
            </w: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7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ratings above are provided by one or more of: Moody's, S&amp;P and Fitch Ratings. If three ratings are available, we assign the middle rating for classification purposes, otherwise we assign the lowest rating.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U.S. taxpayer and are subject to a statutory U.S. federal corporate income tax rate of 35%. Our holding company files a consolidated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various state income tax returns on behalf of itself and its subsidiaries.</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the interim reporting periods are based on an estimated effective tax rate for the year ending December 31, 2016, after the consideration of expected usage of net operating losses. Our effective tax rate on our pre-tax income was 1.8% and 2.6% for the three and nine months ended September 30, 2016, respectively, compared to 0.0% for the comparable 2015 periods. The increase in the effective tax rates for the three and nine months ended September 30, 2016, against the comparable 2015 periods was the result of income reported in the current year periods.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our first pre-tax profit of $2.0 million as of the quarter ended June 30, 2016. As of September 30, 2016, we reported quarterly profit of $6.3 million and recorded a year-to-date profit of $4.4 million for the first time.</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financial statements reflect a valuation allowance with respect to our net deferred tax assets. We evaluate the realizability of our net deferred tax assets based on all available evidence, both positive and negative. The realization of net deferred tax assets is dependent on the Company's ability to generate sufficient future taxable income during periods prior to the expiration of tax attributes. The continued trend in operating results and approaching cumulative profit over three years would provide additional positive evidence in determining the need for the valuation allowance and could lead to the reversal of substantially all of the valuation allowance on our deferred tax assets. If we conclude there is sufficient positive evidence to release the valuation allowance associated primarily with the carry forward of federal net operating losses and future tax deductions from share-based compensation, we would recognize a material increase to net income in the period such conclusion is made. Based on the nature of our business and our ability to objectively forecast future revenue, we anticipate that there will be sufficient positive evidence in the foreseeable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 and Contractual Obligations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no off-balance sheet arrangements as of September 30, 2016. There are no material changes outside the ordinary course of business in the contractual obligations specified in our 2015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fair value measurements, our investment portfolio, deferred policy acquisition costs, premium deficiency reserves, income taxes, reserves for insurance claims and claims expenses, warrants and share-based compensation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2015 10-K.</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23"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own and manage a large portfolio of various holdings, types and maturities. NMIH's principal source of operating cash is investment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within the investment portfolio are exposed to the same factors that affect overall financial market performance.</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06" w:lineRule="exact"/>
        <w:rPr>
          <w:sz w:val="20"/>
          <w:szCs w:val="20"/>
          <w:color w:val="auto"/>
        </w:rPr>
      </w:pPr>
    </w:p>
    <w:p>
      <w:pPr>
        <w:jc w:val="both"/>
        <w:ind w:left="660" w:hanging="328"/>
        <w:spacing w:after="0" w:line="259"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the level of interest rates</w:t>
      </w:r>
      <w:r>
        <w:rPr>
          <w:rFonts w:ascii="Times New Roman" w:cs="Times New Roman" w:eastAsia="Times New Roman" w:hAnsi="Times New Roman"/>
          <w:sz w:val="18"/>
          <w:szCs w:val="18"/>
          <w:color w:val="auto"/>
        </w:rPr>
        <w:t>. 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71"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the term structure of interest rates</w:t>
      </w:r>
      <w:r>
        <w:rPr>
          <w:rFonts w:ascii="Times New Roman" w:cs="Times New Roman" w:eastAsia="Times New Roman" w:hAnsi="Times New Roman"/>
          <w:sz w:val="18"/>
          <w:szCs w:val="18"/>
          <w:color w:val="auto"/>
        </w:rPr>
        <w:t>. 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volatility/changes in the real or perceived credit quality of investments</w:t>
      </w:r>
      <w:r>
        <w:rPr>
          <w:rFonts w:ascii="Times New Roman" w:cs="Times New Roman" w:eastAsia="Times New Roman" w:hAnsi="Times New Roman"/>
          <w:sz w:val="18"/>
          <w:szCs w:val="18"/>
          <w:color w:val="auto"/>
        </w:rPr>
        <w:t>. 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 party (e.g., rating agency) assessments, will reduce the value and potentially the liquidity of investments.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Risk</w:t>
      </w:r>
      <w:r>
        <w:rPr>
          <w:rFonts w:ascii="Times New Roman" w:cs="Times New Roman" w:eastAsia="Times New Roman" w:hAnsi="Times New Roman"/>
          <w:sz w:val="18"/>
          <w:szCs w:val="18"/>
          <w:color w:val="auto"/>
        </w:rPr>
        <w:t>. If the investment portfolio is highly concentrated in one asset, or in multiple assets whose values are highly correlated, the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total portfolio may be greatly affected by the change in value of just one asset or a group of highly correlated assets.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Risk</w:t>
      </w:r>
      <w:r>
        <w:rPr>
          <w:rFonts w:ascii="Times New Roman" w:cs="Times New Roman" w:eastAsia="Times New Roman" w:hAnsi="Times New Roman"/>
          <w:sz w:val="18"/>
          <w:szCs w:val="18"/>
          <w:color w:val="auto"/>
        </w:rPr>
        <w:t>. 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of our investment portfolio as of September 30, 2016 and December 31, 2015 was $642 million and $559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2016, the duration of our fixed income portfolio, including cash and cash equivalents, was 3.69 years, which means that an instantaneous parallel shift (movement up or down) in the yield curve of 100 basis points would result in a change of 3.69% in fair value of our fixed income portfolio. Excluding cash, our fixed income portfolio duration was 3.77 years, which means that an instantaneous parallel shift (movement up or down) in the yield curve of 100 basis points would result in a change of 3.77% in fair value of our fixed income portfolio.</w:t>
      </w:r>
    </w:p>
    <w:p>
      <w:pPr>
        <w:spacing w:after="0" w:line="12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We are also subject to market risk related to our Term Loan. As discussed in Item 1, "</w:t>
      </w:r>
      <w:r>
        <w:rPr>
          <w:rFonts w:ascii="Times New Roman" w:cs="Times New Roman" w:eastAsia="Times New Roman" w:hAnsi="Times New Roman"/>
          <w:sz w:val="18"/>
          <w:szCs w:val="18"/>
          <w:i w:val="1"/>
          <w:iCs w:val="1"/>
          <w:color w:val="auto"/>
        </w:rPr>
        <w:t>Financial Statements and Supplementary Data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 - Note 4, Term Loan,</w:t>
      </w:r>
      <w:r>
        <w:rPr>
          <w:rFonts w:ascii="Times New Roman" w:cs="Times New Roman" w:eastAsia="Times New Roman" w:hAnsi="Times New Roman"/>
          <w:sz w:val="18"/>
          <w:szCs w:val="18"/>
          <w:color w:val="auto"/>
        </w:rPr>
        <w:t>" the Term Loan bears interest at a variable rate and, as a result, increases in market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generally result in increased interest expense on our outstanding principal.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2016,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September 30, 2016,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6"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3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of our 2015 10-K. Other than the risk factor identified below, we are not aware of any material changes in our risk factors from the risk factors disclosed in our 2015 Form 10-K. You should carefully consider the risks and uncertainties described herein and in our 2015 10-K, which have the potential to affect our business, financial condition, results of operations, cash flows or prospects in a material and adverse manner. The risks described herein and in our 2015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certain risks associated with our 2016 QSR Transaction, including the possibility that our reinsurers will fail to perform their obligations or that we will lose the capital credit we expected to receive when we entered into the 2016 QSR Transaction as a result of future GSE or Wisconsin OCI action or if any of our reinsurers experiences a downgrade or other adverse business event.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2016, in order to continue to grow our business and manage insurance risk and our PMIERs required assets, we entered into the 2016 QSR Transaction. There is a risk that the 2016 QSR Transaction will not continue to provide the benefits we expected when we entered into it, including as a result of our counterparties not performing their obligations, the GSEs not continuing to give us full capital credit under PMIERs or the Wisconsin OCI not continuing to give us full credit for reinsurance under statutory accounting principles as anticipated for the duration of the contract, or if one or more reinsurers experiences a downgrade or other adverse business event, any of which could have negative impacts on the risk transferred under the reinsurance agreement and, in turn, on our capital needs, PMIERs position and growth potential.</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Reinsurance does not relieve us of our direct liability to our insureds to pay claims, even when there are reinsurance recoverables available to us under the 2016 QSR Transaction. Accordingly, we bear credit risk with respect to our reinsurers. To mitigate this risk, there are certain contractual protections that afford sources from which we may directly secure our reinsurance recoverables. See Item 1</w:t>
      </w:r>
      <w:r>
        <w:rPr>
          <w:rFonts w:ascii="Times New Roman" w:cs="Times New Roman" w:eastAsia="Times New Roman" w:hAnsi="Times New Roman"/>
          <w:sz w:val="18"/>
          <w:szCs w:val="18"/>
          <w:i w:val="1"/>
          <w:iCs w:val="1"/>
          <w:color w:val="auto"/>
        </w:rPr>
        <w:t>, "Financial Statements and Supplementary Data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 Note 5, Reinsurance," </w:t>
      </w:r>
      <w:r>
        <w:rPr>
          <w:rFonts w:ascii="Times New Roman" w:cs="Times New Roman" w:eastAsia="Times New Roman" w:hAnsi="Times New Roman"/>
          <w:sz w:val="18"/>
          <w:szCs w:val="18"/>
          <w:color w:val="auto"/>
        </w:rPr>
        <w:t>above. To the extent these sources are insufficient to cover loss recoveries and other amounts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are entitled under the 2016 QSR Transaction, we would attempt to recover such amounts from the reinsurers directly. There is a risk that one or more reinsurers would be unable or unwilling to pay the reinsurance recoverables owed to us in the future, which could have an adverse effect on our financial condition.</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a reinsurer experiences a ratings downgrade, the 2016 QSR Agreement obligates such reinsurer, consistent with PMIERs requirements, to increase collateral in the trust account. If the reinsurer breaches its collateral obligations, and fails to cure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6" w:right="2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after notice, we may terminate the agreement with respect to such reinsurer. The 2016 QSR Transaction also gives us the right to terminate the agreement in other cases, including, among other customary reasons, if a reinsurer becomes insolvent, has its license revoked or reinsures its entire liability under the 2016 QSR Transaction with another entity. If we experience an early termination, we would be required to re-assume the risk ceded to the breaching reinsurer and lose the PMIERs and statutory capital credit we had expected to receive when we entered into the agreement with respect to such reassumed risk. Depending on the timing and severity, such an event could have a material adverse effect on our financial condition, growth potential and future capital needs.</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GSEs and the Wisconsin OCI have the right periodically to review performance under the 2016 QSR Transaction, including the reinsurers’ financial strength and other factors the GSEs and Wisconsin OCI believe are important to an evaluation of the transaction, which factors may be unknown to us. As a result of such reviews, the GSEs or the Wisconsin OCI could withdraw their approvals or continue their approvals, but grant less than full capital credit. If we do not continue to receive full capital credit in connection with the 2016 QSR Transaction, we would likely need to seek other sources of capital sooner than we would have expected with full capital credit under PMIERs. Future sources of capital will depend on the cost, availability and terms and conditions that are acceptable to us, our regulators and the GSEs. We cannot be sure that we will be able to secure other sources of capital in the amounts we require and on favorable terms, if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18"/>
          <w:szCs w:val="18"/>
          <w:color w:val="auto"/>
        </w:rPr>
        <w:t>November 2, 2016</w:t>
      </w:r>
      <w:r>
        <w:rPr>
          <w:sz w:val="20"/>
          <w:szCs w:val="20"/>
          <w:color w:val="auto"/>
        </w:rPr>
        <w:tab/>
      </w:r>
      <w:r>
        <w:rPr>
          <w:rFonts w:ascii="Times New Roman" w:cs="Times New Roman" w:eastAsia="Times New Roman" w:hAnsi="Times New Roman"/>
          <w:sz w:val="18"/>
          <w:szCs w:val="18"/>
          <w:color w:val="auto"/>
        </w:rPr>
        <w:t>By: /s/ Glenn M. Farrell</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Glenn M. Farrell</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240" w:top="1009" w:right="7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4"/>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40" w:type="dxa"/>
            <w:vAlign w:val="bottom"/>
          </w:tcPr>
          <w:p>
            <w:pPr>
              <w:spacing w:after="0"/>
              <w:rPr>
                <w:sz w:val="24"/>
                <w:szCs w:val="24"/>
                <w:color w:val="auto"/>
              </w:rPr>
            </w:pPr>
          </w:p>
        </w:tc>
      </w:tr>
      <w:tr>
        <w:trPr>
          <w:trHeight w:val="238"/>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198" w:lineRule="exact"/>
        <w:rPr>
          <w:sz w:val="20"/>
          <w:szCs w:val="20"/>
          <w:color w:val="auto"/>
        </w:rPr>
      </w:pPr>
    </w:p>
    <w:p>
      <w:pPr>
        <w:jc w:val="center"/>
        <w:ind w:right="140"/>
        <w:spacing w:after="0" w:line="281" w:lineRule="auto"/>
        <w:rPr>
          <w:sz w:val="20"/>
          <w:szCs w:val="20"/>
          <w:color w:val="auto"/>
        </w:rPr>
      </w:pPr>
      <w:r>
        <w:rPr>
          <w:rFonts w:ascii="Times New Roman" w:cs="Times New Roman" w:eastAsia="Times New Roman" w:hAnsi="Times New Roman"/>
          <w:sz w:val="18"/>
          <w:szCs w:val="18"/>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2" w:lineRule="exact"/>
        <w:rPr>
          <w:sz w:val="20"/>
          <w:szCs w:val="20"/>
          <w:color w:val="auto"/>
        </w:rPr>
      </w:pPr>
    </w:p>
    <w:p>
      <w:pPr>
        <w:ind w:left="1160" w:right="10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2" w:lineRule="exact"/>
        <w:rPr>
          <w:sz w:val="20"/>
          <w:szCs w:val="20"/>
          <w:color w:val="auto"/>
        </w:rPr>
      </w:pPr>
    </w:p>
    <w:p>
      <w:pPr>
        <w:ind w:left="1160" w:right="26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Second Amended and Restated Certificate of Incorporation (incorporated herein by reference to Exhibit 3.1 to our Form S-1 Registration Statement (Registration No. 333-191635), filed on October 9, 2013)</w:t>
      </w:r>
    </w:p>
    <w:p>
      <w:pPr>
        <w:spacing w:after="0" w:line="2"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Specimen Class A common stock certificate (incorporated herein by reference to Exhibit 4.1 to our Form S-1 Registration Statement (Registration No. 333-191635), filed on October 9, 2013)</w:t>
      </w:r>
    </w:p>
    <w:p>
      <w:pPr>
        <w:spacing w:after="0" w:line="2" w:lineRule="exact"/>
        <w:rPr>
          <w:sz w:val="20"/>
          <w:szCs w:val="20"/>
          <w:color w:val="auto"/>
        </w:rPr>
      </w:pPr>
    </w:p>
    <w:p>
      <w:pPr>
        <w:ind w:left="1160" w:right="10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2" w:lineRule="exact"/>
        <w:rPr>
          <w:sz w:val="20"/>
          <w:szCs w:val="20"/>
          <w:color w:val="auto"/>
        </w:rPr>
      </w:pPr>
    </w:p>
    <w:p>
      <w:pPr>
        <w:jc w:val="both"/>
        <w:ind w:left="1160" w:right="12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2" w:lineRule="exact"/>
        <w:rPr>
          <w:sz w:val="20"/>
          <w:szCs w:val="20"/>
          <w:color w:val="auto"/>
        </w:rPr>
      </w:pPr>
    </w:p>
    <w:p>
      <w:pPr>
        <w:jc w:val="both"/>
        <w:ind w:left="1160" w:right="120" w:hanging="760"/>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4" w:lineRule="exact"/>
        <w:rPr>
          <w:sz w:val="20"/>
          <w:szCs w:val="20"/>
          <w:color w:val="auto"/>
        </w:rPr>
      </w:pPr>
    </w:p>
    <w:p>
      <w:pPr>
        <w:jc w:val="both"/>
        <w:ind w:left="1160" w:right="100" w:hanging="760"/>
        <w:spacing w:after="0" w:line="298" w:lineRule="auto"/>
        <w:tabs>
          <w:tab w:leader="none" w:pos="11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spacing w:after="0" w:line="1" w:lineRule="exact"/>
        <w:rPr>
          <w:sz w:val="20"/>
          <w:szCs w:val="20"/>
          <w:color w:val="auto"/>
        </w:rPr>
      </w:pPr>
    </w:p>
    <w:p>
      <w:pPr>
        <w:ind w:left="1160" w:right="380" w:hanging="760"/>
        <w:spacing w:after="0" w:line="298" w:lineRule="auto"/>
        <w:tabs>
          <w:tab w:leader="none" w:pos="11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spacing w:after="0" w:line="1" w:lineRule="exact"/>
        <w:rPr>
          <w:sz w:val="20"/>
          <w:szCs w:val="20"/>
          <w:color w:val="auto"/>
        </w:rPr>
      </w:pPr>
    </w:p>
    <w:p>
      <w:pPr>
        <w:ind w:left="1160" w:right="22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Credit Agreement, dated November 10, 2015, between NMI Holdings, Inc., the lenders party thereto and JPMorgan Chase Bank, N.A., as administrative agent (incorporated herein by reference to Exhibit 4.1 to our Form 8-K, filed on November 10, 2015)</w:t>
      </w:r>
    </w:p>
    <w:p>
      <w:pPr>
        <w:spacing w:after="0" w:line="2" w:lineRule="exact"/>
        <w:rPr>
          <w:sz w:val="20"/>
          <w:szCs w:val="20"/>
          <w:color w:val="auto"/>
        </w:rPr>
      </w:pPr>
    </w:p>
    <w:p>
      <w:pPr>
        <w:ind w:left="1160" w:right="32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color w:val="auto"/>
        </w:rPr>
        <w:t>NMI Holdings, Inc. 2012 Stock Incentive Plan (incorporated herein by reference to Exhibit 10.1 to our Form S-1 Registration Statement (Registration No. 333-191635), filed on October 9, 2013)</w:t>
      </w:r>
    </w:p>
    <w:p>
      <w:pPr>
        <w:spacing w:after="0" w:line="1" w:lineRule="exact"/>
        <w:rPr>
          <w:sz w:val="20"/>
          <w:szCs w:val="20"/>
          <w:color w:val="auto"/>
        </w:rPr>
      </w:pPr>
    </w:p>
    <w:p>
      <w:pPr>
        <w:jc w:val="both"/>
        <w:ind w:left="1160" w:right="20" w:hanging="876"/>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10.2 ~</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4"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10.3 ~</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2"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2" w:lineRule="exact"/>
        <w:rPr>
          <w:sz w:val="20"/>
          <w:szCs w:val="20"/>
          <w:color w:val="auto"/>
        </w:rPr>
      </w:pPr>
    </w:p>
    <w:p>
      <w:pPr>
        <w:jc w:val="both"/>
        <w:ind w:left="1160" w:right="20" w:hanging="876"/>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10.5 ~</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4"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10.6 ~</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2"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10.7 ~</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2"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10.8 ~</w:t>
      </w:r>
      <w:r>
        <w:rPr>
          <w:sz w:val="20"/>
          <w:szCs w:val="20"/>
          <w:color w:val="auto"/>
        </w:rPr>
        <w:tab/>
      </w:r>
      <w:r>
        <w:rPr>
          <w:rFonts w:ascii="Times New Roman" w:cs="Times New Roman" w:eastAsia="Times New Roman" w:hAnsi="Times New Roman"/>
          <w:sz w:val="18"/>
          <w:szCs w:val="18"/>
          <w:color w:val="auto"/>
        </w:rPr>
        <w:t>Amended and Restated Employment Agreement by and between NMI Holdings, Inc. and Bradley M. Shuster, dated December 23, 2015 (incorporated herein by reference to Exhibit 10.1 to our Form 8-K, filed on December 29, 2015)</w:t>
      </w:r>
    </w:p>
    <w:p>
      <w:pPr>
        <w:spacing w:after="0" w:line="2" w:lineRule="exact"/>
        <w:rPr>
          <w:sz w:val="20"/>
          <w:szCs w:val="20"/>
          <w:color w:val="auto"/>
        </w:rPr>
      </w:pPr>
    </w:p>
    <w:p>
      <w:pPr>
        <w:jc w:val="both"/>
        <w:ind w:left="1160" w:right="20" w:hanging="876"/>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10.9 ~</w:t>
      </w:r>
      <w:r>
        <w:rPr>
          <w:sz w:val="20"/>
          <w:szCs w:val="20"/>
          <w:color w:val="auto"/>
        </w:rPr>
        <w:tab/>
      </w:r>
      <w:r>
        <w:rPr>
          <w:rFonts w:ascii="Times New Roman" w:cs="Times New Roman" w:eastAsia="Times New Roman" w:hAnsi="Times New Roman"/>
          <w:sz w:val="18"/>
          <w:szCs w:val="18"/>
          <w:color w:val="auto"/>
        </w:rPr>
        <w:t>Offer Letter by and between NMI Holdings, Inc. and Glenn Farrell, effective December 4, 2014 (incorporated herein by reference to Exhibit 10.1 to our Form 8-K, filed on December 9, 2014)</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80"/>
          </w:cols>
          <w:pgMar w:left="320" w:top="576"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40" w:type="dxa"/>
            <w:vAlign w:val="bottom"/>
          </w:tcPr>
          <w:p>
            <w:pPr>
              <w:spacing w:after="0"/>
              <w:rPr>
                <w:sz w:val="18"/>
                <w:szCs w:val="18"/>
                <w:color w:val="auto"/>
              </w:rPr>
            </w:pPr>
          </w:p>
        </w:tc>
      </w:tr>
      <w:tr>
        <w:trPr>
          <w:trHeight w:val="238"/>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 ~</w:t>
            </w: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Offer Letter by and between NMI Holdings, Inc. and William Leatherberry, dated July 11, 2014 (incorporated herein by reference to Exhibit</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 to our Form 10-Q, filed on April 28, 2016)</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NMI Holdings, Inc. and its directors and certain executive officers (incorporated herein by</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 to our Form 8-K, filed on November 25, 2014)</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0001-01 (incorporated herein by reference to Exhibit 10.14 to our Form S-1 Registration Statement (Registration No. 333-191635), filed on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NMI Holdings, Inc. 2014 Omnibus Incentive Plan (incorporated herein by reference to Appendix A to our 2014 Annual Proxy Statement,</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26, 2014)</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Restricted Stock Unit Award Agreement for Chief Executive Officer and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(incorporated herein by reference to Exhibit 10.16 to our Form 10-K, filed on February 19, 2016)</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Restricted Stock Unit Award Agreement for Executive Officers (incorporated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 to Exhibit 10.16 to our Form 10-K, filed on February 19, 2016)</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Restricted Stock Unit Award Agreement for Employees (incorporated herein by</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10.19 to our Form 10-K, filed on February 20, 2015)</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Restricted Stock Unit Award Agreement for Independent Directors</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10.20 to our Form 10-K, filed on February 20, 2015)</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Nonqualified Stock Option Award Agreement for Chief Executive Officer and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(incorporated herein by reference to Exhibit 10.21 to our Form 10-K, filed on February 20, 2015)</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Nonqualified Stock Option Award Agreement for Employees (incorporated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 to Exhibit 10.22 to our Form 10-K, filed on February 20, 2015)</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Phantom Unit Award Agreement for Independent Directors (incorporated herein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to Exhibit 10.21 to our Form 10-Q, filed on August 5, 2015)</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NMI Holdings, Inc. Severance Benefit Plan (incorporated herein by reference to Exhibit 10.1 to our Form 8-K, filed on February 17, 2016)</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NMI Holdings, Inc. (incorporated herein by reference to Exhibit 21.1 to our Form 10-Q, filed on October 30, 2015)</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Officer's Certification Pursuant to Section 302 of the Sarbanes-Oxley Act of 2002</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32.1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Certifications of CEO and CFO Pursuant to 18 U.S.C. Section 1350, as Adopted Pursuant to Section 906 of the Sarbanes-Oxley Act of</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2002</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financial information from NMI Holdings, Inc.'s Quarterly Report on Form 10-Q for the quarter ended September 30, 2016</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w:t>
            </w:r>
          </w:p>
        </w:tc>
      </w:tr>
    </w:tbl>
    <w:p>
      <w:pPr>
        <w:ind w:left="1160"/>
        <w:spacing w:after="0"/>
        <w:rPr>
          <w:sz w:val="20"/>
          <w:szCs w:val="20"/>
          <w:color w:val="auto"/>
        </w:rPr>
      </w:pPr>
      <w:r>
        <w:rPr>
          <w:rFonts w:ascii="Times New Roman" w:cs="Times New Roman" w:eastAsia="Times New Roman" w:hAnsi="Times New Roman"/>
          <w:sz w:val="18"/>
          <w:szCs w:val="18"/>
          <w:color w:val="auto"/>
        </w:rPr>
        <w:t>(i) Consolidated Balance Sheets as of September 30, 2016 and December 31, 2015</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(ii) Consolidated Statements of Comprehensive Income (Loss) for the three months ended September 30, 2016 and 2015</w:t>
      </w:r>
    </w:p>
    <w:p>
      <w:pPr>
        <w:spacing w:after="0" w:line="9" w:lineRule="exact"/>
        <w:rPr>
          <w:sz w:val="20"/>
          <w:szCs w:val="20"/>
          <w:color w:val="auto"/>
        </w:rPr>
      </w:pPr>
    </w:p>
    <w:p>
      <w:pPr>
        <w:ind w:left="1160" w:right="580"/>
        <w:spacing w:after="0" w:line="250" w:lineRule="auto"/>
        <w:rPr>
          <w:sz w:val="20"/>
          <w:szCs w:val="20"/>
          <w:color w:val="auto"/>
        </w:rPr>
      </w:pPr>
      <w:r>
        <w:rPr>
          <w:rFonts w:ascii="Times New Roman" w:cs="Times New Roman" w:eastAsia="Times New Roman" w:hAnsi="Times New Roman"/>
          <w:sz w:val="18"/>
          <w:szCs w:val="18"/>
          <w:color w:val="auto"/>
        </w:rPr>
        <w:t>(iii) Consolidated Statements of Changes in Shareholders' Equity for the three months ended September 30, 2016 and the year ended December 31, 2015</w:t>
      </w:r>
    </w:p>
    <w:p>
      <w:pPr>
        <w:spacing w:after="0" w:line="1" w:lineRule="exact"/>
        <w:rPr>
          <w:sz w:val="20"/>
          <w:szCs w:val="20"/>
          <w:color w:val="auto"/>
        </w:rPr>
      </w:pPr>
    </w:p>
    <w:p>
      <w:pPr>
        <w:ind w:left="1160" w:right="2440"/>
        <w:spacing w:after="0" w:line="261" w:lineRule="auto"/>
        <w:rPr>
          <w:sz w:val="20"/>
          <w:szCs w:val="20"/>
          <w:color w:val="auto"/>
        </w:rPr>
      </w:pPr>
      <w:r>
        <w:rPr>
          <w:rFonts w:ascii="Times New Roman" w:cs="Times New Roman" w:eastAsia="Times New Roman" w:hAnsi="Times New Roman"/>
          <w:sz w:val="18"/>
          <w:szCs w:val="18"/>
          <w:color w:val="auto"/>
        </w:rPr>
        <w:t>(iv) Consolidated Statements of Cash Flows for the three months ended September 30, 2016 and 2015, and (v) Notes to Consolidated Financial Statements</w:t>
      </w:r>
    </w:p>
    <w:p>
      <w:pPr>
        <w:spacing w:after="0" w:line="346" w:lineRule="exact"/>
        <w:rPr>
          <w:sz w:val="20"/>
          <w:szCs w:val="20"/>
          <w:color w:val="auto"/>
        </w:rPr>
      </w:pPr>
    </w:p>
    <w:p>
      <w:pPr>
        <w:ind w:left="280"/>
        <w:spacing w:after="0"/>
        <w:tabs>
          <w:tab w:leader="none" w:pos="480" w:val="left"/>
        </w:tabs>
        <w:rPr>
          <w:sz w:val="20"/>
          <w:szCs w:val="20"/>
          <w:color w:val="auto"/>
        </w:rPr>
      </w:pPr>
      <w:r>
        <w:rPr>
          <w:rFonts w:ascii="Times New Roman" w:cs="Times New Roman" w:eastAsia="Times New Roman" w:hAnsi="Times New Roman"/>
          <w:sz w:val="16"/>
          <w:szCs w:val="16"/>
          <w:color w:val="auto"/>
        </w:rPr>
        <w:t>~</w:t>
        <w:tab/>
        <w:t>Indicates a management contract or compensatory plan or contract.</w:t>
      </w:r>
    </w:p>
    <w:p>
      <w:pPr>
        <w:spacing w:after="0" w:line="73" w:lineRule="exact"/>
        <w:rPr>
          <w:sz w:val="20"/>
          <w:szCs w:val="20"/>
          <w:color w:val="auto"/>
        </w:rPr>
      </w:pPr>
    </w:p>
    <w:p>
      <w:pPr>
        <w:ind w:left="280"/>
        <w:spacing w:after="0"/>
        <w:tabs>
          <w:tab w:leader="none" w:pos="480" w:val="left"/>
        </w:tabs>
        <w:rPr>
          <w:sz w:val="20"/>
          <w:szCs w:val="20"/>
          <w:color w:val="auto"/>
        </w:rPr>
      </w:pPr>
      <w:r>
        <w:rPr>
          <w:rFonts w:ascii="Times New Roman" w:cs="Times New Roman" w:eastAsia="Times New Roman" w:hAnsi="Times New Roman"/>
          <w:sz w:val="16"/>
          <w:szCs w:val="16"/>
          <w:color w:val="auto"/>
        </w:rPr>
        <w:t>+</w:t>
        <w:tab/>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500" w:right="40" w:hanging="221"/>
        <w:spacing w:after="0" w:line="281"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16" w:lineRule="exact"/>
        <w:rPr>
          <w:sz w:val="20"/>
          <w:szCs w:val="20"/>
          <w:color w:val="auto"/>
        </w:rPr>
      </w:pPr>
    </w:p>
    <w:p>
      <w:pPr>
        <w:jc w:val="both"/>
        <w:ind w:left="500" w:right="60" w:hanging="221"/>
        <w:spacing w:after="0" w:line="281" w:lineRule="auto"/>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80"/>
          </w:cols>
          <w:pgMar w:left="320" w:top="738" w:right="299" w:bottom="1440" w:gutter="0" w:footer="0" w:header="0"/>
        </w:sectPr>
      </w:pPr>
    </w:p>
    <w:bookmarkStart w:id="43" w:name="page44"/>
    <w:bookmarkEnd w:id="43"/>
    <w:p>
      <w:pPr>
        <w:ind w:left="102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M. Shuster, certify that:</w:t>
      </w:r>
    </w:p>
    <w:p>
      <w:pPr>
        <w:spacing w:after="0" w:line="200" w:lineRule="exact"/>
        <w:rPr>
          <w:sz w:val="20"/>
          <w:szCs w:val="20"/>
          <w:color w:val="auto"/>
        </w:rPr>
      </w:pPr>
    </w:p>
    <w:p>
      <w:pPr>
        <w:spacing w:after="0" w:line="214"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firstLine="8"/>
        <w:spacing w:after="0" w:line="391"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7" w:lineRule="exact"/>
        <w:rPr>
          <w:rFonts w:ascii="Times New Roman" w:cs="Times New Roman" w:eastAsia="Times New Roman" w:hAnsi="Times New Roman"/>
          <w:sz w:val="18"/>
          <w:szCs w:val="18"/>
          <w:color w:val="auto"/>
        </w:rPr>
      </w:pPr>
    </w:p>
    <w:p>
      <w:pPr>
        <w:ind w:firstLine="8"/>
        <w:spacing w:after="0" w:line="391" w:lineRule="auto"/>
        <w:tabs>
          <w:tab w:leader="none" w:pos="1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7" w:lineRule="exact"/>
        <w:rPr>
          <w:rFonts w:ascii="Times New Roman" w:cs="Times New Roman" w:eastAsia="Times New Roman" w:hAnsi="Times New Roman"/>
          <w:sz w:val="18"/>
          <w:szCs w:val="18"/>
          <w:color w:val="auto"/>
        </w:rPr>
      </w:pPr>
    </w:p>
    <w:p>
      <w:pPr>
        <w:jc w:val="both"/>
        <w:ind w:firstLine="8"/>
        <w:spacing w:after="0" w:line="376"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9"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9"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9" w:lineRule="exact"/>
        <w:rPr>
          <w:rFonts w:ascii="Times New Roman" w:cs="Times New Roman" w:eastAsia="Times New Roman" w:hAnsi="Times New Roman"/>
          <w:sz w:val="18"/>
          <w:szCs w:val="18"/>
          <w:color w:val="auto"/>
        </w:rPr>
      </w:pPr>
    </w:p>
    <w:p>
      <w:pPr>
        <w:ind w:left="660" w:right="20" w:hanging="4"/>
        <w:spacing w:after="0" w:line="391" w:lineRule="auto"/>
        <w:tabs>
          <w:tab w:leader="none" w:pos="8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9" w:lineRule="exact"/>
        <w:rPr>
          <w:rFonts w:ascii="Times New Roman" w:cs="Times New Roman" w:eastAsia="Times New Roman" w:hAnsi="Times New Roman"/>
          <w:sz w:val="18"/>
          <w:szCs w:val="18"/>
          <w:color w:val="auto"/>
        </w:rPr>
      </w:pPr>
    </w:p>
    <w:p>
      <w:pPr>
        <w:ind w:firstLine="8"/>
        <w:spacing w:after="0" w:line="391" w:lineRule="auto"/>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17"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0" w:right="20" w:hanging="4"/>
        <w:spacing w:after="0" w:line="391" w:lineRule="auto"/>
        <w:tabs>
          <w:tab w:leader="none" w:pos="7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7" w:lineRule="exact"/>
        <w:rPr>
          <w:rFonts w:ascii="Times New Roman" w:cs="Times New Roman" w:eastAsia="Times New Roman" w:hAnsi="Times New Roman"/>
          <w:sz w:val="18"/>
          <w:szCs w:val="18"/>
          <w:color w:val="auto"/>
        </w:rPr>
      </w:pPr>
    </w:p>
    <w:p>
      <w:pPr>
        <w:ind w:left="600" w:hanging="4"/>
        <w:spacing w:after="0" w:line="391"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2, 2016</w:t>
      </w:r>
    </w:p>
    <w:p>
      <w:pPr>
        <w:spacing w:after="0" w:line="9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34290</wp:posOffset>
            </wp:positionV>
            <wp:extent cx="3601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Bradley M. Shuster</w:t>
      </w:r>
    </w:p>
    <w:p>
      <w:pPr>
        <w:spacing w:after="0" w:line="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360"/>
          </w:cols>
          <w:pgMar w:left="300" w:top="11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M. Farrell,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660" w:right="20" w:hanging="4"/>
        <w:spacing w:after="0" w:line="266" w:lineRule="auto"/>
        <w:tabs>
          <w:tab w:leader="none" w:pos="8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40" w:hanging="4"/>
        <w:spacing w:after="0" w:line="266" w:lineRule="auto"/>
        <w:tabs>
          <w:tab w:leader="none" w:pos="8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80" w:hanging="4"/>
        <w:spacing w:after="0" w:line="313" w:lineRule="auto"/>
        <w:tabs>
          <w:tab w:leader="none" w:pos="84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660" w:right="260" w:hanging="4"/>
        <w:spacing w:after="0" w:line="266" w:lineRule="auto"/>
        <w:tabs>
          <w:tab w:leader="none" w:pos="8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4"/>
        <w:spacing w:after="0" w:line="282" w:lineRule="auto"/>
        <w:tabs>
          <w:tab w:leader="none" w:pos="8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4"/>
        <w:spacing w:after="0" w:line="282" w:lineRule="auto"/>
        <w:tabs>
          <w:tab w:leader="none" w:pos="8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2, 2016</w:t>
      </w:r>
    </w:p>
    <w:p>
      <w:pPr>
        <w:spacing w:after="0" w:line="9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01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Glenn M. Farrell</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71"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In connection with the Quarterly Report of NMI Holdings, Inc. (the “Company”) on Form 10-Q for the quarter ended September 30, 2016,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270"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2, 2016</w:t>
      </w:r>
    </w:p>
    <w:p>
      <w:pPr>
        <w:spacing w:after="0" w:line="37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0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Bradley M. Shuster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2, 2016</w:t>
      </w:r>
    </w:p>
    <w:p>
      <w:pPr>
        <w:spacing w:after="0" w:line="37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0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Glenn M. Farrell</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ind w:right="40"/>
        <w:spacing w:after="0" w:line="37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2019-12-29T10:32:16Z</dcterms:created>
  <dcterms:modified xsi:type="dcterms:W3CDTF">2019-12-29T10:32:16Z</dcterms:modified>
</cp:coreProperties>
</file>