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35" w:lineRule="exact"/>
        <w:rPr>
          <w:sz w:val="24"/>
          <w:szCs w:val="24"/>
          <w:color w:val="auto"/>
        </w:rPr>
      </w:pPr>
    </w:p>
    <w:p>
      <w:pPr>
        <w:ind w:left="720"/>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ind w:left="720" w:hanging="685"/>
        <w:spacing w:after="0"/>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2016</w:t>
      </w:r>
    </w:p>
    <w:p>
      <w:pPr>
        <w:spacing w:after="0" w:line="9"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ind w:left="74"/>
              <w:spacing w:after="0"/>
              <w:rPr>
                <w:sz w:val="20"/>
                <w:szCs w:val="20"/>
                <w:color w:val="auto"/>
              </w:rPr>
            </w:pPr>
            <w:r>
              <w:rPr>
                <w:rFonts w:ascii="Arial" w:cs="Arial" w:eastAsia="Arial" w:hAnsi="Arial"/>
                <w:sz w:val="14"/>
                <w:szCs w:val="14"/>
                <w:color w:val="auto"/>
                <w:w w:val="95"/>
              </w:rPr>
              <w:t>OR</w:t>
            </w:r>
          </w:p>
        </w:tc>
        <w:tc>
          <w:tcPr>
            <w:tcW w:w="1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84"/>
        </w:trPr>
        <w:tc>
          <w:tcPr>
            <w:tcW w:w="380" w:type="dxa"/>
            <w:vAlign w:val="bottom"/>
          </w:tcPr>
          <w:p>
            <w:pPr>
              <w:spacing w:after="0"/>
              <w:rPr>
                <w:sz w:val="24"/>
                <w:szCs w:val="24"/>
                <w:color w:val="auto"/>
              </w:rPr>
            </w:pPr>
          </w:p>
        </w:tc>
        <w:tc>
          <w:tcPr>
            <w:tcW w:w="9480" w:type="dxa"/>
            <w:vAlign w:val="bottom"/>
            <w:gridSpan w:val="10"/>
          </w:tcPr>
          <w:p>
            <w:pPr>
              <w:ind w:left="30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r>
      <w:tr>
        <w:trPr>
          <w:trHeight w:val="154"/>
        </w:trPr>
        <w:tc>
          <w:tcPr>
            <w:tcW w:w="380" w:type="dxa"/>
            <w:vAlign w:val="bottom"/>
          </w:tcPr>
          <w:p>
            <w:pPr>
              <w:spacing w:after="0" w:line="154" w:lineRule="exact"/>
              <w:rPr>
                <w:sz w:val="20"/>
                <w:szCs w:val="20"/>
                <w:color w:val="auto"/>
              </w:rPr>
            </w:pPr>
            <w:r>
              <w:rPr>
                <w:rFonts w:ascii="Arial" w:cs="Arial" w:eastAsia="Arial" w:hAnsi="Arial"/>
                <w:sz w:val="14"/>
                <w:szCs w:val="14"/>
                <w:color w:val="auto"/>
              </w:rPr>
              <w:t>o</w:t>
            </w:r>
          </w:p>
        </w:tc>
        <w:tc>
          <w:tcPr>
            <w:tcW w:w="2060" w:type="dxa"/>
            <w:vAlign w:val="bottom"/>
            <w:gridSpan w:val="2"/>
          </w:tcPr>
          <w:p>
            <w:pPr>
              <w:ind w:left="300"/>
              <w:spacing w:after="0" w:line="154" w:lineRule="exact"/>
              <w:rPr>
                <w:sz w:val="20"/>
                <w:szCs w:val="20"/>
                <w:color w:val="auto"/>
              </w:rPr>
            </w:pPr>
            <w:r>
              <w:rPr>
                <w:rFonts w:ascii="Arial" w:cs="Arial" w:eastAsia="Arial" w:hAnsi="Arial"/>
                <w:sz w:val="14"/>
                <w:szCs w:val="14"/>
                <w:color w:val="auto"/>
                <w:w w:val="96"/>
              </w:rPr>
              <w:t>For the transition period from</w:t>
            </w:r>
          </w:p>
        </w:tc>
        <w:tc>
          <w:tcPr>
            <w:tcW w:w="600" w:type="dxa"/>
            <w:vAlign w:val="bottom"/>
          </w:tcPr>
          <w:p>
            <w:pPr>
              <w:spacing w:after="0"/>
              <w:rPr>
                <w:sz w:val="13"/>
                <w:szCs w:val="13"/>
                <w:color w:val="auto"/>
              </w:rPr>
            </w:pPr>
          </w:p>
        </w:tc>
        <w:tc>
          <w:tcPr>
            <w:tcW w:w="4160" w:type="dxa"/>
            <w:vAlign w:val="bottom"/>
            <w:gridSpan w:val="5"/>
          </w:tcPr>
          <w:p>
            <w:pPr>
              <w:jc w:val="center"/>
              <w:ind w:right="3874"/>
              <w:spacing w:after="0" w:line="154"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73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5"/>
              </w:rPr>
              <w:t xml:space="preserve">Commission file number </w:t>
            </w:r>
            <w:r>
              <w:rPr>
                <w:rFonts w:ascii="Arial" w:cs="Arial" w:eastAsia="Arial" w:hAnsi="Arial"/>
                <w:sz w:val="14"/>
                <w:szCs w:val="14"/>
                <w:b w:val="1"/>
                <w:bCs w:val="1"/>
                <w:color w:val="auto"/>
                <w:w w:val="95"/>
              </w:rPr>
              <w:t>001-36174</w:t>
            </w:r>
          </w:p>
        </w:tc>
        <w:tc>
          <w:tcPr>
            <w:tcW w:w="1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2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left="74"/>
              <w:spacing w:after="0"/>
              <w:rPr>
                <w:sz w:val="20"/>
                <w:szCs w:val="20"/>
                <w:color w:val="auto"/>
              </w:rPr>
            </w:pPr>
            <w:r>
              <w:rPr>
                <w:rFonts w:ascii="Arial" w:cs="Arial" w:eastAsia="Arial" w:hAnsi="Arial"/>
                <w:sz w:val="32"/>
                <w:szCs w:val="32"/>
                <w:b w:val="1"/>
                <w:bCs w:val="1"/>
                <w:color w:val="auto"/>
                <w:w w:val="96"/>
              </w:rPr>
              <w:t>NMI Holdings, Inc.</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w w:val="87"/>
              </w:rPr>
              <w:t>(Exact name of registrant as specified in its charter)</w:t>
            </w:r>
          </w:p>
        </w:tc>
        <w:tc>
          <w:tcPr>
            <w:tcW w:w="14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326"/>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right="3254"/>
              <w:spacing w:after="0"/>
              <w:rPr>
                <w:sz w:val="20"/>
                <w:szCs w:val="20"/>
                <w:color w:val="auto"/>
              </w:rPr>
            </w:pPr>
            <w:r>
              <w:rPr>
                <w:rFonts w:ascii="Arial" w:cs="Arial" w:eastAsia="Arial" w:hAnsi="Arial"/>
                <w:sz w:val="14"/>
                <w:szCs w:val="14"/>
                <w:b w:val="1"/>
                <w:bCs w:val="1"/>
                <w:color w:val="auto"/>
              </w:rPr>
              <w:t>DELAWARE</w:t>
            </w:r>
          </w:p>
        </w:tc>
        <w:tc>
          <w:tcPr>
            <w:tcW w:w="2660" w:type="dxa"/>
            <w:vAlign w:val="bottom"/>
            <w:gridSpan w:val="2"/>
          </w:tcPr>
          <w:p>
            <w:pPr>
              <w:jc w:val="right"/>
              <w:ind w:right="1253"/>
              <w:spacing w:after="0"/>
              <w:rPr>
                <w:sz w:val="20"/>
                <w:szCs w:val="20"/>
                <w:color w:val="auto"/>
              </w:rPr>
            </w:pPr>
            <w:r>
              <w:rPr>
                <w:rFonts w:ascii="Arial" w:cs="Arial" w:eastAsia="Arial" w:hAnsi="Arial"/>
                <w:sz w:val="14"/>
                <w:szCs w:val="14"/>
                <w:b w:val="1"/>
                <w:bCs w:val="1"/>
                <w:color w:val="auto"/>
              </w:rPr>
              <w:t>45-4914248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660" w:type="dxa"/>
            <w:vAlign w:val="bottom"/>
            <w:gridSpan w:val="2"/>
          </w:tcPr>
          <w:p>
            <w:pPr>
              <w:jc w:val="center"/>
              <w:ind w:right="593"/>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82"/>
        </w:trPr>
        <w:tc>
          <w:tcPr>
            <w:tcW w:w="380" w:type="dxa"/>
            <w:vAlign w:val="bottom"/>
          </w:tcPr>
          <w:p>
            <w:pPr>
              <w:spacing w:after="0"/>
              <w:rPr>
                <w:sz w:val="24"/>
                <w:szCs w:val="24"/>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4"/>
                <w:szCs w:val="14"/>
                <w:b w:val="1"/>
                <w:bCs w:val="1"/>
                <w:color w:val="auto"/>
                <w:w w:val="94"/>
              </w:rPr>
              <w:t>2100 Powell Street, Emeryville, CA</w:t>
            </w:r>
          </w:p>
        </w:tc>
        <w:tc>
          <w:tcPr>
            <w:tcW w:w="2660" w:type="dxa"/>
            <w:vAlign w:val="bottom"/>
            <w:gridSpan w:val="2"/>
          </w:tcPr>
          <w:p>
            <w:pPr>
              <w:jc w:val="right"/>
              <w:ind w:right="1413"/>
              <w:spacing w:after="0"/>
              <w:rPr>
                <w:sz w:val="20"/>
                <w:szCs w:val="20"/>
                <w:color w:val="auto"/>
              </w:rPr>
            </w:pPr>
            <w:r>
              <w:rPr>
                <w:rFonts w:ascii="Arial" w:cs="Arial" w:eastAsia="Arial" w:hAnsi="Arial"/>
                <w:sz w:val="14"/>
                <w:szCs w:val="14"/>
                <w:b w:val="1"/>
                <w:bCs w:val="1"/>
                <w:color w:val="auto"/>
              </w:rPr>
              <w:t>94608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0" w:type="dxa"/>
            <w:vAlign w:val="bottom"/>
          </w:tcPr>
          <w:p>
            <w:pPr>
              <w:spacing w:after="0"/>
              <w:rPr>
                <w:sz w:val="23"/>
                <w:szCs w:val="23"/>
                <w:color w:val="auto"/>
              </w:rPr>
            </w:pPr>
          </w:p>
        </w:tc>
        <w:tc>
          <w:tcPr>
            <w:tcW w:w="2520" w:type="dxa"/>
            <w:vAlign w:val="bottom"/>
          </w:tcPr>
          <w:p>
            <w:pPr>
              <w:jc w:val="center"/>
              <w:ind w:right="733"/>
              <w:spacing w:after="0"/>
              <w:rPr>
                <w:sz w:val="20"/>
                <w:szCs w:val="20"/>
                <w:color w:val="auto"/>
              </w:rPr>
            </w:pPr>
            <w:r>
              <w:rPr>
                <w:rFonts w:ascii="Arial" w:cs="Arial" w:eastAsia="Arial" w:hAnsi="Arial"/>
                <w:sz w:val="13"/>
                <w:szCs w:val="13"/>
                <w:b w:val="1"/>
                <w:bCs w:val="1"/>
                <w:color w:val="auto"/>
                <w:w w:val="93"/>
              </w:rPr>
              <w:t>(Zip Code)</w:t>
            </w:r>
          </w:p>
        </w:tc>
      </w:tr>
      <w:tr>
        <w:trPr>
          <w:trHeight w:val="281"/>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left="1628"/>
              <w:spacing w:after="0"/>
              <w:rPr>
                <w:sz w:val="20"/>
                <w:szCs w:val="20"/>
                <w:color w:val="auto"/>
              </w:rPr>
            </w:pPr>
            <w:r>
              <w:rPr>
                <w:rFonts w:ascii="Arial" w:cs="Arial" w:eastAsia="Arial" w:hAnsi="Arial"/>
                <w:sz w:val="14"/>
                <w:szCs w:val="14"/>
                <w:b w:val="1"/>
                <w:bCs w:val="1"/>
                <w:color w:val="auto"/>
                <w:w w:val="93"/>
              </w:rPr>
              <w:t>(855) 530-6642</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4"/>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left="7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28"/>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20" w:type="dxa"/>
            <w:vAlign w:val="bottom"/>
            <w:gridSpan w:val="4"/>
          </w:tcPr>
          <w:p>
            <w:pPr>
              <w:jc w:val="center"/>
              <w:ind w:right="22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2"/>
        </w:trPr>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spacing w:after="0"/>
              <w:rPr>
                <w:sz w:val="21"/>
                <w:szCs w:val="21"/>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79"/>
        </w:trPr>
        <w:tc>
          <w:tcPr>
            <w:tcW w:w="380" w:type="dxa"/>
            <w:vAlign w:val="bottom"/>
          </w:tcPr>
          <w:p>
            <w:pPr>
              <w:spacing w:after="0"/>
              <w:rPr>
                <w:sz w:val="24"/>
                <w:szCs w:val="24"/>
                <w:color w:val="auto"/>
              </w:rPr>
            </w:pPr>
          </w:p>
        </w:tc>
        <w:tc>
          <w:tcPr>
            <w:tcW w:w="6820" w:type="dxa"/>
            <w:vAlign w:val="bottom"/>
            <w:gridSpan w:val="8"/>
          </w:tcPr>
          <w:p>
            <w:pPr>
              <w:jc w:val="center"/>
              <w:ind w:right="1954"/>
              <w:spacing w:after="0"/>
              <w:rPr>
                <w:sz w:val="20"/>
                <w:szCs w:val="20"/>
                <w:color w:val="auto"/>
              </w:rPr>
            </w:pPr>
            <w:r>
              <w:rPr>
                <w:rFonts w:ascii="Arial" w:cs="Arial" w:eastAsia="Arial" w:hAnsi="Arial"/>
                <w:sz w:val="14"/>
                <w:szCs w:val="14"/>
                <w:color w:val="auto"/>
                <w:w w:val="91"/>
              </w:rPr>
              <w:t>Class A Common Stock, $.01 par value per share</w:t>
            </w:r>
          </w:p>
        </w:tc>
        <w:tc>
          <w:tcPr>
            <w:tcW w:w="140" w:type="dxa"/>
            <w:vAlign w:val="bottom"/>
          </w:tcPr>
          <w:p>
            <w:pPr>
              <w:spacing w:after="0"/>
              <w:rPr>
                <w:sz w:val="24"/>
                <w:szCs w:val="24"/>
                <w:color w:val="auto"/>
              </w:rPr>
            </w:pPr>
          </w:p>
        </w:tc>
        <w:tc>
          <w:tcPr>
            <w:tcW w:w="2520" w:type="dxa"/>
            <w:vAlign w:val="bottom"/>
          </w:tcPr>
          <w:p>
            <w:pPr>
              <w:jc w:val="center"/>
              <w:ind w:right="73"/>
              <w:spacing w:after="0"/>
              <w:rPr>
                <w:sz w:val="20"/>
                <w:szCs w:val="20"/>
                <w:color w:val="auto"/>
              </w:rPr>
            </w:pPr>
            <w:r>
              <w:rPr>
                <w:rFonts w:ascii="Arial" w:cs="Arial" w:eastAsia="Arial" w:hAnsi="Arial"/>
                <w:sz w:val="14"/>
                <w:szCs w:val="14"/>
                <w:color w:val="auto"/>
                <w:w w:val="99"/>
              </w:rPr>
              <w:t>NASDAQ Stock Market LLC</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Arial" w:cs="Arial" w:eastAsia="Arial" w:hAnsi="Arial"/>
          <w:sz w:val="14"/>
          <w:szCs w:val="14"/>
          <w:b w:val="1"/>
          <w:bCs w:val="1"/>
          <w:color w:val="auto"/>
        </w:rPr>
        <w:t>YES o NO x</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 x NO o</w:t>
      </w:r>
    </w:p>
    <w:p>
      <w:pPr>
        <w:spacing w:after="0" w:line="16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4"/>
          <w:szCs w:val="14"/>
          <w:b w:val="1"/>
          <w:bCs w:val="1"/>
          <w:color w:val="auto"/>
        </w:rPr>
        <w:t>YES x NO 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4"/>
          <w:szCs w:val="14"/>
          <w:b w:val="1"/>
          <w:bCs w:val="1"/>
          <w:color w:val="auto"/>
        </w:rPr>
        <w:t>x</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p>
      <w:pPr>
        <w:ind w:left="740"/>
        <w:spacing w:after="0"/>
        <w:tabs>
          <w:tab w:leader="none" w:pos="3740" w:val="left"/>
          <w:tab w:leader="none" w:pos="6460" w:val="left"/>
          <w:tab w:leader="none" w:pos="91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127"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2016, the last business day of the registrant's most recently completed second fiscal quarter, the calculated aggregate market value of common stock held by non-affiliates was $318,379,040.</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February 14, 2017 was 59,145,161 shares.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registrant's Proxy Statement for the 2017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2016.</w:t>
      </w:r>
    </w:p>
    <w:p>
      <w:pPr>
        <w:sectPr>
          <w:pgSz w:w="11900" w:h="16838" w:orient="portrait"/>
          <w:cols w:equalWidth="0" w:num="1">
            <w:col w:w="11420"/>
          </w:cols>
          <w:pgMar w:left="240" w:top="68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2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120" w:type="dxa"/>
            <w:vAlign w:val="bottom"/>
            <w:tcBorders>
              <w:bottom w:val="single" w:sz="8" w:color="CCEEFF"/>
            </w:tcBorders>
            <w:gridSpan w:val="2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Cautionary Note Regarding Forward Looking Statements</w:t>
            </w: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gridSpan w:val="6"/>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400" w:type="dxa"/>
            <w:vAlign w:val="bottom"/>
            <w:tcBorders>
              <w:bottom w:val="single" w:sz="8" w:color="CCEEFF"/>
            </w:tcBorders>
            <w:gridSpan w:val="21"/>
            <w:shd w:val="clear" w:color="auto" w:fill="CCEEFF"/>
          </w:tcPr>
          <w:p>
            <w:pPr>
              <w:spacing w:after="0"/>
              <w:rPr>
                <w:sz w:val="21"/>
                <w:szCs w:val="21"/>
                <w:color w:val="auto"/>
              </w:rPr>
            </w:pP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1A.</w:t>
            </w:r>
          </w:p>
        </w:tc>
        <w:tc>
          <w:tcPr>
            <w:tcW w:w="10040" w:type="dxa"/>
            <w:vAlign w:val="bottom"/>
            <w:gridSpan w:val="23"/>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00" w:type="dxa"/>
            <w:vAlign w:val="bottom"/>
            <w:gridSpan w:val="6"/>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1B.</w:t>
            </w:r>
          </w:p>
        </w:tc>
        <w:tc>
          <w:tcPr>
            <w:tcW w:w="10040" w:type="dxa"/>
            <w:vAlign w:val="bottom"/>
            <w:gridSpan w:val="23"/>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Unresolved Staff Comments</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2"/>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Properties</w:t>
              </w:r>
            </w:hyperlink>
          </w:p>
        </w:tc>
        <w:tc>
          <w:tcPr>
            <w:tcW w:w="8000" w:type="dxa"/>
            <w:vAlign w:val="bottom"/>
            <w:gridSpan w:val="11"/>
          </w:tcPr>
          <w:p>
            <w:pPr>
              <w:spacing w:after="0"/>
              <w:rPr>
                <w:sz w:val="17"/>
                <w:szCs w:val="17"/>
                <w:color w:val="auto"/>
              </w:rPr>
            </w:pPr>
          </w:p>
        </w:tc>
        <w:tc>
          <w:tcPr>
            <w:tcW w:w="300" w:type="dxa"/>
            <w:vAlign w:val="bottom"/>
            <w:gridSpan w:val="6"/>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10040" w:type="dxa"/>
            <w:vAlign w:val="bottom"/>
            <w:gridSpan w:val="23"/>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10040" w:type="dxa"/>
            <w:vAlign w:val="bottom"/>
            <w:gridSpan w:val="23"/>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300" w:type="dxa"/>
            <w:vAlign w:val="bottom"/>
            <w:gridSpan w:val="6"/>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shd w:val="clear" w:color="auto" w:fill="CCEEFF"/>
              </w:rPr>
            </w:pPr>
            <w:hyperlink w:anchor="page49">
              <w:r>
                <w:rPr>
                  <w:rFonts w:ascii="Arial" w:cs="Arial" w:eastAsia="Arial" w:hAnsi="Arial"/>
                  <w:sz w:val="17"/>
                  <w:szCs w:val="17"/>
                  <w:color w:val="0000EE"/>
                  <w:w w:val="73"/>
                  <w:shd w:val="clear" w:color="auto" w:fill="CCEEFF"/>
                </w:rPr>
                <w:t>49</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8060" w:type="dxa"/>
            <w:vAlign w:val="bottom"/>
            <w:gridSpan w:val="22"/>
            <w:shd w:val="clear" w:color="auto" w:fill="CCEEFF"/>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Market for Registrant's Common Equity, Related Stockholder Matters and Issuer Purchases of Equity Securities</w:t>
              </w:r>
            </w:hyperlink>
          </w:p>
        </w:tc>
        <w:tc>
          <w:tcPr>
            <w:tcW w:w="1980" w:type="dxa"/>
            <w:vAlign w:val="bottom"/>
            <w:shd w:val="clear" w:color="auto" w:fill="CCEEFF"/>
          </w:tcPr>
          <w:p>
            <w:pPr>
              <w:spacing w:after="0"/>
              <w:rPr>
                <w:sz w:val="24"/>
                <w:szCs w:val="24"/>
                <w:color w:val="auto"/>
              </w:rPr>
            </w:pPr>
          </w:p>
        </w:tc>
        <w:tc>
          <w:tcPr>
            <w:tcW w:w="300" w:type="dxa"/>
            <w:vAlign w:val="bottom"/>
            <w:gridSpan w:val="6"/>
            <w:shd w:val="clear" w:color="auto" w:fill="CCEEFF"/>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6.</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400" w:type="dxa"/>
            <w:vAlign w:val="bottom"/>
            <w:tcBorders>
              <w:top w:val="single" w:sz="8" w:color="0000EE"/>
            </w:tcBorders>
            <w:gridSpan w:val="2"/>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gridSpan w:val="2"/>
            <w:vMerge w:val="restart"/>
          </w:tcPr>
          <w:p>
            <w:pPr>
              <w:spacing w:after="0"/>
              <w:rPr>
                <w:sz w:val="2"/>
                <w:szCs w:val="2"/>
                <w:color w:val="auto"/>
              </w:rPr>
            </w:pPr>
          </w:p>
        </w:tc>
        <w:tc>
          <w:tcPr>
            <w:tcW w:w="180" w:type="dxa"/>
            <w:vAlign w:val="bottom"/>
            <w:tcBorders>
              <w:top w:val="single" w:sz="8" w:color="0000EE"/>
            </w:tcBorders>
            <w:vMerge w:val="restart"/>
          </w:tcPr>
          <w:p>
            <w:pPr>
              <w:spacing w:after="0"/>
              <w:rPr>
                <w:sz w:val="2"/>
                <w:szCs w:val="2"/>
                <w:color w:val="auto"/>
              </w:rPr>
            </w:pPr>
          </w:p>
        </w:tc>
        <w:tc>
          <w:tcPr>
            <w:tcW w:w="880" w:type="dxa"/>
            <w:vAlign w:val="bottom"/>
            <w:tcBorders>
              <w:top w:val="single" w:sz="8" w:color="0000EE"/>
            </w:tcBorders>
            <w:gridSpan w:val="2"/>
            <w:vMerge w:val="restart"/>
          </w:tcPr>
          <w:p>
            <w:pPr>
              <w:spacing w:after="0"/>
              <w:rPr>
                <w:sz w:val="2"/>
                <w:szCs w:val="2"/>
                <w:color w:val="auto"/>
              </w:rPr>
            </w:pPr>
          </w:p>
        </w:tc>
        <w:tc>
          <w:tcPr>
            <w:tcW w:w="30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vMerge w:val="restart"/>
          </w:tcPr>
          <w:p>
            <w:pPr>
              <w:spacing w:after="0"/>
              <w:rPr>
                <w:sz w:val="2"/>
                <w:szCs w:val="2"/>
                <w:color w:val="auto"/>
              </w:rPr>
            </w:pPr>
          </w:p>
        </w:tc>
        <w:tc>
          <w:tcPr>
            <w:tcW w:w="760" w:type="dxa"/>
            <w:vAlign w:val="bottom"/>
            <w:tcBorders>
              <w:top w:val="single" w:sz="8" w:color="0000EE"/>
            </w:tcBorders>
            <w:vMerge w:val="restart"/>
          </w:tcPr>
          <w:p>
            <w:pPr>
              <w:spacing w:after="0"/>
              <w:rPr>
                <w:sz w:val="2"/>
                <w:szCs w:val="2"/>
                <w:color w:val="auto"/>
              </w:rPr>
            </w:pPr>
          </w:p>
        </w:tc>
        <w:tc>
          <w:tcPr>
            <w:tcW w:w="280" w:type="dxa"/>
            <w:vAlign w:val="bottom"/>
            <w:tcBorders>
              <w:top w:val="single" w:sz="8" w:color="0000EE"/>
            </w:tcBorders>
            <w:vMerge w:val="restart"/>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0000EE"/>
            </w:tcBorders>
            <w:vMerge w:val="restart"/>
          </w:tcPr>
          <w:p>
            <w:pPr>
              <w:spacing w:after="0"/>
              <w:rPr>
                <w:sz w:val="2"/>
                <w:szCs w:val="2"/>
                <w:color w:val="auto"/>
              </w:rPr>
            </w:pPr>
          </w:p>
        </w:tc>
        <w:tc>
          <w:tcPr>
            <w:tcW w:w="800" w:type="dxa"/>
            <w:vAlign w:val="bottom"/>
            <w:tcBorders>
              <w:top w:val="single" w:sz="8" w:color="0000EE"/>
            </w:tcBorders>
            <w:vMerge w:val="restart"/>
          </w:tcPr>
          <w:p>
            <w:pPr>
              <w:spacing w:after="0"/>
              <w:rPr>
                <w:sz w:val="2"/>
                <w:szCs w:val="2"/>
                <w:color w:val="auto"/>
              </w:rPr>
            </w:pPr>
          </w:p>
        </w:tc>
        <w:tc>
          <w:tcPr>
            <w:tcW w:w="780" w:type="dxa"/>
            <w:vAlign w:val="bottom"/>
            <w:tcBorders>
              <w:top w:val="single" w:sz="8" w:color="0000EE"/>
            </w:tcBorders>
            <w:vMerge w:val="restart"/>
          </w:tcPr>
          <w:p>
            <w:pPr>
              <w:spacing w:after="0"/>
              <w:rPr>
                <w:sz w:val="2"/>
                <w:szCs w:val="2"/>
                <w:color w:val="auto"/>
              </w:rPr>
            </w:pPr>
          </w:p>
        </w:tc>
        <w:tc>
          <w:tcPr>
            <w:tcW w:w="1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w w:val="89"/>
                <w:shd w:val="clear" w:color="auto" w:fill="CCEEFF"/>
              </w:rPr>
            </w:pPr>
            <w:hyperlink w:anchor="page51">
              <w:r>
                <w:rPr>
                  <w:rFonts w:ascii="Arial" w:cs="Arial" w:eastAsia="Arial" w:hAnsi="Arial"/>
                  <w:sz w:val="18"/>
                  <w:szCs w:val="18"/>
                  <w:color w:val="0000EE"/>
                  <w:w w:val="89"/>
                  <w:shd w:val="clear" w:color="auto" w:fill="CCEEFF"/>
                </w:rPr>
                <w:t>Selected Financial Data</w:t>
              </w:r>
            </w:hyperlink>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51">
              <w:r>
                <w:rPr>
                  <w:rFonts w:ascii="Arial" w:cs="Arial" w:eastAsia="Arial" w:hAnsi="Arial"/>
                  <w:sz w:val="17"/>
                  <w:szCs w:val="17"/>
                  <w:color w:val="0000EE"/>
                  <w:w w:val="73"/>
                  <w:shd w:val="clear" w:color="auto" w:fill="CCEEFF"/>
                </w:rPr>
                <w:t>51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7.</w:t>
            </w:r>
          </w:p>
        </w:tc>
        <w:tc>
          <w:tcPr>
            <w:tcW w:w="6440" w:type="dxa"/>
            <w:vAlign w:val="bottom"/>
            <w:gridSpan w:val="19"/>
            <w:shd w:val="clear" w:color="auto" w:fill="CCEEFF"/>
          </w:tcPr>
          <w:p>
            <w:pPr>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Management's Discussion and Analysis of Financial Condition and Results of Operations</w:t>
              </w:r>
            </w:hyperlink>
          </w:p>
        </w:tc>
        <w:tc>
          <w:tcPr>
            <w:tcW w:w="3600" w:type="dxa"/>
            <w:vAlign w:val="bottom"/>
            <w:gridSpan w:val="4"/>
            <w:shd w:val="clear" w:color="auto" w:fill="CCEEFF"/>
          </w:tcPr>
          <w:p>
            <w:pPr>
              <w:spacing w:after="0"/>
              <w:rPr>
                <w:sz w:val="21"/>
                <w:szCs w:val="21"/>
                <w:color w:val="auto"/>
              </w:rPr>
            </w:pPr>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7A.</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2760" w:type="dxa"/>
            <w:vAlign w:val="bottom"/>
            <w:tcBorders>
              <w:top w:val="single" w:sz="8" w:color="CCEEFF"/>
            </w:tcBorders>
            <w:gridSpan w:val="2"/>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3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shd w:val="clear" w:color="auto" w:fill="CCEEFF"/>
              </w:rPr>
            </w:pPr>
            <w:hyperlink w:anchor="page76">
              <w:r>
                <w:rPr>
                  <w:rFonts w:ascii="Arial" w:cs="Arial" w:eastAsia="Arial" w:hAnsi="Arial"/>
                  <w:sz w:val="18"/>
                  <w:szCs w:val="18"/>
                  <w:color w:val="0000EE"/>
                  <w:w w:val="92"/>
                  <w:shd w:val="clear" w:color="auto" w:fill="CCEEFF"/>
                </w:rPr>
                <w:t>Quantitative and Qualitative Disclosures About Market Risk</w:t>
              </w:r>
            </w:hyperlink>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76">
              <w:r>
                <w:rPr>
                  <w:rFonts w:ascii="Arial" w:cs="Arial" w:eastAsia="Arial" w:hAnsi="Arial"/>
                  <w:sz w:val="17"/>
                  <w:szCs w:val="17"/>
                  <w:color w:val="0000EE"/>
                  <w:w w:val="73"/>
                  <w:shd w:val="clear" w:color="auto" w:fill="CCEEFF"/>
                </w:rPr>
                <w:t>76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8.</w:t>
            </w:r>
          </w:p>
        </w:tc>
        <w:tc>
          <w:tcPr>
            <w:tcW w:w="10040" w:type="dxa"/>
            <w:vAlign w:val="bottom"/>
            <w:gridSpan w:val="23"/>
            <w:shd w:val="clear" w:color="auto" w:fill="CCEEFF"/>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1360" w:type="dxa"/>
            <w:vAlign w:val="bottom"/>
            <w:tcBorders>
              <w:top w:val="single" w:sz="8" w:color="CCEEFF"/>
            </w:tcBorders>
            <w:gridSpan w:val="2"/>
          </w:tcPr>
          <w:p>
            <w:pPr>
              <w:spacing w:after="0"/>
              <w:rPr>
                <w:sz w:val="2"/>
                <w:szCs w:val="2"/>
                <w:color w:val="auto"/>
              </w:rPr>
            </w:pPr>
          </w:p>
        </w:tc>
        <w:tc>
          <w:tcPr>
            <w:tcW w:w="1040" w:type="dxa"/>
            <w:vAlign w:val="bottom"/>
            <w:tcBorders>
              <w:top w:val="single" w:sz="8" w:color="CCEEFF"/>
            </w:tcBorders>
            <w:gridSpan w:val="2"/>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2760" w:type="dxa"/>
            <w:vAlign w:val="bottom"/>
            <w:tcBorders>
              <w:top w:val="single" w:sz="8" w:color="CCEEFF"/>
            </w:tcBorders>
            <w:gridSpan w:val="2"/>
            <w:vMerge w:val="restart"/>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0000EE"/>
            </w:tcBorders>
            <w:gridSpan w:val="3"/>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shd w:val="clear" w:color="auto" w:fill="CCEEFF"/>
              </w:rPr>
            </w:pPr>
            <w:hyperlink w:anchor="page108">
              <w:r>
                <w:rPr>
                  <w:rFonts w:ascii="Arial" w:cs="Arial" w:eastAsia="Arial" w:hAnsi="Arial"/>
                  <w:sz w:val="18"/>
                  <w:szCs w:val="18"/>
                  <w:color w:val="0000EE"/>
                  <w:w w:val="90"/>
                  <w:shd w:val="clear" w:color="auto" w:fill="CCEEFF"/>
                </w:rPr>
                <w:t>Changes in and Disagreements with Accountants on Accounting and Financial Disclosure</w:t>
              </w:r>
            </w:hyperlink>
          </w:p>
        </w:tc>
        <w:tc>
          <w:tcPr>
            <w:tcW w:w="800" w:type="dxa"/>
            <w:vAlign w:val="bottom"/>
            <w:vMerge w:val="continue"/>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280" w:type="dxa"/>
            <w:vAlign w:val="bottom"/>
            <w:tcBorders>
              <w:bottom w:val="single" w:sz="8" w:color="0000EE"/>
            </w:tcBorders>
            <w:gridSpan w:val="5"/>
            <w:shd w:val="clear" w:color="auto" w:fill="CCEEFF"/>
          </w:tcPr>
          <w:p>
            <w:pPr>
              <w:jc w:val="right"/>
              <w:spacing w:after="0" w:line="176" w:lineRule="exact"/>
              <w:rPr>
                <w:rFonts w:ascii="Arial" w:cs="Arial" w:eastAsia="Arial" w:hAnsi="Arial"/>
                <w:sz w:val="18"/>
                <w:szCs w:val="18"/>
                <w:color w:val="0000EE"/>
                <w:w w:val="86"/>
                <w:shd w:val="clear" w:color="auto" w:fill="CCEEFF"/>
              </w:rPr>
            </w:pPr>
            <w:hyperlink w:anchor="page108">
              <w:r>
                <w:rPr>
                  <w:rFonts w:ascii="Arial" w:cs="Arial" w:eastAsia="Arial" w:hAnsi="Arial"/>
                  <w:sz w:val="18"/>
                  <w:szCs w:val="18"/>
                  <w:color w:val="0000EE"/>
                  <w:w w:val="86"/>
                  <w:shd w:val="clear" w:color="auto" w:fill="CCEEFF"/>
                </w:rPr>
                <w:t>108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Borders>
              <w:top w:val="single" w:sz="8" w:color="CCEEFF"/>
            </w:tcBorders>
          </w:tcPr>
          <w:p>
            <w:pPr>
              <w:spacing w:after="0"/>
              <w:rPr>
                <w:sz w:val="2"/>
                <w:szCs w:val="2"/>
                <w:color w:val="auto"/>
              </w:rPr>
            </w:pPr>
          </w:p>
        </w:tc>
        <w:tc>
          <w:tcPr>
            <w:tcW w:w="100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9A.</w:t>
            </w:r>
          </w:p>
        </w:tc>
        <w:tc>
          <w:tcPr>
            <w:tcW w:w="10040" w:type="dxa"/>
            <w:vAlign w:val="bottom"/>
            <w:gridSpan w:val="23"/>
            <w:shd w:val="clear" w:color="auto" w:fill="CCEEFF"/>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Controls and Procedures</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108</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9B.</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440" w:type="dxa"/>
            <w:vAlign w:val="bottom"/>
            <w:tcBorders>
              <w:top w:val="single" w:sz="8" w:color="0000EE"/>
            </w:tcBorders>
            <w:gridSpan w:val="3"/>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180" w:type="dxa"/>
            <w:vAlign w:val="bottom"/>
            <w:tcBorders>
              <w:top w:val="single" w:sz="8" w:color="CCEEFF"/>
            </w:tcBorders>
            <w:vMerge w:val="restart"/>
          </w:tcPr>
          <w:p>
            <w:pPr>
              <w:spacing w:after="0"/>
              <w:rPr>
                <w:sz w:val="2"/>
                <w:szCs w:val="2"/>
                <w:color w:val="auto"/>
              </w:rPr>
            </w:pPr>
          </w:p>
        </w:tc>
        <w:tc>
          <w:tcPr>
            <w:tcW w:w="880" w:type="dxa"/>
            <w:vAlign w:val="bottom"/>
            <w:tcBorders>
              <w:top w:val="single" w:sz="8" w:color="CCEEFF"/>
            </w:tcBorders>
            <w:gridSpan w:val="2"/>
            <w:vMerge w:val="restart"/>
          </w:tcPr>
          <w:p>
            <w:pPr>
              <w:spacing w:after="0"/>
              <w:rPr>
                <w:sz w:val="2"/>
                <w:szCs w:val="2"/>
                <w:color w:val="auto"/>
              </w:rPr>
            </w:pPr>
          </w:p>
        </w:tc>
        <w:tc>
          <w:tcPr>
            <w:tcW w:w="300" w:type="dxa"/>
            <w:vAlign w:val="bottom"/>
            <w:tcBorders>
              <w:top w:val="single" w:sz="8" w:color="CCEEFF"/>
            </w:tcBorders>
            <w:vMerge w:val="restart"/>
          </w:tcPr>
          <w:p>
            <w:pPr>
              <w:spacing w:after="0"/>
              <w:rPr>
                <w:sz w:val="2"/>
                <w:szCs w:val="2"/>
                <w:color w:val="auto"/>
              </w:rPr>
            </w:pPr>
          </w:p>
        </w:tc>
        <w:tc>
          <w:tcPr>
            <w:tcW w:w="920" w:type="dxa"/>
            <w:vAlign w:val="bottom"/>
            <w:tcBorders>
              <w:top w:val="single" w:sz="8" w:color="CCEEFF"/>
            </w:tcBorders>
            <w:gridSpan w:val="2"/>
            <w:vMerge w:val="restart"/>
          </w:tcPr>
          <w:p>
            <w:pPr>
              <w:spacing w:after="0"/>
              <w:rPr>
                <w:sz w:val="2"/>
                <w:szCs w:val="2"/>
                <w:color w:val="auto"/>
              </w:rPr>
            </w:pPr>
          </w:p>
        </w:tc>
        <w:tc>
          <w:tcPr>
            <w:tcW w:w="1360" w:type="dxa"/>
            <w:vAlign w:val="bottom"/>
            <w:tcBorders>
              <w:top w:val="single" w:sz="8" w:color="CCEEFF"/>
            </w:tcBorders>
            <w:gridSpan w:val="2"/>
            <w:vMerge w:val="restart"/>
          </w:tcPr>
          <w:p>
            <w:pPr>
              <w:spacing w:after="0"/>
              <w:rPr>
                <w:sz w:val="2"/>
                <w:szCs w:val="2"/>
                <w:color w:val="auto"/>
              </w:rPr>
            </w:pPr>
          </w:p>
        </w:tc>
        <w:tc>
          <w:tcPr>
            <w:tcW w:w="1840" w:type="dxa"/>
            <w:vAlign w:val="bottom"/>
            <w:tcBorders>
              <w:top w:val="single" w:sz="8" w:color="CCEEFF"/>
            </w:tcBorders>
            <w:gridSpan w:val="3"/>
            <w:vMerge w:val="restart"/>
          </w:tcPr>
          <w:p>
            <w:pPr>
              <w:spacing w:after="0"/>
              <w:rPr>
                <w:sz w:val="2"/>
                <w:szCs w:val="2"/>
                <w:color w:val="auto"/>
              </w:rPr>
            </w:pPr>
          </w:p>
        </w:tc>
        <w:tc>
          <w:tcPr>
            <w:tcW w:w="2760" w:type="dxa"/>
            <w:vAlign w:val="bottom"/>
            <w:tcBorders>
              <w:top w:val="single" w:sz="8" w:color="CCEEFF"/>
            </w:tcBorders>
            <w:gridSpan w:val="2"/>
            <w:vMerge w:val="restart"/>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gridSpan w:val="4"/>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shd w:val="clear" w:color="auto" w:fill="CCEEFF"/>
              </w:rPr>
            </w:pPr>
            <w:hyperlink w:anchor="page108">
              <w:r>
                <w:rPr>
                  <w:rFonts w:ascii="Arial" w:cs="Arial" w:eastAsia="Arial" w:hAnsi="Arial"/>
                  <w:sz w:val="18"/>
                  <w:szCs w:val="18"/>
                  <w:color w:val="0000EE"/>
                  <w:w w:val="91"/>
                  <w:shd w:val="clear" w:color="auto" w:fill="CCEEFF"/>
                </w:rPr>
                <w:t>Other Information</w:t>
              </w:r>
            </w:hyperlink>
          </w:p>
        </w:tc>
        <w:tc>
          <w:tcPr>
            <w:tcW w:w="20" w:type="dxa"/>
            <w:vAlign w:val="bottom"/>
            <w:tcBorders>
              <w:bottom w:val="single" w:sz="8" w:color="0000EE"/>
            </w:tcBorders>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280" w:type="dxa"/>
            <w:vAlign w:val="bottom"/>
            <w:tcBorders>
              <w:bottom w:val="single" w:sz="8" w:color="0000EE"/>
            </w:tcBorders>
            <w:gridSpan w:val="5"/>
            <w:shd w:val="clear" w:color="auto" w:fill="CCEEFF"/>
          </w:tcPr>
          <w:p>
            <w:pPr>
              <w:jc w:val="right"/>
              <w:spacing w:after="0" w:line="176" w:lineRule="exact"/>
              <w:rPr>
                <w:rFonts w:ascii="Arial" w:cs="Arial" w:eastAsia="Arial" w:hAnsi="Arial"/>
                <w:sz w:val="18"/>
                <w:szCs w:val="18"/>
                <w:color w:val="0000EE"/>
                <w:w w:val="86"/>
                <w:shd w:val="clear" w:color="auto" w:fill="CCEEFF"/>
              </w:rPr>
            </w:pPr>
            <w:hyperlink w:anchor="page108">
              <w:r>
                <w:rPr>
                  <w:rFonts w:ascii="Arial" w:cs="Arial" w:eastAsia="Arial" w:hAnsi="Arial"/>
                  <w:sz w:val="18"/>
                  <w:szCs w:val="18"/>
                  <w:color w:val="0000EE"/>
                  <w:w w:val="86"/>
                  <w:shd w:val="clear" w:color="auto" w:fill="CCEEFF"/>
                </w:rPr>
                <w:t>108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III</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00" w:type="dxa"/>
            <w:vAlign w:val="bottom"/>
            <w:gridSpan w:val="6"/>
          </w:tcPr>
          <w:p>
            <w:pPr>
              <w:jc w:val="right"/>
              <w:ind w:right="2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10.</w:t>
            </w:r>
          </w:p>
        </w:tc>
        <w:tc>
          <w:tcPr>
            <w:tcW w:w="10040" w:type="dxa"/>
            <w:vAlign w:val="bottom"/>
            <w:gridSpan w:val="23"/>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5960" w:type="dxa"/>
            <w:vAlign w:val="bottom"/>
            <w:tcBorders>
              <w:top w:val="single" w:sz="8" w:color="CCEEFF"/>
            </w:tcBorders>
            <w:gridSpan w:val="7"/>
          </w:tcPr>
          <w:p>
            <w:pPr>
              <w:spacing w:after="0"/>
              <w:rPr>
                <w:sz w:val="17"/>
                <w:szCs w:val="17"/>
                <w:color w:val="auto"/>
              </w:rPr>
            </w:pPr>
          </w:p>
        </w:tc>
        <w:tc>
          <w:tcPr>
            <w:tcW w:w="280" w:type="dxa"/>
            <w:vAlign w:val="bottom"/>
            <w:tcBorders>
              <w:top w:val="single" w:sz="8" w:color="0000EE"/>
            </w:tcBorders>
            <w:gridSpan w:val="5"/>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12.</w:t>
            </w:r>
          </w:p>
        </w:tc>
        <w:tc>
          <w:tcPr>
            <w:tcW w:w="10040" w:type="dxa"/>
            <w:vAlign w:val="bottom"/>
            <w:gridSpan w:val="23"/>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1"/>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2760" w:type="dxa"/>
            <w:vAlign w:val="bottom"/>
            <w:tcBorders>
              <w:top w:val="single" w:sz="8" w:color="CCEEFF"/>
            </w:tcBorders>
            <w:gridSpan w:val="2"/>
          </w:tcPr>
          <w:p>
            <w:pPr>
              <w:spacing w:after="0"/>
              <w:rPr>
                <w:sz w:val="17"/>
                <w:szCs w:val="17"/>
                <w:color w:val="auto"/>
              </w:rPr>
            </w:pPr>
          </w:p>
        </w:tc>
        <w:tc>
          <w:tcPr>
            <w:tcW w:w="280" w:type="dxa"/>
            <w:vAlign w:val="bottom"/>
            <w:tcBorders>
              <w:top w:val="single" w:sz="8" w:color="0000EE"/>
            </w:tcBorders>
            <w:gridSpan w:val="5"/>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14.</w:t>
            </w:r>
          </w:p>
        </w:tc>
        <w:tc>
          <w:tcPr>
            <w:tcW w:w="28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Principal Accountant Fees and Services</w:t>
              </w:r>
            </w:hyperlink>
          </w:p>
        </w:tc>
        <w:tc>
          <w:tcPr>
            <w:tcW w:w="7180" w:type="dxa"/>
            <w:vAlign w:val="bottom"/>
            <w:tcBorders>
              <w:bottom w:val="single" w:sz="8" w:color="CCEEFF"/>
            </w:tcBorders>
            <w:gridSpan w:val="10"/>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gridSpan w:val="6"/>
          </w:tcPr>
          <w:p>
            <w:pPr>
              <w:jc w:val="right"/>
              <w:ind w:right="20"/>
              <w:spacing w:after="0" w:line="202"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Exhibits and Financial Statement Schedules</w:t>
              </w:r>
            </w:hyperlink>
          </w:p>
        </w:tc>
        <w:tc>
          <w:tcPr>
            <w:tcW w:w="6880" w:type="dxa"/>
            <w:vAlign w:val="bottom"/>
            <w:tcBorders>
              <w:bottom w:val="single" w:sz="8" w:color="CCEEFF"/>
            </w:tcBorders>
            <w:gridSpan w:val="9"/>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Signatures</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gridSpan w:val="6"/>
          </w:tcPr>
          <w:p>
            <w:pPr>
              <w:jc w:val="right"/>
              <w:ind w:right="20"/>
              <w:spacing w:after="0" w:line="202"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111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120" w:type="dxa"/>
            <w:vAlign w:val="bottom"/>
            <w:gridSpan w:val="26"/>
            <w:shd w:val="clear" w:color="auto" w:fill="CCEEFF"/>
          </w:tcPr>
          <w:p>
            <w:pPr>
              <w:ind w:left="40"/>
              <w:spacing w:after="0" w:line="202"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Index to Financial Statement Schedules</w:t>
              </w:r>
            </w:hyperlink>
          </w:p>
        </w:tc>
        <w:tc>
          <w:tcPr>
            <w:tcW w:w="300" w:type="dxa"/>
            <w:vAlign w:val="bottom"/>
            <w:gridSpan w:val="6"/>
            <w:shd w:val="clear" w:color="auto" w:fill="CCEEFF"/>
          </w:tcPr>
          <w:p>
            <w:pPr>
              <w:jc w:val="right"/>
              <w:ind w:right="20"/>
              <w:spacing w:after="0" w:line="202"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120" w:type="dxa"/>
            <w:vAlign w:val="bottom"/>
            <w:gridSpan w:val="26"/>
          </w:tcPr>
          <w:p>
            <w:pPr>
              <w:ind w:left="40"/>
              <w:spacing w:after="0" w:line="202"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Exhibit Index</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20" w:type="dxa"/>
            <w:vAlign w:val="bottom"/>
            <w:gridSpan w:val="17"/>
          </w:tcPr>
          <w:p>
            <w:pPr>
              <w:jc w:val="right"/>
              <w:ind w:right="7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implementation of and changes to the Private Mortgage Insurer Eligibility Requirements (PMIERs) or decisions that have the impact of decreasing or discontinuing the use of mortgage insurance as credit enhancement;</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or their enforcement and implementation by regulators;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both"/>
        <w:ind w:firstLine="648"/>
        <w:spacing w:after="0" w:line="264" w:lineRule="auto"/>
        <w:rPr>
          <w:sz w:val="20"/>
          <w:szCs w:val="20"/>
          <w:color w:val="auto"/>
        </w:rPr>
      </w:pPr>
      <w:r>
        <w:rPr>
          <w:rFonts w:ascii="Arial" w:cs="Arial" w:eastAsia="Arial" w:hAnsi="Arial"/>
          <w:sz w:val="18"/>
          <w:szCs w:val="18"/>
          <w:color w:val="auto"/>
        </w:rPr>
        <w:t xml:space="preserve">For more information regarding these risks and uncertainties as well as certain additional risks that we face, you should 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described in this report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Part II,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elsewhere in this report, including the exhibits hereto.</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NMI Holdings, Inc. (NMIH), a Delaware corporation incorporated in May 2011, provides private mortgage guaranty insurance (which we refer to as "mortgage insurance" or "MI") through its wholly owned insurance subsidiaries. Our primary insurance subsidiary, National Mortgage Insurance Corporation (NMIC), is a qualified MI provider on loans purchased by the GSEs and is licensed in all 50 states and D.C. to issue MI. Our reinsurance subsidiary, National Mortgage Reinsurance Inc One (Re One), solely provides reinsurance to NMIC on certain loans insured by NMIC to meet state statutory coverage limits, as described in Part II, Item 8, </w:t>
      </w:r>
      <w:r>
        <w:rPr>
          <w:rFonts w:ascii="Arial" w:cs="Arial" w:eastAsia="Arial" w:hAnsi="Arial"/>
          <w:sz w:val="16"/>
          <w:szCs w:val="16"/>
          <w:i w:val="1"/>
          <w:iCs w:val="1"/>
          <w:color w:val="auto"/>
        </w:rPr>
        <w:t>Note 16, Regulatory Information - Reinsurance</w:t>
      </w:r>
      <w:r>
        <w:rPr>
          <w:rFonts w:ascii="Arial" w:cs="Arial" w:eastAsia="Arial" w:hAnsi="Arial"/>
          <w:sz w:val="16"/>
          <w:szCs w:val="16"/>
          <w:color w:val="auto"/>
        </w:rPr>
        <w:t>, below. NMIH's wholly owned subsidiary, NMI Services, Inc. (NMIS), provides outsourced loan review services on a limited basis to mortgage loan originators. Our stock trades on the NASDAQ under the symbol "NMIH."</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a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six companies in the U.S. who offer MI. Our business strategy is to continue to expand our customer base and write insurance on high quality, low down payment residential mortgages in the U.S. We reported our first quarterly profit for the quarter ended June 30, 2016, and we reported net income of $65.8 million for the year ended December 31, 2016.</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began writing business in April 2013. We had 1,131 master policy holders by the end of 2016, compared to 964 at the end of 2015. Of those master policy holders, 56.4% were delivering business in 2016, compared to 51.9% delivering business in 2015. We had total insurance-in-force (IIF) of $35.8 billion and total risk-in-force (RIF) of $7.9 billion as of December 31, 2016, compared to total IIF of $19.1 billion and total RIF of $3.7 billion as of December 31, 2015. Of total IIF as of December 31, 2016, we had $32.2 billion of primary IIF and $3.6 billion of pool IIF, compared to $14.8 billion of primary IIF and $4.2 billion of pool IIF as of December 31, 2015. As of December 31, 2016, our primary RIF was $7.8 billion compared to primary RIF of $3.6 billion as of December 31, 2015. Pool RIF was $93.1 million as of December 31, 2016 and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Mortgage Finance and the Role of the Private MI Industry in the Current Operating Environment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modern MI industry was established in the late 1950s to provide a private market alternative to federal government insurance programs, principally the FHA. The industry mitigates mortgage credit risk within the residential mortgage lending system, supports increased levels of homeownership, offers liquidity and process efficiencies for lenders and provides consumers with lower-cost products and increased choice of mortgage and homeownership options. Residential MI protects mortgage lenders and investors when borrowers default, by reducing and, in some instances, eliminating the resulting credit loss to the insured institution. By mitigating losses resulting from borrower defaults, mortgage insurance supports the origination of "low down payment" mortgages, which are mortgages to borrowers who make down payments of less than 20% of the value of the homes. Mortgage insurance also may reduce the capital that financial institutions are required to hold against insured loans and facilitates the sale of low down payment mortgage loans in the secondary mortgage market, primarily to the GSEs.</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According to statistics published by the U.S. Federal Reserve, the U.S. residential mortgage market is one of the largest in the world, with more than $10 trillion of mortgage debt outstanding as of December 31, 2016. Mortgage origination, guaranty and securitization includes a range of private and government 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FHA, VA and Ginnie Mae, and the GSEs, Fannie Mae and Freddie Mac. The overall U.S. residential mortgage market encompasses both primary and secondary markets. The primary market consists of lenders that originate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2008 financial crisis, private mortgage insurers accounted for approximately half of the insured mortgage origination market. To stabilize disruption in housing markets, beginning in 2008, the Federal government significantly expanded its role in the mortgage insurance market. Government agencies, including the FHA and the VA, insured increasing percentages of the market as incumbent private insurers came under significant financial stress. As the crisis eased and certain private insurers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7"/>
          <w:szCs w:val="17"/>
          <w:color w:val="auto"/>
        </w:rPr>
        <w:t>recovered, private MI began to take a larger role in the insured market, reaching approximately 36% share of insured mortgage originations as of early 2015. Because the private MI industry has adopted risk-based pricing, while the government insurers apply a flat pricing structure, the result has been that government agencies largely insure low-down payment loans carrying credit scores below 720, while private MIs largely insure loans carrying credit scores above this level. Despite broad consensus favoring a greater role for private capital in the residential mortgage industry, governmental insurers' share of the MI market is expected to remain elevated relative to its historical average, particularly because governmental insurance will continue to be a viable option for certain low down payment and higher risk borrowers. As a result of this bifurcation of the insured market, which is reinforced with private MIs' adoption of risk-based pricing, we believe that private MIs compete with the governmental insurers in a narrow segment of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Insurance Products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NMIC's residential mortgage insurance products primarily provide first loss protection on low down payment loans originated by residential mortgage lenders and sold to the GSEs and, to a lesser extent, on low down payment loans held by portfolio lenders. NMIC offers the two principal types of MI coverage, "primary" and "pool," which we discuss further below.</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GSEs are the principal purchasers of the mortgages insured by MI companies, primarily as a result of their governmental mandate to provide liquidity in the secondary mortgage market. Freddie Mac's and Fannie Mae's federal charters prohibit them from purchasing a low down payment loan without an authorized form of credit enhancement, including insurance from a qualified MI company, the mortgage seller's retention of at least a 10% participation in the loan or the seller's agreement to repurchase or replace the loan in the event of a default. Lenders who sell their loans to the GSEs must ensure that the MI coverage they purchase from us meets the GSEs' requirements.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Primary mortgage insurance provides mortgage default protection on individual loans at specified coverage percentages. Primary insurance may be written on (i) a flow basis, in which loans are insured as loan originations occur in individual, loan-by-loan transactions, or (ii) an aggregated basis, in which each loan in a portfolio of loans is individually insured in a single transaction, typically after the loans have been originated. In general, our business as a whole is not seasonal in nature; although, the overall new business opportunity of the private MI market may be impacted by normal seasonal trends in originations of low down-payment mortgages. We currently offer both types of primary mortgage insurance products to our customers. In 2016, all of our new insurance written (NIW) consisted of primary insurance, and we currently expect that most of the insurance that we write in the future will continue to be primary.</w:t>
      </w:r>
    </w:p>
    <w:p>
      <w:pPr>
        <w:spacing w:after="0" w:line="1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maximum obligation to an insured with respect to a claim is generally determined by multiplying the coverage percentage selected by the insured by the loss amount on an insured loan. The loss amount includes unpaid loan principal, delinquent interest and certain expenses associated with the default and subsequent foreclosure or sale of the property, all as specified in our master mortgage insurance policy (Master Policy). At the time of a claim, we will typically pay the coverage percentage of the loss amount, but have the option to (i) pay 100% of the loss amount and acquire title to the property, or (ii) if the property is sold prior to settlement of the claim, pay the insured's actual loss up to the maximum level of coverage. We expect that most of our primary insurance will be written on first-lien mortgage loans secured by owner occupied single-family homes, which are one-to-four family homes and condominiums. To a lesser extent, we may also write primary insurance on first-lien mortgages secured by non-owner occupied single-family homes, which are referred to in the home mortgage lending industry as investor loans, and on vacation or second homes.</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IIF is the unpaid principal balance of insured loans. RIF is the product of the coverage percentage multiplied by the unpaid principal balance. When a lender purchases our mortgage insurance, it selects a specific coverage level for an insured loan. For loans sold to the GSEs, the coverage percentage must comply with the requirements established by the particular GSE to which the loan is sold. For other loans, the lender makes the determination. We expect our RIF across all policies written to approximate 25% of primary IIF but will vary on an individual loan basis between 6% and 35% coverage. In general, we structure our premium rates so that they increase as the coverage percentage increases, to account for relatively increased levels of risk that are present as the coverage percentages increase. Higher coverage percentages generally result in greater amounts paid per claim relative to policies with lower coverage percentages.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Depending on the requirements of the loan instrument and the lender, the premium payments for primary MI coverage may either be paid by the borrower or the lender. Premium payments borne by the borrower are referred to as borrower paid mortgage insurance (BPMI). Premium payments made directly by the lender are referred to as lender paid mortgage insurance (LPMI). The lender may structure the loan transaction to recover LPMI premiums, including through an increase in the note rate on the mortgage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5"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or higher origination fees. In general, premium received on LPMI business is non-refundable. In either case, the payment of premium to us is the responsibility of the insured (</w:t>
      </w:r>
      <w:r>
        <w:rPr>
          <w:rFonts w:ascii="Arial" w:cs="Arial" w:eastAsia="Arial" w:hAnsi="Arial"/>
          <w:sz w:val="18"/>
          <w:szCs w:val="18"/>
          <w:i w:val="1"/>
          <w:iCs w:val="1"/>
          <w:color w:val="auto"/>
        </w:rPr>
        <w:t>i.e.</w:t>
      </w:r>
      <w:r>
        <w:rPr>
          <w:rFonts w:ascii="Arial" w:cs="Arial" w:eastAsia="Arial" w:hAnsi="Arial"/>
          <w:sz w:val="18"/>
          <w:szCs w:val="18"/>
          <w:color w:val="auto"/>
        </w:rPr>
        <w:t>, the lender) and not the borrower.</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premium rates are based on rates and rating rules that we have filed with various state insurance departments. To establish these rates, we use pricing models that assess risk across a spectrum of variables, including coverage percentages, loan-to-value (LTV) ratios, loan and property attributes, and borrower risk characteristics. We generally cannot change premium rates after coverage is established. We have discretion under our rates and rating rules to offer discounts, and we may choose to offer such discounts to lenders who meet our criteria for certain high quality 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premiums are calculated as basis points of the unpaid principal balance of an insured loan. We have four premium plans:</w:t>
      </w:r>
    </w:p>
    <w:p>
      <w:pPr>
        <w:spacing w:after="0" w:line="17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single — the insured pays all premium up front at the time coverage is placed;</w:t>
      </w:r>
    </w:p>
    <w:p>
      <w:pPr>
        <w:spacing w:after="0" w:line="11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 the insured pays premium at the time coverage is placed for the first 12 months of coverage. The insured subsequently pays renewal premiums to maintain coverage for successive 12 month periods, with such renewals due prior to the expiration of the then applicable 12 month period;</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monthly — the insured pays premium for the first month of coverage on the loan close date. We subsequently bill the insured each month for the next month's coverage; and</w:t>
      </w:r>
    </w:p>
    <w:p>
      <w:pPr>
        <w:spacing w:after="0" w:line="62" w:lineRule="exact"/>
        <w:rPr>
          <w:rFonts w:ascii="Arial" w:cs="Arial" w:eastAsia="Arial" w:hAnsi="Arial"/>
          <w:sz w:val="18"/>
          <w:szCs w:val="18"/>
          <w:color w:val="auto"/>
        </w:rPr>
      </w:pPr>
    </w:p>
    <w:p>
      <w:pPr>
        <w:jc w:val="both"/>
        <w:ind w:left="1300" w:hanging="320"/>
        <w:spacing w:after="0" w:line="22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Monthly Advantage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when we receive notice of the loan close date, we bill the insured for the previous month of coverage (for coverage effective as of the loan close date) and each month thereafter; with this premium plan, the insured pays premium in arrears for the prior month of coverage.</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we may not terminate MI coverage except when the insured fails to pay premium or for certain material violations of our Master Policy; although, as discussed below, the terms of our Master Policy restrict our rescission rights when certain criteria are met. For monthly or annual policies, MI coverage will continue at the option of the insured lender, by payment of renewal premiums at the renewal rate fixed when the loan was initially insured. Lenders may cancel insurance on a loan at any time at their option or because of mortgage repayment, which may be accelerated because a borrower refinances a mortgage or sells the property. The GSEs' guidelines generally provide that a borrower on a GSE-owned loan meeting certain conditions may require the mortgage servicer to cancel BPMI upon the borrower's request when the principal balance of the loan is 80% or less of the property's current value. The federal Homeowners Protection Act of 1998 (HOPA) also requires the automatic termination of BPMI on most loans when the LTV ratio (based upon the loan's original amortization schedule) reaches 78%, and provides for cancellation of BPMI upon a borrower's request when the LTV ratio (based on the original value of the property) reaches 80%, upon satisfaction of the conditions set forth in the HOPA. In addition, some states impose their own notice and cancellation requirements on mortgage loan servicers.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Master Policy and Independent Validation</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terms of our primary mortgage insurance coverage are governed by our Master Policy and its related endorsements, which we issue to each approved lender with which we do business. The Master Policy sets forth the terms and conditions of our MI coverage, including, among others, coverage terms, premium payment obligations, exclusions or reductions in coverage, rescission and rescission relief provisions, policy administration requirements, conditions precedent to payment of a claim and loss payment procedures. When a lender delivers insurable loans to us for coverage, we issue certificates to the lender that extend coverage under the Master Policy to such loans. See "</w:t>
      </w:r>
      <w:r>
        <w:rPr>
          <w:rFonts w:ascii="Arial" w:cs="Arial" w:eastAsia="Arial" w:hAnsi="Arial"/>
          <w:sz w:val="16"/>
          <w:szCs w:val="16"/>
          <w:i w:val="1"/>
          <w:iCs w:val="1"/>
          <w:color w:val="auto"/>
        </w:rPr>
        <w:t>Business - Underwriting,"</w:t>
      </w:r>
      <w:r>
        <w:rPr>
          <w:rFonts w:ascii="Arial" w:cs="Arial" w:eastAsia="Arial" w:hAnsi="Arial"/>
          <w:sz w:val="16"/>
          <w:szCs w:val="16"/>
          <w:color w:val="auto"/>
        </w:rPr>
        <w:t xml:space="preserve"> below for a description of our underwriting processes.</w:t>
      </w:r>
    </w:p>
    <w:p>
      <w:pPr>
        <w:spacing w:after="0" w:line="10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Master Policy generally protects us from the risk of material misrepresentation and fraud in the origination of a loan by establishing the right to rescind coverage in such event. We believe our Master Policy sets forth clear and straightforward terms regarding our rescission rights, including limitations on our right to rescind coverage when certain conditions are met, which we refer to as "rescission relief." Our rescission relief provisions include several key components. First, subject to our independent validation of coverage eligibility of an insured loan, we agree in the Master Policy that we will not rescind or cancel coverage of such loan for material borrower misrepresentation or underwriting defects provided the borrower timely makes the first 12 monthly payments. The lender chooses whether or not to have insured loans independently validated by us in order to receive 12-month rescission relief. Second, if a borrower does not make 12 timely payments or we have not completed an independent validation on a loan, the loan is still eligible for rescission relief if the loan is current after 36 months following origination and the borrower has had no more than two 30-day delinquencies and no 60-day or greater delinquencies. Third, our rescission relief provisions include additional limitations on our ability to initiate an investigation of fraud or misrepresentation by a "First Party," defined in the Master Policy as our insured or any other party involved in the origination of an insured loan.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color w:val="auto"/>
        </w:rPr>
        <w:t>We originate primary mortgage insurance coverage through our delegated and non-delegated underwriting programs, as discussed below in</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 Underwriting</w:t>
      </w:r>
      <w:r>
        <w:rPr>
          <w:rFonts w:ascii="Arial" w:cs="Arial" w:eastAsia="Arial" w:hAnsi="Arial"/>
          <w:sz w:val="16"/>
          <w:szCs w:val="16"/>
          <w:color w:val="auto"/>
        </w:rPr>
        <w:t>." A lender who desires 12-month rescission relief on its non-delegated loans is required to submit additional loan documents after a loan closes for our post-close independent validation. Lenders who do not submit all of the post-closing documents required to obtain 12-month rescission relief will receive 36-month rescission relief on their non-delegated loans. Delegated lenders who desire 12-month rescission relief on loans we insure must submit a full loan file (which contains all information and documentation required by the traditional underwriting process, as well as required post-closing documents) to us within 60 days of the loan's coverage effective date. We refer to this independent validation process as our "Delegated Assurance Review" or "DAR" process. Through DAR, we provide 12-month rescission relief on all loans that successfully pass through our post-close underwriting reviews of mortgage insurance decisions made by our customers under their delegated authority. Delegated lenders that do not desire 12-month rescission relief are not required to submit loan files to us through our DAR process, but instead receive 36-month rescission relief, and their loans are subject to our statistical quality control process. See "</w:t>
      </w:r>
      <w:r>
        <w:rPr>
          <w:rFonts w:ascii="Arial" w:cs="Arial" w:eastAsia="Arial" w:hAnsi="Arial"/>
          <w:sz w:val="16"/>
          <w:szCs w:val="16"/>
          <w:i w:val="1"/>
          <w:iCs w:val="1"/>
          <w:color w:val="auto"/>
        </w:rPr>
        <w:t>Business - Enterprise Risk Management - Credit Risk - Underwriting, Servicing and Quality Control Audits</w:t>
      </w:r>
      <w:r>
        <w:rPr>
          <w:rFonts w:ascii="Arial" w:cs="Arial" w:eastAsia="Arial" w:hAnsi="Arial"/>
          <w:sz w:val="16"/>
          <w:szCs w:val="16"/>
          <w:color w:val="auto"/>
        </w:rPr>
        <w:t>," below.</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Pool 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Pool insurance is generally used as an additional "credit enhancement" or "risk-sharing" strategy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insured's losses on the pool of loans exceed the deductible.</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Services</w:t>
      </w:r>
    </w:p>
    <w:p>
      <w:pPr>
        <w:spacing w:after="0" w:line="17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offer outsourced loan review services to mortgage loan originators on a limited basis through NMIS. As a part of these services, NMIS assesses whether data and documents provided by the customer relating to a mortgage loan application comply with the originator's loan underwriting guidelines. These services are provided for loans that require MI, as well as for loans that do not require MI. Under the terms of its loan review agreements, NMIS provides its customers with limited indemnification against losses incurred by those customers if NMIS makes certain material loan review errors. The indemnification may be in the form of monetary or other remedies, subject to per loan and annual limitations. NMIS currently utilizes third party service providers to conduct loan review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sales strategy is focused on expanding relationships with existing customers and attracting new mortgage originator customers in the U.S. We classify our customers into two primary categories, which we refer to as "National Accounts" and "Regional Accounts." We define National Accounts as the most significant residential mortgage originators as determined by volume of their own "retail" originations as well as volume of insured business they may acquire from other originators through their "correspondent channels." These National Accounts generally originate loans through their retail channels as well as purchase loans from "correspondents," other mortgage originators who we would generally classify as Regional Accounts, as described below. National Accounts primarily sell their loans to the GSEs or, less frequently, to private label secondary markets or they may hold the loans in their own portfolios. We service these customers with a specialized team of National Account sales professionals who have experience supporting and developing business from this segment. The Regional Accounts originate mortgage loans on a local or regional level throughout the country. Some of these Regional Accounts have origination platforms across multiple regions; however, their primary lending focus is local. They sell the majority of their originations to National Accounts, but Regional Accounts may also retain loans in their portfolios or sell portions of their production directly to the GSEs. Our nationwide and regional sales teams address the Regional Accounts segment of the market.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Lenders in the combined residential mortgage market who control the MI decision are currently comprised of three groups:</w:t>
      </w:r>
    </w:p>
    <w:p>
      <w:pPr>
        <w:spacing w:after="0" w:line="171" w:lineRule="exact"/>
        <w:rPr>
          <w:sz w:val="20"/>
          <w:szCs w:val="20"/>
          <w:color w:val="auto"/>
        </w:rPr>
      </w:pPr>
    </w:p>
    <w:p>
      <w:pPr>
        <w:ind w:left="5660" w:right="4360" w:hanging="5328"/>
        <w:spacing w:after="0" w:line="747"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 10, primarily National Accounts, representing approximately 19% of the MI market; 8</w:t>
      </w:r>
    </w:p>
    <w:p>
      <w:pPr>
        <w:sectPr>
          <w:pgSz w:w="11900" w:h="16838" w:orient="portrait"/>
          <w:cols w:equalWidth="0" w:num="1">
            <w:col w:w="11420"/>
          </w:cols>
          <w:pgMar w:left="240" w:top="584" w:right="2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Next 30, a combination of National and Regional Accounts, representing approximately 17% of the MI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1,500, primarily Regional Accounts, representing the remainder of the MI market.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2016, we had active customer relationships with 26 of the top 40 lenders and expect to develop additional active customer relationships. We believe our most significant growth opportunity is within the large and fragmented market of Regional Accounts, which includes the top correspondent lenders.</w:t>
      </w:r>
    </w:p>
    <w:p>
      <w:pPr>
        <w:spacing w:after="0" w:line="127" w:lineRule="exact"/>
        <w:rPr>
          <w:sz w:val="20"/>
          <w:szCs w:val="20"/>
          <w:color w:val="auto"/>
        </w:rPr>
      </w:pPr>
    </w:p>
    <w:p>
      <w:pPr>
        <w:jc w:val="both"/>
        <w:ind w:left="80" w:firstLine="648"/>
        <w:spacing w:after="0" w:line="312" w:lineRule="auto"/>
        <w:rPr>
          <w:sz w:val="20"/>
          <w:szCs w:val="20"/>
          <w:color w:val="auto"/>
        </w:rPr>
      </w:pPr>
      <w:r>
        <w:rPr>
          <w:rFonts w:ascii="Arial" w:cs="Arial" w:eastAsia="Arial" w:hAnsi="Arial"/>
          <w:sz w:val="16"/>
          <w:szCs w:val="16"/>
          <w:color w:val="auto"/>
        </w:rPr>
        <w:t>The GSEs, as major purchasers of conventional mortgage loans in the U.S., are the primary beneficiaries of our mortgage insurance coverage. As a result, the private MI industry in the U.S. is highly dependent on the GSEs and is driven in large part by the requirements and practices of the GSEs. See "</w:t>
      </w:r>
      <w:r>
        <w:rPr>
          <w:rFonts w:ascii="Arial" w:cs="Arial" w:eastAsia="Arial" w:hAnsi="Arial"/>
          <w:sz w:val="16"/>
          <w:szCs w:val="16"/>
          <w:i w:val="1"/>
          <w:iCs w:val="1"/>
          <w:color w:val="auto"/>
        </w:rPr>
        <w:t>Business - U.S. Mortgage Insurance Regulation - GSE Oversight</w:t>
      </w:r>
      <w:r>
        <w:rPr>
          <w:rFonts w:ascii="Arial" w:cs="Arial" w:eastAsia="Arial" w:hAnsi="Arial"/>
          <w:sz w:val="16"/>
          <w:szCs w:val="16"/>
          <w:color w:val="auto"/>
        </w:rPr>
        <w:t>," below. Revenues from our customers have been generated in the U.S. only.</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 exceeding 10% of consolidated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2016, the premiums earned by NMIC from Quicken Loans Inc. exceeded 10% of our consolidated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sales and marketing efforts are designed to establish and maintain quality customer relationships through effective communication of our product offerings. Our sales force is strategically deployed throughout the U.S. to directly service our customers. We support our sales force and seek to increase acquisition of new customers and greater market share from existing customers by targeted product development, improving our brand awareness through advertising and marketing campaigns, customer training programs, website enhancements, mobile technology and sponsorship of industry and educational events. NMIC's product development and marketing department has primary responsibility for the creation, launch and management of our MI products. Our sales force consists of qualified mortgage professionals that generally have well-established relationships with industry leading lenders and significant experience in both MI and mortgage lending.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competition includes other private mortgage insurers, governmental agencies that sponsor government-backed mortgage insurance programs and other alternatives designed to eliminate the need for private mortgage insurance, such as piggy-back loans or risk sharing arrangements that do not include MI. The U.S. MI industry is highly competitive, and currently consists of six active private mortgage insurers, including NMIC, Arch Mortgage Insurance Company (Arch), Essent Guaranty (Essent), Genworth Mortgage Insurance Corporation (Genworth), Mortgage Guaranty Insurance Corporation (MGIC), and Radian Guaranty Inc. (Radian). Arch's parent company, Arch Capital Group Ltd., announced that, as of January 1, 2017, it had completed the acquisition of another MI company, United Guaranty Corporation (UG), and that Arch and UG would thereafter operate as one company under common management.</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six private MI companies actively competing for business from the same residential mortgage originators, it is important that we continue to differentiate ourselves from the other companies who sell substantially similar products as ours. We compete with other private mortgage insurers based on our terms of coverage, underwriting guidelines, customer service (including speed of MI underwriting and decision making), ancillary products and services (including training and, on a limited basis, loan review services), financial strength, information security, product features, pricing, operating efficiencies, customer relationships, name recognition, reputation, the strength of management teams and field organizations, ability to generate effective management and customer reports based on comprehensiveness of our databases covering insured loans, effective use of technology, innovation in the delivery and servicing of insurance products and ability to execute.</w:t>
      </w:r>
    </w:p>
    <w:p>
      <w:pPr>
        <w:spacing w:after="0" w:line="1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and other private mortgage insurers also compete directly with federal and state governmental and quasi-governmental agencies that sponsor government-backed mortgage insurance programs, principally the FHA and, to a lesser degree, the VA. Historically, these agencies' market share has ranged from 36-64% of low down payment residential mortgages that were subject to governmental and private mortgage insurance, but increased to approximately 85% in 2009 in the wake of the most recent housing crisis, according to statistics reported by </w:t>
      </w:r>
      <w:r>
        <w:rPr>
          <w:rFonts w:ascii="Arial" w:cs="Arial" w:eastAsia="Arial" w:hAnsi="Arial"/>
          <w:sz w:val="17"/>
          <w:szCs w:val="17"/>
          <w:i w:val="1"/>
          <w:iCs w:val="1"/>
          <w:u w:val="single" w:color="auto"/>
          <w:color w:val="auto"/>
        </w:rPr>
        <w:t>Inside Mortgage Finance</w:t>
      </w:r>
      <w:r>
        <w:rPr>
          <w:rFonts w:ascii="Arial" w:cs="Arial" w:eastAsia="Arial" w:hAnsi="Arial"/>
          <w:sz w:val="17"/>
          <w:szCs w:val="17"/>
          <w:color w:val="auto"/>
        </w:rPr>
        <w:t>. Thereafter, the combined market share of governmental agencies has declined from its high, a trend that we believe has been positive for the MI industry; however, their share remains substantially above the low of approximately 23% in 2007. Although there has been broad policy consensus toward the need for private capital to play a larger role and government credit risk to be reduced in the U.S. housing finance system, it remains difficult to predict whether the combined market share of governmental agencies such as the FHA and VA will recede to historical levels. In 2015, the FHA reduced some of its single-family annual mortgage insurance premiums, which had the effect of maintaining the FHA's elevated market share and continuing the increased role of government in the mortgage insurance market. In January 2017, the FHA announced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further reductions to its annual premiums; however, before such reductions could take effect, the FHA announced that the cuts were suspended indefinitely. To date, we have not experienced any significant impact from the 2015 premium reduction on our business. With the new Trump Administration, it remains uncertain whether FHA will ultimately adopt the suspended reductions or otherwise reduce its mortgage insurance premiums again, or eliminate the non-cancelability of premiums, or whether Congress will continue to consider legislation to reform the FHA. Since the 2015 FHA rate reduction, we have observed that there are factors beyond premium rate that influence a lender's decision to choose private MI over FHA insurance, including among others, the FHA's loan eligibility requirements and loan size limits and the relative ease of use of private MI products compared to FHA products. We believe our pricing continues to be more attractive than the FHA's pricing for a substantial majority of borrowers with credit and loan characteristics similar to those whose loans we insure, and we have developed sales strategies designed to demonstrate to our customers where our products and risked-based rates are more favorable.</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competition from the FHA and the VA, we and other private mortgage insurers face competition from state-supported mortgage insurance funds in several states, including California and New York. From time to time, other state legislatures and agencies may consider expanding the authority of their state governments to insure residential mortgages.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18"/>
          <w:szCs w:val="18"/>
          <w:color w:val="auto"/>
        </w:rPr>
        <w:t>With our underwriting solution, National MI TrueInsight</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 we originate primary mortgage insurance coverage through our delegated and non-delegated underwriting programs, discussed below.</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Non-Delegated Program</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obtain mortgage insurance on a loan in our non-delegated channel, a lender submits an insurance application to us, along with documentation we require to support loan qualification for mortgage insurance. Our underwriters review the insurance application and all materials submitted to us and provide a decision to the lender prior to the loan closing.</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our non-delegated underwriter employees located at our corporate headquarters and remotely across the country, we have entered into agreements with third-party underwriting service providers (USPs) under which they underwrite the mortgage insurance decision on certain loans for us, consistent with our underwriting guidelines and subject to the terms of the outsourcing agreements. Our USPs share in the daily underwriting of mortgage insurance applications submitted to us, depending on the volume and with targeted assignments of particular loans to particular USPs, to ensure timely response-times to lenders. These USPs use AXIS, our insurance management system, and are trained to follow the same process outlined above that our own employees follow when they render an insurance decision. Any underwriting decisions requiring escalation or a second review will be referred to management.</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vendor management processes in place to manage the risk associated with outsourcing a component of our underwriting functions. In collaboration with the USP's management team, we monitor the USP's day-to-day underwriting of mortgage insurance decisions. We also review the qualifications of the USP's underwriters and provide system and guideline training to ensure the USP's underwriting philosophy is consistent with ours. We perform regular quality control reviews of each USP's performance, and our agreements with the USPs require them to give us access to the results of their internal quality control reviews. Underwriters with unacceptable performance will be carefully monitored with specific action plans, and our agreements provide for their timely replacement with 30 days' notice.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Delegated Program</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delegated program, once approved for delegated authority, certain lenders may bind our mortgage insurance coverage following their own underwriting reviews. We permit delegated underwriting with lenders that have a track record of originating quality mortgage loans and meet our delegated authority approval requirements. Delegated lenders are required to underwrite a mortgage insurance decision in accordance with our eligibility rules and approved underwriting guidelines and according to the terms set forth in our Master Policy and Delegated Underwriting Endorsement. In order to bind coverage, the lender must provide certain loan characteristics to us to demonstrate that the loan meets our threshold eligibility rules. If a loan does not meet such threshold eligibility rules, which are programmed into our AXIS system, the lender will not be able to bind coverage of such loan on a delegated basis.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utilize USPs with which we have outsourcing agreements to perform the majority of our post-close reviews of delegated decisions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DAR process, as discussed above in "</w:t>
      </w:r>
      <w:r>
        <w:rPr>
          <w:rFonts w:ascii="Arial" w:cs="Arial" w:eastAsia="Arial" w:hAnsi="Arial"/>
          <w:sz w:val="18"/>
          <w:szCs w:val="18"/>
          <w:i w:val="1"/>
          <w:iCs w:val="1"/>
          <w:color w:val="auto"/>
        </w:rPr>
        <w:t>- Mortgage Insurance</w:t>
      </w:r>
      <w:r>
        <w:rPr>
          <w:rFonts w:ascii="Arial" w:cs="Arial" w:eastAsia="Arial" w:hAnsi="Arial"/>
          <w:sz w:val="18"/>
          <w:szCs w:val="18"/>
          <w:color w:val="auto"/>
        </w:rPr>
        <w:t>"). If one of our USPs determines that a loan is ineligible for coverage, we will review the results to determine if we agree with our vendor before giving notice of cancellation of coverage to our insured. In addition to this review, on a quarterly basis, we also perform routine quality control reviews of a statistically relevant sample of our post-close reviews.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i w:val="1"/>
          <w:iCs w:val="1"/>
          <w:color w:val="auto"/>
        </w:rPr>
        <w:t>Underwriting and Risk Management Guidelines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underwriting and risk management guidelines are based on what we believe to be the major factors that impact mortgage credit risk. Such factors include but are not limited to the following:</w:t>
      </w:r>
    </w:p>
    <w:p>
      <w:pPr>
        <w:spacing w:after="0" w:line="116" w:lineRule="exact"/>
        <w:rPr>
          <w:sz w:val="20"/>
          <w:szCs w:val="20"/>
          <w:color w:val="auto"/>
        </w:rPr>
      </w:pPr>
    </w:p>
    <w:p>
      <w:pPr>
        <w:ind w:left="1300" w:hanging="320"/>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borrower's credit strength, including the borrower's credit history, debt-to-income (DTI) ratios and cash reserves and the willingness of a borrower with sufficient resources to make mortgage payments when the mortgage balance exceeds the value of the home;</w:t>
      </w:r>
    </w:p>
    <w:p>
      <w:pPr>
        <w:spacing w:after="0" w:line="15"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product, which encompasses the LTV ratio, the type of loan instrument, including whether the instrument provides for fixed or variable payments and the amortization schedule, the type of property, the purpose of the loan and the interest rate;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origination practices of lenders;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coverage and size of insured loans;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condition of the economy, including housing values and employment, in the geographic area in which the property is located.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excluding other factors, claim incidence increases:</w:t>
      </w:r>
    </w:p>
    <w:p>
      <w:pPr>
        <w:spacing w:after="0" w:line="171"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with higher LTV ratios compared to loans with lower LTV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with higher DTI ratios compared to lower DTI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to borrowers with lower credit scores compared to loans to borrowers with higher credit scores;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investor loans compared to owner-occupied loans;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periods of economic contraction and housing price depreciation, including when these conditions may not be nationwide, compared to periods of economic expansion and housing price appreciation;</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adjustable rate mortgages (ARMs) when the reset interest rate significantly exceeds the interest rate set at loan origination; and</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cash out refinance loans compared to purchase or rate and term refinance loans.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may be other types of loan characteristics relating to the individual loan or borrower that also affect the risk potential for a loan. In addition, the presence of multiple higher-risk characteristics in a loan materially increases the likelihood of a default on such a loan unless there are offsetting characteristics to mitigate the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established policies and procedures, we identify, assess, monitor and manage the following enterprise risks in our MI business: credit risk, market risk and operational risk. Management of these risks is an interdepartmental endeavor including specific operational responsibilities and ongoing senior management oversight. Our internal audit function, which reports to the Audit Committee of our Board of Directors (Board), provides independent ongoing assessments of our management of certain of these enterprise risks and reports on those risks to our Board's Risk Committee. Our internal audit function may engage external resources from time to time to assist us in assessing enterprise risks and our related control and monitoring processes. The Board's Risk Committee is responsible for oversight and review of information regarding the Company's enterprise risk management approach, including the significant policies, procedures and processes to manage and mitigate risks that pose a material threat to the viability of the Company.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protect financial institutions against credit losses resulting from borrower defaults on low down payment residential mortgage loans. Low down payment lending carries high credit risk because borrowers who encounter financial difficulties may have little equity (net of transaction costs), if any, in their homes, and are therefore less likely to keep their mortgage payments current or have the ability to sell their properties to avoid foreclosure. Our insured loan portfolio's credit risk profile is measured by credit score, LTV, DTI ratio, property type (</w:t>
      </w:r>
      <w:r>
        <w:rPr>
          <w:rFonts w:ascii="Arial" w:cs="Arial" w:eastAsia="Arial" w:hAnsi="Arial"/>
          <w:sz w:val="18"/>
          <w:szCs w:val="18"/>
          <w:i w:val="1"/>
          <w:iCs w:val="1"/>
          <w:color w:val="auto"/>
        </w:rPr>
        <w:t>e.g.</w:t>
      </w:r>
      <w:r>
        <w:rPr>
          <w:rFonts w:ascii="Arial" w:cs="Arial" w:eastAsia="Arial" w:hAnsi="Arial"/>
          <w:sz w:val="18"/>
          <w:szCs w:val="18"/>
          <w:color w:val="auto"/>
        </w:rPr>
        <w:t>, single family home, condo or co-op), loan purpose (</w:t>
      </w:r>
      <w:r>
        <w:rPr>
          <w:rFonts w:ascii="Arial" w:cs="Arial" w:eastAsia="Arial" w:hAnsi="Arial"/>
          <w:sz w:val="18"/>
          <w:szCs w:val="18"/>
          <w:i w:val="1"/>
          <w:iCs w:val="1"/>
          <w:color w:val="auto"/>
        </w:rPr>
        <w:t>e.g.</w:t>
      </w:r>
      <w:r>
        <w:rPr>
          <w:rFonts w:ascii="Arial" w:cs="Arial" w:eastAsia="Arial" w:hAnsi="Arial"/>
          <w:sz w:val="18"/>
          <w:szCs w:val="18"/>
          <w:color w:val="auto"/>
        </w:rPr>
        <w:t>, purchase or refinance), occupancy (</w:t>
      </w:r>
      <w:r>
        <w:rPr>
          <w:rFonts w:ascii="Arial" w:cs="Arial" w:eastAsia="Arial" w:hAnsi="Arial"/>
          <w:sz w:val="18"/>
          <w:szCs w:val="18"/>
          <w:i w:val="1"/>
          <w:iCs w:val="1"/>
          <w:color w:val="auto"/>
        </w:rPr>
        <w:t>e.g.</w:t>
      </w:r>
      <w:r>
        <w:rPr>
          <w:rFonts w:ascii="Arial" w:cs="Arial" w:eastAsia="Arial" w:hAnsi="Arial"/>
          <w:sz w:val="18"/>
          <w:szCs w:val="18"/>
          <w:color w:val="auto"/>
        </w:rPr>
        <w:t>, owner-occupied) and other factors. Management measures credit risk through reporting by segmentation of these key credit risk drivers.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We employ the following methods to manage and mitigate credit risk in our insured loan portfolio:</w:t>
      </w:r>
    </w:p>
    <w:p>
      <w:pPr>
        <w:spacing w:after="0" w:line="198" w:lineRule="exact"/>
        <w:rPr>
          <w:sz w:val="20"/>
          <w:szCs w:val="20"/>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Policy, Underwriting Guidelines and Pricing;</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Lender Approval, Monitoring and Management;</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Underwriting, Servicing and Quality Control Audits; and</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and Board Risk Committees.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Policy, Underwriting Guidelines and Pricing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manage our insurance portfolio's credit risk by the use of several loan eligibility matrices which describe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 We also manage our credit risk with our post-close independent validation processes in both our delegated and non-delegated channels, as described above under "</w:t>
      </w:r>
      <w:r>
        <w:rPr>
          <w:rFonts w:ascii="Arial" w:cs="Arial" w:eastAsia="Arial" w:hAnsi="Arial"/>
          <w:sz w:val="17"/>
          <w:szCs w:val="17"/>
          <w:i w:val="1"/>
          <w:iCs w:val="1"/>
          <w:color w:val="auto"/>
        </w:rPr>
        <w:t>Business - Mortgage Insurance Products - Primary Mortgage Insurance - Master Policy</w:t>
      </w:r>
      <w:r>
        <w:rPr>
          <w:rFonts w:ascii="Arial" w:cs="Arial" w:eastAsia="Arial" w:hAnsi="Arial"/>
          <w:sz w:val="17"/>
          <w:szCs w:val="17"/>
          <w:color w:val="auto"/>
        </w:rPr>
        <w:t xml:space="preserve"> </w:t>
      </w:r>
      <w:r>
        <w:rPr>
          <w:rFonts w:ascii="Arial" w:cs="Arial" w:eastAsia="Arial" w:hAnsi="Arial"/>
          <w:sz w:val="17"/>
          <w:szCs w:val="17"/>
          <w:i w:val="1"/>
          <w:iCs w:val="1"/>
          <w:color w:val="auto"/>
        </w:rPr>
        <w:t>and Independent Validation.</w:t>
      </w:r>
      <w:r>
        <w:rPr>
          <w:rFonts w:ascii="Arial" w:cs="Arial" w:eastAsia="Arial" w:hAnsi="Arial"/>
          <w:sz w:val="17"/>
          <w:szCs w:val="17"/>
          <w:color w:val="auto"/>
        </w:rPr>
        <w:t>" Our pricing policies also help mitigate credit risk in the form of higher premium rates for loan features or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associated with historically higher default rates.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Lender Approval, Monitoring and Management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lender approval guidelines, including requirements that a lender has experienced management, sound operations and underwriting controls, and appropriate escalation and exception policies and procedures. If a lender originates wholesale loans, we review how that lender manages and controls its authorized brokers. We monitor our lender customers by analyzing trends of many factors, primarily focusing on a lender's underwriting performance. We also assess our lenders' loan concentrations (</w:t>
      </w:r>
      <w:r>
        <w:rPr>
          <w:rFonts w:ascii="Arial" w:cs="Arial" w:eastAsia="Arial" w:hAnsi="Arial"/>
          <w:sz w:val="17"/>
          <w:szCs w:val="17"/>
          <w:i w:val="1"/>
          <w:iCs w:val="1"/>
          <w:color w:val="auto"/>
        </w:rPr>
        <w:t>e.g.</w:t>
      </w:r>
      <w:r>
        <w:rPr>
          <w:rFonts w:ascii="Arial" w:cs="Arial" w:eastAsia="Arial" w:hAnsi="Arial"/>
          <w:sz w:val="17"/>
          <w:szCs w:val="17"/>
          <w:color w:val="auto"/>
        </w:rPr>
        <w:t>, LTVs, credit score, geography and loan purpose) and review their loan manufacturing processes. If we detect a trend that needs to be addressed, we attempt to identify the root cause of the issue and work to develop an agreed upon action plan with the lender, particularly for a lender that has delegated underwriting authority.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Servicing and Quality Control Audits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 underwriting quality control group that operates separately from the new business underwriting group to perform quality control reviews. We perform quality control audits of insured loans identified through random, high risk and targeted selection criteria. In addition, we review loans that default within 12 months of their origination. Our quality control review is primarily intended to assess the quality of the underwriting decision, including the accuracy and adequacy of the information and documentation used to reach that decision. We provide relevant reporting to operations management and to senior management. The findings from our quality control processes inform and shape certain risk processes such as underwriter authority delegation, lender monitoring and guideline management.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Board Risk Committees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 risk committee, comprised of senior management to monitor our underwriting, pricing and risk management practices. This committee also monitors our portfolio concentrations and performance. We expect that this committee will continue to include a diverse mix of senior management to ensure that those responsible for execution are balanced with those responsible for oversight. New products, material changes to existing products or material changes to underwriting guidelines or pricing must be approved by the management risk committee prior to release. Our Board Risk Committee performs the same type of monitoring and oversight of risk management practices and portfolio performance that the management risk committee performs.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Risk</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risk profile of our business is also affected by the mortgage market and macroeconomic conditions. Key drivers include regulatory and/or tax changes affecting the economics of residential mortgage lending; regulatory changes impacting the relative attractiveness of MI to our customers; consumer attitudes about homeownership; and structural changes to the industry that impact the role of the federal government and the GSEs.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We believe that the three primary market risks that we face are:</w:t>
      </w:r>
    </w:p>
    <w:p>
      <w:pPr>
        <w:spacing w:after="0" w:line="171" w:lineRule="exact"/>
        <w:rPr>
          <w:sz w:val="20"/>
          <w:szCs w:val="20"/>
          <w:color w:val="auto"/>
        </w:rPr>
      </w:pPr>
    </w:p>
    <w:p>
      <w:pPr>
        <w:jc w:val="both"/>
        <w:ind w:left="1960" w:hanging="655"/>
        <w:spacing w:after="0" w:line="259"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home values. A decline in home values typically makes it more difficult for borrowers to sell or refinance their homes, generally increasing the likelihood of a default followed by a claim if borrowers experience job losses or other life events which reduce their incomes or increase their expenses. In addition, a decline in home values typically increases the severity of any claim we may pay.</w:t>
      </w:r>
    </w:p>
    <w:p>
      <w:pPr>
        <w:spacing w:after="0" w:line="78" w:lineRule="exact"/>
        <w:rPr>
          <w:rFonts w:ascii="Arial" w:cs="Arial" w:eastAsia="Arial" w:hAnsi="Arial"/>
          <w:sz w:val="18"/>
          <w:szCs w:val="18"/>
          <w:color w:val="auto"/>
        </w:rPr>
      </w:pPr>
    </w:p>
    <w:p>
      <w:pPr>
        <w:jc w:val="both"/>
        <w:ind w:left="1960" w:hanging="655"/>
        <w:spacing w:after="0" w:line="279" w:lineRule="auto"/>
        <w:tabs>
          <w:tab w:leader="none" w:pos="1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Reductions in income or increases in borrowers' expenses. Borrowers able to make only small down payments often have more difficulty weathering financial hardships caused by unemployment or income reductions, or life events involving illness or divorce, because they may not have large amounts of personal savings or available credit. Rising unemployment will increase the number of borrowers unable to remain current on their home mortgage and increase the number of new claims.</w:t>
      </w:r>
    </w:p>
    <w:p>
      <w:pPr>
        <w:spacing w:after="0" w:line="63"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interest rates. An increase in interest rates typically leads to higher monthly payments for borrowers with existing ARMs as well as for borrowers hoping to purchase a home, the latter of which may have the effect of reducing the pool of potential borrowers available to purchase homes.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mitigate market risk in our insurance portfolio mainly by employing portfolio concentration limits. We limit our exposure to product types that have experienced the most volatile performance in previous economic and housing market downturns. For example, we have portfolio limits for certain risks we wish to more closely control, including certain LTV loans, investor loans, cash-out refinances, certain state concentration levels and several other borrower or loan attributes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Operational risks are inherent in our daily business activities. Key operational risks include: damage to physical assets, reliance on outside vendors, access to qualified underwriting resources, cyber security risks, including breaches of our system or other compromises resulting in unauthorized access to confidential, private and proprietary information, reliance on a complex information technology system and employee fraud or negligence. We manage operational risks through standard risk management practices such as hazard insurance policies, rigorous oversight of vendors, modern IT system redundancy, security and disaster recovery practices, internal controls and segregation of duties. The key controls to mitigate operational risks are established and maintained by management, overseen by the Board and monitored by our Internal Audit Department.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Policy Servicing Department is responsible for various servicing activities related to Master Policy administration, premium billing and payment processing and certificate administration. With respect to servicing activities related to insured loans, our Policy Servicing Department primarily interfaces with our insureds' mortgage loan servicers. Some insureds retain the servicing rights and responsibilities for their own loan originations, while others transfer such rights and responsibilities to third party servicers. A servicer handles the day-to-day tasks of managing a lender's loan portfolio, including processing borrowers' loan payments, paying MI premiums to the MI company, responding to borrower inquiries, keeping track of principal and interest payments, managing escrow accounts and initiating loss mitigation and foreclosure activities. Our servicing specialists are assigned to our servicer customers to assist with day-to-day transactions and to assist in monitoring their insured portfolios.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established policies and procedures that accommodate various methods for servicers to communicate loan and certificate information to us. Our Master Policy requires our insured lenders,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We also have our own external facing servicing website which may be utilized by servicers to process their servicing transactions.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Defaults and Claims; Loss Mitigation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Defaults and Claims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MI claim cycle begins with our receipt of a Notice of Default (NOD) for an insured loan from the loan servicer. Default is generally defined in our Master Policy as the failure by a borrower to pay when due a non-accelerated amount equal to the scheduled mortgage payment due under the terms of a loan or the failure by a borrower to pay all amounts due under a loan after the exercise of the due on sale clause of such loan. The Master Policy requires an insured to notify us of a default no later than 10 days after the borrower becomes three payments in default, although most lenders notify us sooner. We do not consider a loan to be in default for the purposes of reporting defaults and default rates and setting claim reserves until we receive notice from the servicer that a borrower has failed to pay two consecutive, regularly scheduled payments and is at least 60 days in default. The incidence of default is affected by a variety of factors, many of which are unforeseen, including borrower income, unemployment, divorce and illness. Defaults that are not cured result in a claim to us. A default may be cured by the borrower remitting all delinquent loan payments, paying off the loan in its entirety, a loan modification or by a sale of the property and satisfaction of all amounts due under the loan.</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result from uncured defaults, approved sales to third parties prior to foreclosure for less than the amount of the debt (pre-foreclosure sales) and borrowers surrendering their property deeds to their lenders in lieu of lenders foreclosing (deeds-in-lieu). Whether a claim results from an uncured default depends, in large part, on the borrower's equity in the home at the time of default, the borrower's or the lender's ability to sell the home for an amount sufficient to satisfy all amounts due under the mortgage and the willingness and ability of the borrower and lender to enter into a loan modification that provides for a cure of the default. Various factors affect the frequency and amount of claims, including local housing prices, employment levels and interest rates. If a default is not cured and we receive a claim, any unearned premium collected from the date of default to the date of the claim payment is refunded to the insured along with the claim payment.</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our Master Policy, the insured lender is required to file a claim within 60 days after it has acquired title to the property securing the insured loan (typically through foreclosure) or when there has been an approved sale to a third party prior to foreclosure. In recent years, foreclosure time-lines have been extended as a result of the GSEs and recently enacted legislation requiring mortgage servicers to mitigate losses by offering forbearances and loan modifications prior to pursuing foreclosure on delinquent loans.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When an insured lender has perfected a claim by delivering all documents and information we require to adjust a claim, within 60 days of the claim perfection date, we have the option of either (i) paying up to the coverage percentage specified for that loan, with the insured retaining title to the underlying property and receiving all proceeds from the eventual sale of the property (the percentage option), or (ii) paying 100% of the insured's loss on the loan in exchange for the insured's conveyance of good and marketable title to the property to us. If we exercise the latter option, we will market and sell the acquired property and retain all proceeds. We have opted to exercise the percentage option for all of our settled claims to date.</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 activity is not evenly spread throughout the coverage period of a book of primary business. Typically, relatively few claims are received during the first two years following issuance of coverage on a loan. This is typically followed by a period of rising claim activity which, based on industry experience, has historically reached its highest level three to six years after loan origination. Thereafter, the number of claims for a book year has historically declined at a gradual rate, although the rate of decline can be affected by conditions in the economy, including slowing home price appreciation or housing price depreciation and rising unemployment. Persistency of our book, the condition of the economy, including unemployment, and other factors can affect the pattern of claim activity.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Before paying a valid claim, we will review the loan and servicing files to determine the appropriateness of the claim amount. Our Master Policy provides that we can reduce or deny a claim if the servicer did not comply with its obligations required by our policy, including the requirement to mitigate losses through reasonable loss mitigation efforts or, for example, diligently pursuing a foreclosure or bankruptcy relief in a timely manner. We call such reductions "curtailments." In addition, the claims submitted to us may include costs and expenses not covered by our insurance policies, such as mortgage insurance premiums, hazard insurance premiums for periods after the claim date and losses resulting from property damage that has not been repaired. Generally, we expect these other adjustments to reduce claim amounts by less than the amount of curtailments.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our Master Policy, insureds, typically through their servicers, must obtain prior approval from us before agreeing to execute a deed-in-lieu of foreclosure, third-party pre-foreclosure sale or loan modification. Our right to pre-approve these transactions gives us the ability to mitigate actual or potential loss on an insured loan by ensuring that properties are being marketed and sold at reasonable values and that, in the appropriate case, borrowers are offered modified loan terms that are structured to help them sustain their mortgage payments. Proceeds from approved third-party sales occurring before we settle a claim may be factored into the claim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settlement and can often mitigate the claim amount we may pay. In connection with our approval rights of a pre-foreclosure sale or deed-in-lieu of foreclosure transaction, our Master Policy also gives us the right to obtain a contribution from a borrower who has the appropriate financial capacity, either in the form of cash or a promissory note, to cover a portion of the claim.</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agreed with the GSEs that they and their approved servicers have the right to approve certain transactions, consistent with the terms of the applicable delegation agreement, including pre-foreclosure sales, deeds-in-lieu of foreclosure and loan modifications for all Fannie Mae or Freddie Mac owned loans that we insure. Fannie Mae and Freddie Mac and their approved servicers will report all relevant information regarding these approvals to us and proceeds from borrower contributions will be shared between the GSE and us on a pro rata basis, as defined in our Master Policy.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Reserves and Premium Deficiency Reserve</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period of time typically elapses between the time a borrower defaults on a mortgage payment, which is the event triggering our establishment of a claim reserve, and the eventual payment of the claim related to the uncured default. To recognize the liability for unpaid claims related to outstanding reported defaults, or default inventory, we establish claim reserves in accordance with industry practice, representing the estimated percentage of defaults which may ultimately result in a claim, which is known as the claim rate, and the estimated severity of the claims which may arise from the defaults included in the default inventory. Claim severity is the ratio of the claim amount to the total RIF on an insured loan. The main determinants of claim severity are the size of the mortgage loan, the coverage percentage on the loan and local market conditions.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will also establish reserves to provide for the estimated costs of settling claims, general expenses of administering the claims settlement process, legal fees and other fees (claim adjustment expenses), and for claims and claim adjustment expenses from defaults that we estimate have occurred, but which have not yet been reported to us. We refer to the latter as incurred but not reported or "IBNR" reserves. Consistent with industry accounting practices, we do not establish claim or IBNR reserves for estimated potential defaults that have not occurred but that may occur in the future. For further discussion of our claim reserving policy and process, see Part II, Item 7, "</w:t>
      </w:r>
      <w:r>
        <w:rPr>
          <w:rFonts w:ascii="Arial" w:cs="Arial" w:eastAsia="Arial" w:hAnsi="Arial"/>
          <w:sz w:val="17"/>
          <w:szCs w:val="17"/>
          <w:i w:val="1"/>
          <w:iCs w:val="1"/>
          <w:color w:val="auto"/>
        </w:rPr>
        <w:t>Management's Discussion and Analysis of Financial Condition and Results of Operations - Critical</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Estimates - Reserve for Claims and Claims Expenses</w:t>
      </w:r>
      <w:r>
        <w:rPr>
          <w:rFonts w:ascii="Arial" w:cs="Arial" w:eastAsia="Arial" w:hAnsi="Arial"/>
          <w:sz w:val="17"/>
          <w:szCs w:val="17"/>
          <w:color w:val="auto"/>
        </w:rPr>
        <w:t>."</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processes described above to calculate loss and IBNR reserves are applicable only to loans that have been in default at least 60 days. At the end of each fiscal quarter, we also perform an analysis on our entire portfolio of insured loans, including performing loans, to determine if we are required to establish a premium deficiency reserve. We would establish a premium deficiency reserve when the net present value of expected future losses for a particular product and the expenses for such product exceeds the net present value of expected future premiums and existing reserves for such product. Our evaluation of premium deficiency is based on our best estimates of future losses, expenses and premiums. The evaluation of premium deficiency requires significant judgment by management and depends upon many assumptions, including assumptions regarding future macroeconomic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states limit the amount of risk a mortgage insurer may retain on a single loan to 25% of the borrower's indebtedness and, as a result, the portion of such insurance in excess of 25% must be reinsured. NMIC uses reinsurance provided by Re One solely for purposes of compliance with statutory coverage limits.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September 2016, in order to continue to grow our business and manage insurance risk and our minimum required assets under the financial requirements of the PMIERs (the GSEs' MI eligibility requirements), we entered into a quota-share reinsurance transaction with a panel of third-party reinsurers, subject to certain conditions (2016 QSR Transaction). Each of the third-party reinsurers has an insurer financial strength rating of A- or better by Standard and Poor’s Rating Services (S&amp;P), A.M. Best or both. The GSEs and the Wisconsin Office of the Commissioner of Insurance (Wisconsin OCI) approved the 2016 QSR Transaction (subject to certain conditions), giving full capital credit under PMIERs and statutory accounting principles, respectively, for the risk ceded under the agreement. The credit that we receive under PMIERs is subject to periodic review by the GSEs.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effective September 1, 2016, NMIC agreed to cede premiums related to:</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 of existing risk written on eligible policies as of August 31,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our existing risk under our pool agreement with Fannie Mae;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1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 xml:space="preserve">For further discussion of our 2016 QSR Transaction, see Part II,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Conditions and Trends Impacting our Business - New Insurance Written, Insurance in Force and Premiums - Effect of reinsurance on our results."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Information Technology Systems and Intellectual Property</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participant in the mortgage lending and MI industries, we rely on e-commerce and other technologies to provide and expand our products and services. Customers require us to provide and service our products in a secure manner, either electronically via our internet website or through direct electronic data transmissions. We have invested in our infrastructure and technology through the design, development, integration and implementation of what we believe is an efficient, secure, scalable platform that supports our current business activities and enables significant future growth. We underwrite and service our MI portfolio within this proprietary insurance management platform, which we refer to as AXIS.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initial development of AXIS, we have continued to upgrade and enhance our systems and technical capabilities, including:</w:t>
      </w:r>
    </w:p>
    <w:p>
      <w:pPr>
        <w:spacing w:after="0" w:line="171"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that enables our customers to transact business faster and easier, whether via a secure internet connection or through a secure system-to-system interface;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to order our mortgage insurance and in their servicing processes for servicing and maintaining mortgage insurance policies;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advanced document and business process management software that focuses on improving our underwriting productivity and that may also be used to improve our quality assurance and loss management functions;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our award-winning mobile applications, which enable customers to view and access information through mobile devices, including our premium rate calculators, guideline updates and other resources and information notices.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utilize and develop technology to support future growth while realizing current operating efficiencies throughout our enterprise. We also achieve operating efficiencies by outsourcing certain areas of our information technology functions. Our IT systems architecture strategy incorporates Cloud (systems connected via the Internet) and Software as a Service technology in a number of areas to provide scalability and flexibility.</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employ and support the Mortgage Industry Standards Maintenance Organization (MISMO) standard. This is the standard data format used by the MI industry for data consistency throughout the origination process, which we believe streamlines the effort. In addition to using the MISMO standard for origination transactions, we also support mortgage industry data standards for servicing transactions, which enables efficient connectivity with leading service bureau providers and directly with mortgage servicing entities. As part of our underwriting process, we capture data from each mortgage insurance application, providing us with information for evaluating risk, back-testing expected performance and analyzing default patterns.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insurance company, we maintain a large portfolio of cash and investments to back our IIF. We also maintain cash and investments in our holding company to service our debt and for operating needs. Our portfolio consists entirely of cash, cash equivalents, such as investments in money market funds or commercial paper, and other fixed income securities. While our portfolio is managed day-to-day by a third-party investment management company, Wells Capital Management, Inc., we maintain overall control over investment decisions based on our investment policy. Consistent with Wisconsin law, our investment policy emphasizes preservation of capital, as well as total return. Our investment policy imposes concentration limits by asset type, credit rating, and issuer, as well as guidelines for duration relative to a benchmark. All securities in the portfolio must be U.S. dollar-denominated and have the National Association of Insurance Commissioners (NAIC) '1' or '2' designation or investment grade rating by Moody's, S&amp;P or Fitch at time of purchase. Our investment policies and strategies are subject to change depending upon regulatory, economic and market conditions and our existing or anticipated financial condition and operating requirements, including our tax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we had 276 full-time employees. None of our employees are parties to a collective bargaining agreement. We utilize a third-party professional employer organization to manage our payroll administration and related compliance requirements.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available on our website. Information contained or referenced on our website is not incorporated by reference into, and does not form a part of, this report.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U.S. MORTGAGE INSURANCE REGULATION</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discussed below, private MI companies operating in the U.S. are subject to comprehensive state and federal regulation and to significant oversight by the GSEs, the primary beneficiaries of our insurance coverage. NMIC and Re One are directly regulated by our domiciliary and primary regulator, the Wisconsin Office of the Commissioner of Insurance and by state insurance departments in each state in which these companies are licensed. We are also significantly impacted and, in some cases, directly regulated by federal laws and regulations affecting the housing finance system.</w:t>
      </w:r>
    </w:p>
    <w:p>
      <w:pPr>
        <w:spacing w:after="0" w:line="1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believe that a strong, viable private MI market is a critical component of the U.S. housing finance system. We routinely meet with regulatory agencies, including our state insurance regulators and the Federal Housing Finance Agency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MIs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22"/>
          <w:szCs w:val="22"/>
          <w:color w:val="auto"/>
          <w:vertAlign w:val="superscript"/>
        </w:rPr>
        <w:t>®</w:t>
      </w:r>
      <w:r>
        <w:rPr>
          <w:rFonts w:ascii="Arial" w:cs="Arial" w:eastAsia="Arial" w:hAnsi="Arial"/>
          <w:sz w:val="16"/>
          <w:szCs w:val="16"/>
          <w:color w:val="auto"/>
        </w:rPr>
        <w:t>), an organization formed to promote the use of private MI as a credit risk mitigant in the U.S. residential mortgage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Oversight</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nature of the private MI industry in the U.S. is driven in large part by the requirements and practices of the GSEs, which include:</w:t>
      </w:r>
    </w:p>
    <w:p>
      <w:pPr>
        <w:spacing w:after="0" w:line="116" w:lineRule="exact"/>
        <w:rPr>
          <w:sz w:val="20"/>
          <w:szCs w:val="20"/>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PMIERs, including operational, business and remedial requirements and minimum capital levels applicable to GSE-qualified MI providers;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affects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terms that the GSEs require to be included in MI policies for loans that they purchase, including terms governing rescission relief;</w:t>
      </w:r>
    </w:p>
    <w:p>
      <w:pPr>
        <w:spacing w:after="0" w:line="128"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as to when MI is used as the required credit enhancement on low down payment mortgages;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MI, which impacts private MI providers' ability to compete with FHA;</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on which the GSEs offer lenders relief on their representations and warranties made to a GSE at the time of sale of a loan to a GSE, which creates pressure on private MIs to alter their rescission rights to conform to the GSE relief;</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mitigation programs established by the GSEs that impact insured mortgages and the circumstances under which servicers must implement such programs;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loan limits of the GSEs in comparison to those of the FHA and other investors;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scope of different loan purchase programs from the GSEs that allow different levels of MI coverage.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January 2013, the GSEs approved NMIC as a qualified mortgage insurer (as defined in the PMIERs, an </w:t>
      </w:r>
      <w:r>
        <w:rPr>
          <w:rFonts w:ascii="Arial" w:cs="Arial" w:eastAsia="Arial" w:hAnsi="Arial"/>
          <w:sz w:val="16"/>
          <w:szCs w:val="16"/>
          <w:i w:val="1"/>
          <w:iCs w:val="1"/>
          <w:color w:val="auto"/>
        </w:rPr>
        <w:t>Approved Insurer</w:t>
      </w:r>
      <w:r>
        <w:rPr>
          <w:rFonts w:ascii="Arial" w:cs="Arial" w:eastAsia="Arial" w:hAnsi="Arial"/>
          <w:sz w:val="16"/>
          <w:szCs w:val="16"/>
          <w:color w:val="auto"/>
        </w:rPr>
        <w:t>).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NMIC is subject to ongoing compliance with the PMIERs.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The GSEs have significant discretion under the PMIERs as well as a broad range of consent rights and notice requirements with respect to various actions of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The PMIERs financial requirements prescribe a risk-based capital methodology whereby the amount of capital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capital charges.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 xml:space="preserve">risk-based required asset 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PMIERs 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loans originated on or after January 1, 2016 that are insured under LPMI policies.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As of December 31, 2016, NMIC had sufficient assets to meet the PMIERs financial requirements, and we expect to certify to the GSEs by April 15, 2017 that NMIC fully complied with the PMIERs as of December 31, 2016. NMIC also has an ongoing obligation to immediately notify the GSEs in writing upon discovery of its failure to meet one or more of the PMIERs requirements. We continuously monitor our compliance with the PMIERs.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Mortgage Insurance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Certificates of Authority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holds a certificate of authority, or insurance license, in all 50 states and D.C. As a licensed insurer in these jurisdictions, NMIC is subject to ongoing financial reporting and disclosure requirements relating to its business, operations, management or affiliate arrangements.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Insurance Laws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NMIH, NMIC and Re One are subject to comprehensive regulation by state insurance departments. As mandated by certain state insurance laws, MI companies are generally restricted to writing only MI business. We understand that the primary purpose underlying this restriction, which is referred to in the industry as a "monoline" requirement, is to make it easier for regulators to assess the overall risk in an MI's insurance portfolio and to determine its capital adequacy under varying economic scenarios.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state insurance regulation of our business relates to:</w:t>
      </w:r>
    </w:p>
    <w:p>
      <w:pPr>
        <w:spacing w:after="0" w:line="171"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insurable loans;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and quarterly financial reports prepared in accordance with statutory accounting principles;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 of loss, unearned premium and contingency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reinsurance requirements;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risks and limits on coverage of individual risks which may be insured;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shareholder dividends;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policy sales practices;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648"/>
        <w:spacing w:after="0" w:line="271" w:lineRule="auto"/>
        <w:rPr>
          <w:sz w:val="20"/>
          <w:szCs w:val="20"/>
          <w:color w:val="auto"/>
        </w:rPr>
      </w:pPr>
      <w:r>
        <w:rPr>
          <w:rFonts w:ascii="Arial" w:cs="Arial" w:eastAsia="Arial" w:hAnsi="Arial"/>
          <w:sz w:val="17"/>
          <w:szCs w:val="17"/>
          <w:color w:val="auto"/>
        </w:rPr>
        <w:t>As an insurance holding company, NMIH is registered with the Wisconsin OCI, which is NMIC and Re One's primary regulator, and must provide certain information to the Wisconsin OCI on an ongoing basis, including insurance holding company annual audited consolidated financial statements. We, as an insurance holding company, and each of our affiliates, are prohibited from engaging in certain transactions with our insurance subsidiaries without disclosure to, and in some instances, prior approval by the Wisconsin OCI. Like other states, Wisconsin regulates transactions between domestic insurance companies and their controlling shareholders or affiliates. Under Wisconsin law, all transactions involving us, or an affiliate, and an insurance subsidiary, must conform to certain standards including that the transaction is "reasonable and fair" to the insurance subsidiary. Wisconsin law also provides that disclosure of certain transactions must be filed with the Wisconsin OCI at least 30 days before the transaction is entered into and that these transactions may be disapproved by the Wisconsin OCI within that period.</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such person or persons do not intend to control or direct or influence the management of a domestic insurer. Such disclaimer will become effective unless it is expressly "disapproved" by the OCI within 30 days.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are subject to Wisconsin statutory requirements as to maintenance of minimum policyholders' surplus and payment of dividends or distributions to shareholders. Under Wisconsin law, our insurance subsidiaries may pay "ordinary" shareholder dividends with 30 days' prior notice to the Wisconsin OCI. Ordinary dividends are defined as payments or distributions to shareholders in any 12-month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34"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net income of the insurer for the calendar year preceding the date of the dividend or distribution, minus realized capital gains for that calendar year; or</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our insurance subsidiaries may make or pay "extraordinary" shareholder dividends (</w:t>
      </w:r>
      <w:r>
        <w:rPr>
          <w:rFonts w:ascii="Arial" w:cs="Arial" w:eastAsia="Arial" w:hAnsi="Arial"/>
          <w:sz w:val="18"/>
          <w:szCs w:val="18"/>
          <w:i w:val="1"/>
          <w:iCs w:val="1"/>
          <w:color w:val="auto"/>
        </w:rPr>
        <w:t>i.e.</w:t>
      </w:r>
      <w:r>
        <w:rPr>
          <w:rFonts w:ascii="Arial" w:cs="Arial" w:eastAsia="Arial" w:hAnsi="Arial"/>
          <w:sz w:val="18"/>
          <w:szCs w:val="18"/>
          <w:color w:val="auto"/>
        </w:rPr>
        <w:t>, amounts in excess of ordinary dividends) only with the prior approval of the Wisconsin OCI.</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Wisconsin, other states may limit or restrict our insurance subsidiaries' ability to pay shareholder dividends. For example, California and New York prohibit MI companies licensed in such states from declaring dividends except from undivided profits remaining above the aggregate of their paid-in capital, paid-in surplus and contingency reserves. In addition, Florida requires MI companies to hold capital and surplus not less than the lesser of (i) 10% of its total liabilities, or (ii) $100 million. It is possible that Wisconsin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MI companies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amounts cannot be withdrawn for a period of 10 years, except as permitted by insurance regulations. With prior approval from the Wisconsin OCI, an MI company may make early withdrawals from the contingency reserve when incurred losses for a calendar quarter exceed the greater of either (i) 35% of net premiums earned in a calendar year or (ii) 70% of the annual amount contributed to the contingency loss reserve.</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applicable Wisconsin law and the laws of 15 other states, an MI company must maintain a minimum amount of statutory capital relative to its RIF in order for the MI company to continue to write new business. These are typically referred to as "risk-to-capital requirements." While formulations of minimum capital may vary in certain jurisdictions, the most common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measure applied allows for a maximum permitted risk-to-capital (RTC) ratio of 25:1. Wisconsin has formula-based limits that typically result in limits slightly higher than the 25:1 ratio.</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compute RTC ratios for each of our insurance subsidiaries,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an MI company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contributions and decreases as a result of statutory net loss and dividends paid),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State insurance regulators also have the authority to make changes to capital requirements. The NAIC has formed a working group to develop and recommend more robust regulations governing mortgage insurance, including, among other things, strengthened capital requirements, underwriting standards, claims practices and market conduct regulation. We, along with other MI companies, are working with the Mortgage Guaranty Insurance Working Group of the Financial Condition (E) Committee of the NAIC (the Working Group). The Working Group will determine and make a recommendation to the Financial Condition (E) Committee of the NAIC as to what changes the Working Group believes are necessary to the solvency and market practices regulation of MI companies, including changes to the Mortgage Guaranty Insurers Model Act (Model #630). The Working Group has proposed a draft revised Model Act that contains risk-based capital requirements, which we and the MI industry are evaluating. We have provided feedback to the Working Group since early 2013, including comments on the risk-based capital approach.</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states, including Wisconsin, have anti-inducement and anti-rebate laws applicable to MI companies, which prohibit MI companies from inducing lenders to enter into insurance contracts by offering benefits not specified in the policy, including rebates of insurance premiums. For example, Wisconsin prohibits MI companies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MI premium rates are subject to prior approval in certain states, which requirement is designed to protect policyholders against excessive, inadequate or unfairly discriminatory rates and to encourage competition in the insurance marketplace. In these states, any change in premium rates must be justified, generally on the basis of the insurer's loss experience, expenses and future trend analysis. Trends in mortgage default rates are also considered.</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Regulation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Federal laws and regulations applicable to participants in the housing finance industry, including mortgage originators and servicers, purchasers of mortgage loans, such as the GSEs, and governmental insurers or guarantors such as the FHA and VA, directly and indirectly impact private mortgage insurers. Changes in federal housing legislation may have significant effects on the demand for MI and, therefore, may materially affect our business.</w:t>
      </w:r>
    </w:p>
    <w:p>
      <w:pPr>
        <w:spacing w:after="0" w:line="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Housing Finance Reform</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Federal government currently plays a dominant role in the U.S. housing finance system through the GSEs and the FHA, VA and Ginnie Mae. There is broad policy consensus toward the need for private capital to play a larger role and government credit risk to be reduced. However, to date there has been a lack of consensus with regard to the specific changes necessary to return to a larger role for private capital and how small the eventual role of government should become. On September 6, 2008, the FHFA used its authorities to place the GSEs into conservatorship. As the GSEs' conservator, the FHFA has the authority to control and direct the GSEs' operations, and the FHFA's policy objectives can result in changes to the GSEs' requirements and practices. 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 Passage and timing of comprehensive GSE reform legislation or incremental change is uncertain, making the actual impact on us and our industry difficult to predict. With the new Trump Administration and Republican majority in Congress (including the resulting control of key committees addressing GSE reform), there is a possibility for greater consensus, although much uncertainty remains regarding the details of any reform as well as when it would be enacted or implemented. Any such changes that come to pass could have a significant impact on our business.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FHA Reform</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compete with the single-family mortgage insurance programs of the FHA, which is part of the U.S. Department of Housing and Urban Development (HUD). The FHA's role in the mortgage insurance industry is significantly dependent upon regulatory developments. During the most recent housing downturn, the FHA began to capture an increasing share of the high-LTV market, which share has not receded to the lower levels FHA transacted prior to the financial crisis. Since 2012, there have been several legislative proposals intended to reform the FHA; however, no legislation has been enacted to date. In 2015, the FHA reduced some of its annual mortgage insurance premiums by 50 basis points, which had the effect of maintaining the FHA's elevated market share and continuing the increased role of government in the mortgage insurance market. In January 2017, the FHA announced further reductions to its annual premiums; however, before such reductions could take effect, the FHA announced that the cuts were suspended indefinitely. With the new Trump Administration, it remains uncertain whether FHA will ultimately adopt the suspended reductions or otherwise reduce its mortgage insurance premiums again, or eliminate the non-cancelability of premiums, or whether Congress will continue to consider legislation to reform the FHA. The prospects for further unilateral FHA action on premium or passage of FHA reform legislation in either the House or Senate, and how differences in proposed reforms between the House and Senate might be resolved in any final legislation, remain uncertain.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Dodd-Frank 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Dodd-Frank Wall Street Reform and Consumer Protection Act of 2010 (Dodd-Frank Act) amended certain provisions of TILA, RESPA and other statutes that have had a significant impact on our business and the residential mortgage market. The Consumer Financial Protection Bureau (CFPB), a Federal agency created by the Dodd-Frank Act, is charged with implementation and enforcement of these provisions.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Ability-to-Repay Rule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Dodd-Frank Act Ability to Repay (ATR) mortgage provisions govern the obligation of lenders to determine the borrower's ability to pay when originating a mortgage loan covered by the rule. The ATR rule went into effect on January 10, 2014. A subset of mortgages within the ATR rule are known as "qualified mortgages" (QM). For a mortgage loan to be a QM, the rule first prohibits certain loan features, such as negative amortization, points and fees in excess of 3% of the loan amount, and terms exceeding 30 years. The rule promulgated by the CFPB also establishes underwriting criteria for QMs including that a borrower must have a total DTI ratio of less than or equal to 43%. The ATR rule provides that a first mortgage loan meeting the QM definition bearing an annual percentage rate no greater than 1.5% plus a prevailing market rate is regarded as complying with ATR requirements, while an otherwise qualifying QM first mortgage loan that bears an annual percentage rate of greater than 1.5% plus a prevailing market rate will carry a rebuttable presumption of compliance with the ATR rule. Consequently, QMs under the rule benefit from a statutory presumption of compliance with the ATR rule, thus potentially mitigating the risk of the liability of the creditor and assignees of the loan under TILA.</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rule also provides a temporary category of QMs that have more flexible underwriting requirements so long as they satisfy the general product feature requirements of QMs and so long as they meet the underwriting requirements of the GSEs. The temporary category of QMs that meet the underwriting requirements of the GSEs will phase out upon the earlier to occur of the end of conservatorship or receivership of the GSEs or January 10, 2021. We, along with other industry participants, have observed that the significant majority of covered loans made after the effective date of the CFPB's ATR rule have been QMs.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648"/>
        <w:spacing w:after="0" w:line="257" w:lineRule="auto"/>
        <w:rPr>
          <w:sz w:val="20"/>
          <w:szCs w:val="20"/>
          <w:color w:val="auto"/>
        </w:rPr>
      </w:pPr>
      <w:r>
        <w:rPr>
          <w:rFonts w:ascii="Arial" w:cs="Arial" w:eastAsia="Arial" w:hAnsi="Arial"/>
          <w:sz w:val="18"/>
          <w:szCs w:val="18"/>
          <w:color w:val="auto"/>
        </w:rPr>
        <w:t>The Dodd-Frank Act also gave statutory authority to HUD, the VA, U.S. Department of Agriculture and Rural Housing Service to develop their own definitions of “QM.” In December 2013, HUD developed its own definition of QM to govern FHA-insured loans that was less restrictive on certain underwriting requirements than that which governs loans for which the CFPB’s ATR rule governs. The VA issued its ATR standards and QM definition on May 9, 2014, and the Rural Housing Service's QM definition became effective June 2016. To the extent lenders find that the HUD definition of QM is more favorable to certain segments of their borrowers, our business may be negatively impacted.</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most lenders will continue to be reluctant to make loans that do not qualify as QMs (either under the rules' specific underwriting guidelines, GSE underwriting guidelines or the HUD definition of a QM) because absent full compliance with the ATR rule, such loans will not be entitled to a "safe-harbor" presumption of compliance with the ability-to-pay requirements.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ATR rule may continue to impact the mortgage insurance industry in several ways. First, the ATR rule has given rise to a subset of borrowers who cannot meet the regulatory QM standards, thus reducing the size of the mortgage market tied to such borrowers. Second, under the ATR rule, if the lender requires the borrower to purchase MI payable monthly, then the MI premiums are included in monthly mortgage costs in determining the borrower's ability to repay the loan.</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Third, under the ATR rule, mortgage insurance premiums that are payable at or prior to consummation of the loan are includible in points and fees for purposes of determining QM status unless, and to the extent that, such up-front premiums (UFP) are (i) less than or equal to the UFP charged by the FHA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are automatically refundable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satisfaction of the loan. (The FHA currently charges UFP of 1.75% on all residential mortgage loans, but it has the authority to change its UFP from time to time.) As inclusion of MI premiums towards the 3% cap will reduce the capacity for other points and fees in covered transactions, mortgage originators are less likely to purchase single premium BPMI products to the extent that the associated premiums are deemed to be points and fees. In general, LPMI premiums are not counted in the consideration of the borrower's monthly payment or in the 3% points and fees determination.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Qualified Residential Mortgage Rule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Dodd-Frank Act generally provides that an issuer of an asset-backed security or a person who organizes and initiates an asset-backed transaction (a securitizer) must retain at least 5% of the risk associated with securitized mortgage loans. This risk retention requirement does not apply to mortgage loans that are Qualified Residential Mortgages (QRMs) or that are insured by the FHA or another federal agency. By exempting QRMs from the risk-retention requirement, the cost of securitizing these mortgages would be reduced, thus providing a market incentive for the origination of loans that are exempt from the risk-retention requirement.</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Dodd-Frank Act required certain federal regulators to promulgate regulations providing for minimum credit risk-retention requirements in securitizations of residential mortgage loans that do not meet the definition of QRM. Congress directed these regulators to define QRM no broader than the definition of QM, which is discussed above. The agencies' final QRM rule became effective February 23, 2015. The QRM rule provides for the required risk retention of 5%, and as directed by Congress, excludes QM from the risk retention requirements. In addition, the rule excludes from the risk retention rule mortgage-backed securities issued by Fannie Mae or Freddie Mac as a sponsor, during the duration of the GSEs' conservatorships, or by any limited-life regulatory entity succeeding to either GSE. To benefit from the exemption from risk retention, the GSEs in conservatorship and/or any limited life regulatory entity, as the sponsors, must fully guarantee the timely payment of principal and interest on all mortgage-backed securities issued.</w:t>
      </w:r>
    </w:p>
    <w:p>
      <w:pPr>
        <w:spacing w:after="0" w:line="1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and the industry, continue to evaluate the final QRM rule and its impact, if any, on the MI industry. The potential impact depends on, among other things, the mortgage finance market's reaction to the final rule on and after the rule's effective date, including whether the final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 To date, although it has been two years since its adoption, we have not observed any material increase in private securitizations of either QRM or non-QRM loans.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Basel III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The effective date for the U.S. Basel III regulations was January 1, 2014, although the majority of its provisions are subject to phase-in periods of up to five years.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648"/>
        <w:spacing w:after="0" w:line="293" w:lineRule="auto"/>
        <w:rPr>
          <w:sz w:val="20"/>
          <w:szCs w:val="20"/>
          <w:color w:val="auto"/>
        </w:rPr>
      </w:pPr>
      <w:r>
        <w:rPr>
          <w:rFonts w:ascii="Arial" w:cs="Arial" w:eastAsia="Arial" w:hAnsi="Arial"/>
          <w:sz w:val="16"/>
          <w:szCs w:val="16"/>
          <w:color w:val="auto"/>
        </w:rPr>
        <w:t>Under the "Standardized Approach" in the U.S. Basel III capital rules, loans secured by one-to-four-family residential properties (residential mortgage exposures) receive a 50% or 100% risk weight. Generally, first lien residential mortgage exposures that are prudently underwritten, including with respect to regulatory standards for LTV limits, and that are performing according to their original terms receive a 50% risk weight, while all other residential mortgage exposures are assigned a 100% risk weight. The banking regulators clarified in a set of frequently asked questions issued in March 2015 that LTV ratios can account for private MI in determining whether a loan is made in accordance with prudent underwriting standards for purposes of receiving a 50% risk weight. A mortgage exposure guaranteed by the federal government through the FHA or VA will have a risk weight of 20%.</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2014, the Basel Committee on Banking Supervision (Basel Committee) issued a proposal for further revisions to Basel III's Standardized Approach for credit risk. The proposal sets forth proposed adjustments to the risk weights for residential mortgage exposures that take into account LTV and the borrower's ability to service a mortgage as a proxy for a debt service coverage ratio. The proposed LTV ratio did not take into consideration any credit enhancement, including private MI. Comments closed on the 2014 proposal in March 2015, and in December 2015, the Basel Committee released a second proposal that retained the LTV provisions of the initial draft, but not the debt servicing coverage ratios. Should the Basel Committee finalize its proposed revisions to the Standardized Approach for credit risk, those revisions would only take effect in the United States to the extent that they are adopted by the federal banking regulators and incorporated into the U.S. Basel III rules.</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New 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the borrower's delinquency. Additional servicing regulations became effective in October 2016,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an adverse impact on the cost and resolution of claims.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Homeowners Protection Act of 1998</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FHA and VA loans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i w:val="1"/>
          <w:iCs w:val="1"/>
          <w:color w:val="auto"/>
        </w:rPr>
        <w:t>Section 8 of RESPA</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8 of RESPA will apply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mortgage insurers. One CFPB enforcement action against a mortgage originator for alleged kickbacks received from mortgage insurers, in which the CFPB ordered the mortgage originator to pay approximately $109 million in disgorgement, is currently pending before the United States Court of Appeals for the D.C. Circuit. A three-judge panel of the D.C. Circuit initially overturned the CFPB's order on multiple grounds, including finding fault with the CFPB's interpretation of Section 8 of RESPA. That court's ruling (which also addresses the constitutionality of the CFPB's single-director structure) was then stayed pending the CFPB's request that the entire appeals court review the ruling. The D.C. Circuit subsequently granted the CFPB's request and vacated the initial judgment, and the case is currently set for hearing by the entire appeals court in May, 2017. The ultimate ruling in this case may have an impact on future CFPB RESPA enforcement activity. The CFPB's enforcement of Section 8 of RESPA presents regulatory risk for many providers of "settlement services," including mortgage insurers.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2006, Congress enacted on a temporary basis the private mortgage insurance tax deduction, which expired at the end of 2011. Each year since the deduction initially expired in 2011, Congress has enacted legislation to temporarily extend the deduction, with the most recent extension occurring in December 2015, to cover the 2015 and 2016 tax years, from January 1, 2015 to December 31, 2016. Congress has periodically considered proposed legislation that would make the private mortgage insurance tax deduction permanent, but to date has not enacted any such legislation. We cannot predict whether the tax deduction will be made permanent and if not, whether it will be further extended following its expiration on December 31, 2016.</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 Act</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federal Secure and Fair Enforcement for Mortgage Licensing Act (SAFE Act), enacted by Congress in 2008, establishes minimum standards for the licensing and registration of state-licensed mortgage loan originators. The SAFE Act also requires the establishment of a nationwide mortgage licensing system and registry for the residential mortgage industry and its employees. As part of this licensing and registration process, loan originators who are employees of certain lending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mortgage loans. NMIS currently provides loan review services through third party service providers, which have represented to NMIS that they comply with SAFE Act requirements in all applicable jurisdictions.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and Information Security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 numbers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FCRA imposes restrictions on the permissible use of credit report information. The CFPB and FTC each have authority to enforce the FCRA. FCRA has been interpreted by some FTC staff and Federal courts to require mortgage insurance companies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Anti-Discrimination Laws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Implications of and Elections Under the JOBS Act</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company that had gross revenues of less than $1 billion during its last fiscal year, we are an "emerging growth company," as defined in the JOBS Act (an EGC). We will retain that status until the earliest of (i) the last day of the fiscal year in which we have total annual gross revenues of $1,000,000,000 (as indexed for inflation in the manner set forth in the JOBS Act) or more; (ii) the last day of the fiscal year following the fifth anniversary of the date of the first sale of our common stock pursuant to an effective registration statement under the Securities Act; (iii) the date on which we have, during the previous 3-year period, issued more than $1,000,000,000 in non-convertible debt; or (iv) the date on which we are deemed to be a "large accelerated filer," as defined in Rule 12b-2 under the Exchange Act or any successor thereto, including the requirement that an issuer have an aggregate worldwide market value of the voting and non-voting common equity held by non-affiliates of $700 million or more, as of the last business day of the most recently completed second fiscal quarter. As of June 30, 2016, the calculated aggregate market value of common stock held by our non-affiliates was $318,379,040.</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EGC:</w:t>
      </w:r>
    </w:p>
    <w:p>
      <w:pPr>
        <w:spacing w:after="0" w:line="171" w:lineRule="exact"/>
        <w:rPr>
          <w:sz w:val="20"/>
          <w:szCs w:val="20"/>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exempted from compliance with Section 404(b) of Sarbanes-Oxley, which requires our auditors to attest to and report on our internal control over financial reporting;</w:t>
      </w:r>
    </w:p>
    <w:p>
      <w:pPr>
        <w:spacing w:after="0" w:line="62"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any new or revised financial accounting standard until such date as a private company (</w:t>
      </w:r>
      <w:r>
        <w:rPr>
          <w:rFonts w:ascii="Arial" w:cs="Arial" w:eastAsia="Arial" w:hAnsi="Arial"/>
          <w:sz w:val="18"/>
          <w:szCs w:val="18"/>
          <w:i w:val="1"/>
          <w:iCs w:val="1"/>
          <w:color w:val="auto"/>
        </w:rPr>
        <w:t>i.e.</w:t>
      </w:r>
      <w:r>
        <w:rPr>
          <w:rFonts w:ascii="Arial" w:cs="Arial" w:eastAsia="Arial" w:hAnsi="Arial"/>
          <w:sz w:val="18"/>
          <w:szCs w:val="18"/>
          <w:color w:val="auto"/>
        </w:rPr>
        <w:t>, a company that is not an "issuer" as defined by Section 2(a) of Sarbanes-Oxley) is required to comply with such new or revised accounting standard. As a result, our financial statements may not be comparable with another public company which is neither an EGC nor an EGC which has opted out of using the extended transition period;</w:t>
      </w:r>
    </w:p>
    <w:p>
      <w:pPr>
        <w:spacing w:after="0" w:line="78" w:lineRule="exact"/>
        <w:rPr>
          <w:rFonts w:ascii="Arial" w:cs="Arial" w:eastAsia="Arial" w:hAnsi="Arial"/>
          <w:sz w:val="18"/>
          <w:szCs w:val="18"/>
          <w:color w:val="auto"/>
        </w:rPr>
      </w:pPr>
    </w:p>
    <w:p>
      <w:pPr>
        <w:ind w:left="1300" w:right="20" w:hanging="320"/>
        <w:spacing w:after="0" w:line="308"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elect to not comply with Item 402 of Regulation S-K, which requires extensive quantitative and qualitative disclosure regarding executive compensation, but instead disclose the more limited information required of a "smaller reporting company";</w:t>
      </w:r>
    </w:p>
    <w:p>
      <w:pPr>
        <w:spacing w:after="0" w:line="38" w:lineRule="exact"/>
        <w:rPr>
          <w:rFonts w:ascii="Arial" w:cs="Arial" w:eastAsia="Arial" w:hAnsi="Arial"/>
          <w:sz w:val="17"/>
          <w:szCs w:val="17"/>
          <w:color w:val="auto"/>
        </w:rPr>
      </w:pPr>
    </w:p>
    <w:p>
      <w:pPr>
        <w:jc w:val="both"/>
        <w:ind w:left="1300" w:hanging="320"/>
        <w:spacing w:after="0" w:line="293"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exempted from the following additional compensation-related disclosure provisions that were imposed on U.S. public companies pursuant to the Dodd-Frank Act: (i) the advisory vote on executive compensation required by Section 14A(a) of the Exchange Act, (ii) the requirements of Section 14A(b) of the Exchange Act relating to stockholder advisory votes on "golden parachute" compensation, (iii) the requirements of Section 14(i) of the Exchange Act as to disclosure relating to the relationship between executive compensation and our financial performance, and (iv) the requirement of Section 953(b)(1) of the Dodd-Frank Act, which will require disclosure as to the relationship between the compensation of the Company's chief executive officer and median employee pay.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long as we are an EGC, the JOBS Act has the effect of reducing the amount of information that we are required to provide.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See "Cautionary Note Regarding Forward-Looking Statements" on page 3 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Generally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began writing mortgage insurance policies in April 2013, and prior to that, we did not engage in any substantive insurance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Therefore, we do not have a long operating history on which investors may rely for purposes of projecting our future operating results.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writing our first mortgage insurance policies in April 2013, we did not engage in any substantive operations and, therefore, do not have a long operating history on which investors may rely for purposes of projecting future operating results. Having a short insurance operating history, we are subject to substantial business and financial risks and could suffer significant losses, all of which are difficult to predict. We continue to develop business relationships, enhance our technology platform, gain customers, establish operating procedures, continue to hire staff and complete other tasks appropriate for the conduct of our intended business activities. Our long-term success will also be dependent upon our ability to continue to execute the operating procedures we have established and to continue to develop the internal controls to effectively support our business and our regulatory and reporting requirements. Further, industry conditions may change in a manner that adversely affects the development or profitability of our business, and there can be no assurance that we will be successful in our efforts to develop our business in a timely manner, if at all.</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continue to attract and retain the most significant mortgage originators as customers, our ability to achieve our business goals could be negatively impacted.</w:t>
      </w:r>
    </w:p>
    <w:p>
      <w:pPr>
        <w:spacing w:after="0" w:line="116" w:lineRule="exact"/>
        <w:rPr>
          <w:sz w:val="20"/>
          <w:szCs w:val="20"/>
          <w:color w:val="auto"/>
        </w:rPr>
      </w:pPr>
    </w:p>
    <w:p>
      <w:pPr>
        <w:jc w:val="both"/>
        <w:ind w:left="80" w:firstLine="648"/>
        <w:spacing w:after="0" w:line="268" w:lineRule="auto"/>
        <w:rPr>
          <w:sz w:val="20"/>
          <w:szCs w:val="20"/>
          <w:color w:val="auto"/>
        </w:rPr>
      </w:pPr>
      <w:r>
        <w:rPr>
          <w:rFonts w:ascii="Arial" w:cs="Arial" w:eastAsia="Arial" w:hAnsi="Arial"/>
          <w:sz w:val="17"/>
          <w:szCs w:val="17"/>
          <w:color w:val="auto"/>
        </w:rPr>
        <w:t>The success of our mortgage insurance business is highly dependent on our ability to attract and retain as customers the most significant mortgage lenders in the U.S., as determined by volume of their own originations as well as volume of insured business they may acquire from other lenders through their correspondent channels. We believe these mortgage lenders are critical to the achievement of our business goals because of their dominant market share. As a result of their size and market share, these entities originate a significant majority of low down payment mortgages in the U.S. and, therefore, influence the size of the MI market. We are currently doing business with a majority of these lenders. However, there is no assurance we will receive approvals from each of the remaining lenders to transact MI business with them. If we are unable to maintain our approved status with one or more of these mortgage lenders, our business, financial condition and operating results could be adversely impacted. Even if these lenders become our customers, we cannot be certain that any loss of business from one would be replaced from other new or existing lender customers. Such lenders may decide to write business only with certain mortgage insurers based on their views with respect to an insurer's pricing,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Policy does not, and by law cannot, require our customers to do business with us. In 2016, premiums earned from one significant customer exceeded 10% of our consolidated revenues. The loss of business from significant customers, if not offset by additional business from other customers, could have an adverse effect on the amount of new business we are able to write, and consequently, our financial condition and operating results.</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As a participant in the mortgage lending and MI industries, we rely on e-commerce and other technologies to conduct business with our customers. If we do not maintain connectivity or otherwise meet the technological demands of our customers, our business, financial condition and operating results could be adversely affected.</w:t>
      </w:r>
    </w:p>
    <w:p>
      <w:pPr>
        <w:spacing w:after="0" w:line="127" w:lineRule="exact"/>
        <w:rPr>
          <w:sz w:val="20"/>
          <w:szCs w:val="20"/>
          <w:color w:val="auto"/>
        </w:rPr>
      </w:pPr>
    </w:p>
    <w:p>
      <w:pPr>
        <w:jc w:val="both"/>
        <w:ind w:left="80" w:firstLine="648"/>
        <w:spacing w:after="0" w:line="257" w:lineRule="auto"/>
        <w:rPr>
          <w:sz w:val="20"/>
          <w:szCs w:val="20"/>
          <w:color w:val="auto"/>
        </w:rPr>
      </w:pPr>
      <w:r>
        <w:rPr>
          <w:rFonts w:ascii="Arial" w:cs="Arial" w:eastAsia="Arial" w:hAnsi="Arial"/>
          <w:sz w:val="18"/>
          <w:szCs w:val="18"/>
          <w:color w:val="auto"/>
        </w:rPr>
        <w:t>We primarily rely on e-commerce and other technologies to provide and distribute our products and services. Customers require us to provide and service our MI products in a secure manner, either electronically via our internet website or through direct electronic data transmissions. Accordingly, we invest resources in establishing and maintaining electronic connectivity with customers and, more generally, in e-commerce and technological advancements. Our business, financial condition and operating results may be adversely impacted if we do not successfully establish and maintain these arrangements or otherwise keep pace with the technological demands of customers.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both"/>
        <w:ind w:left="80" w:right="20" w:firstLine="648"/>
        <w:spacing w:after="0" w:line="308" w:lineRule="auto"/>
        <w:rPr>
          <w:sz w:val="20"/>
          <w:szCs w:val="20"/>
          <w:color w:val="auto"/>
        </w:rPr>
      </w:pPr>
      <w:r>
        <w:rPr>
          <w:rFonts w:ascii="Arial" w:cs="Arial" w:eastAsia="Arial" w:hAnsi="Arial"/>
          <w:sz w:val="17"/>
          <w:szCs w:val="17"/>
          <w:b w:val="1"/>
          <w:bCs w:val="1"/>
          <w:i w:val="1"/>
          <w:iCs w:val="1"/>
          <w:color w:val="auto"/>
        </w:rPr>
        <w:t>If we, together with third parties with whom we have contracted, are unable to develop, enhance and maintain our technology platform with respect to the products and services we offer, our business and financial performance could be significantly harmed.</w:t>
      </w:r>
    </w:p>
    <w:p>
      <w:pPr>
        <w:spacing w:after="0" w:line="93" w:lineRule="exact"/>
        <w:rPr>
          <w:sz w:val="20"/>
          <w:szCs w:val="20"/>
          <w:color w:val="auto"/>
        </w:rPr>
      </w:pPr>
    </w:p>
    <w:p>
      <w:pPr>
        <w:jc w:val="both"/>
        <w:ind w:left="80" w:firstLine="648"/>
        <w:spacing w:after="0" w:line="271" w:lineRule="auto"/>
        <w:rPr>
          <w:sz w:val="20"/>
          <w:szCs w:val="20"/>
          <w:color w:val="auto"/>
        </w:rPr>
      </w:pPr>
      <w:r>
        <w:rPr>
          <w:rFonts w:ascii="Arial" w:cs="Arial" w:eastAsia="Arial" w:hAnsi="Arial"/>
          <w:sz w:val="17"/>
          <w:szCs w:val="17"/>
          <w:color w:val="auto"/>
        </w:rPr>
        <w:t>We have developed a proprietary enterprise technology platform designed to support our operations. If our technology platform fails to perform in the manner we expect, our business, financial condition and operating results will be significantly harmed. Further, our business would be negatively impacted if we are unable to timely and effectively enhance our platform when necessary to support our primary business functions. There is no assurance that we will not experience significant difficulties with the operation of our technology platform. The success of our business is dependent on our ability to resolve any issues identified with our technology platform during operations and to make timely improvements. Further, we will need to match or exceed the technological capabilities of our competitors over time. We cannot predict with certainty the cost of such maintenance and improvements, but failure to make such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25" w:lineRule="exact"/>
        <w:rPr>
          <w:sz w:val="20"/>
          <w:szCs w:val="20"/>
          <w:color w:val="auto"/>
        </w:rPr>
      </w:pPr>
    </w:p>
    <w:p>
      <w:pPr>
        <w:jc w:val="both"/>
        <w:ind w:left="80" w:firstLine="648"/>
        <w:spacing w:after="0" w:line="279" w:lineRule="auto"/>
        <w:rPr>
          <w:sz w:val="20"/>
          <w:szCs w:val="20"/>
          <w:color w:val="auto"/>
        </w:rPr>
      </w:pPr>
      <w:r>
        <w:rPr>
          <w:rFonts w:ascii="Arial" w:cs="Arial" w:eastAsia="Arial" w:hAnsi="Arial"/>
          <w:sz w:val="17"/>
          <w:szCs w:val="17"/>
          <w:color w:val="auto"/>
        </w:rPr>
        <w:t>In addition, we have contracted with a number of third parties in connection with the development and operation of the platform, and we rely on these third parties to competently perform their obligations in a timely manner. Any failure to maintain acceptable arrangements with these third parties, or the failure of any of these third parties to perform and/or deliver in an acceptable and timely manner combined with our inability to find acceptable replacement arrangements, could have an adverse effect on our business, financial condition and operating results.</w:t>
      </w:r>
    </w:p>
    <w:p>
      <w:pPr>
        <w:spacing w:after="0" w:line="117" w:lineRule="exact"/>
        <w:rPr>
          <w:sz w:val="20"/>
          <w:szCs w:val="20"/>
          <w:color w:val="auto"/>
        </w:rPr>
      </w:pPr>
    </w:p>
    <w:p>
      <w:pPr>
        <w:jc w:val="both"/>
        <w:ind w:left="80" w:right="20" w:firstLine="648"/>
        <w:spacing w:after="0" w:line="312" w:lineRule="auto"/>
        <w:rPr>
          <w:sz w:val="20"/>
          <w:szCs w:val="20"/>
          <w:color w:val="auto"/>
        </w:rPr>
      </w:pPr>
      <w:r>
        <w:rPr>
          <w:rFonts w:ascii="Arial" w:cs="Arial" w:eastAsia="Arial" w:hAnsi="Arial"/>
          <w:sz w:val="16"/>
          <w:szCs w:val="16"/>
          <w:b w:val="1"/>
          <w:bCs w:val="1"/>
          <w:i w:val="1"/>
          <w:iCs w:val="1"/>
          <w:color w:val="auto"/>
        </w:rPr>
        <w:t>Our Master Policy contains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profiles.</w:t>
      </w:r>
    </w:p>
    <w:p>
      <w:pPr>
        <w:spacing w:after="0" w:line="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Master Policy's rescission relief provisions, we agree that we will not rescind or cancel coverage of an insured loan for material borrower misrepresentation or underwriting defects after a borrower timely makes a certain number of payments (either 12 or 36), as specified in our Master Policy. In addition, once the borrower has made such number of full and timely consecutive monthly payments, we have agreed to limitations on our ability to initiate an investigation of fraud or misrepresentation by our insureds or any First Party involved in the origination of an insured loan. Twelve-month rescission relief on an insured loan is subject to our successful completion of an independent validation on such loan. If we are unable to perform an independent validation on an insured loan, such loan will qualify for rescission relief after a borrower timely makes 36 consecutive monthly payments. The current processes we have in place to review insured loans may be ineffective in detecting material misrepresentations and/or underwriting defects prior to a borrower making the requisite number of payments. After a loan meets the conditions for rescission relief, we are contractually prohibited from exercising our rights of rescission for borrower misrepresentation (including fraud) and certain First Party misrepresentations; our rights to investigate potential First Party fraud or misrepresentation are significantly curtailed; and we may be obligated to pay claims on certain loans with unacceptable risk profiles or which failed to meet our underwriting guidelines at the time of origination. As a result, we could suffer unexpected losses, which could adversely impact our business, financial condition and operating results.</w:t>
      </w:r>
    </w:p>
    <w:p>
      <w:pPr>
        <w:spacing w:after="0" w:line="1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are outsourcing the underwriting of our mortgage insurance on certain loans to third-party underwriting service providers. If these USPs fail to adequately perform their underwriting services or place our coverage on loans we would deem ineligible, we could experience increased losses on loans underwritten by them and our customer relationships could be negatively impacted.</w:t>
      </w:r>
    </w:p>
    <w:p>
      <w:pPr>
        <w:spacing w:after="0" w:line="1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In addition, if our USPs place our MI coverage on loans that are ineligible for coverage under our underwriting guidelines, our risk of loss will be increased on those loans or the premiums we charge will be inadequate given the risk presented. We do not have the right under our Master Policy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adequately perform their underwriting services or consistently place coverage on ineligible loans, we could experience increased losses on loans underwritten by them and our customer relationships could be negatively impacted, which would have an adverse impact on our business, financial condition and operating results.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NMIC is a GSE </w:t>
      </w:r>
      <w:r>
        <w:rPr>
          <w:rFonts w:ascii="Arial" w:cs="Arial" w:eastAsia="Arial" w:hAnsi="Arial"/>
          <w:sz w:val="18"/>
          <w:szCs w:val="18"/>
          <w:i w:val="1"/>
          <w:iCs w:val="1"/>
          <w:color w:val="auto"/>
        </w:rPr>
        <w:t>Approved Insurer</w:t>
      </w:r>
      <w:r>
        <w:rPr>
          <w:rFonts w:ascii="Arial" w:cs="Arial" w:eastAsia="Arial" w:hAnsi="Arial"/>
          <w:sz w:val="18"/>
          <w:szCs w:val="18"/>
          <w:color w:val="auto"/>
        </w:rPr>
        <w:t>, and the significant majority of insurance we write is on loans sold to the GSEs.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the GSE's eligibility requirements.) As a result, our compliance with the PMIERs is necessary to maintain NMIC's status 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As of December 31, 2016, NMIC had sufficient assets to meet the PMIERs financial requirements, and we expect to certify to the GSEs by April 15, 2017 that NMIC fully complied with the PMIERs as of December 31, 2016.</w:t>
      </w:r>
    </w:p>
    <w:p>
      <w:pPr>
        <w:spacing w:after="0" w:line="1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There can be no assurance, however, that NMIC will continue to comply with the PMIERs financial requirements. For the reasons discussed in these Risk Factors and elsewhere in this Report, NMIC's future results could be negatively impacted, causing a reduction to revenues, an increase in losses, or requiring the use of assets, which could cause its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to fall below the amount required under the PMIERs financial requirements. In addition, as NMIC continues to grow its business and increase its net RIF, it is anticipated that NMIC's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will increase more rapidly than its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and that NMIC will need to raise additional capital or reduce its net RIF, including through the use of additional reinsurance, in order to remain in compliance with the PMIERs financial requirements and to continue to support new business writings. We expect to continue to seek reinsurance as the primary means of reducing our net RIF to support our future NIW growth. Any future growth capital may be in the form of debt, equity, or a combination of both. We can give no assurance that our efforts to raise capital, obtain additional reinsurance or otherwise reduce our RIF would be successful. If we are unable to raise additional capital, obtain additional reinsurance or enter into alternative arrangements to reduce our RIF, NMIC may not meet the PMIERs financial requirements.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addition, there is no assurance the GSEs will not make the PMIERs financial requirements more onerous in the future. In particular, the PMIERs provide that the table of factors that determine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will be updated every two years or more frequently to reflect macroeconomic conditions, loan performance or to address other issues the GSEs deem important. If we are required under the PMIERs to increase the amount of </w:t>
      </w:r>
      <w:r>
        <w:rPr>
          <w:rFonts w:ascii="Arial" w:cs="Arial" w:eastAsia="Arial" w:hAnsi="Arial"/>
          <w:sz w:val="18"/>
          <w:szCs w:val="18"/>
          <w:i w:val="1"/>
          <w:iCs w:val="1"/>
          <w:color w:val="auto"/>
        </w:rPr>
        <w:t>available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order to support our business writings, the amount of capital our insurance subsidiaries are required to hold will increase, which may have a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returns. Any such effect could have a negative impact on our flexibility to meet our business plans and our future operating results. In addition, the GSEs may amend the PMIERs at any time.</w:t>
      </w:r>
    </w:p>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Compliance with PMIERs requires us to seek the GSEs' prior approval before taking many actions, including implementing new products or services, entering into reinsurance arrangements and inter-company agreements or paying dividends, among others. PMIERs' prior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in order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and such changes could have a material adverse impact on our financial position and operating results. Although not as likely, the GSEs could, in their own discretion, require additional limitations and/or conditions on certain of our activities and practices that are not currently in the PMIERs in order for us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Additional requirements or conditions imposed by the GSEs could limit our operating flexibility and the areas in which we may write new business.</w:t>
      </w:r>
    </w:p>
    <w:p>
      <w:pPr>
        <w:spacing w:after="0" w:line="1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If, in the future, NMIC fails to comply with the PMIERs, including the financial requirements, it may lose its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NMIC is subject to state insurance department capital adequacy requirements, which if breached, could result in NMIC being required to cease writing new business in such states.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NMIC's principal regulator is the Wisconsin OCI. Under applicable Wisconsin law, as well as that of 15 other states, a mortgage insurer must maintain a minimum amount of statutory capital relative to its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Arial" w:cs="Arial" w:eastAsia="Arial" w:hAnsi="Arial"/>
          <w:sz w:val="17"/>
          <w:szCs w:val="17"/>
          <w:i w:val="1"/>
          <w:iCs w:val="1"/>
          <w:color w:val="auto"/>
        </w:rPr>
        <w:t>i.e.,</w:t>
      </w:r>
      <w:r>
        <w:rPr>
          <w:rFonts w:ascii="Arial" w:cs="Arial" w:eastAsia="Arial" w:hAnsi="Arial"/>
          <w:sz w:val="17"/>
          <w:szCs w:val="17"/>
          <w:color w:val="auto"/>
        </w:rPr>
        <w:t xml:space="preserve"> our RIF grows faster than expected) or is less profitable than expected (</w:t>
      </w:r>
      <w:r>
        <w:rPr>
          <w:rFonts w:ascii="Arial" w:cs="Arial" w:eastAsia="Arial" w:hAnsi="Arial"/>
          <w:sz w:val="17"/>
          <w:szCs w:val="17"/>
          <w:i w:val="1"/>
          <w:iCs w:val="1"/>
          <w:color w:val="auto"/>
        </w:rPr>
        <w:t>i.e.,</w:t>
      </w:r>
      <w:r>
        <w:rPr>
          <w:rFonts w:ascii="Arial" w:cs="Arial" w:eastAsia="Arial" w:hAnsi="Arial"/>
          <w:sz w:val="17"/>
          <w:szCs w:val="17"/>
          <w:color w:val="auto"/>
        </w:rPr>
        <w:t xml:space="preserve">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raise additional capital. We can give no assurance that our efforts to obtain additional reinsurance or otherwise reduce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right="20"/>
        <w:spacing w:after="0" w:line="286" w:lineRule="auto"/>
        <w:rPr>
          <w:sz w:val="20"/>
          <w:szCs w:val="20"/>
          <w:color w:val="auto"/>
        </w:rPr>
      </w:pPr>
      <w:r>
        <w:rPr>
          <w:rFonts w:ascii="Arial" w:cs="Arial" w:eastAsia="Arial" w:hAnsi="Arial"/>
          <w:sz w:val="17"/>
          <w:szCs w:val="17"/>
          <w:color w:val="auto"/>
        </w:rPr>
        <w:t>our RIF, or to raise capital would be successful. If we are unable to obtain additional reinsurance or enter into alternative arrangements to reduce our RIF or raise additional capital, we may exceed these state-imposed capital requirements. Accordingly, if we fail to meet the capital adequacy requirements in one or more states, we could be required to suspend writing business in some or all of the states in which we do business.</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are exposed to certain risks associated with our 2016 QSR Transaction, including the possibility that our reinsurers will fail to perform their obligations or that we will lose the capital credit we expected to receive when we entered into the 2016 QSR Transaction as a result of future GSE or Wisconsin OCI action or if any of our reinsurers experiences a downgrade or other adverse business event.</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2016, in order to continue to grow our business and manage insurance risk and our PMIERs required assets, we entered into the 2016 QSR Transaction. There is a risk that the 2016 QSR Transaction will not continue to provide the benefits we expected when we entered into it, including as a result of our counter-parties not performing their obligations, the GSEs or the Wisconsin OCI not continuing to give us full capital credit as anticipated for the duration of the contract, or if one or more reinsurers experiences a downgrade or other adverse business event. Any of these events could have negative impacts on the credit for the risk transferred under the reinsurance agreement and, in turn, on our capital needs, PMIERs position and growth potential.</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Reinsurance does not relieve us of our direct liability to our insureds to pay claims, even when there are reinsurance recoverables available to us under the 2016 QSR Transaction. Accordingly, we bear credit risk with respect to our reinsurers. To mitigate this risk, there are certain contractual protections that afford sources from which we may directly secure our reinsurance recoverables. See Part II, Item 8</w:t>
      </w:r>
      <w:r>
        <w:rPr>
          <w:rFonts w:ascii="Arial" w:cs="Arial" w:eastAsia="Arial" w:hAnsi="Arial"/>
          <w:sz w:val="18"/>
          <w:szCs w:val="18"/>
          <w:i w:val="1"/>
          <w:iCs w:val="1"/>
          <w:color w:val="auto"/>
        </w:rPr>
        <w:t>, "Financial Statements and Supplementary Data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Notes to Consolidated Financial Statements - Note 6, Reinsurance," </w:t>
      </w:r>
      <w:r>
        <w:rPr>
          <w:rFonts w:ascii="Arial" w:cs="Arial" w:eastAsia="Arial" w:hAnsi="Arial"/>
          <w:sz w:val="18"/>
          <w:szCs w:val="18"/>
          <w:color w:val="auto"/>
        </w:rPr>
        <w:t>below. To the extent these sources are insufficient to cover loss recoveries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which we are entitled under the 2016 QSR Transaction, we would attempt to recover such amounts directly from the reinsurers. There is a risk that one or more reinsurers would be unable or unwilling to pay the reinsurance recoverables owed to us in the future, which could have an adverse effect on our financial condition.</w:t>
      </w:r>
    </w:p>
    <w:p>
      <w:pPr>
        <w:spacing w:after="0" w:line="1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 reinsurer experiences a ratings downgrade, the 2016 QSR Transaction agreement obligates such reinsurer, consistent with PMIERs requirements, to increase collateral in the trust account. If the reinsurer breaches its collateral obligations, and fails to cure after notice, we may terminate the agreement with respect to such reinsurer. The 2016 QSR Transaction also gives us the right to terminate the agreement in other cases, including, among other reasons, if a reinsurer becomes insolvent, has its license revoked or reinsures its entire liability under the 2016 QSR Transaction with another entity. If we experience an early termination, we would be required to re-assume the risk ceded to the breaching reinsurer and lose the PMIERs and statutory capital credit we had expected to receive when we entered into the agreement with respect to such reassumed risk. Depending on the timing and severity, such an event could have a material adverse effect on our financial condition, growth potential and future capital needs.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GSEs and the Wisconsin OCI have the right periodically to review performance under the 2016 QSR Transaction, including the reinsurers’ financial strength and other factors the GSEs and Wisconsin OCI believe are important to an evaluation of the transaction, which factors may be unknown to us. As a result of such reviews, the GSEs or the Wisconsin OCI could withdraw their approvals or continue their approvals, but grant less than full capital credit. If we do not continue to receive full capital credit in connection with the 2016 QSR Transaction, we would likely need to seek other sources of capital or reductions in RIF sooner than we would have expected with full capital credit under PMIERs.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face intense competition for business in our industry from existing private MI providers and potentially from new entrants. If we are unable to compete effectively, we may not be able to achieve our business goals and our business may be adversely affected.</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MI industry is highly competitive. With six private MI companies actively competing for business from the same residential mortgage originators, it is important that we continue to differentiate ourselves from the other MI companies, each of which sells substantially similar products as ours. We compete with other private MIs based on our financial strength, terms of coverage, underwriting guidelines, customer service (including speed of MI underwriting and decision making), ancillary products and services (including training and, on a limited basis, loan review services), information security, product features, pricing, operating efficiencies, customer relationships, name recognition, reputation, the strength of management teams and field organizations, ability to generate management and customer reports based on comprehensiveness of databases covering insured loans, effective use of technology and innovation in the delivery and servicing of insurance products and ability to execute. Certain of our competitors are subsidiaries of larger corporations that may have access to greater amounts of capital and financial resources than we do at a lower cost of capital (including, as a result of tax-advantaged, off-shore reinsurance vehicles) and some have better financial strength ratings than we have. As a result, they may be better positioned to compete in the traditional MI market, as well as outside of traditional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mortgage insurance, including if the GSEs were to pursue alternative forms of credit enhancement other than traditional mortgage insurance.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Our financial strength ratings may remain important for our customers to maintain confidence in our products and our competitive position. A downgrade in NMIC's ratings, or the potential for a downgrade, could have an adverse effect on our financial condition and results of operations, including (i) increased scrutiny of our financial condition by our customers, resulting in potential reduction in our NIW or (ii) negative impacts to our ability to conduct business in the non-GSE mortgage market, where financial strength ratings may be more important for such lenders. In addition, although financial strength ratings are not a consideration of remaining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under the current PMIERs framework, they may play a greater role to the extent GSEs consider utilizing forms of credit enhancement other than traditional MI, including utilization of deeper MI coverage or other forms of credit risk transfer.</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or more of our competitors may seek to capture increased market share from government-supported insurance programs, such as the FHA, or from other MI companies by reducing pricing,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MI industry could result in our loss of customers, lower premiums, riskier credit guidelines and other changes that could lower our revenues or increase our expenses. If our information technology systems are inferior to our competitors', existing and potential customers may choose our competitors' products over ours. If we are unable to compete effectively against our competitors and attract and retain our target customers, our revenue may be adversely impacted , which could adversely impact our growth and profitability.</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and most of our competitors, either directly or indirectly, offer certain ancillary services to mortgage lenders with which they also conduct MI business, including loan review, training and other services. For various reasons, including those related to resources or compliance, we may choose not to offer these services at all or not to offer them in a form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underwriting and risk management policies and practices may not anticipate all risks and/or the magnitude of potential for loss as the result of unforeseen risks.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established underwriting, credit and risk management policies and practices that seek to mitigate our exposure to borrower default risk in our insured loan portfolio by anticipating future risks and the magnitude of those risks. Our underwriting and risk management guidelines are based on what we believe to be the major factors that impact mortgage credit risk. Those factors include, among others, the borrower's credit strength, the loan product, origination practices of lenders, the percentage coverage and size of insured loans and the condition of the economy. In addition, there are certain types of loan characteristics relating to the individual loan or borrower that affect the risk potential for a loan, including its LTV, purpose and terms and the credit profile of the borrower. The presence of multiple higher-risk characteristics in a loan materially increases the likelihood of a default on such a loan unless, and to the extent, there are other characteristics to mitigate the risk.</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frequency and severity of claims we incur will be uncertain and will depend largely on general economic conditions, including the unemployment rate and trends in home prices. To the extent that a risk is unforeseen or is underestimated in terms of magnitude of loss, our underwriting and risk management policies and practices may not completely insulate us from the effects of those risks. If these policies and practices do not correctly anticipate risk or the potential for loss, we may underwrite business for which we have not charged premium commensurate with the risk or we may establish loss reserves at levels that do not accurately approximate our actual ultimate loss payments. Either one of these could result in materially adverse effects on our results.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expect our claims to increase as our portfolio grows and matures.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Historically, the first two to three years after loans are originated are a period of relatively low claims, with claims increasing substantially for several years subsequent and then declining. Factors, such as persistency of the book, the condition of the economy, including unemployment and housing prices, and others, can affect this pattern. We began writing mortgage insurance coverage in 2013. Although our claims experience to date has been as expected, we anticipate incurred losses and claims to increase as our earlier book years reach their anticipated period of highest claim frequency and as we begin to layer on additional book years of coverage.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648"/>
        <w:spacing w:after="0" w:line="264" w:lineRule="auto"/>
        <w:rPr>
          <w:sz w:val="20"/>
          <w:szCs w:val="20"/>
          <w:color w:val="auto"/>
        </w:rPr>
      </w:pPr>
      <w:r>
        <w:rPr>
          <w:rFonts w:ascii="Arial" w:cs="Arial" w:eastAsia="Arial" w:hAnsi="Arial"/>
          <w:sz w:val="18"/>
          <w:szCs w:val="18"/>
          <w:color w:val="auto"/>
        </w:rPr>
        <w:t>The actual default rate and the average loss per default that we experience as our portfolio matures is difficult to predict and is dependent on the specific characteristics of our current in-force book, as well as the profile of business we write in the future. Our default experience and claims incurred are generally affected by:</w:t>
      </w:r>
    </w:p>
    <w:p>
      <w:pPr>
        <w:spacing w:after="0" w:line="127" w:lineRule="exact"/>
        <w:rPr>
          <w:sz w:val="20"/>
          <w:szCs w:val="20"/>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state of the economy, including unemployment, which affects the likelihood that borrowers may default on their loans;</w:t>
      </w:r>
    </w:p>
    <w:p>
      <w:pPr>
        <w:spacing w:after="0" w:line="117" w:lineRule="exact"/>
        <w:rPr>
          <w:rFonts w:ascii="Arial" w:cs="Arial" w:eastAsia="Arial" w:hAnsi="Arial"/>
          <w:sz w:val="18"/>
          <w:szCs w:val="18"/>
          <w:color w:val="auto"/>
        </w:rPr>
      </w:pPr>
    </w:p>
    <w:p>
      <w:pPr>
        <w:ind w:left="840" w:hanging="332"/>
        <w:spacing w:after="0" w:line="308" w:lineRule="auto"/>
        <w:tabs>
          <w:tab w:leader="none" w:pos="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declines in housing values, as such declines may negatively affect loss mitigation opportunities on loans in default, as well as increase the likelihood that borrowers will default when the value of the home is below or perceived to be below the mortgage balance;</w:t>
      </w:r>
    </w:p>
    <w:p>
      <w:pPr>
        <w:spacing w:after="0" w:line="38" w:lineRule="exact"/>
        <w:rPr>
          <w:rFonts w:ascii="Arial" w:cs="Arial" w:eastAsia="Arial" w:hAnsi="Arial"/>
          <w:sz w:val="17"/>
          <w:szCs w:val="17"/>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LTV ratios of our insured loans, with higher average LTV ratios tending to increase claims incurred;</w:t>
      </w:r>
    </w:p>
    <w:p>
      <w:pPr>
        <w:spacing w:after="0" w:line="117"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DTI ratios, which tend to increase incurred claims; and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described above.</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Incurred losses and claims may exceed our expectations in the event of general economic weakness or decreases in housing values. An increase in the number or size of claims, compared to what we anticipate, could adversely affect our results of operations or financial conditions.</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IIF may be concentrated in specific geographic regions and could make our business highly susceptible to downturns in local economies, which could be detrimental to our financial condition.</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seek to diversify our insured loan portfolio geographically; however, the availability of business might lead to concentrations in specific regions in the U.S., which could make our business more susceptible to economic downturns in these regions. Our IIF and RIF is currently more heavily concentrated in California than other states, primarily as a result of the location and timing of acquisition of new customers. A deterioration in local or national economic conditions in the mortgage market and other economic conditions, including home prices, levels of unemployment and interest rates or an increase in default rates in specific geographic areas or generally could have a material adverse effect on our operating results and financial position.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Actual premiums and investment earnings may not be sufficient to cover claim payments and our operating costs.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set premiums at the time a policy is issued based on our expectations regarding likely performance over the term of the policy. Our premium rates are developed based on expectations that may ultimately prove to be inaccurate. Our premiums are subject to approval by state insurance regulators, which can delay or limit our ability to increase our premiums. Generally, we will not be able to cancel the MI coverage or adjust renewal premiums during the life of an MI policy to mitigate adverse development. As a result, higher than anticipated claims generally will not be able to be offset by premium increases on policies in force or mitigated by our non-renewal or cancellation of insurance coverage. While we believe our initial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and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consists primarily of highly-rated debt obligations. Our investments are subject to market-wide risks and fluctuations, as well as to risks inherent in particular securities. Changes in interest rates and other market conditions, as well as credit events for particular issuers, could materially impact the future valuation of securities in our investment portfolio, which may cause us to impair, in the future, some portion of those securities. These impairments could adversely impact our liquidity, financial condition and operating results. In times of financial stress, the markets for some securities can become illiquid, which would impair our ability to sell our securities for cash.</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from our investment portfolio provides a source of revenue and cash flow to support our operations and claim payments. If we improperly structure our investments to meet those future liabilities or have unexpected losses, including losses resulting from the forced liquidation of investments before their maturity, we may be unable to meet those obligations. NMIC's investments and investment policies are subject to state insurance laws, which results in our portfolio being predominantly limited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to highly rated fixed income securities. To date, our investment portfolio has been established at a time of historically low interest rates.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required or find it advisable to change our investments or investment policies depending upon regulatory, economic and market conditions, or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We establish loss reserves when we are notified that a loan we insure is in default for at least 60 days, based on management's estimate of claim rates and claim sizes, which are subject to uncertainties and are based on assumptions about certain estimation parameters that may be volatile. As a result, the actual claim payments we make may materially exceed the amount of our corresponding loss reserves.</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practice, consistent with generally accepted accounting principles in the U.S. (GAAP) for the MI industry, is to establish loss reserves only for loans that servicers have reported to us as being at least 60 days in default. We also establish IBNR reserves for estimated losses incurred on loans that have been in default for at least 60 days that have not yet been reported to us by the servicers.</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establishment of loss and IBNR reserves is subject to inherent uncertainty and requires significant judgment by management. We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 reporting period. We estimate IBNR by analyzing historical lags in default reporting to determine a specific number of IBNR claims in each reporting period. Our estimates of claim rates and claim sizes are strongly influenced by prevailing economic conditions, for example current rates or trends in unemployment, housing price appreciation and/or interest rates, and our best judgments as to the future values or trends of these macroeconomic factors. Many of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which may adversely impact our financial condition and operating results. Due to the inherent uncertainty and significant judgment involved in the numerous assumptions required in order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required to establish a premium deficiency reserve if the net present value of our premiums and reserves is less than the net present value of our loss payments and expenses.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establishing loss reserves for loans in default, under GAAP, we are required to establish a premium deficiency reserve for our mortgage insurance products if the amount by which the net present value of expected future losses for a particular product and the expenses for such product exceeds the net present value of expected future premiums and existing reserves for such product. We evaluate whether a premium deficiency exists at the end of each fiscal quarter. Our evaluation of premium deficiency is based on our best estimates of future losses, expenses and premiums. This evaluation depends upon many significant assumptions, including assumptions regarding future macroeconomic conditions, and therefore, is inherently uncertain and may prove to be inaccurate. There can be no assurance that premium deficiency reserves will not be required in future periods. In addition, even if we were required to establish a premium deficiency reserve, there can be no assurance that it will be adequate.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unsuccessful in our efforts to attract, train and retain qualified personnel, our business may be adversely affected.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success depends in large part on the relationships, services and skills of our management team and our ability to motivate, develop and retain these individuals and other key personnel, which includes members of our Finance, Sales,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312" w:lineRule="auto"/>
        <w:rPr>
          <w:sz w:val="20"/>
          <w:szCs w:val="20"/>
          <w:color w:val="auto"/>
        </w:rPr>
      </w:pPr>
      <w:r>
        <w:rPr>
          <w:rFonts w:ascii="Arial" w:cs="Arial" w:eastAsia="Arial" w:hAnsi="Arial"/>
          <w:sz w:val="16"/>
          <w:szCs w:val="16"/>
          <w:color w:val="auto"/>
        </w:rPr>
        <w:t>Law, Risk, Insurance Operations and IT departments. We intend to pay competitive salaries, bonuses and equity-based rewards in order to attract and retain such personnel, but there can be no assurance that we will be successful in such endeavors. The unexpected loss of key personnel, or the inability to recruit, develop and retain qualified personnel in the future, could have an adverse effect on our business, financial condition or operating results.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Loans with combinations of these risk factors have a higher degree of layered risk. In general, we charge higher premiums for loans with higher risk characteristics. There is, however, no guarantee that our premiums will compensate us for the losses we incur on loans with higher risk characteristics.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Even though underwriting that falls outside of our guidelines would be on a case-by-case basis, we could incur greater than expected claims and claim payments on this business, which could negatively impact our revenues and operating results.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risks associated with offering loan review services.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loan review services for certain of our customers, including on loans for which we are not providing mortgage insurance. Under the terms of our loan review agreements with customers and subject to contractual limitations on liability, we provide these customers with limited indemnity rights if we make a material error in providing such services and the error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Accordingly, we have assumed some credit risk in connection with providing these services. We also face regulatory and litigation risk in providing these services. See "</w:t>
      </w:r>
      <w:r>
        <w:rPr>
          <w:rFonts w:ascii="Arial" w:cs="Arial" w:eastAsia="Arial" w:hAnsi="Arial"/>
          <w:sz w:val="18"/>
          <w:szCs w:val="18"/>
          <w:i w:val="1"/>
          <w:iCs w:val="1"/>
          <w:color w:val="auto"/>
        </w:rPr>
        <w:t>The U.S. MI industry is, and as a participant we will be, subject to litigation and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risk generally</w:t>
      </w:r>
      <w:r>
        <w:rPr>
          <w:rFonts w:ascii="Arial" w:cs="Arial" w:eastAsia="Arial" w:hAnsi="Arial"/>
          <w:sz w:val="18"/>
          <w:szCs w:val="18"/>
          <w:color w:val="auto"/>
        </w:rPr>
        <w:t>," below</w:t>
      </w:r>
      <w:r>
        <w:rPr>
          <w:rFonts w:ascii="Arial" w:cs="Arial" w:eastAsia="Arial" w:hAnsi="Arial"/>
          <w:sz w:val="18"/>
          <w:szCs w:val="18"/>
          <w:i w:val="1"/>
          <w:iCs w:val="1"/>
          <w:color w:val="auto"/>
        </w:rPr>
        <w:t>.</w:t>
      </w:r>
    </w:p>
    <w:p>
      <w:pPr>
        <w:spacing w:after="0" w:line="1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managing our growth, which will depend on maintaining and enhancing effective operating procedures and internal controls.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operating results depend to a large extent on our ability to successfully manage our growth. Our growth has placed, and it may continue to place, significant demands on our operations and management. Our current plan is dependent upon our ability to:</w:t>
      </w:r>
    </w:p>
    <w:p>
      <w:pPr>
        <w:spacing w:after="0" w:line="116"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implement and improve our operational, credit, financial, management and other disclosure and internal risk controls and processes and our reporting systems and procedures in order to manage a growing number of client relationships;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our technology platform;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management talent.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successfully implement improvements to, or integrate, our management information and control systems, procedures and processes in an efficient or timely manner and may discover deficiencies in existing systems and controls. In particular, our controls and procedures must be able to accommodate an increase in loan volume in various markets and the infrastructure that comes with new customers.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management does not expect that our disclosure and internal risk controls and processes will prevent all potential errors and fraud. A control system, no matter how well conceived and operated, can provide only reasonable, not absolute, assurance that the objectives of the control system are met. As a result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Any ineffectiveness in our controls or procedures could have a material adverse effect on our business.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b w:val="1"/>
          <w:bCs w:val="1"/>
          <w:i w:val="1"/>
          <w:iCs w:val="1"/>
          <w:color w:val="auto"/>
        </w:rPr>
        <w:t>We rely on our systems, employees and third party service providers, and any errors or fraud could materially and adversely affect us.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exposed to many types of operational risk, including the risk of fraud or malfeasance by employees and outsiders, including third-party service providers, clerical record-keeping errors and transactional errors. Our business is dependent on our employees as well as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unexpectedly increase.</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Master Policy requires our insureds and their servicers to timely submit premium and monthly IIF and default reports and use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 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a default exists or occurs but is not reported to us. Significant failures by large servicers or disruptions in the servicing of mortgage loans we insure would adversely impact our business, financial condition and operating results.</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we have delegated to the GSEs, who have in turn delegated to their approved servicers, authority to accept modifications, short sales and deeds-in-lieu on loans we insure. Servicers are required to operate under the GSEs' required standards in accepting certain loss mitigation alternatives. We are dependent on services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w:t>
      </w:r>
    </w:p>
    <w:p>
      <w:pPr>
        <w:spacing w:after="0" w:line="1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are dependent on our information technology and telecommunications systems and third-party service providers, and termination of third-party contracts, systems failures, interruptions, or breaches of security could have a material adverse effect on us.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is highly dependent on the successful and uninterrupted functioning of our information technology and telecommunications systems and on adequate performance of our third-party service providers. We outsource many of our major information technology functions, including for the development and operation of our enterprise technology platform, data center hosting and management, email and collaboration and human resource systems. We also outsource certain of our underwriting functions to third party service providers. The failure of any of these third parties to perform and/or deliver on a timely basis, or the failure of these systems, either individually or collectively, or the termination of a third-party software license or service agreement on which any of our systems is based, could interrupt our operations. Because our information technology and telecommunications systems interface with and depend on third parties, we could experience service denials if demand for such services exceeds capacity or such third-party systems fail or experience interruptions. If significant, sustained or repeated, a system failure or service denial could compromise our ability to operate effectively, damage our reputation, result in a loss of customer business, and/or subject us to additional regulatory scrutiny and possible financial liability, any of which could have an adverse effect on our business, financial condition and operating results.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 failure in or breach of our operational or security systems or infrastructure, or those of third parties with which we do business, including as a result of cyber attacks, could disrupt our business, result in the disclosure or misuse of confidential or proprietary information, damage our reputation, increase our costs and cause losses.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is highly dependent upon the effective operation of our information technology systems, which process, transmit, store and protect large amounts of personal information of the borrowers whose mortgages we insure, in addition to the confidential, proprietary, financial and other information that are critical to our business. Furthermore, a significant portion of the communications between our employees and our customers and service providers depends on information technology and electronic information exchange. The security of our computer systems and networks, and those functions that we may outsource, are vulnerable to unauthorized access, interruptions or failures due to events that may be beyond our control, including, but not limited to, cyber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69" w:lineRule="auto"/>
        <w:rPr>
          <w:sz w:val="20"/>
          <w:szCs w:val="20"/>
          <w:color w:val="auto"/>
        </w:rPr>
      </w:pPr>
      <w:r>
        <w:rPr>
          <w:rFonts w:ascii="Arial" w:cs="Arial" w:eastAsia="Arial" w:hAnsi="Arial"/>
          <w:sz w:val="17"/>
          <w:szCs w:val="17"/>
          <w:color w:val="auto"/>
        </w:rPr>
        <w:t>attacks, natural disasters, theft, terrorist attacks, computer viruses, and general technology failures. Additionally, our employees and vendors may use portable computers or mobile devices which can be stolen, lost or damaged. We have adopted information security procedures and controls to safeguard our systems and the information that we process, transmit and store. Despite these efforts, we may not be able to anticipate or to implement effective preventive measures against all cyber threats, or detect and contain a breach in a timely manner, particularly because the techniques used change frequently or are not recognized until launched, and because security attacks can originate from a wide variety of sources. Those parties may also attempt to fraudulently induce employees, customers or other users of our systems to disclose sensitive information in order to gain access to our data or that of our customers. Any compromise of the security of our information technology systems may result in loss of personally identifiable information, financial losses, loss of customers and the inability to transact business; could be costly and time-consuming to address and resolve; could expose us to liability for damages, harm our reputation, subject us to regulatory scrutiny and/or expose us to civil litigation. If any of these were to occur, our business, financial condition and operating results could be adversely affected. Further, the technology errors and omissions insurance coverage we maintain may be inadequate to cover claims and/or costs associated with incidents that may occur in the future.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occurrence of natural or man-made disasters or a pandemic could adversely affect our business, financial condition and operating results.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could be exposed to various risks arising out of natural disasters, including earthquakes, hurricanes, floods and tornadoes and man-made disasters, including acts of terrorism, military actions and pandemics. For example, a natural or man-made disaster or a pandemic could lead to unexpected changes in persistency rates as policyholders and contract holders who are affected by the disaster may be unable to meet their contractual obligations, such as payment of premiums on our insurance policies, interest payments due on our invested assets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unexpected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Mortgage Insurance Industry and Its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implementation of Basel III may adversely affect the use of MI by certain banks.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2013, U.S. federal banking regulators adopted regulations to implement Basel III. The phase in period for U.S. banks to implement the capital rules is for a duration of five years, which started on January 2, 2014. With the ongoing implementation of Basel III and the potential continued evolution of the Basel capital framework, it is difficult to predict the impact, if any, on the MI industry and the ultimate form of any potential future modifications to the regulations by federal banking regulators. If regulators revise the Basel III rules to reduce or eliminate the capital benefit banks receive from insuring low down payment loans with private MI, or if our customers who are subject to Basel III believe that adverse changes may occur at some time in the future, our current and future business may be adversely affected.</w:t>
      </w:r>
    </w:p>
    <w:p>
      <w:pPr>
        <w:spacing w:after="0" w:line="1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Continued implementation of the Dodd-Frank Act could negatively impact private mortgage insurers and the amount of insurance they can write, including if the definition of QRM results in a reduction of the number of low down payment loans available to be insured.</w:t>
      </w:r>
    </w:p>
    <w:p>
      <w:pPr>
        <w:spacing w:after="0" w:line="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Dodd-Frank Act required certain federal regulators to promulgate regulations providing for minimum credit risk-retention requirements in securitizations of residential mortgage loans that do not meet the definition of QRM. The final QRM rule went into effect on February 23, 2015. We, and the industry, continue to evaluate the QRM rule and whether it will have any impact on the MI industry. The potential impact depends on, among other things, the mortgage finance market's reaction to the rule, including whether the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 If the QRM rule has the effect of materially reducing the size of the high-LTV mortgage market and therefore the population of loans eligible for MI, our business could be adversely affected.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CFPB's ATR Rules defining a QM reduce the size of the origination market.</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Dodd-Frank Act authorized the CFPB to issue regulations requiring a loan originator to determine whether, at the time a loan is originated, the consumer has a reasonable ability to repay the loan (ATR). The CFPB's final ATR rule went into effect 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89" w:lineRule="auto"/>
        <w:rPr>
          <w:sz w:val="20"/>
          <w:szCs w:val="20"/>
          <w:color w:val="auto"/>
        </w:rPr>
      </w:pPr>
      <w:r>
        <w:rPr>
          <w:rFonts w:ascii="Arial" w:cs="Arial" w:eastAsia="Arial" w:hAnsi="Arial"/>
          <w:sz w:val="16"/>
          <w:szCs w:val="16"/>
          <w:color w:val="auto"/>
        </w:rPr>
        <w:t>January 10, 2014. A subset of mortgages within the ATR rule are known as "qualified mortgages" or QM. QMs under the rule benefit from a statutory presumption of compliance with the ATR rule, thus potentially mitigating the risk of the liability of the creditor and assignees of the loan under TILA. 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specific underwriting guidelines in the rule or government or GSE underwriting guidelines)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reducing the size of the residential mortgage market tied to such borrowers. It is difficult to predict with any certainty whether changes resulting from the QM rule will have a negative impact on the MI industry over time. Our business prospects and operating results could be adversely impacted if, and to the extent that, the QM regulations have the impact of reducing the size of the origination market.</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there are certain aspects of the ATR regulations that could have an adverse impact on mortgage insurers. Under the QM regulations,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(discussed below in "</w:t>
      </w:r>
      <w:r>
        <w:rPr>
          <w:rFonts w:ascii="Arial" w:cs="Arial" w:eastAsia="Arial" w:hAnsi="Arial"/>
          <w:sz w:val="18"/>
          <w:szCs w:val="18"/>
          <w:b w:val="1"/>
          <w:bCs w:val="1"/>
          <w:color w:val="auto"/>
        </w:rPr>
        <w:t>—</w:t>
      </w:r>
      <w:r>
        <w:rPr>
          <w:rFonts w:ascii="Arial" w:cs="Arial" w:eastAsia="Arial" w:hAnsi="Arial"/>
          <w:sz w:val="18"/>
          <w:szCs w:val="18"/>
          <w:i w:val="1"/>
          <w:iCs w:val="1"/>
          <w:color w:val="auto"/>
        </w:rPr>
        <w:t>The amount of insurance we may be able to write could be adversely affected if lenders and investors</w:t>
      </w:r>
      <w:r>
        <w:rPr>
          <w:rFonts w:ascii="Arial" w:cs="Arial" w:eastAsia="Arial" w:hAnsi="Arial"/>
          <w:sz w:val="18"/>
          <w:szCs w:val="18"/>
          <w:color w:val="auto"/>
        </w:rPr>
        <w:t xml:space="preserve"> </w:t>
      </w:r>
      <w:r>
        <w:rPr>
          <w:rFonts w:ascii="Arial" w:cs="Arial" w:eastAsia="Arial" w:hAnsi="Arial"/>
          <w:sz w:val="18"/>
          <w:szCs w:val="18"/>
          <w:i w:val="1"/>
          <w:iCs w:val="1"/>
          <w:color w:val="auto"/>
        </w:rPr>
        <w:t>select alternatives to MI.</w:t>
      </w:r>
      <w:r>
        <w:rPr>
          <w:rFonts w:ascii="Arial" w:cs="Arial" w:eastAsia="Arial" w:hAnsi="Arial"/>
          <w:sz w:val="18"/>
          <w:szCs w:val="18"/>
          <w:color w:val="auto"/>
        </w:rPr>
        <w:t>") are relatively less expensive than MI.</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addition, under the QM regulations, mortgage insurance premiums that are payable at or prior to consummation of the loan are includible in points and fees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and to the extent that, such up-front premiums (UFP) are (i) less than or equal to the UFP charged by the FHA,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are automatically refundable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satisfaction of the loan. (The FHA currently charges UFP of 1.75% on all residential mortgage loans, but it has the authority to change its UFP from time to time.) The QM rule includes a limitation on points and fees of 3% of the total loan amount. As inclusion of MI premiums towards the 3% cap will reduce the capacity for other points and fees in covered transactions, mortgage originators are less likely to purchase single premium BPMI products to the extent that the associated premiums are deemed to be points and fees.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MI, federal legislation that changes their charters or a restructuring of the GSEs could reduce our revenues or increase our losses.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MI companies. Changes in the charters or business practices of Freddie Mac or Fannie Mae could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U.S. housing market. The U.S. Congress may legislate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greatly with regard to the government's role in the housing market, and more specifically, with regard to the existence of an explicit or implicit government guarantee. If any GSE reform legislation is enacted, it could impact the current role of private mortgage insurance as credit enhancement, including its reduction or elimination, which would have an adverse effect on our revenue, operating results or financial condition. As a result of these matters, it is uncertain what role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Passage and timing of any comprehensive GSE reform legislation or incremental change is uncertain and could change through the legislative process, which could take time, making the actual impact on us and our industry difficult to predict. With the new Trump Administration and Republican majority in Congress (including the resulting control of key committees addressing GSE reform), there is a possibility for greater consensus, although much uncertainty remains regarding the details of any reform as well as when it would be enacted or implemented. Any such changes that come to pass could have a significant impact on our business.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To date, several credit risk transfer products have been created under the program. To the extent these credit risk products evolve in a manner that displaces primary MI coverage, the amount of insurance we write may be reduced. It is difficult to predict the impact of alternative credit risk transfer products, if any, that are developed in order to meet the goals established by the FHFA.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b w:val="1"/>
          <w:bCs w:val="1"/>
          <w:i w:val="1"/>
          <w:iCs w:val="1"/>
          <w:color w:val="auto"/>
        </w:rPr>
        <w:t>The U.S. MI industry is subject to regulatory risk and has been subject to increased scrutiny by insurance and other regulatory authorities.</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U.S. MI industry and our insurance subsidiaries are subject to comprehensive federal and state regulation, which has increased in recent years as a result of the most recent financial crisis. Increased federal or state regulatory scrutiny could lead to new legal precedents, new regulations or new practices, or regulatory actions or investigations, which could adversely affect our financial condition and operating results. Given the significant losses incurred by many insurers in the mortgage and financial guaranty industries during the most recent financial downturn, we and our industry may be subject to heightened scrutiny by insurance regulators. Although their scope varies, state insurance laws generally grant broad supervisory powers to state insurance regulatory authorities to examine insurance companies and enforce rules or exercise discretion affecting almost every significant aspect of the insurance business. These state insurance regulatory authorities could take actions that could materially impact the types of products and services we and our industry are permitted to offer, including requiring us (and other MI companies) to modify current business practices. Further, failure to comply with the various federal and state regulations promulgated by federal consumer protection authorities and state insurance regulatory authorities could lead to enforcement or disciplinary action, including the imposition of penalties and the revocation of our authorization to operate.</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insurance regulators also have the authority to make changes to capital requirements. The NAIC has formed a working group to develop and recommend more robust regulations governing mortgage insurance, including, among other things, strengthened capital requirements, underwriting standards, claims practices and market conduct. We, along with other MI companies, are working with the Mortgage Guaranty Insurance Working Group of the Financial Condition (E) Committee of the NAIC (Working Group). The Working Group will determine and make a recommendation to the Financial Condition (E) Committee of the NAIC as to what changes the Working Group believes are necessary to the solvency and market practices regulation of MI companies, including changes to the Mortgage Guaranty Insurers Model Act (Model #630). The Working Group has proposed a draft revised Model Act that contains risk-based capital requirements, which we and the MI industry are evaluating. We have provided feedback to the Working Group since early 2013, including comments on the risk-based capital approach.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1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 downturn in the U.S. economy, rising interest rates or home price depreciation may result in increased, unexpected borrower defaults, which could increase our losses.</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Losses result from events that reduce a borrower's ability to continue to make mortgage payments, such as unemployment, rising interest rates and whether a defaulting borrower can sell the home for an amount that will cover unpaid principal and interest and the expenses of the sale. Deterioration in economic conditions generally increases the likelihood that borrowers will not have sufficient income to pay their mortgages. An increase in interest rates typically leads to higher monthly payments for borrowers with existing ARMs. A decline in home values typically makes it more difficult for borrowers to sell or refinance their homes, generally increasing the likelihood of a default followed by a claim if borrowers experience job losses or other life events which reduce their incomes or increase their expenses. In addition, adverse declines in home values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in turn may result from changes in buyers' perceptions of the potential for future appreciation, rising interest rates or restrictions on mortgage credit due to more stringent underwriting standards, among other factors.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Losses can increase when borrowers whose loans we insure experience reductions in income or increases in expenses. Borrowers on low down payment mortgages often have more difficulty weathering financial hardships caused by unemployment or income reductions, or life events involving illness or divorce, because they may not have large amounts of personal savings or available credit. Rising unemployment may increase the number of borrowers unable to remain current on their home mortgages and may increase the number of new claims.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loss projections are inaccurate, our loss payments could materially exceed our recorded loss reserves resulting in an adverse effect on our financial position and operating results. Also, if unemployment rates materially exceed and home price trends materially differ from our forecasts, our underwriting standards and premium charges may prove inadequate to shield us from materially increased losses.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Changes in interest rates, house prices or mortgage insurance cancellation requirements may change the length of time that our policies remain in force .</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premium from a single premium policy is collected up front and generally earned over the estimated life of the policy. In contrast, premiums from a monthly premium policy are received and earned each month over the life of the policy. In each year, most of our premiums will be from insurance that has been written in prior years. As a result, the length of time insurance remains in force, which is also generally referred to as persistency, is a significant determinant of our revenues. A lower level of persistency could reduce our future revenues from our monthly-paid premium products, which constituted about 60% of our IIF at year end 2016. In contrast, a higher than expected persistency rate will decrease the profitability from single premium policies because they will remain in force longer than was estimated when the policies were written. The factors affecting persistency include:</w:t>
      </w:r>
    </w:p>
    <w:p>
      <w:pPr>
        <w:spacing w:after="0" w:line="111"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rates on the IIF, which affects the vulnerability of the IIF to refinancings (</w:t>
      </w:r>
      <w:r>
        <w:rPr>
          <w:rFonts w:ascii="Arial" w:cs="Arial" w:eastAsia="Arial" w:hAnsi="Arial"/>
          <w:sz w:val="18"/>
          <w:szCs w:val="18"/>
          <w:i w:val="1"/>
          <w:iCs w:val="1"/>
          <w:color w:val="auto"/>
        </w:rPr>
        <w:t>i.e.</w:t>
      </w:r>
      <w:r>
        <w:rPr>
          <w:rFonts w:ascii="Arial" w:cs="Arial" w:eastAsia="Arial" w:hAnsi="Arial"/>
          <w:sz w:val="18"/>
          <w:szCs w:val="18"/>
          <w:color w:val="auto"/>
        </w:rPr>
        <w:t>, lower current interest rates make it more attractive for borrowers to refinance and receive a lower interest rate);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rates of home price appreciation or depreciation;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conditions that affect a borrower's decision to pay-off a mortgage earlier than required;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lenders' credit policies, which may make it more difficult for borrowers to refinance their loans;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mortgage insurance cancellation policies of mortgage investors, along with the current value of the homes underlying the mortgages in the IIF.</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Mortgage interest rates have remained historically low, but will likely rise as a result of expected future changes in monetary policy by the Federal Reserve. Future premiums on our IIF represent a material portion of our claims paying resources. We are unsure what the impact on our revenues will be as mortgages are refinanced, because the number of policies we write for replacement mortgages may be more or less than the terminated policies associated with the refinanced mortgages. Given this dynamic, our expected revenues from monthly premium policies in particular might be negatively impacted if there is a higher than expected level of refinance activity in the future. In addition, if interest rates rise, persistency is likely to increase, which may extend the average life of our insured portfolio and increase expected future claims.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MI.</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lenders and investors select alternatives to MI on high LTV loans, our business could be adversely affected. These alternatives to MI include, but are not limited to:</w:t>
      </w:r>
    </w:p>
    <w:p>
      <w:pPr>
        <w:spacing w:after="0" w:line="1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and the VA;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(including the GSEs) using credit enhancements other than MI (including alternative forms of credit risk transfer), using other credit enhancements in conjunction with reduced levels of MI coverage, or accepting credit risk without credit enhancement;</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state-supported mortgage insurance funds in several states, including California and New York; and</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borrowers paying cash or making large down payments versus securing mortgage financing, which has occurred with greater frequency in the years following the most recent financial crisis.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of these alternatives to MI could reduce or eliminate the need for our product, could cause us to lose business and/or could limit our ability to attract the business that we would prefer to underwrite.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2008, government mortgage insurance programs, principally the FHA, have captured a significant share of the insured loan market. While declining from peak market share following the most recent financial crisis, the market share of governmental agencies remains substantially above their historically low market share prior to 2008. Government mortgage insurance programs are not subject to the same capital requirements, costs of capital, risk tolerance or business objectives that we and other private MI companies are, and therefore, generally have greater financial flexibility in setting their pricing, guidelines and capacity, which could put us at a competitive disadvantage. In 2015, the FHA reduced some of its single-family annual mortgage insurance premiums,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which had the effect of maintaining the FHA's elevated market share and continuing the increased role of government in the mortgage insurance market. In January 2017, the FHA announced further reductions to its annual premiums; however, before such reductions could take effect, the FHA announced the cuts were suspended indefinitely. With the new Trump Administration, it remains uncertain whether the FHA will ultimately adopt the suspended reductions or otherwise reduce its mortgage insurance premiums again in the future. The FHA may continue to maintain a strong market position and could increase its market share in the future.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the FHA or other government-supported mortgage insurance programs to remain significant include:</w:t>
      </w:r>
    </w:p>
    <w:p>
      <w:pPr>
        <w:spacing w:after="0" w:line="1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housing policy, including future premium reductions or loosening of underwriting guidelines;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MI companies;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to or imposition of new GSE loan delivery fees on loans that require mortgage insurance, which may result in higher borrower costs for MI loans compared to government insured loans;</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 in the spread between GSE mortgage-backed securities and Ginnie Mae mortgage-backed securities;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FHA loan limits above GSE loan limits;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operational ease of using government-sponsored mortgage insurance compared to private MI.</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government-supported mortgage insurance programs maintain or increase their share of the mortgage insurance market, our business and industry could be negatively affected.</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at the direction of the FHFA, the GSEs have expanded their credit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8"/>
          <w:szCs w:val="18"/>
          <w:i w:val="1"/>
          <w:iCs w:val="1"/>
          <w:color w:val="auto"/>
        </w:rPr>
        <w:t>e.g.</w:t>
      </w:r>
      <w:r>
        <w:rPr>
          <w:rFonts w:ascii="Arial" w:cs="Arial" w:eastAsia="Arial" w:hAnsi="Arial"/>
          <w:sz w:val="18"/>
          <w:szCs w:val="18"/>
          <w:color w:val="auto"/>
        </w:rPr>
        <w:t>, lower costs, reduced counter-party risk due to collateral requirements or more diversified insurance exposures) may create increased competition for private MI on loans traditionally sold to the GSEs with private MI.</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loan originations declines, the amount of insurance that we may be able to write could decline, which would reduce our revenues.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 part, depend on the volume of low down payment loan originations and may be negatively affected if the volume declines. The factors that affect the volume of low down payment loan originations include, among other things:</w:t>
      </w:r>
    </w:p>
    <w:p>
      <w:pPr>
        <w:spacing w:after="0" w:line="116" w:lineRule="exact"/>
        <w:rPr>
          <w:sz w:val="20"/>
          <w:szCs w:val="20"/>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and capital requirements and liquidity issues affecting lenders;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deductibility of mortgage interest or mortgage insurance premiums for income tax purposes;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as well as conditions in regional and local economies;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GSEs' guaranty and other fees, credit underwriting guidelines and other business terms affect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left="980"/>
        <w:spacing w:after="0"/>
        <w:rPr>
          <w:sz w:val="20"/>
          <w:szCs w:val="20"/>
          <w:color w:val="auto"/>
        </w:rPr>
      </w:pPr>
      <w:r>
        <w:rPr>
          <w:rFonts w:ascii="Arial" w:cs="Arial" w:eastAsia="Arial" w:hAnsi="Arial"/>
          <w:sz w:val="18"/>
          <w:szCs w:val="18"/>
          <w:color w:val="auto"/>
        </w:rPr>
        <w:t>lenders' willingness to extend credit for low down payment mortgages.</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decline in the volume of low down payment loan originations could decrease demand for MI, decrease our NIW and therefore reduce our revenues and have an adverse effect on our operating results.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 MI industry is, and as a participant we will be, subject to litigation and regulatory enforcement risk generally.</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agencies in the ordinary course of operations. Litigation and enforcement actions relating to capital markets transactions and securities-related matters in general has increased as a result of the most recent financial crisis. Consumers continue to bring lawsuits against home mortgage lenders and settlement service providers.</w:t>
      </w:r>
    </w:p>
    <w:p>
      <w:pPr>
        <w:spacing w:after="0" w:line="1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Mortgage insurers have been involved in litigation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paying for the referral of insurance business and provide various mechanisms to enforce this prohibition.</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the past, a number of lawsuits have challenged the actions of other MI companies under RESPA, alleging that the insurers have violated RESPA Section 8's referral fee prohibition by entering into captive reinsurance arrangements or providing products or services to mortgage lenders at improperly reduced prices in return for the referral of MI. In addition to these private lawsuits, other MI companies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five other MI companies settling the CFPB's allegations related to those MI companies' respective captive arrangements. One CFPB enforcement action against a mortgage originator for alleged kickbacks received from mortgage insurers, in which the CFPB ordered the mortgage originator to pay approximately $109 million in disgorgement, is currently pending before the United States Court of Appeals for the D.C. Circuit. A three-judge panel of the D.C. Circuit initially overturned the CFPB's order on multiple grounds, including finding fault with the CFPB's interpretation of Section 8 of RESPA.That court's ruling (which also addresses the constitutionality of the CFPB's single director structure) was then stayed pending the CFPB's request that the entire appeals court review the ruling. The D.C. Circuit subsequently granted the CFPB's request and vacated the initial judgment, and the case is currently set for hearing by the entire appeals court in May, 2017. The ultimate ruling in this case may have an impact on future CFPB enforcement activity. The CFPB's enforcement of Section 8 of RESPA presents regulatory risk for many providers of "settlement services," including mortgage insurers.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results of operations. Should we become a party to an action by any of these various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involved in certain legal proceedings in the ordinary course of business. Based upon information available to us and our review of lawsuits and claims filed or pending against us to date, we have not recognized a material liability for these matters, nor do we currently expect it is reasonably possible that these matters will result in a material liability to us. However, the outcome of litigation and other legal and regulatory matters is inherently uncertain, and it is possible that one or more of such matters currently pending or threatened could have an unanticipated material adverse effect on our liquidity, financial position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Credit Agreement contains various restrictive covenants and required financial ratios and tests that limit our operating flexibility. The violation of one or more of these covenants, ratios and tests could have a material adverse effect on our business, financial condition and results of operations.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2015, NMIH entered into a credit agreement (as amended, the Credit Agreement) providing for a term loan credit facility in the original principal amount of $150 million (the Term Loan), which matures on November 10, 2019. The Credit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11"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contains various restrictive covenants and required financial ratios and tests that we are required to meet or maintain and that limit our operating flexibility.</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Among other requirements, NMIH may not permit (i) our debt to total capitalization ratio to exceed 35% as of the last day of any fiscal quarter, (ii) the aggregate amount of our unrestricted cash and cash equivalents as of any date to be less than the sum of all remaining scheduled interest payments and amortization payments in respect of the Term Loan as of such date (excluding principal and interest scheduled to be paid on the maturity date) or (iii) our total shareholders' equity to be less than $307,788,750 as of the last day of any fiscal quarter. In addition, NMIC must remain at all times in compliance with all applicable "financial requirements" imposed pursuant to the PMIERs.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Credit Agreement prohibits or restricts, among other things, NMIH's and its subsidiaries' ability to:</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liens on their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their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each case subject to certain exceptions and qualifications as set forth in the Credit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place significant restrictions on the manner in which we may operate our business, and our ability to meet these covenants may be affected by events beyond our control. If we fail to meet any of these covenants, the lenders could declare the outstanding principal amount of the Term Loan, accrued and unpaid interest and all other amounts owing and payable thereunder to be immediately due and payable, which could have a material adverse effect on our business, financial condition and results of operations.</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required to assess our ability to continue as a going concern as part of our preparation of financial statements at each quarter-end. This assessment includes, among other things, our ability to comply with the covenants and requirements under the Credit Agreement. If in future periods we are not able to demonstrate that we will be in compliance with the financial covenant requirements in the Credit Agreement for at least 12 months following the date of the financial statements, management could conclude there is substantial doubt about our ability to continue as a going concern, and the audit opinion that we would receive from our independent registered public accounting firm would include an explanatory paragraph regarding our ability to continue as a going concern. Such an opinion would cause us to be in breach of the covenants in the Credit Agreement.</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NMIH’s obligations under the Credit Agreement are guaranteed (Guarantee) by one of its subsidiaries, NMIS (the Guarantor). NMIH’s and the Guarantor’s obligations under the Credit Agreement and the Guarantee, respectively, are secured by first-priority liens on substantially all the assets of NMIH and the Guarantor, respectively, subject to certain exceptions. If we fail to make the required payments, do not meet the financial covenants or otherwise default on the terms of the Credit Agreement, the lenders under the Credit Agreement could declare all of the obligations under the Credit Agreement to be immediately due and payable. We cannot assure you that our assets would be sufficient to repay such amounts in full, and the lenders could foreclose on the collateral securing the Credit Agreement and the Guarantee, including, subject to regulatory approval, the stock of NMIC and Re One. Any such actions could have a material adverse effect on our business, financial condition and results of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a risk NMIH will have insufficient liquidity to repay the Credit Agreement when it matures in 2019.</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remaining term of the Credit Agreement, we are required to pay interest on the Term Loan of a Eurodollar based rate (1% floor) plus an annual margin rate of 6.75% and repay principal of 1% of the original loan amount, which we pay in quarterly installments at the end of each calendar quarter. NMIH's current holdings in cash and highly liquid investments are sufficient to meet these principal and interest obligations during the term, but not to repay the outstanding principal of the Term Loan at maturity. The Credit Agreement is secured by substantially all of the assets of NMIH, including the capital stock of NMIC and Re One. Due to restrictions on dividend payments (and other intercompany transfers) under the PMIERs, as well as various state laws, it is unlikely that NMIC will be able to make shareholder dividends to NMIH during the term, and thus we do not expect NMIC's capital will be available to NMIH for loan repayment purposes. See “</w:t>
      </w:r>
      <w:r>
        <w:rPr>
          <w:rFonts w:ascii="Arial" w:cs="Arial" w:eastAsia="Arial" w:hAnsi="Arial"/>
          <w:sz w:val="17"/>
          <w:szCs w:val="17"/>
          <w:i w:val="1"/>
          <w:iCs w:val="1"/>
          <w:color w:val="auto"/>
        </w:rPr>
        <w:t>Our holding company structure and certain regulatory and other constraints could affect our ability to</w:t>
      </w:r>
      <w:r>
        <w:rPr>
          <w:rFonts w:ascii="Arial" w:cs="Arial" w:eastAsia="Arial" w:hAnsi="Arial"/>
          <w:sz w:val="17"/>
          <w:szCs w:val="17"/>
          <w:color w:val="auto"/>
        </w:rPr>
        <w:t xml:space="preserve"> </w:t>
      </w:r>
      <w:r>
        <w:rPr>
          <w:rFonts w:ascii="Arial" w:cs="Arial" w:eastAsia="Arial" w:hAnsi="Arial"/>
          <w:sz w:val="17"/>
          <w:szCs w:val="17"/>
          <w:i w:val="1"/>
          <w:iCs w:val="1"/>
          <w:color w:val="auto"/>
        </w:rPr>
        <w:t>satisfy our obligations and potentially require us to raise more capital,</w:t>
      </w:r>
      <w:r>
        <w:rPr>
          <w:rFonts w:ascii="Arial" w:cs="Arial" w:eastAsia="Arial" w:hAnsi="Arial"/>
          <w:sz w:val="17"/>
          <w:szCs w:val="17"/>
          <w:color w:val="auto"/>
        </w:rPr>
        <w:t>” below. If NMIH is unable 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extend or refinance the Term Loan and/or raise capital, it will not be able to repay the Term Loan at maturity, which could have a material adverse impact on our business, financial condition and results of operations.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could affect our ability to satisfy our obligations and potentially require us to raise more capital.</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NMIH serves as the holding company for our operating subsidiaries and does not have any significant operations of its own. NMIH's principal source of operating cash is investment income, and could include future dividends from NMIC, if available and permitted under law or by state insurance regulators or the GSEs. </w:t>
      </w:r>
      <w:r>
        <w:rPr>
          <w:rFonts w:ascii="Arial" w:cs="Arial" w:eastAsia="Arial" w:hAnsi="Arial"/>
          <w:sz w:val="18"/>
          <w:szCs w:val="18"/>
          <w:color w:val="333333"/>
        </w:rPr>
        <w:t xml:space="preserve">In addition, NMIH currently receives cash from our insurance subsidiaries, consisting of payments made under our tax and expense-sharing arrangements. </w:t>
      </w:r>
      <w:r>
        <w:rPr>
          <w:rFonts w:ascii="Arial" w:cs="Arial" w:eastAsia="Arial" w:hAnsi="Arial"/>
          <w:sz w:val="18"/>
          <w:szCs w:val="18"/>
          <w:color w:val="000000"/>
        </w:rPr>
        <w:t>NMIH depends on these sources of liquidity to make principal and interest payments under the Credit Agreement and to pay certain</w:t>
      </w:r>
      <w:r>
        <w:rPr>
          <w:rFonts w:ascii="Arial" w:cs="Arial" w:eastAsia="Arial" w:hAnsi="Arial"/>
          <w:sz w:val="18"/>
          <w:szCs w:val="18"/>
          <w:color w:val="333333"/>
        </w:rPr>
        <w:t xml:space="preserve"> </w:t>
      </w:r>
      <w:r>
        <w:rPr>
          <w:rFonts w:ascii="Arial" w:cs="Arial" w:eastAsia="Arial" w:hAnsi="Arial"/>
          <w:sz w:val="18"/>
          <w:szCs w:val="18"/>
          <w:color w:val="000000"/>
        </w:rPr>
        <w:t xml:space="preserve">corporate expenses and income taxes, among other things. </w:t>
      </w:r>
      <w:r>
        <w:rPr>
          <w:rFonts w:ascii="Arial" w:cs="Arial" w:eastAsia="Arial" w:hAnsi="Arial"/>
          <w:sz w:val="18"/>
          <w:szCs w:val="18"/>
          <w:color w:val="333333"/>
        </w:rPr>
        <w:t>If payments to NMIH were curtailed or limited, there is a risk that NMIH would be unable to</w:t>
      </w:r>
      <w:r>
        <w:rPr>
          <w:rFonts w:ascii="Arial" w:cs="Arial" w:eastAsia="Arial" w:hAnsi="Arial"/>
          <w:sz w:val="18"/>
          <w:szCs w:val="18"/>
          <w:color w:val="000000"/>
        </w:rPr>
        <w:t xml:space="preserve"> </w:t>
      </w:r>
      <w:r>
        <w:rPr>
          <w:rFonts w:ascii="Arial" w:cs="Arial" w:eastAsia="Arial" w:hAnsi="Arial"/>
          <w:sz w:val="18"/>
          <w:szCs w:val="18"/>
          <w:color w:val="333333"/>
        </w:rPr>
        <w:t>satisfy its financial obligations.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is a monoline insurance company restricted to writing residential MI business only, and Re One solely provides reinsurance to NMIC for purposes of compliance with statutory coverage limits. The expense-sharing arrangements between us and our subsidiaries, as amended, have been approved by the Wisconsin OCI, but such approval may be revoked at any time.</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dividend income is limited to upstream dividend payments from our subsidiaries, which dividends are restricted by Wisconsin law. In general, dividends in excess of prescribed limits are deemed "extraordinary" and require approval of the Wisconsin OCI. Further, it is possible that Wisconsin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As a result of these dividend limitations, we do not expect to receive dividend income from our subsidiaries for several years, if at all.</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support NMIC's future growth, we could be required to provide additional capital support for NMIC and Re One if additional capital is required pursuant to insurance laws and regulations or by the GSEs. If we were unable to meet our obligations, our insurance subsidiaries could lose GSE approval and/or be required to cease writing business in one or more states, which would adversely impact our business, financial condition and results of operations.</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that the funds generated from investment income or by our ongoing operations and capitalization are insufficient to fund future operating requirements, we may need to raise additional funds through future financing activities,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expect to continue to seek reinsurance as the primary means of reducing our net RIF to support our future NIW growth. We may choose to generate additional liquidity through the issuance of additional debt, equity or a combination of both.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existing, and any future, variable rate indebtedness subjects us to interest rate risk, which could cause our annual debt service obligations to increase significantly.</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indebtedness under the Credit Agreement is,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current credit ratings may adversely affect our ability to access capital and the cost of such capital, which could have a material adverse effect on our business, financial condition and results of operations.</w:t>
      </w:r>
    </w:p>
    <w:p>
      <w:pPr>
        <w:spacing w:after="0" w:line="116" w:lineRule="exact"/>
        <w:rPr>
          <w:sz w:val="20"/>
          <w:szCs w:val="20"/>
          <w:color w:val="auto"/>
        </w:rPr>
      </w:pPr>
    </w:p>
    <w:p>
      <w:pPr>
        <w:jc w:val="both"/>
        <w:ind w:firstLine="680"/>
        <w:spacing w:after="0" w:line="261" w:lineRule="auto"/>
        <w:rPr>
          <w:sz w:val="20"/>
          <w:szCs w:val="20"/>
          <w:color w:val="auto"/>
        </w:rPr>
      </w:pPr>
      <w:r>
        <w:rPr>
          <w:rFonts w:ascii="Arial" w:cs="Arial" w:eastAsia="Arial" w:hAnsi="Arial"/>
          <w:sz w:val="18"/>
          <w:szCs w:val="18"/>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and adversely affect the cost, increasing our liquidity needs. An inability to access reinsurance, capital and credit markets when needed in order to continue to grow our business, refinance our existing debt or raise new debt or equity could have a material adverse effect on our business, financial condition, results of operations and liquidity.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incur substantial additional debt in the future. Although our Credit Agreement limits our ability and the ability of certain of our subsidiaries to incur additional debt, these restrictions are subject to a number of qualifications and exceptions, and, under certain circumstances, debt incurred in compliance with these restrictions could be substantial. In addition, the Credit Agreement does not prevent us from incurring certain obligations that do not constitute “indebtedness” as defined therein. To the extent that we incur additional debt or such other obligations, the risks associated with our Credit Agreement described above, including our possible inability to service our debt or other obligations, would increase.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do not anticipate paying any dividends on our common stock in the near future, and payment of any declared dividends may be delayed.</w:t>
      </w:r>
    </w:p>
    <w:p>
      <w:pPr>
        <w:spacing w:after="0" w:line="1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required to obtain prior approval from the GSEs for the payment of any dividend by NMIC, and we will have to obtain permission from our state of domicile regulator, the Wisconsin OCI or any successor domestic regulator, for the payment of any extraordinary dividend. Without the payment of dividends from NMIC to us, it may be difficult for us to pay dividends to stockholders.</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not declared or paid dividends in the past, and we do not expect to pay dividends in the near future. We currently intend to retain all of our earnings, if any, to fund our growth. As a result, only appreciation in the price of our common stock, which may not continue to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will restrict our ability to declare or pay cash dividends on our common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2016, we had 59,145,161 shares of our common stock issued and outstanding. Of the outstanding shares of our common stock, the shares held by a person (or persons whose shares are aggregated) who is not deemed to be an affiliate of ours at any time during the three months preceding a sale, and who has beneficially owned restricted securities within the meaning of Rule 144 of the Securities Act may be eligible for resale in the public market under Rule 144 under the Securities Act subject to applicable restrictions under Rule 144.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filed registration statements on Form S-8 under the Securities Act to register an aggregate of 5.5 million shares of our common stock for issuance under our 2012 Stock Incentive Plan and an aggregate of 4 million shares of our common stock for issuance under our 2014 Omnibus Incentive Plan. Any shares issued in connection with acquisitions, the exercise of stock options or otherwise would dilute the percentage ownership held by investors who purchase our shares.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depress our share price and might dilute the book value of our common stock and reduce your influence over matters on which stockholders vote.</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the authority, without action or vote of our stockholders, to issue all or any part of our authorized but unissued shares of common stock, including shares that may be issued to satisfy our obligations under our incentive plans, and securities and instruments that are convertible into our common stock. Although we are currently in compliance with state regulatory capital and PMIERs financial requirements, there can be no assurance we would not seek to raise additional equity capital to manage our capital position under PMIERs, state insurance law, to grow our book of business and for other purposes, including to pay off our Term Loan.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common stock upon our liquidation, may adversely affect the market value of our common stock.</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in the event of our liquidation, holders of our debt securities and preferred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stock and lenders with respect to our Credit Agreement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cause the value of an investment in our common stock to decline.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U.S. housing and housing finance policy, including changes to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indebtedness we may incur in the future;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treatment as an EGC under the federal securities laws.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or operating results.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benefit of our net operating loss carryforwards could be substantially limited if we experience an ownership change as defined in Section 382 of the Internal Revenue Code (Section 382).</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December 31, 2016, we had approximately $121.1 million of federal net operating loss carryforwards (NOLs) that we can use in certain circumstances to offset future taxable income and thus reduce our federal income tax liability. Our ability to fully utilize our existing NOLs could be limited or eliminated in various ways, including (i) if we experience an "ownership change" within the meaning of Section 382; (ii) due to changes in federal laws and regulations that could negatively impact our ability to recognize benefits from our NOLs; or (iii) should we not attain sufficient profitability prior to the expiration of the NOLs. There can be no assurance that we will have sufficient taxable income to be able to fully utilize our NOLs prior to their expiration.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648"/>
        <w:spacing w:after="0" w:line="291" w:lineRule="auto"/>
        <w:rPr>
          <w:sz w:val="20"/>
          <w:szCs w:val="20"/>
          <w:color w:val="auto"/>
        </w:rPr>
      </w:pPr>
      <w:r>
        <w:rPr>
          <w:rFonts w:ascii="Arial" w:cs="Arial" w:eastAsia="Arial" w:hAnsi="Arial"/>
          <w:sz w:val="16"/>
          <w:szCs w:val="16"/>
          <w:color w:val="auto"/>
        </w:rPr>
        <w:t>An "ownership change," under Section 382, is generally defined as greater than a 50% change in equity ownership by value over a rolling three-year period. These rules generally operate by focusing on changes in the ownership among shareholders owning, directly or indirectly, 5% or more of a company's common stock (including changes involving a shareholder becoming a 5% shareholder) or any change in ownership arising from a new issuance of stock or share repurchases by the company. We could experience an "ownership change" in the future as a result of changes in our common stock ownership that may or may not be within our control. If an ownership change were to occur, Section 382 would impose an annual limit on the amount of NOLs we could use to reduce our taxable income. A number of complex rules apply in calculating this annual limit, which could be material and could significantly impair the value of our net deferred tax assets and, as a result, have a material negative impact on our consolidated financial statements.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are an EGC and the reduced disclosure requirements applicable to EGCs may make our common stock less attractive to investors.</w:t>
      </w:r>
    </w:p>
    <w:p>
      <w:pPr>
        <w:spacing w:after="0" w:line="1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EGC, we are relieved from certain significant requirements, including, among other things, the requirement to comply with certain provisions of Sarbanes-Oxley and the Dodd-Frank Act and certain provisions and reporting requirements of or under the Securities Act and the Exchange Act, which has the effect of reducing the amount of information that we are required to provide for the foreseeable future. For example, as an EGC, we are exempt from complying with Section 404(b) of Sarbanes-Oxley, which otherwise would have required our auditors to attest to and report on our internal control over financial reporting. These reduced disclosure requirements may make our common stock less attractive to investors. To the extent that other companies do not, or cannot, take advantage of the benefits under the JOBS Act, this distinction may make our common stock less attractive to investors.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could delay or prevent a change of control of us, which could adversely affect the price of shares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16"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provisions, alone or together, could delay hostile takeovers and changes of control of the Company or changes in our management.</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Delaware corporation, we are also subject to anti-takeover provisions of Delaware law. The Delaware General Corporation Law (the DGCL) provides that stockholders are not entitled the right to cumulate votes in the election of directors unless a corporation's certificate of incorporation provides otherwise. Our certificate of incorporation does not provide for cumulative voting in the election of directors.</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jc w:val="both"/>
        <w:ind w:right="20"/>
        <w:spacing w:after="0" w:line="264" w:lineRule="auto"/>
        <w:rPr>
          <w:sz w:val="20"/>
          <w:szCs w:val="20"/>
          <w:color w:val="auto"/>
        </w:rPr>
      </w:pPr>
      <w:r>
        <w:rPr>
          <w:rFonts w:ascii="Arial" w:cs="Arial" w:eastAsia="Arial" w:hAnsi="Arial"/>
          <w:sz w:val="18"/>
          <w:szCs w:val="18"/>
          <w:color w:val="auto"/>
        </w:rPr>
        <w:t>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Wisconsin's insurance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the voting securities. In addition, the insurance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lease approximately 47,000 square feet of fully furnished office space in Emeryville, California pursuant to an office facility lease that we initially entered into in 2012 (as amended, the Lease). The term of the Lease extends through March 2023. We do not own or lease any other facilities.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listed on the NASDAQ under the symbol "NMIH." At February 14, 2017, there were 59,145,161 shares of our Class A common stock outstanding and approximately 25 holders of record. There are no shares of our Class B common stock outstanding. The closing price of our common stock on NASDAQ on February 14, 2017 was $11.50.</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high and low sales prices of our common stock on the NASDAQ for the financial quarters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9"/>
              </w:rPr>
              <w:t>2016</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9"/>
              </w:rPr>
              <w:t>2015</w:t>
            </w:r>
          </w:p>
        </w:tc>
        <w:tc>
          <w:tcPr>
            <w:tcW w:w="12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7.39</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6.77</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dividends on our common stock have previously been declared or paid, and we do not expect to declare or pay dividends in the near future. For information on our ability to pay dividends, see Item 7, "</w:t>
      </w:r>
      <w:r>
        <w:rPr>
          <w:rFonts w:ascii="Arial" w:cs="Arial" w:eastAsia="Arial" w:hAnsi="Arial"/>
          <w:sz w:val="18"/>
          <w:szCs w:val="18"/>
          <w:i w:val="1"/>
          <w:iCs w:val="1"/>
          <w:color w:val="auto"/>
        </w:rPr>
        <w:t>Management's Discussion and Analysis of Financial Condition and Results of Operations - Holding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Liquidity and Capital Resources</w:t>
      </w:r>
      <w:r>
        <w:rPr>
          <w:rFonts w:ascii="Arial" w:cs="Arial" w:eastAsia="Arial" w:hAnsi="Arial"/>
          <w:sz w:val="18"/>
          <w:szCs w:val="18"/>
          <w:color w:val="auto"/>
        </w:rPr>
        <w:t>" and Item 8, "</w:t>
      </w:r>
      <w:r>
        <w:rPr>
          <w:rFonts w:ascii="Arial" w:cs="Arial" w:eastAsia="Arial" w:hAnsi="Arial"/>
          <w:sz w:val="18"/>
          <w:szCs w:val="18"/>
          <w:i w:val="1"/>
          <w:iCs w:val="1"/>
          <w:color w:val="auto"/>
        </w:rPr>
        <w:t>Financial Statements and Supplementary Data - Notes to Consolidated Financial Statements, Note16, Regulatory Information - Dividend Restrictions.</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our common stock during 2016.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Class A common stock from December 31, 2013 until December 31, 2016, with the cumulative total stockholder return on the Russell 2000 Index and a mortgage insurance company index (Peer Index). The Peer Index consists of Essent, MGIC and Radian. Our Class A common stock began trading on the NASDAQ on November 8, 2013. The graph plots the changes in value of an initial $100 investment over the indicated time periods, assuming all dividends are reinvested quarterly.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95250</wp:posOffset>
            </wp:positionV>
            <wp:extent cx="5505450" cy="2504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545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ind w:left="3680"/>
        <w:spacing w:after="0"/>
        <w:tabs>
          <w:tab w:leader="none" w:pos="4980" w:val="left"/>
          <w:tab w:leader="none" w:pos="6380" w:val="left"/>
          <w:tab w:leader="none" w:pos="7760" w:val="left"/>
          <w:tab w:leader="none" w:pos="9120" w:val="left"/>
          <w:tab w:leader="none" w:pos="10440" w:val="left"/>
        </w:tabs>
        <w:rPr>
          <w:sz w:val="20"/>
          <w:szCs w:val="20"/>
          <w:color w:val="auto"/>
        </w:rPr>
      </w:pPr>
      <w:r>
        <w:rPr>
          <w:rFonts w:ascii="Arial" w:cs="Arial" w:eastAsia="Arial" w:hAnsi="Arial"/>
          <w:sz w:val="14"/>
          <w:szCs w:val="14"/>
          <w:b w:val="1"/>
          <w:bCs w:val="1"/>
          <w:color w:val="auto"/>
        </w:rPr>
        <w:t>11/8/2013</w:t>
      </w:r>
      <w:r>
        <w:rPr>
          <w:sz w:val="20"/>
          <w:szCs w:val="20"/>
          <w:color w:val="auto"/>
        </w:rPr>
        <w:tab/>
      </w:r>
      <w:r>
        <w:rPr>
          <w:rFonts w:ascii="Arial" w:cs="Arial" w:eastAsia="Arial" w:hAnsi="Arial"/>
          <w:sz w:val="14"/>
          <w:szCs w:val="14"/>
          <w:b w:val="1"/>
          <w:bCs w:val="1"/>
          <w:color w:val="auto"/>
        </w:rPr>
        <w:t>12/31/2013</w:t>
      </w:r>
      <w:r>
        <w:rPr>
          <w:sz w:val="20"/>
          <w:szCs w:val="20"/>
          <w:color w:val="auto"/>
        </w:rPr>
        <w:tab/>
      </w:r>
      <w:r>
        <w:rPr>
          <w:rFonts w:ascii="Arial" w:cs="Arial" w:eastAsia="Arial" w:hAnsi="Arial"/>
          <w:sz w:val="14"/>
          <w:szCs w:val="14"/>
          <w:b w:val="1"/>
          <w:bCs w:val="1"/>
          <w:color w:val="auto"/>
        </w:rPr>
        <w:t>3/31/2014</w:t>
      </w:r>
      <w:r>
        <w:rPr>
          <w:sz w:val="20"/>
          <w:szCs w:val="20"/>
          <w:color w:val="auto"/>
        </w:rPr>
        <w:tab/>
      </w:r>
      <w:r>
        <w:rPr>
          <w:rFonts w:ascii="Arial" w:cs="Arial" w:eastAsia="Arial" w:hAnsi="Arial"/>
          <w:sz w:val="14"/>
          <w:szCs w:val="14"/>
          <w:b w:val="1"/>
          <w:bCs w:val="1"/>
          <w:color w:val="auto"/>
        </w:rPr>
        <w:t>6/30/2014</w:t>
      </w:r>
      <w:r>
        <w:rPr>
          <w:sz w:val="20"/>
          <w:szCs w:val="20"/>
          <w:color w:val="auto"/>
        </w:rPr>
        <w:tab/>
      </w:r>
      <w:r>
        <w:rPr>
          <w:rFonts w:ascii="Arial" w:cs="Arial" w:eastAsia="Arial" w:hAnsi="Arial"/>
          <w:sz w:val="14"/>
          <w:szCs w:val="14"/>
          <w:b w:val="1"/>
          <w:bCs w:val="1"/>
          <w:color w:val="auto"/>
        </w:rPr>
        <w:t>9/30/2014</w:t>
      </w:r>
      <w:r>
        <w:rPr>
          <w:sz w:val="20"/>
          <w:szCs w:val="20"/>
          <w:color w:val="auto"/>
        </w:rPr>
        <w:tab/>
      </w:r>
      <w:r>
        <w:rPr>
          <w:rFonts w:ascii="Arial" w:cs="Arial" w:eastAsia="Arial" w:hAnsi="Arial"/>
          <w:sz w:val="13"/>
          <w:szCs w:val="13"/>
          <w:b w:val="1"/>
          <w:bCs w:val="1"/>
          <w:color w:val="auto"/>
        </w:rPr>
        <w:t>12/30/2014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13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Peer Group Index (ESNT, MTG, RDN)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615"/>
        </w:trPr>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3/31/2015</w:t>
            </w: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6/30/2015</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9/30/2015</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12/31/2015</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3/31/2016</w:t>
            </w:r>
          </w:p>
        </w:tc>
        <w:tc>
          <w:tcPr>
            <w:tcW w:w="1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6/30/2016</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9/30/2016</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12/31/2016</w:t>
            </w:r>
          </w:p>
        </w:tc>
      </w:tr>
      <w:tr>
        <w:trPr>
          <w:trHeight w:val="283"/>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5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 Index (ESNT, MTG, RDN)</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3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the following table should be read in conjunction with the information included in Item 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3"/>
        </w:trPr>
        <w:tc>
          <w:tcPr>
            <w:tcW w:w="3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45"/>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2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for share data and ratios)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3540" w:type="dxa"/>
            <w:vAlign w:val="bottom"/>
          </w:tcPr>
          <w:p>
            <w:pPr>
              <w:ind w:left="28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134,692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114,210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34,029</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3,541</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110,481</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45,506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13,407</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2,095</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13,751</w:t>
            </w:r>
          </w:p>
        </w:tc>
        <w:tc>
          <w:tcPr>
            <w:tcW w:w="4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7,246</w:t>
            </w:r>
          </w:p>
        </w:tc>
        <w:tc>
          <w:tcPr>
            <w:tcW w:w="40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5,618</w:t>
            </w:r>
          </w:p>
        </w:tc>
        <w:tc>
          <w:tcPr>
            <w:tcW w:w="5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4,808</w:t>
            </w:r>
          </w:p>
        </w:tc>
        <w:tc>
          <w:tcPr>
            <w:tcW w:w="4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(693)</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831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123,815</w:t>
            </w:r>
          </w:p>
        </w:tc>
        <w:tc>
          <w:tcPr>
            <w:tcW w:w="4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53,608</w:t>
            </w:r>
          </w:p>
        </w:tc>
        <w:tc>
          <w:tcPr>
            <w:tcW w:w="40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19,222</w:t>
            </w:r>
          </w:p>
        </w:tc>
        <w:tc>
          <w:tcPr>
            <w:tcW w:w="5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7,089</w:t>
            </w:r>
          </w:p>
        </w:tc>
        <w:tc>
          <w:tcPr>
            <w:tcW w:w="4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&amp; claims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2,392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650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93,223</w:t>
            </w:r>
          </w:p>
        </w:tc>
        <w:tc>
          <w:tcPr>
            <w:tcW w:w="4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80,599</w:t>
            </w:r>
          </w:p>
        </w:tc>
        <w:tc>
          <w:tcPr>
            <w:tcW w:w="40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73,417</w:t>
            </w:r>
          </w:p>
        </w:tc>
        <w:tc>
          <w:tcPr>
            <w:tcW w:w="5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60,774</w:t>
            </w:r>
          </w:p>
        </w:tc>
        <w:tc>
          <w:tcPr>
            <w:tcW w:w="4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27,775</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65,841</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(27,793)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(48,906)</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(55,184)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1.11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(0.47)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(0.84)</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5"/>
              </w:rPr>
              <w:t>59,070,948</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58,683,194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58,281,425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56,005,326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37,909,936</w:t>
            </w:r>
          </w:p>
        </w:tc>
      </w:tr>
      <w:tr>
        <w:trPr>
          <w:trHeight w:val="39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r>
      <w:tr>
        <w:trPr>
          <w:trHeight w:val="25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40" w:type="dxa"/>
            <w:vAlign w:val="bottom"/>
            <w:gridSpan w:val="5"/>
          </w:tcPr>
          <w:p>
            <w:pPr>
              <w:jc w:val="right"/>
              <w:ind w:right="771"/>
              <w:spacing w:after="0"/>
              <w:rPr>
                <w:sz w:val="20"/>
                <w:szCs w:val="20"/>
                <w:color w:val="auto"/>
              </w:rPr>
            </w:pPr>
            <w:r>
              <w:rPr>
                <w:rFonts w:ascii="Arial" w:cs="Arial" w:eastAsia="Arial" w:hAnsi="Arial"/>
                <w:sz w:val="14"/>
                <w:szCs w:val="14"/>
                <w:i w:val="1"/>
                <w:iCs w:val="1"/>
                <w:color w:val="auto"/>
              </w:rPr>
              <w:t>(In Thousands, except for share data and ratios)</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628,969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559,235</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336,501</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409,088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4,864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47,746</w:t>
            </w:r>
          </w:p>
        </w:tc>
        <w:tc>
          <w:tcPr>
            <w:tcW w:w="4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57,317</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103,021</w:t>
            </w:r>
          </w:p>
        </w:tc>
        <w:tc>
          <w:tcPr>
            <w:tcW w:w="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55,929</w:t>
            </w:r>
          </w:p>
        </w:tc>
        <w:tc>
          <w:tcPr>
            <w:tcW w:w="4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485,855</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841,737</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662,451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463,265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481,219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542,768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144,353</w:t>
            </w:r>
          </w:p>
        </w:tc>
        <w:tc>
          <w:tcPr>
            <w:tcW w:w="4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143,939</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152,906</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90,773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22,069</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1,446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w w:val="94"/>
              </w:rPr>
              <w:t>Reserve for insurance claims and claims expenses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3,001</w:t>
            </w:r>
          </w:p>
        </w:tc>
        <w:tc>
          <w:tcPr>
            <w:tcW w:w="4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477,349</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402,731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426,958</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463,217</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488,748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Book value per share</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6.85</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7.31</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7.98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8.81</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Selected ratios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8"/>
                <w:szCs w:val="18"/>
                <w:color w:val="auto"/>
              </w:rPr>
              <w:t>2%</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8"/>
                <w:szCs w:val="18"/>
                <w:color w:val="auto"/>
              </w:rPr>
              <w:t>87%</w:t>
            </w: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2,900%</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Risk-to-capital ratio</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0.7:1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primary insurance written</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21,189,392</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12,424,156</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3,451,354</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162,172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New primary risk written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5,085,562</w:t>
            </w:r>
          </w:p>
        </w:tc>
        <w:tc>
          <w:tcPr>
            <w:tcW w:w="4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2,932,035</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775,575</w:t>
            </w:r>
          </w:p>
        </w:tc>
        <w:tc>
          <w:tcPr>
            <w:tcW w:w="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36,516</w:t>
            </w:r>
          </w:p>
        </w:tc>
        <w:tc>
          <w:tcPr>
            <w:tcW w:w="4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pool risk written</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93,090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Direct primary insurance in force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32,167,539</w:t>
            </w:r>
          </w:p>
        </w:tc>
        <w:tc>
          <w:tcPr>
            <w:tcW w:w="4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14,823,926</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3,369,664</w:t>
            </w:r>
          </w:p>
        </w:tc>
        <w:tc>
          <w:tcPr>
            <w:tcW w:w="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161,731</w:t>
            </w:r>
          </w:p>
        </w:tc>
        <w:tc>
          <w:tcPr>
            <w:tcW w:w="4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primary risk in force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7,790,060</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3,586,462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801,561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36,516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Direct pool risk in force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93,090</w:t>
            </w:r>
          </w:p>
        </w:tc>
        <w:tc>
          <w:tcPr>
            <w:tcW w:w="4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93,090</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93,090</w:t>
            </w:r>
          </w:p>
        </w:tc>
        <w:tc>
          <w:tcPr>
            <w:tcW w:w="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93,090</w:t>
            </w:r>
          </w:p>
        </w:tc>
        <w:tc>
          <w:tcPr>
            <w:tcW w:w="4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797"/>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913"/>
              <w:spacing w:after="0"/>
              <w:rPr>
                <w:sz w:val="20"/>
                <w:szCs w:val="20"/>
                <w:color w:val="auto"/>
              </w:rPr>
            </w:pPr>
            <w:r>
              <w:rPr>
                <w:rFonts w:ascii="Arial" w:cs="Arial" w:eastAsia="Arial" w:hAnsi="Arial"/>
                <w:sz w:val="18"/>
                <w:szCs w:val="18"/>
                <w:color w:val="auto"/>
                <w:w w:val="99"/>
              </w:rPr>
              <w:t>51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 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MI through our insurance subsidiaries. Our primary insurance subsidiary, NMIC, is a qualified MI provider on loans purchased by the GSEs and is licensed in all 50 states and D.C. to issue MI. Our reinsurance subsidiary, Re One, solely provides reinsurance to NMIC on certain loans insured by NMIC to meet state statutory coverage limits. Our subsidiary, NMIS, provides outsourced loan review services on a limited basis to mortgage loan originators. Our stock trades on the NASDAQ under the symbol "NMIH."</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a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six companies in the U.S. who offer MI. Our business strategy is to continue to expand our customer base and write insurance on high quality, low down payment residential mortgages in the U.S. We reported our first quarterly profit for the quarter ended June 30, 2016, and we reported income of $65.8 million for the year ended December 31, 2016.</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total IIF of $35.8 billion and total RIF of $7.9 billion as of December 31, 2016, compared to total IIF of $19.1 billion and total RIF of $3.7 billion as of December 31, 2015, and total IIF of $8.1 billion and total RIF of $894.7 million as of December 31, 2014. Of total IIF as of December 31, 2016, we had $32.2 billion of primary IIF and $3.6 billion of pool IIF, compared to $14.8 billion of primary IIF and $4.2 billion of pool IIF as of December 31, 2015 and $3.4 billion of primary IIF and $4.7 billion of pool IIF as of December 31, 2014. As of December 31, 2016, our primary RIF was $7.8 billion, compared to primary RIF of $3.6 billion and $801.6 million as of December 31, 2015 and December 31, 2014, respectively. Pool RIF was $93.1 million as of December 31, 2016, December 31, 2015, and December 31, 2014.</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discussed in Part I, Item 1, "</w:t>
      </w:r>
      <w:r>
        <w:rPr>
          <w:rFonts w:ascii="Arial" w:cs="Arial" w:eastAsia="Arial" w:hAnsi="Arial"/>
          <w:sz w:val="16"/>
          <w:szCs w:val="16"/>
          <w:i w:val="1"/>
          <w:iCs w:val="1"/>
          <w:color w:val="auto"/>
        </w:rPr>
        <w:t>Business - Customers</w:t>
      </w:r>
      <w:r>
        <w:rPr>
          <w:rFonts w:ascii="Arial" w:cs="Arial" w:eastAsia="Arial" w:hAnsi="Arial"/>
          <w:sz w:val="16"/>
          <w:szCs w:val="16"/>
          <w:color w:val="auto"/>
        </w:rPr>
        <w:t>," our sales and marketing strategy is focused on expanding relationships with existing customers and attracting new mortgage originator customers in the U.S. that fall into two primary categories, which we refer to as "National Accounts" and "Regional Accounts." In 2016, we continued to increase our customer base. We had 1,131 Master Policy holders as of December 31, 2016, compared to 964 Master Policy holders as of December 31, 2015 and 735 Master Policy holders as of December 31, 2014. Of those Master Policy holders, 56.4%, or 638, generated new insurance written (NIW) in 2016, compared to 500, or 51.9%, that generated NIW in 2015 and 277, or 37.7%, that generated NIW in 2014.</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Lenders in the combined residential mortgage market who control the MI decision are currently comprised of three groups:</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Top 10, primarily National Accounts, representing approximately 19% of the MI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Next 30, a combination of National and Regional Accounts, representing approximately 17% of the MI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1,500, primarily Regional Accounts, representing the remainder of the MI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jc w:val="both"/>
        <w:ind w:firstLine="648"/>
        <w:spacing w:after="0" w:line="279" w:lineRule="auto"/>
        <w:rPr>
          <w:sz w:val="20"/>
          <w:szCs w:val="20"/>
          <w:color w:val="auto"/>
        </w:rPr>
      </w:pPr>
      <w:r>
        <w:rPr>
          <w:rFonts w:ascii="Arial" w:cs="Arial" w:eastAsia="Arial" w:hAnsi="Arial"/>
          <w:sz w:val="17"/>
          <w:szCs w:val="17"/>
          <w:color w:val="auto"/>
        </w:rPr>
        <w:t>Since April 2013, we have increased our customer base significantly, and we expect to continue to acquire new customers. As of December 31, 2016, we had active customer relationships with 26 of the top 40 lenders and expect to develop additional active customer relationships. We believe our most significant growth opportunity is within the large and fragmented market of Regional Accounts, which includes some of the top correspondent lenders. In addition to adding new customers, we believe existing customers will begin to allocate more of their business to us for placement of our MI.</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Premiums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NMIC's primary insurance may be written on a flow basis, in which loans are insured in individual, loan-by-loan transactions, or on an aggregated basis, in which each loan in a portfolio of loans is individually insured in a single transaction. NMIC has also written pool insurance under an agreement with Fannie Mae, in which it insured a group of loans (or pool) in one transaction. NMIC's pool insurance has a stated aggregate loss limit and a deductible under which no losses are paid by NMIC until losses on the pool of loans exceed the deductible. See Part II, Item 8</w:t>
      </w:r>
      <w:r>
        <w:rPr>
          <w:rFonts w:ascii="Arial" w:cs="Arial" w:eastAsia="Arial" w:hAnsi="Arial"/>
          <w:sz w:val="16"/>
          <w:szCs w:val="16"/>
          <w:i w:val="1"/>
          <w:iCs w:val="1"/>
          <w:color w:val="auto"/>
        </w:rPr>
        <w:t>, "Financial Statements and Supplementary Data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 Notes to Consolidated Financial Statements - Note 7, Reserves for Insurance Claims and Claims Expenses," </w:t>
      </w:r>
      <w:r>
        <w:rPr>
          <w:rFonts w:ascii="Arial" w:cs="Arial" w:eastAsia="Arial" w:hAnsi="Arial"/>
          <w:sz w:val="16"/>
          <w:szCs w:val="16"/>
          <w:color w:val="auto"/>
        </w:rPr>
        <w:t>below.</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set premiums for an insured loan at the time the loan is insured, based on our filed rates and rating rules. We offer borrower-paid (BPMI) and lender-paid (LPMI) mortgage insurance options. Premium rates are based on the risk characteristics of each insured loan and the capital required to support particular products. Capital charges are governed primarily by the GSEs' private mortgage insurer eligibility requirements (PMIERs), as well as by regulatory and economic capital requirements. See "- </w:t>
      </w:r>
      <w:r>
        <w:rPr>
          <w:rFonts w:ascii="Arial" w:cs="Arial" w:eastAsia="Arial" w:hAnsi="Arial"/>
          <w:sz w:val="17"/>
          <w:szCs w:val="17"/>
          <w:i w:val="1"/>
          <w:iCs w:val="1"/>
          <w:color w:val="auto"/>
        </w:rPr>
        <w:t>GSE Oversight"</w:t>
      </w:r>
      <w:r>
        <w:rPr>
          <w:rFonts w:ascii="Arial" w:cs="Arial" w:eastAsia="Arial" w:hAnsi="Arial"/>
          <w:sz w:val="17"/>
          <w:szCs w:val="17"/>
          <w:color w:val="auto"/>
        </w:rPr>
        <w:t xml:space="preserve"> and </w:t>
      </w:r>
      <w:r>
        <w:rPr>
          <w:rFonts w:ascii="Arial" w:cs="Arial" w:eastAsia="Arial" w:hAnsi="Arial"/>
          <w:sz w:val="17"/>
          <w:szCs w:val="17"/>
          <w:i w:val="1"/>
          <w:iCs w:val="1"/>
          <w:color w:val="auto"/>
        </w:rPr>
        <w:t>"- Capital Position of Our Insurance Subsidiaries,"</w:t>
      </w:r>
      <w:r>
        <w:rPr>
          <w:rFonts w:ascii="Arial" w:cs="Arial" w:eastAsia="Arial" w:hAnsi="Arial"/>
          <w:sz w:val="17"/>
          <w:szCs w:val="17"/>
          <w:color w:val="auto"/>
        </w:rPr>
        <w:t xml:space="preserve"> below.</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monthly, single and annual premium payment plans. For monthly policies, premiums are collected and earned each month as coverage is provided. Policies written on a single premium basis are paid through a single, upfront payment, the majority of which is initially deferred as unearned premium and earned over the policy's expected life. Annual policies represent an insignificant amount of our NIW to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September 2016, we entered into the 2016 QSR Transaction, which will impact our results of operations while the agreement is in effect.</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terms of the agreement, premiums are ceded to reinsurers who assume a portion of the risk under the insurance policies we write. Our net premiums written and earned are net of ceded amounts, offset by a profit commission associated with the premiums ceded. The 2016 QSR Transaction protects us against a fixed percentage of losses arising from policies covered by the agreement, and reduces capital requirements imposed by state regulations and by the GSEs. Going forward, we expect reinsurance to continue to be a component of our capital structure.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reinsurance affects premiums, underwriting expenses and losses incurred. For the year ended December 31, 2016, our pre-tax net cost of reinsurance was approximately $2.8 million.</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cede a fixed percentage of premiums on insurance covered by the agreement.</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receive the benefit of a profit commission through a reduction in the premiums we cede. The profit commission varies directly and inversely with the level of losses on a dollar for dollar basis and is eliminated at levels of losses that we do not expect to occur. This means that lower levels of losses result in a higher profit commission and less benefit from ceded losses; higher levels of losses result in more benefit from ceded losses and a lower profit commission (or for levels of losses that are not currently contemplated, its elimination).</w:t>
      </w:r>
    </w:p>
    <w:p>
      <w:pPr>
        <w:spacing w:after="0" w:line="11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receive the benefit of a ceding commission equal to 20% of premiums ceded. The ceding commission is deferred and recognized as a reduction in underwriting expenses over the expected life of the risk associated with the reinsured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cede a fixed percentage of losses incurred on insurance covered by the agreement.</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effects described above result in an implied after-tax cost of capital of approximately 3-4%, so long as loss ratios remain below 60%. If the loss ratio exceeds 60%, we would expect our returns and after-tax cost of capital to be negatively impacted.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Data</w:t>
      </w:r>
    </w:p>
    <w:p>
      <w:pPr>
        <w:spacing w:after="0" w:line="17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tables below show primary and pool IIF, NIW and premiums written and earned. Single NIW and IIF include policies written on an aggregated and flow basis. Unless otherwise noted, the following tables do not include the effects of the 2016 QSR Transaction described above.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6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2"/>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and for the year ended</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3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NIW</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NIW</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50"/>
        </w:trPr>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Single</w:t>
            </w:r>
          </w:p>
        </w:tc>
        <w:tc>
          <w:tcPr>
            <w:tcW w:w="3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12,963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2,035</w:t>
            </w: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3,451</w:t>
            </w:r>
          </w:p>
        </w:tc>
      </w:tr>
      <w:tr>
        <w:trPr>
          <w:trHeight w:val="176"/>
        </w:trPr>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35,818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19,062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12,424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3,451</w:t>
            </w:r>
          </w:p>
        </w:tc>
      </w:tr>
      <w:tr>
        <w:trPr>
          <w:trHeight w:val="20"/>
        </w:trPr>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2016, primary NIW increased 71% over the year ended December 31, 2015 as a result of continued growth in our customer base and primary flow business. Primary NIW in 2015 increased 260% from the prior year as a result of an increase in customers with approved master policies as well as an increase in our primary flow business for the year ended December 31, 2015. For the year ended December 31, 2016, monthly premium NIW increased 138% over the year ended December 31, 2015 due to greater lender demand for our monthly premium MI products and the growth of our insurance business. Monthly NIW in 2015 increased 323% over the prior year as a result of new account activation and continued penetration of existing customer accounts.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center"/>
              <w:ind w:right="181"/>
              <w:spacing w:after="0"/>
              <w:rPr>
                <w:sz w:val="20"/>
                <w:szCs w:val="20"/>
                <w:color w:val="auto"/>
              </w:rPr>
            </w:pPr>
            <w:r>
              <w:rPr>
                <w:rFonts w:ascii="Arial" w:cs="Arial" w:eastAsia="Arial" w:hAnsi="Arial"/>
                <w:sz w:val="14"/>
                <w:szCs w:val="14"/>
                <w:i w:val="1"/>
                <w:iCs w:val="1"/>
                <w:color w:val="auto"/>
                <w:w w:val="93"/>
              </w:rPr>
              <w:t>(In Thousands)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6"/>
        </w:trPr>
        <w:tc>
          <w:tcPr>
            <w:tcW w:w="53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Net premiums written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134,692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114,210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34,029</w:t>
            </w:r>
          </w:p>
        </w:tc>
      </w:tr>
      <w:tr>
        <w:trPr>
          <w:trHeight w:val="341"/>
        </w:trPr>
        <w:tc>
          <w:tcPr>
            <w:tcW w:w="5380" w:type="dxa"/>
            <w:vAlign w:val="bottom"/>
          </w:tcPr>
          <w:p>
            <w:pPr>
              <w:ind w:left="40"/>
              <w:spacing w:after="0"/>
              <w:rPr>
                <w:sz w:val="20"/>
                <w:szCs w:val="20"/>
                <w:color w:val="auto"/>
              </w:rPr>
            </w:pPr>
            <w:r>
              <w:rPr>
                <w:rFonts w:ascii="Arial" w:cs="Arial" w:eastAsia="Arial" w:hAnsi="Arial"/>
                <w:sz w:val="18"/>
                <w:szCs w:val="18"/>
                <w:color w:val="auto"/>
              </w:rPr>
              <w:t xml:space="preserve">Net premiums earned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110,481</w:t>
            </w:r>
          </w:p>
        </w:tc>
        <w:tc>
          <w:tcPr>
            <w:tcW w:w="340" w:type="dxa"/>
            <w:vAlign w:val="bottom"/>
          </w:tcPr>
          <w:p>
            <w:pPr>
              <w:spacing w:after="0"/>
              <w:rPr>
                <w:sz w:val="24"/>
                <w:szCs w:val="24"/>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45,506</w:t>
            </w:r>
          </w:p>
        </w:tc>
        <w:tc>
          <w:tcPr>
            <w:tcW w:w="340" w:type="dxa"/>
            <w:vAlign w:val="bottom"/>
          </w:tcPr>
          <w:p>
            <w:pPr>
              <w:spacing w:after="0"/>
              <w:rPr>
                <w:sz w:val="24"/>
                <w:szCs w:val="24"/>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13,407</w:t>
            </w:r>
          </w:p>
        </w:tc>
      </w:tr>
    </w:tbl>
    <w:p>
      <w:pPr>
        <w:spacing w:after="0" w:line="80"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Premiums written and earned in 2016 are reported net of the 2016 QSR Transaction.</w:t>
      </w:r>
    </w:p>
    <w:p>
      <w:pPr>
        <w:spacing w:after="0" w:line="1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 ended December 31, 2016, we had net premiums written of $134.7 million and premiums earned of $110.5 million, compared to net premiums written of $114.2 million and premiums earned of $45.5 million for the year ended December 31, 2015, and net premiums written of $34.0 million and premiums earned of $13.4 million for the year ended December 31, 2014. Net premiums written for the year ended December 31, 2016 was affected by the 2016 QSR Transaction, in which we ceded approximately 25% of premiums written on existing policies as of August 31, 2016. The associated unearned premium reserve was also ceded. Pool premiums written and earned for the year ended December 31, 2016 were $4.4 million, compared to pool premiums written and earned of $4.9 million and $5.4 million for the years ended December 31, 2015 and December 31, 2014, respectively. Pool premiums written and earned decreased year-over-year during the periods presented as a result of the runoff of our pool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Premiums written and earned in a year are generally influenced by:</w:t>
      </w:r>
    </w:p>
    <w:p>
      <w:pPr>
        <w:spacing w:after="0" w:line="171" w:lineRule="exact"/>
        <w:rPr>
          <w:sz w:val="20"/>
          <w:szCs w:val="20"/>
          <w:color w:val="auto"/>
        </w:rPr>
      </w:pPr>
    </w:p>
    <w:p>
      <w:pPr>
        <w:jc w:val="both"/>
        <w:ind w:left="840" w:hanging="332"/>
        <w:spacing w:after="0" w:line="259"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NIW, which is the new IIF (aggregate principal amount of the mortgages) insured during a period. Many factors affect NIW, including the volume of low down payment home mortgage originations (which tend to be generated to a greater extent in purchase financings as compared to refinancings) and the competition to provide credit enhancement on those mortgages, which includes primarily competition from the FHA and other private mortgage insurers;</w:t>
      </w:r>
    </w:p>
    <w:p>
      <w:pPr>
        <w:spacing w:after="0" w:line="78"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mix of our book of business, which includes recurring monthly premiums earned for monthly policies and the recognition of premiums earned from the amortization of our single premiums over the policies' lives. We expect our product mix and the average premium rate we charge to be generally comparable with the industry as our business matures;</w:t>
      </w:r>
    </w:p>
    <w:p>
      <w:pPr>
        <w:spacing w:after="0" w:line="73"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cancellations, which reduce IIF. Upon cancellation of a policy, all premium that is non-refundable is immediately earned, and any refundable premium is returned to the policyholder. Cancellations due to refinancings are affected by the level of current mortgage interest rates compared to the mortgage rates on our IIF. Refinancings are also affected by current home values compared to values when the loans became insured and the terms on which mortgage credit is available. To a lesser extent, cancellations also result from claim payments, as we return any premium received from the servicer after the date the insured mortgage defaults. Finally, cancellations are affected by home price appreciation, which may give homeowners the right to cancel the MI on their loans. Based on current market conditions, we expect our MI policies to have a persistency rate of between 80% and 85%;</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19" w:right="239" w:bottom="1440" w:gutter="0" w:footer="0" w:header="0"/>
        </w:sectPr>
      </w:pPr>
    </w:p>
    <w:bookmarkStart w:id="54" w:name="page55"/>
    <w:bookmarkEnd w:id="54"/>
    <w:p>
      <w:pPr>
        <w:ind w:left="840" w:right="20" w:hanging="332"/>
        <w:spacing w:after="0" w:line="277"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premium rates, which are based on the risk characteristics of the loans insured, the percentage of coverage on the loans, competition from other mortgage insurers and general industry conditions; and</w:t>
      </w:r>
    </w:p>
    <w:p>
      <w:pPr>
        <w:spacing w:after="0" w:line="62"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premiums ceded under reinsurance agreements. In addition to the reinsurance agreements we currently have in place between NMIC and Re One, we entered into the 2016 QSR Transaction during the third quarter of 2016. Under the terms of the agreement, premiums are ceded to reinsurers who assume a portion of the risk under the insurance policies we write.</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industry, a "book" is a group of loans that an MI company insures in a particular period, normally a calendar year. In general, the majority of any underwriting profit (</w:t>
      </w:r>
      <w:r>
        <w:rPr>
          <w:rFonts w:ascii="Arial" w:cs="Arial" w:eastAsia="Arial" w:hAnsi="Arial"/>
          <w:sz w:val="18"/>
          <w:szCs w:val="18"/>
          <w:i w:val="1"/>
          <w:iCs w:val="1"/>
          <w:color w:val="auto"/>
        </w:rPr>
        <w:t>i.e.</w:t>
      </w:r>
      <w:r>
        <w:rPr>
          <w:rFonts w:ascii="Arial" w:cs="Arial" w:eastAsia="Arial" w:hAnsi="Arial"/>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w:t>
      </w:r>
      <w:r>
        <w:rPr>
          <w:rFonts w:ascii="Arial" w:cs="Arial" w:eastAsia="Arial" w:hAnsi="Arial"/>
          <w:sz w:val="18"/>
          <w:szCs w:val="18"/>
          <w:i w:val="1"/>
          <w:iCs w:val="1"/>
          <w:color w:val="auto"/>
        </w:rPr>
        <w:t>e.g.</w:t>
      </w:r>
      <w:r>
        <w:rPr>
          <w:rFonts w:ascii="Arial" w:cs="Arial" w:eastAsia="Arial" w:hAnsi="Arial"/>
          <w:sz w:val="18"/>
          <w:szCs w:val="18"/>
          <w:color w:val="auto"/>
        </w:rPr>
        <w:t>, BPMI or LPMI) and premium plan (</w:t>
      </w:r>
      <w:r>
        <w:rPr>
          <w:rFonts w:ascii="Arial" w:cs="Arial" w:eastAsia="Arial" w:hAnsi="Arial"/>
          <w:sz w:val="18"/>
          <w:szCs w:val="18"/>
          <w:i w:val="1"/>
          <w:iCs w:val="1"/>
          <w:color w:val="auto"/>
        </w:rPr>
        <w:t>e.g.</w:t>
      </w:r>
      <w:r>
        <w:rPr>
          <w:rFonts w:ascii="Arial" w:cs="Arial" w:eastAsia="Arial" w:hAnsi="Arial"/>
          <w:sz w:val="18"/>
          <w:szCs w:val="18"/>
          <w:color w:val="auto"/>
        </w:rPr>
        <w:t>, single or monthly) our customers select.</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premium rates for our products have changed substantially in response to the PMIERs financial requirements that became effective in January 2016. In 2016, based on these requirements, we introduced new rates for monthly premium policies, which historically have represented approximately 75% of industry NIW. To target a mid-teens return on PMIERs required assets across the risk spectrum, we generally increased rates on low FICO/high LTV loans and reduced rates on high FICO/low LTV loans. See, "</w:t>
      </w:r>
      <w:r>
        <w:rPr>
          <w:rFonts w:ascii="Arial" w:cs="Arial" w:eastAsia="Arial" w:hAnsi="Arial"/>
          <w:sz w:val="18"/>
          <w:szCs w:val="18"/>
          <w:i w:val="1"/>
          <w:iCs w:val="1"/>
          <w:color w:val="auto"/>
        </w:rPr>
        <w:t>- GSE Oversight,</w:t>
      </w:r>
      <w:r>
        <w:rPr>
          <w:rFonts w:ascii="Arial" w:cs="Arial" w:eastAsia="Arial" w:hAnsi="Arial"/>
          <w:sz w:val="18"/>
          <w:szCs w:val="18"/>
          <w:color w:val="auto"/>
        </w:rPr>
        <w:t>" below for a discussion of the PMIERs financial requirements. Most of the industry has since moved to similar rate cards for monthly premium policies.</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Single-premium LPMI, which historically has represented approximately 25% of industry NIW, has generally seen greater price competition. In 2016, in response to the required assets provisions of PMIERs, including the additional capital charges applied to LPMI products, we implemented new, higher LPMI single premium rates. Through 2015, single premium policies had comprised a majority of our NIW. In 2016, we saw a reduction in LPMI single NIW as a percentage of our mix compared to 2015. As a result, during 2016, our mix of MI products has shifted to a higher percentage of monthly premium policies. For the year ended December 31, 2016, 67% of our NIW consisted of monthly premium policies, and in the fourth quarter we reached a mix approximating the industry average, with 75% of our NIW comprised of monthly premium policies.</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persistency rate is the percentage of IIF that remains on our books after any 12-month period. Because our insurance premiums are earned over the life of a policy, changes in persistency rates can have a significant impact on our earnings. The persistency rate on our portfolio was 80.7% at December 31, 2016, compared to 79.6% at December 31, 2015. Persistency rates are sensitive to fluctuations in interest rates. Decreases in interest rates typically increase our portfolio's cancellation rate. When cancellations increase, we experience lower profitability and returns on our monthly premium business. Conversely, we experience higher returns on our single premium business because, rather than amortizing the single premium over the expected life of the policy, upon cancellation, we immediately recognize all unamortized single premium as earned.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portfolio trends, by quarter, for the last five quarters.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5"/>
          </w:tcPr>
          <w:p>
            <w:pPr>
              <w:jc w:val="right"/>
              <w:ind w:right="1051"/>
              <w:spacing w:after="0"/>
              <w:rPr>
                <w:sz w:val="20"/>
                <w:szCs w:val="20"/>
                <w:color w:val="auto"/>
              </w:rPr>
            </w:pPr>
            <w:r>
              <w:rPr>
                <w:rFonts w:ascii="Arial" w:cs="Arial" w:eastAsia="Arial" w:hAnsi="Arial"/>
                <w:sz w:val="14"/>
                <w:szCs w:val="14"/>
                <w:b w:val="1"/>
                <w:bCs w:val="1"/>
                <w:color w:val="auto"/>
              </w:rPr>
              <w:t>As of and for the quarter ended</w:t>
            </w: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4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6"/>
              </w:rPr>
              <w:t>December 31, 2016</w:t>
            </w:r>
          </w:p>
        </w:tc>
        <w:tc>
          <w:tcPr>
            <w:tcW w:w="144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w w:val="99"/>
              </w:rPr>
              <w:t>September 30, 2016</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4"/>
              </w:rPr>
              <w:t>June 30, 2016</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March 31, 2016</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i w:val="1"/>
                <w:iCs w:val="1"/>
                <w:color w:val="auto"/>
              </w:rPr>
              <w:t>($ Values In Millions)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5,240</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5,857</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4,254</w:t>
            </w:r>
          </w:p>
        </w:tc>
        <w:tc>
          <w:tcPr>
            <w:tcW w:w="4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4,547</w:t>
            </w: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32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1,244</w:t>
            </w:r>
          </w:p>
        </w:tc>
        <w:tc>
          <w:tcPr>
            <w:tcW w:w="40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1,415</w:t>
            </w: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1,411</w:t>
            </w:r>
          </w:p>
        </w:tc>
        <w:tc>
          <w:tcPr>
            <w:tcW w:w="20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1,105</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32,168</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28,228</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23,624</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18,564</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14,824</w:t>
            </w:r>
          </w:p>
        </w:tc>
      </w:tr>
      <w:tr>
        <w:trPr>
          <w:trHeight w:val="270"/>
        </w:trPr>
        <w:tc>
          <w:tcPr>
            <w:tcW w:w="44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7,790</w:t>
            </w:r>
          </w:p>
        </w:tc>
        <w:tc>
          <w:tcPr>
            <w:tcW w:w="400" w:type="dxa"/>
            <w:vAlign w:val="bottom"/>
          </w:tcPr>
          <w:p>
            <w:pPr>
              <w:spacing w:after="0"/>
              <w:rPr>
                <w:sz w:val="23"/>
                <w:szCs w:val="23"/>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6,847</w:t>
            </w:r>
          </w:p>
        </w:tc>
        <w:tc>
          <w:tcPr>
            <w:tcW w:w="240" w:type="dxa"/>
            <w:vAlign w:val="bottom"/>
          </w:tcPr>
          <w:p>
            <w:pPr>
              <w:spacing w:after="0"/>
              <w:rPr>
                <w:sz w:val="23"/>
                <w:szCs w:val="23"/>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5,721</w:t>
            </w:r>
          </w:p>
        </w:tc>
        <w:tc>
          <w:tcPr>
            <w:tcW w:w="200" w:type="dxa"/>
            <w:vAlign w:val="bottom"/>
          </w:tcPr>
          <w:p>
            <w:pPr>
              <w:spacing w:after="0"/>
              <w:rPr>
                <w:sz w:val="23"/>
                <w:szCs w:val="23"/>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4,487</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3,586</w:t>
            </w:r>
          </w:p>
        </w:tc>
      </w:tr>
      <w:tr>
        <w:trPr>
          <w:trHeight w:val="270"/>
        </w:trPr>
        <w:tc>
          <w:tcPr>
            <w:tcW w:w="44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134,662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119,002</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100,547</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79,700</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63,948</w:t>
            </w:r>
          </w:p>
        </w:tc>
      </w:tr>
      <w:tr>
        <w:trPr>
          <w:trHeight w:val="270"/>
        </w:trPr>
        <w:tc>
          <w:tcPr>
            <w:tcW w:w="44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Weighted-average coverage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in default (count)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Percentage of loans in default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Risk in force on defaulted loans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70"/>
        </w:trPr>
        <w:tc>
          <w:tcPr>
            <w:tcW w:w="44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0.44%</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0"/>
        </w:trPr>
        <w:tc>
          <w:tcPr>
            <w:tcW w:w="44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bl>
    <w:p>
      <w:pPr>
        <w:spacing w:after="0" w:line="143" w:lineRule="exact"/>
        <w:rPr>
          <w:sz w:val="20"/>
          <w:szCs w:val="20"/>
          <w:color w:val="auto"/>
        </w:rPr>
      </w:pPr>
    </w:p>
    <w:p>
      <w:pPr>
        <w:ind w:left="820" w:hanging="488"/>
        <w:spacing w:after="0"/>
        <w:tabs>
          <w:tab w:leader="none" w:pos="820" w:val="left"/>
        </w:tabs>
        <w:numPr>
          <w:ilvl w:val="0"/>
          <w:numId w:val="30"/>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30"/>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30"/>
        </w:numPr>
        <w:rPr>
          <w:rFonts w:ascii="Arial" w:cs="Arial" w:eastAsia="Arial" w:hAnsi="Arial"/>
          <w:sz w:val="9"/>
          <w:szCs w:val="9"/>
          <w:color w:val="auto"/>
        </w:rPr>
      </w:pPr>
      <w:r>
        <w:rPr>
          <w:rFonts w:ascii="Arial" w:cs="Arial" w:eastAsia="Arial" w:hAnsi="Arial"/>
          <w:sz w:val="14"/>
          <w:szCs w:val="14"/>
          <w:color w:val="auto"/>
        </w:rPr>
        <w:t>Average premium yield is calculated by dividing primary net premiums earned, net of reinsurance, by average gross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30"/>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portfolio trends, by year, for the last three years.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As of and for the year ended</w:t>
            </w: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4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center"/>
              <w:ind w:right="94"/>
              <w:spacing w:after="0"/>
              <w:rPr>
                <w:sz w:val="20"/>
                <w:szCs w:val="20"/>
                <w:color w:val="auto"/>
              </w:rPr>
            </w:pPr>
            <w:r>
              <w:rPr>
                <w:rFonts w:ascii="Arial" w:cs="Arial" w:eastAsia="Arial" w:hAnsi="Arial"/>
                <w:sz w:val="14"/>
                <w:szCs w:val="14"/>
                <w:i w:val="1"/>
                <w:iCs w:val="1"/>
                <w:color w:val="auto"/>
                <w:w w:val="96"/>
              </w:rPr>
              <w:t>($ Values In Millions)</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6"/>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12,424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3,451</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300" w:type="dxa"/>
            <w:vAlign w:val="bottom"/>
          </w:tcPr>
          <w:p>
            <w:pPr>
              <w:spacing w:after="0"/>
              <w:rPr>
                <w:sz w:val="21"/>
                <w:szCs w:val="21"/>
                <w:color w:val="auto"/>
              </w:rPr>
            </w:pP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5,086</w:t>
            </w:r>
          </w:p>
        </w:tc>
        <w:tc>
          <w:tcPr>
            <w:tcW w:w="220" w:type="dxa"/>
            <w:vAlign w:val="bottom"/>
          </w:tcPr>
          <w:p>
            <w:pPr>
              <w:spacing w:after="0"/>
              <w:rPr>
                <w:sz w:val="21"/>
                <w:szCs w:val="21"/>
                <w:color w:val="auto"/>
              </w:rPr>
            </w:pP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2,932</w:t>
            </w:r>
          </w:p>
        </w:tc>
        <w:tc>
          <w:tcPr>
            <w:tcW w:w="340" w:type="dxa"/>
            <w:vAlign w:val="bottom"/>
          </w:tcPr>
          <w:p>
            <w:pPr>
              <w:spacing w:after="0"/>
              <w:rPr>
                <w:sz w:val="21"/>
                <w:szCs w:val="21"/>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776</w:t>
            </w: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8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32,168</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14,824</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3,370</w:t>
            </w:r>
          </w:p>
        </w:tc>
      </w:tr>
      <w:tr>
        <w:trPr>
          <w:trHeight w:val="270"/>
        </w:trPr>
        <w:tc>
          <w:tcPr>
            <w:tcW w:w="48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7,790</w:t>
            </w:r>
          </w:p>
        </w:tc>
        <w:tc>
          <w:tcPr>
            <w:tcW w:w="220" w:type="dxa"/>
            <w:vAlign w:val="bottom"/>
          </w:tcPr>
          <w:p>
            <w:pPr>
              <w:spacing w:after="0"/>
              <w:rPr>
                <w:sz w:val="23"/>
                <w:szCs w:val="23"/>
                <w:color w:val="auto"/>
              </w:rPr>
            </w:pP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3,586</w:t>
            </w:r>
          </w:p>
        </w:tc>
        <w:tc>
          <w:tcPr>
            <w:tcW w:w="340" w:type="dxa"/>
            <w:vAlign w:val="bottom"/>
          </w:tcPr>
          <w:p>
            <w:pPr>
              <w:spacing w:after="0"/>
              <w:rPr>
                <w:sz w:val="23"/>
                <w:szCs w:val="23"/>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802</w:t>
            </w:r>
          </w:p>
        </w:tc>
      </w:tr>
      <w:tr>
        <w:trPr>
          <w:trHeight w:val="270"/>
        </w:trPr>
        <w:tc>
          <w:tcPr>
            <w:tcW w:w="48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134,662</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63,948</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14,603</w:t>
            </w:r>
          </w:p>
        </w:tc>
      </w:tr>
      <w:tr>
        <w:trPr>
          <w:trHeight w:val="270"/>
        </w:trPr>
        <w:tc>
          <w:tcPr>
            <w:tcW w:w="48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Weighted-average coverage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3"/>
                <w:szCs w:val="23"/>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50"/>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in default (count)</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Percentage of loans in default</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Risk in force on defaulted loans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r>
      <w:tr>
        <w:trPr>
          <w:trHeight w:val="270"/>
        </w:trPr>
        <w:tc>
          <w:tcPr>
            <w:tcW w:w="48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3"/>
                <w:szCs w:val="23"/>
                <w:color w:val="auto"/>
              </w:rPr>
            </w:pP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0"/>
        </w:trPr>
        <w:tc>
          <w:tcPr>
            <w:tcW w:w="48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79.6%</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r>
    </w:tbl>
    <w:p>
      <w:pPr>
        <w:spacing w:after="0" w:line="359" w:lineRule="exact"/>
        <w:rPr>
          <w:sz w:val="20"/>
          <w:szCs w:val="20"/>
          <w:color w:val="auto"/>
        </w:rPr>
      </w:pPr>
    </w:p>
    <w:p>
      <w:pPr>
        <w:ind w:left="820" w:hanging="488"/>
        <w:spacing w:after="0"/>
        <w:tabs>
          <w:tab w:leader="none" w:pos="820" w:val="left"/>
        </w:tabs>
        <w:numPr>
          <w:ilvl w:val="0"/>
          <w:numId w:val="31"/>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31"/>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31"/>
        </w:numPr>
        <w:rPr>
          <w:rFonts w:ascii="Arial" w:cs="Arial" w:eastAsia="Arial" w:hAnsi="Arial"/>
          <w:sz w:val="9"/>
          <w:szCs w:val="9"/>
          <w:color w:val="auto"/>
        </w:rPr>
      </w:pPr>
      <w:r>
        <w:rPr>
          <w:rFonts w:ascii="Arial" w:cs="Arial" w:eastAsia="Arial" w:hAnsi="Arial"/>
          <w:sz w:val="14"/>
          <w:szCs w:val="14"/>
          <w:color w:val="auto"/>
        </w:rPr>
        <w:t>Average premium yield is calculated by dividing primary net premiums earned, net of reinsurance, by average gross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31"/>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table below reflects a summary of the change in total primary IIF for the years ended December 31, 2016, 2015 and 2014.</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and for the 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December 31, 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NIW</w:t>
            </w: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12,424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3,451</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32,168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3,370</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 as of December 31, 2016, 2015 and 2014.</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4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2016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As of December 31, 2015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As of December 31, 2014</w:t>
            </w:r>
          </w:p>
        </w:tc>
      </w:tr>
      <w:tr>
        <w:trPr>
          <w:trHeight w:val="264"/>
        </w:trPr>
        <w:tc>
          <w:tcPr>
            <w:tcW w:w="2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RIF</w:t>
            </w:r>
          </w:p>
        </w:tc>
      </w:tr>
      <w:tr>
        <w:trPr>
          <w:trHeight w:val="250"/>
        </w:trPr>
        <w:tc>
          <w:tcPr>
            <w:tcW w:w="2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10,071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12,110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2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14,824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802</w:t>
            </w:r>
          </w:p>
        </w:tc>
      </w:tr>
      <w:tr>
        <w:trPr>
          <w:trHeight w:val="20"/>
        </w:trPr>
        <w:tc>
          <w:tcPr>
            <w:tcW w:w="2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 We monitor the concentrations of various risk attributes in our insurance portfolio. Generally, insuring loans made to borrowers with higher credit scores tends to result in a lower frequency of claims than with loans made to borrowers with lower credit scores.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tables below reflect our total primary NIW by FICO, LTV and purchase/refinance mix for the three years ended December 31, 2016. We calculate the LTV of a loan as the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740-759</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628</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700-719</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351</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&lt;=679</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3,451</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746"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92"/>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5,452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1,490</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665</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12,424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3,451</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81"/>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2,005</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1,446</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12,424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3,451</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show the primary weighted average FICO and weighted average LTV, by policy type, for NIW in the years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Weighted Average FICO</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22"/>
                <w:szCs w:val="22"/>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22"/>
                <w:szCs w:val="22"/>
                <w:color w:val="auto"/>
              </w:rPr>
            </w:pPr>
          </w:p>
        </w:tc>
        <w:tc>
          <w:tcPr>
            <w:tcW w:w="17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w w:val="86"/>
              </w:rPr>
              <w:t>745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Single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820" w:type="dxa"/>
            <w:vAlign w:val="bottom"/>
            <w:gridSpan w:val="2"/>
          </w:tcPr>
          <w:p>
            <w:pPr>
              <w:ind w:left="1540"/>
              <w:spacing w:after="0"/>
              <w:rPr>
                <w:sz w:val="20"/>
                <w:szCs w:val="20"/>
                <w:color w:val="auto"/>
              </w:rPr>
            </w:pPr>
            <w:r>
              <w:rPr>
                <w:rFonts w:ascii="Arial" w:cs="Arial" w:eastAsia="Arial" w:hAnsi="Arial"/>
                <w:sz w:val="18"/>
                <w:szCs w:val="18"/>
                <w:color w:val="auto"/>
                <w:w w:val="86"/>
              </w:rPr>
              <w:t>759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755</w:t>
            </w:r>
          </w:p>
        </w:tc>
      </w:tr>
      <w:tr>
        <w:trPr>
          <w:trHeight w:val="57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Weighted Average LTV</w:t>
            </w:r>
          </w:p>
        </w:tc>
        <w:tc>
          <w:tcPr>
            <w:tcW w:w="18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1880" w:type="dxa"/>
            <w:vAlign w:val="bottom"/>
            <w:tcBorders>
              <w:bottom w:val="single" w:sz="8" w:color="CCEEFF"/>
            </w:tcBorders>
            <w:gridSpan w:val="3"/>
            <w:shd w:val="clear" w:color="auto" w:fill="CCEEFF"/>
          </w:tcPr>
          <w:p>
            <w:pPr>
              <w:ind w:left="1520"/>
              <w:spacing w:after="0"/>
              <w:rPr>
                <w:sz w:val="20"/>
                <w:szCs w:val="20"/>
                <w:color w:val="auto"/>
              </w:rPr>
            </w:pPr>
            <w:r>
              <w:rPr>
                <w:rFonts w:ascii="Arial" w:cs="Arial" w:eastAsia="Arial" w:hAnsi="Arial"/>
                <w:sz w:val="18"/>
                <w:szCs w:val="18"/>
                <w:color w:val="auto"/>
                <w:w w:val="94"/>
              </w:rPr>
              <w:t>91%</w:t>
            </w:r>
          </w:p>
        </w:tc>
        <w:tc>
          <w:tcPr>
            <w:tcW w:w="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Single</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1880" w:type="dxa"/>
            <w:vAlign w:val="bottom"/>
            <w:gridSpan w:val="3"/>
          </w:tcPr>
          <w:p>
            <w:pPr>
              <w:ind w:left="1520"/>
              <w:spacing w:after="0"/>
              <w:rPr>
                <w:sz w:val="20"/>
                <w:szCs w:val="20"/>
                <w:color w:val="auto"/>
              </w:rPr>
            </w:pPr>
            <w:r>
              <w:rPr>
                <w:rFonts w:ascii="Arial" w:cs="Arial" w:eastAsia="Arial" w:hAnsi="Arial"/>
                <w:sz w:val="18"/>
                <w:szCs w:val="18"/>
                <w:color w:val="auto"/>
                <w:w w:val="94"/>
              </w:rPr>
              <w:t>90%</w:t>
            </w:r>
          </w:p>
        </w:tc>
        <w:tc>
          <w:tcPr>
            <w:tcW w:w="6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reflect our total primary IIF and RIF by FICO, average loan size, LTV and loan type.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2014</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16,166</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7,124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1,506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740-759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5,248</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2,406</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ind w:right="792"/>
              <w:spacing w:after="0"/>
              <w:rPr>
                <w:sz w:val="20"/>
                <w:szCs w:val="20"/>
                <w:color w:val="auto"/>
              </w:rPr>
            </w:pPr>
            <w:r>
              <w:rPr>
                <w:rFonts w:ascii="Arial" w:cs="Arial" w:eastAsia="Arial" w:hAnsi="Arial"/>
                <w:sz w:val="18"/>
                <w:szCs w:val="18"/>
                <w:color w:val="auto"/>
              </w:rPr>
              <w:t>610</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4,130</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2,111</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518</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700-719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3,245</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1,515</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ind w:right="792"/>
              <w:spacing w:after="0"/>
              <w:rPr>
                <w:sz w:val="20"/>
                <w:szCs w:val="20"/>
                <w:color w:val="auto"/>
              </w:rPr>
            </w:pPr>
            <w:r>
              <w:rPr>
                <w:rFonts w:ascii="Arial" w:cs="Arial" w:eastAsia="Arial" w:hAnsi="Arial"/>
                <w:sz w:val="18"/>
                <w:szCs w:val="18"/>
                <w:color w:val="auto"/>
              </w:rPr>
              <w:t>345</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2,151</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1,100</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276</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&lt;=679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1,228</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568</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ind w:right="792"/>
              <w:spacing w:after="0"/>
              <w:rPr>
                <w:sz w:val="20"/>
                <w:szCs w:val="20"/>
                <w:color w:val="auto"/>
              </w:rPr>
            </w:pPr>
            <w:r>
              <w:rPr>
                <w:rFonts w:ascii="Arial" w:cs="Arial" w:eastAsia="Arial" w:hAnsi="Arial"/>
                <w:sz w:val="18"/>
                <w:szCs w:val="18"/>
                <w:color w:val="auto"/>
              </w:rPr>
              <w:t>115</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32,168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rPr>
              <w:t>14,824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rPr>
              <w:t>3,370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08"/>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December 31, 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6"/>
              </w:rPr>
              <w:t>December 31, 2014</w:t>
            </w: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7"/>
          </w:tcPr>
          <w:p>
            <w:pPr>
              <w:ind w:left="360"/>
              <w:spacing w:after="0"/>
              <w:rPr>
                <w:sz w:val="20"/>
                <w:szCs w:val="20"/>
                <w:color w:val="auto"/>
              </w:rPr>
            </w:pPr>
            <w:r>
              <w:rPr>
                <w:rFonts w:ascii="Arial" w:cs="Arial" w:eastAsia="Arial" w:hAnsi="Arial"/>
                <w:sz w:val="14"/>
                <w:szCs w:val="14"/>
                <w:i w:val="1"/>
                <w:iCs w:val="1"/>
                <w:color w:val="auto"/>
              </w:rPr>
              <w:t>($ Values In Millions)</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&lt;=679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1"/>
        </w:trPr>
        <w:tc>
          <w:tcPr>
            <w:tcW w:w="2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Primary Average Loan Size by FICO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As of</w:t>
            </w: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6"/>
              </w:rPr>
              <w:t>December 31, 2015</w:t>
            </w:r>
          </w:p>
        </w:tc>
        <w:tc>
          <w:tcPr>
            <w:tcW w:w="194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jc w:val="right"/>
              <w:ind w:right="31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6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2"/>
                <w:szCs w:val="22"/>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21"/>
                <w:szCs w:val="21"/>
                <w:color w:val="auto"/>
              </w:rPr>
            </w:pPr>
          </w:p>
        </w:tc>
      </w:tr>
      <w:tr>
        <w:trPr>
          <w:trHeight w:val="27"/>
        </w:trPr>
        <w:tc>
          <w:tcPr>
            <w:tcW w:w="3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1"/>
                <w:szCs w:val="21"/>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1"/>
                <w:szCs w:val="21"/>
                <w:color w:val="auto"/>
              </w:rPr>
            </w:pPr>
          </w:p>
        </w:tc>
      </w:tr>
      <w:tr>
        <w:trPr>
          <w:trHeight w:val="27"/>
        </w:trPr>
        <w:tc>
          <w:tcPr>
            <w:tcW w:w="3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1"/>
                <w:szCs w:val="21"/>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&lt;=679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r>
      <w:tr>
        <w:trPr>
          <w:trHeight w:val="521"/>
        </w:trPr>
        <w:tc>
          <w:tcPr>
            <w:tcW w:w="2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December 31, 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December 31, 2014</w:t>
            </w:r>
          </w:p>
        </w:tc>
        <w:tc>
          <w:tcPr>
            <w:tcW w:w="5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7"/>
          </w:tcPr>
          <w:p>
            <w:pPr>
              <w:ind w:left="340"/>
              <w:spacing w:after="0"/>
              <w:rPr>
                <w:sz w:val="20"/>
                <w:szCs w:val="20"/>
                <w:color w:val="auto"/>
              </w:rPr>
            </w:pPr>
            <w:r>
              <w:rPr>
                <w:rFonts w:ascii="Arial" w:cs="Arial" w:eastAsia="Arial" w:hAnsi="Arial"/>
                <w:sz w:val="14"/>
                <w:szCs w:val="14"/>
                <w:i w:val="1"/>
                <w:iCs w:val="1"/>
                <w:color w:val="auto"/>
              </w:rPr>
              <w:t>($ Values In Millions)</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2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December 31, 2014</w:t>
            </w:r>
          </w:p>
        </w:tc>
        <w:tc>
          <w:tcPr>
            <w:tcW w:w="5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7"/>
          </w:tcPr>
          <w:p>
            <w:pPr>
              <w:ind w:left="360"/>
              <w:spacing w:after="0"/>
              <w:rPr>
                <w:sz w:val="20"/>
                <w:szCs w:val="20"/>
                <w:color w:val="auto"/>
              </w:rPr>
            </w:pPr>
            <w:r>
              <w:rPr>
                <w:rFonts w:ascii="Arial" w:cs="Arial" w:eastAsia="Arial" w:hAnsi="Arial"/>
                <w:sz w:val="14"/>
                <w:szCs w:val="14"/>
                <w:i w:val="1"/>
                <w:iCs w:val="1"/>
                <w:color w:val="auto"/>
              </w:rPr>
              <w:t>($ Values In Millions)</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59" w:name="page60"/>
    <w:bookmarkEnd w:id="5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c>
          <w:tcPr>
            <w:tcW w:w="1760" w:type="dxa"/>
            <w:vAlign w:val="bottom"/>
            <w:tcBorders>
              <w:bottom w:val="single" w:sz="8" w:color="auto"/>
            </w:tcBorders>
          </w:tcPr>
          <w:p>
            <w:pPr>
              <w:spacing w:after="0"/>
              <w:rPr>
                <w:sz w:val="16"/>
                <w:szCs w:val="16"/>
                <w:color w:val="auto"/>
              </w:rPr>
            </w:pPr>
          </w:p>
        </w:tc>
      </w:tr>
      <w:tr>
        <w:trPr>
          <w:trHeight w:val="264"/>
        </w:trPr>
        <w:tc>
          <w:tcPr>
            <w:tcW w:w="5880" w:type="dxa"/>
            <w:vAlign w:val="bottom"/>
          </w:tcPr>
          <w:p>
            <w:pPr>
              <w:spacing w:after="0"/>
              <w:rPr>
                <w:sz w:val="22"/>
                <w:szCs w:val="22"/>
                <w:color w:val="auto"/>
              </w:rPr>
            </w:pP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2016</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2014</w:t>
            </w:r>
          </w:p>
        </w:tc>
      </w:tr>
      <w:tr>
        <w:trPr>
          <w:trHeight w:val="324"/>
        </w:trPr>
        <w:tc>
          <w:tcPr>
            <w:tcW w:w="588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Adjustable rate mortgages:</w:t>
            </w: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than five years</w:t>
            </w:r>
          </w:p>
        </w:tc>
        <w:tc>
          <w:tcPr>
            <w:tcW w:w="1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Five years and longer</w:t>
            </w: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6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4</w:t>
            </w:r>
          </w:p>
        </w:tc>
      </w:tr>
      <w:tr>
        <w:trPr>
          <w:trHeight w:val="27"/>
        </w:trPr>
        <w:tc>
          <w:tcPr>
            <w:tcW w:w="5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8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2016, December 31, 2015 and December 31, 2014, 100% of each of our pool IIF and RIF was comprised of insurance on fixed rate mortgages.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portfolio statistics, by book year, as of December 31, 2016.</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0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Remaining of</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Policies Ever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 of Claims</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1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Origination year</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Original</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Loans in</w:t>
            </w:r>
          </w:p>
        </w:tc>
        <w:tc>
          <w:tcPr>
            <w:tcW w:w="78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 Force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Default</w:t>
            </w: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Paid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to Date) </w:t>
            </w:r>
            <w:r>
              <w:rPr>
                <w:rFonts w:ascii="Arial" w:cs="Arial" w:eastAsia="Arial" w:hAnsi="Arial"/>
                <w:sz w:val="8"/>
                <w:szCs w:val="8"/>
                <w:b w:val="1"/>
                <w:bCs w:val="1"/>
                <w:color w:val="auto"/>
                <w:w w:val="97"/>
              </w:rPr>
              <w:t>(1)</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5"/>
              </w:rPr>
              <w:t>($ Values in Millions)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1,857</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54%</w:t>
            </w:r>
          </w:p>
        </w:tc>
        <w:tc>
          <w:tcPr>
            <w:tcW w:w="920" w:type="dxa"/>
            <w:vAlign w:val="bottom"/>
          </w:tcPr>
          <w:p>
            <w:pPr>
              <w:jc w:val="right"/>
              <w:spacing w:after="0"/>
              <w:rPr>
                <w:sz w:val="20"/>
                <w:szCs w:val="20"/>
                <w:color w:val="auto"/>
              </w:rPr>
            </w:pPr>
            <w:r>
              <w:rPr>
                <w:rFonts w:ascii="Arial" w:cs="Arial" w:eastAsia="Arial" w:hAnsi="Arial"/>
                <w:sz w:val="18"/>
                <w:szCs w:val="18"/>
                <w:color w:val="auto"/>
              </w:rPr>
              <w:t>14,786</w:t>
            </w:r>
          </w:p>
        </w:tc>
        <w:tc>
          <w:tcPr>
            <w:tcW w:w="1160" w:type="dxa"/>
            <w:vAlign w:val="bottom"/>
            <w:gridSpan w:val="3"/>
          </w:tcPr>
          <w:p>
            <w:pPr>
              <w:jc w:val="right"/>
              <w:ind w:right="28"/>
              <w:spacing w:after="0"/>
              <w:rPr>
                <w:sz w:val="20"/>
                <w:szCs w:val="20"/>
                <w:color w:val="auto"/>
              </w:rPr>
            </w:pPr>
            <w:r>
              <w:rPr>
                <w:rFonts w:ascii="Arial" w:cs="Arial" w:eastAsia="Arial" w:hAnsi="Arial"/>
                <w:sz w:val="18"/>
                <w:szCs w:val="18"/>
                <w:color w:val="auto"/>
              </w:rPr>
              <w:t>9,003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2.6%</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10,071</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44,716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20,192</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95%</w:t>
            </w:r>
          </w:p>
        </w:tc>
        <w:tc>
          <w:tcPr>
            <w:tcW w:w="920" w:type="dxa"/>
            <w:vAlign w:val="bottom"/>
          </w:tcPr>
          <w:p>
            <w:pPr>
              <w:jc w:val="right"/>
              <w:spacing w:after="0"/>
              <w:rPr>
                <w:sz w:val="20"/>
                <w:szCs w:val="20"/>
                <w:color w:val="auto"/>
              </w:rPr>
            </w:pPr>
            <w:r>
              <w:rPr>
                <w:rFonts w:ascii="Arial" w:cs="Arial" w:eastAsia="Arial" w:hAnsi="Arial"/>
                <w:sz w:val="18"/>
                <w:szCs w:val="18"/>
                <w:color w:val="auto"/>
              </w:rPr>
              <w:t>83,633</w:t>
            </w:r>
          </w:p>
        </w:tc>
        <w:tc>
          <w:tcPr>
            <w:tcW w:w="1160" w:type="dxa"/>
            <w:vAlign w:val="bottom"/>
            <w:gridSpan w:val="3"/>
          </w:tcPr>
          <w:p>
            <w:pPr>
              <w:jc w:val="right"/>
              <w:ind w:right="28"/>
              <w:spacing w:after="0"/>
              <w:rPr>
                <w:sz w:val="20"/>
                <w:szCs w:val="20"/>
                <w:color w:val="auto"/>
              </w:rPr>
            </w:pPr>
            <w:r>
              <w:rPr>
                <w:rFonts w:ascii="Arial" w:cs="Arial" w:eastAsia="Arial" w:hAnsi="Arial"/>
                <w:sz w:val="18"/>
                <w:szCs w:val="18"/>
                <w:color w:val="auto"/>
              </w:rPr>
              <w:t>80,704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0.6%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37,224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32,168</w:t>
            </w:r>
          </w:p>
        </w:tc>
        <w:tc>
          <w:tcPr>
            <w:tcW w:w="1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151,622</w:t>
            </w:r>
          </w:p>
        </w:tc>
        <w:tc>
          <w:tcPr>
            <w:tcW w:w="11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134,662</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4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32"/>
        </w:numPr>
        <w:rPr>
          <w:rFonts w:ascii="Arial" w:cs="Arial" w:eastAsia="Arial" w:hAnsi="Arial"/>
          <w:sz w:val="9"/>
          <w:szCs w:val="9"/>
          <w:color w:val="auto"/>
        </w:rPr>
      </w:pPr>
      <w:r>
        <w:rPr>
          <w:rFonts w:ascii="Arial" w:cs="Arial" w:eastAsia="Arial" w:hAnsi="Arial"/>
          <w:sz w:val="14"/>
          <w:szCs w:val="14"/>
          <w:color w:val="auto"/>
        </w:rPr>
        <w:t>The ratio of losses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32"/>
        </w:numPr>
        <w:rPr>
          <w:rFonts w:ascii="Arial" w:cs="Arial" w:eastAsia="Arial" w:hAnsi="Arial"/>
          <w:sz w:val="9"/>
          <w:szCs w:val="9"/>
          <w:color w:val="auto"/>
        </w:rPr>
      </w:pPr>
      <w:r>
        <w:rPr>
          <w:rFonts w:ascii="Arial" w:cs="Arial" w:eastAsia="Arial" w:hAnsi="Arial"/>
          <w:sz w:val="14"/>
          <w:szCs w:val="14"/>
          <w:color w:val="auto"/>
        </w:rPr>
        <w:t>The sum of claims paid ever to date and notices of default as of the end of the period divided by policies ever in force.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to build a geographically diverse portfolio without significant geographic concentrations that might expose us to undue risk. We manage geographic concentration risk by establishing targets and limits for new origination mix and/or portfolio limits. If warranted, we would also establish restrictions in certain geographic markets; although, we currently do not have any geographic market restrictions in place. We expect that our insurance origination mix by region will be consistent with the overall distribution of mortgage originations in the U.S. that require mortgage insurance.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 ongoing and recurring basis, we evaluate changing market conditions to determine if it is appropriate to establish, tighten, loosen or eliminate lending restrictions established by geographic area. The evaluation is expected to include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approved.</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shows the distribution by state of our primary RIF. For the three years presented below, our RIF was relatively more concentrated in California, primarily as a result of the location and timing of the acquisition of new customers. The distribution of risk across the states as of December 31, 2016 is not necessarily representative of the geographic distribution we expect in the future. As we add new customers and receive greater allocations of business from our existing customers, we expect we will have increased flexibility to manage our state concentration levels.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3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2"/>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 as of December 31, 2016</w:t>
            </w:r>
          </w:p>
        </w:tc>
        <w:tc>
          <w:tcPr>
            <w:tcW w:w="1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188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2016</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8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Texas</w:t>
            </w:r>
          </w:p>
        </w:tc>
        <w:tc>
          <w:tcPr>
            <w:tcW w:w="186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6.6</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Florida</w:t>
            </w:r>
          </w:p>
        </w:tc>
        <w:tc>
          <w:tcPr>
            <w:tcW w:w="186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4.6</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86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3.5</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86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4.7</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186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6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3.7</w:t>
            </w:r>
          </w:p>
        </w:tc>
      </w:tr>
      <w:tr>
        <w:trPr>
          <w:trHeight w:val="27"/>
        </w:trPr>
        <w:tc>
          <w:tcPr>
            <w:tcW w:w="5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55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 and Claim Expenses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Claims incurred is the expense that is booked within a particular period to reflect actual and estimated claim payments that we believe will ultimately be made as a result of insured loans that are in default. We do not recognize an estimate of claim expense for loans that are not in default. As of December 31, 2016, we have established reserves for insurance claims of $3.0 million for 179 primary loans in default, compared to a reserve of $679 thousand for 36 primary loans in default as of December 31, 2015 and a reserve of $83 thousand for six primary loans in default as of December 31, 2014. We also establish reserves for the related claims expenses, which are the estimated costs to adjust and settle claims. We have not established any pool reserves for claims or IBNR to date. For additional discussion of our reserves, see, Part II., Item 8, "</w:t>
      </w:r>
      <w:r>
        <w:rPr>
          <w:rFonts w:ascii="Arial" w:cs="Arial" w:eastAsia="Arial" w:hAnsi="Arial"/>
          <w:sz w:val="17"/>
          <w:szCs w:val="17"/>
          <w:i w:val="1"/>
          <w:iCs w:val="1"/>
          <w:color w:val="auto"/>
        </w:rPr>
        <w:t>Financial Statements and Supplementary Data - Notes to Condensed</w:t>
      </w:r>
      <w:r>
        <w:rPr>
          <w:rFonts w:ascii="Arial" w:cs="Arial" w:eastAsia="Arial" w:hAnsi="Arial"/>
          <w:sz w:val="17"/>
          <w:szCs w:val="17"/>
          <w:color w:val="auto"/>
        </w:rPr>
        <w:t xml:space="preserve"> </w:t>
      </w:r>
      <w:r>
        <w:rPr>
          <w:rFonts w:ascii="Arial" w:cs="Arial" w:eastAsia="Arial" w:hAnsi="Arial"/>
          <w:sz w:val="17"/>
          <w:szCs w:val="17"/>
          <w:i w:val="1"/>
          <w:iCs w:val="1"/>
          <w:color w:val="auto"/>
        </w:rPr>
        <w:t>Consolidated Financial Statements - Note 7. Reserves for Insurance Claims and Claim Expenses.</w:t>
      </w:r>
      <w:r>
        <w:rPr>
          <w:rFonts w:ascii="Arial" w:cs="Arial" w:eastAsia="Arial" w:hAnsi="Arial"/>
          <w:sz w:val="17"/>
          <w:szCs w:val="17"/>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Claims incurred are generally affected by:</w:t>
      </w:r>
    </w:p>
    <w:p>
      <w:pPr>
        <w:spacing w:after="0" w:line="171" w:lineRule="exact"/>
        <w:rPr>
          <w:sz w:val="20"/>
          <w:szCs w:val="20"/>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state of the economy, including unemployment, which affects the likelihood that borrowers may default on their loans;</w:t>
      </w:r>
    </w:p>
    <w:p>
      <w:pPr>
        <w:spacing w:after="0" w:line="117" w:lineRule="exact"/>
        <w:rPr>
          <w:rFonts w:ascii="Arial" w:cs="Arial" w:eastAsia="Arial" w:hAnsi="Arial"/>
          <w:sz w:val="18"/>
          <w:szCs w:val="18"/>
          <w:color w:val="auto"/>
        </w:rPr>
      </w:pPr>
    </w:p>
    <w:p>
      <w:pPr>
        <w:ind w:left="840" w:hanging="332"/>
        <w:spacing w:after="0" w:line="308"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declines in housing values, as such declines may negatively affect loss mitigation opportunities on loans in default, as well as increase the likelihood that borrowers will default when the value of the home is below or perceived to be below the mortgage balance;</w:t>
      </w:r>
    </w:p>
    <w:p>
      <w:pPr>
        <w:spacing w:after="0" w:line="38" w:lineRule="exact"/>
        <w:rPr>
          <w:rFonts w:ascii="Arial" w:cs="Arial" w:eastAsia="Arial" w:hAnsi="Arial"/>
          <w:sz w:val="17"/>
          <w:szCs w:val="17"/>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LTV ratio, with higher average LTV ratios tending to increase claims incurred;</w:t>
      </w:r>
    </w:p>
    <w:p>
      <w:pPr>
        <w:spacing w:after="0" w:line="117"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DTI ratios, which tend to increase incurred claims;</w:t>
      </w:r>
    </w:p>
    <w:p>
      <w:pPr>
        <w:spacing w:after="0" w:line="117" w:lineRule="exact"/>
        <w:rPr>
          <w:rFonts w:ascii="Arial" w:cs="Arial" w:eastAsia="Arial" w:hAnsi="Arial"/>
          <w:sz w:val="18"/>
          <w:szCs w:val="18"/>
          <w:color w:val="auto"/>
        </w:rPr>
      </w:pPr>
    </w:p>
    <w:p>
      <w:pPr>
        <w:ind w:left="840" w:hanging="332"/>
        <w:spacing w:after="0" w:line="342" w:lineRule="auto"/>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rate at which we rescind policies. Because of tighter underwriting standards generally in the mortgage lending industry and the terms of our Master Policy, we expect that our level of rescission activity will be lower than recent rescission activity experienced by the MI industry; and</w:t>
      </w:r>
    </w:p>
    <w:p>
      <w:pPr>
        <w:spacing w:after="0" w:line="15" w:lineRule="exact"/>
        <w:rPr>
          <w:rFonts w:ascii="Arial" w:cs="Arial" w:eastAsia="Arial" w:hAnsi="Arial"/>
          <w:sz w:val="16"/>
          <w:szCs w:val="16"/>
          <w:color w:val="auto"/>
        </w:rPr>
      </w:pPr>
    </w:p>
    <w:p>
      <w:pPr>
        <w:jc w:val="both"/>
        <w:ind w:left="840" w:hanging="332"/>
        <w:spacing w:after="0" w:line="286"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distribution of claims over the life of a book. Historically, the first two to three years after loans are originated are a period of relatively low claims, with claims increasing substantially for several years subsequent and then declining. Factors, such as persistency of the book, the condition of the economy, including unemployment and housing prices, and others, can affect this pattern.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will be relatively low in the foreseeable future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38" w:right="239" w:bottom="1440" w:gutter="0" w:footer="0" w:header="0"/>
        </w:sectPr>
      </w:pPr>
    </w:p>
    <w:bookmarkStart w:id="61" w:name="page62"/>
    <w:bookmarkEnd w:id="61"/>
    <w:p>
      <w:pPr>
        <w:ind w:left="840" w:hanging="332"/>
        <w:spacing w:after="0" w:line="27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 NIW in our early years of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our portfolio matures, we expect our reported loss ratio will be less than 10%, due to loss development being generally insignificant in the early years of a loan cycle combined with strong growth in earned premiums on a year-over-year basis. 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w:t>
      </w:r>
    </w:p>
    <w:p>
      <w:pPr>
        <w:spacing w:after="0" w:line="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 To date, our loss experience is developing at a slower pace than historical trends have shown, as a result of high quality underwriting and a favorable housing market.</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claims expenses for the years ended December 31, 2016 and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r>
      <w:tr>
        <w:trPr>
          <w:trHeight w:val="250"/>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80" w:type="dxa"/>
            <w:vAlign w:val="bottom"/>
            <w:gridSpan w:val="3"/>
          </w:tcPr>
          <w:p>
            <w:pPr>
              <w:jc w:val="right"/>
              <w:ind w:right="616"/>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318"/>
        </w:trPr>
        <w:tc>
          <w:tcPr>
            <w:tcW w:w="8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70"/>
        </w:trPr>
        <w:tc>
          <w:tcPr>
            <w:tcW w:w="81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318"/>
        </w:trPr>
        <w:tc>
          <w:tcPr>
            <w:tcW w:w="8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81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318"/>
        </w:trPr>
        <w:tc>
          <w:tcPr>
            <w:tcW w:w="8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64"/>
        </w:trPr>
        <w:tc>
          <w:tcPr>
            <w:tcW w:w="81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 w:firstLine="8"/>
        <w:spacing w:after="0" w:line="244" w:lineRule="auto"/>
        <w:tabs>
          <w:tab w:leader="none" w:pos="187"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Related to ceded losses recoverable on the 2016 QSR Transaction. To date, ceded losses have been immaterial. See Item 8, "</w:t>
      </w:r>
      <w:r>
        <w:rPr>
          <w:rFonts w:ascii="Arial" w:cs="Arial" w:eastAsia="Arial" w:hAnsi="Arial"/>
          <w:sz w:val="14"/>
          <w:szCs w:val="14"/>
          <w:i w:val="1"/>
          <w:iCs w:val="1"/>
          <w:color w:val="auto"/>
        </w:rPr>
        <w:t>Financial Statements and Supplementary Data -</w:t>
      </w:r>
      <w:r>
        <w:rPr>
          <w:rFonts w:ascii="Arial" w:cs="Arial" w:eastAsia="Arial" w:hAnsi="Arial"/>
          <w:sz w:val="14"/>
          <w:szCs w:val="14"/>
          <w:color w:val="auto"/>
        </w:rPr>
        <w:t xml:space="preserve"> </w:t>
      </w:r>
      <w:r>
        <w:rPr>
          <w:rFonts w:ascii="Arial" w:cs="Arial" w:eastAsia="Arial" w:hAnsi="Arial"/>
          <w:sz w:val="14"/>
          <w:szCs w:val="14"/>
          <w:i w:val="1"/>
          <w:iCs w:val="1"/>
          <w:color w:val="auto"/>
        </w:rPr>
        <w:t>Notes to Consolidated Financial Statements - Note 6, Reinsurance,</w:t>
      </w:r>
      <w:r>
        <w:rPr>
          <w:rFonts w:ascii="Arial" w:cs="Arial" w:eastAsia="Arial" w:hAnsi="Arial"/>
          <w:sz w:val="14"/>
          <w:szCs w:val="14"/>
          <w:color w:val="auto"/>
        </w:rPr>
        <w:t>" for additional information.</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Related to defaults occurring in the current year.</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Related to defaults occurring in prior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648"/>
        <w:spacing w:after="0" w:line="302" w:lineRule="auto"/>
        <w:rPr>
          <w:sz w:val="20"/>
          <w:szCs w:val="20"/>
          <w:color w:val="auto"/>
        </w:rPr>
      </w:pPr>
      <w:r>
        <w:rPr>
          <w:rFonts w:ascii="Arial" w:cs="Arial" w:eastAsia="Arial" w:hAnsi="Arial"/>
          <w:sz w:val="16"/>
          <w:szCs w:val="16"/>
          <w:color w:val="auto"/>
        </w:rPr>
        <w:t>The “claims incurred” section of the table above shows claims and claim expenses incurred on default notices received in the current year and in prior years. The amount of claims incurred relating to default notices received in the current year represents the estimated amount to be ultimately paid on such default notices. The decreases during the periods presented in reserves held for prior year defaults are generally the result of ongoing analysis of recent loss development trends. We may increase or decrease our original estimates as we learn additional information about individual defaults and claims.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4"/>
                <w:szCs w:val="14"/>
                <w:b w:val="1"/>
                <w:bCs w:val="1"/>
                <w:color w:val="auto"/>
              </w:rPr>
              <w:t>For the year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the number of defaults at December 31, 2016 compared to December 31, 2015 was primarily due to an increase in the number of policies in force and the increasing maturity of our portfolio.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claims paid for years ended December 31, 2016 and December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For the year ended</w:t>
            </w:r>
          </w:p>
        </w:tc>
      </w:tr>
      <w:tr>
        <w:trPr>
          <w:trHeight w:val="264"/>
        </w:trPr>
        <w:tc>
          <w:tcPr>
            <w:tcW w:w="8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2015</w:t>
            </w:r>
          </w:p>
        </w:tc>
      </w:tr>
      <w:tr>
        <w:trPr>
          <w:trHeight w:val="244"/>
        </w:trPr>
        <w:tc>
          <w:tcPr>
            <w:tcW w:w="8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gridSpan w:val="3"/>
          </w:tcPr>
          <w:p>
            <w:pPr>
              <w:jc w:val="right"/>
              <w:ind w:right="814"/>
              <w:spacing w:after="0"/>
              <w:rPr>
                <w:sz w:val="20"/>
                <w:szCs w:val="20"/>
                <w:color w:val="auto"/>
              </w:rPr>
            </w:pPr>
            <w:r>
              <w:rPr>
                <w:rFonts w:ascii="Arial" w:cs="Arial" w:eastAsia="Arial" w:hAnsi="Arial"/>
                <w:sz w:val="14"/>
                <w:szCs w:val="14"/>
                <w:i w:val="1"/>
                <w:iCs w:val="1"/>
                <w:color w:val="auto"/>
              </w:rPr>
              <w:t>($ Values In Thousands)</w:t>
            </w:r>
          </w:p>
        </w:tc>
      </w:tr>
      <w:tr>
        <w:trPr>
          <w:trHeight w:val="255"/>
        </w:trPr>
        <w:tc>
          <w:tcPr>
            <w:tcW w:w="8200" w:type="dxa"/>
            <w:vAlign w:val="bottom"/>
          </w:tcPr>
          <w:p>
            <w:pPr>
              <w:ind w:left="40"/>
              <w:spacing w:after="0"/>
              <w:rPr>
                <w:sz w:val="20"/>
                <w:szCs w:val="20"/>
                <w:color w:val="auto"/>
              </w:rPr>
            </w:pPr>
            <w:r>
              <w:rPr>
                <w:rFonts w:ascii="Arial" w:cs="Arial" w:eastAsia="Arial" w:hAnsi="Arial"/>
                <w:sz w:val="18"/>
                <w:szCs w:val="18"/>
                <w:color w:val="auto"/>
              </w:rPr>
              <w:t>Number of claims paid</w:t>
            </w:r>
          </w:p>
        </w:tc>
        <w:tc>
          <w:tcPr>
            <w:tcW w:w="160" w:type="dxa"/>
            <w:vAlign w:val="bottom"/>
          </w:tcPr>
          <w:p>
            <w:pPr>
              <w:spacing w:after="0"/>
              <w:rPr>
                <w:sz w:val="22"/>
                <w:szCs w:val="22"/>
                <w:color w:val="auto"/>
              </w:rPr>
            </w:pPr>
          </w:p>
        </w:tc>
        <w:tc>
          <w:tcPr>
            <w:tcW w:w="1440" w:type="dxa"/>
            <w:vAlign w:val="bottom"/>
          </w:tcPr>
          <w:p>
            <w:pPr>
              <w:jc w:val="right"/>
              <w:ind w:right="158"/>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amount paid for claims</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BFE4FF"/>
            </w:tcBorders>
            <w:shd w:val="clear" w:color="auto" w:fill="BFE4FF"/>
          </w:tcPr>
          <w:p>
            <w:pPr>
              <w:jc w:val="right"/>
              <w:ind w:right="158"/>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54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Average amount paid per claim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8"/>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27</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00" w:type="dxa"/>
            <w:vAlign w:val="bottom"/>
            <w:shd w:val="clear" w:color="auto" w:fill="BFE4FF"/>
          </w:tcPr>
          <w:p>
            <w:pPr>
              <w:ind w:left="40"/>
              <w:spacing w:after="0" w:line="270" w:lineRule="exact"/>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(1)</w:t>
            </w:r>
          </w:p>
        </w:tc>
        <w:tc>
          <w:tcPr>
            <w:tcW w:w="160" w:type="dxa"/>
            <w:vAlign w:val="bottom"/>
            <w:shd w:val="clear" w:color="auto" w:fill="BFE4FF"/>
          </w:tcPr>
          <w:p>
            <w:pPr>
              <w:spacing w:after="0"/>
              <w:rPr>
                <w:sz w:val="23"/>
                <w:szCs w:val="23"/>
                <w:color w:val="auto"/>
              </w:rPr>
            </w:pPr>
          </w:p>
        </w:tc>
        <w:tc>
          <w:tcPr>
            <w:tcW w:w="14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BFE4FF"/>
          </w:tcPr>
          <w:p>
            <w:pPr>
              <w:spacing w:after="0"/>
              <w:rPr>
                <w:sz w:val="23"/>
                <w:szCs w:val="23"/>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Severity represents the total amount of claims paid divided by the related RIF on the loans.</w:t>
      </w:r>
    </w:p>
    <w:p>
      <w:pPr>
        <w:spacing w:after="0" w:line="16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increase in the number of claims paid for the year ended December 31, 2016 compared to the year ended December 31, 2015 is in line with our expectation of how losses will develop as our book grows. We believe our severity is below expectations as the result of appreciating home prices in recent years.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As of December 31, 2015</w:t>
            </w: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20" w:type="dxa"/>
            <w:vAlign w:val="bottom"/>
            <w:gridSpan w:val="4"/>
          </w:tcPr>
          <w:p>
            <w:pPr>
              <w:jc w:val="right"/>
              <w:ind w:right="1694"/>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220" w:type="dxa"/>
            <w:vAlign w:val="bottom"/>
          </w:tcPr>
          <w:p>
            <w:pPr>
              <w:spacing w:after="0"/>
              <w:rPr>
                <w:sz w:val="21"/>
                <w:szCs w:val="21"/>
                <w:color w:val="auto"/>
              </w:rPr>
            </w:pP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0"/>
        </w:trPr>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Defined as the gross reserve per insured loan in default.</w:t>
      </w:r>
    </w:p>
    <w:p>
      <w:pPr>
        <w:spacing w:after="0" w:line="16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year ended December 31, 2014, default and claims activity in our insured book were not significant. As of December 31, 2014, we had established loss reserves of $83,000 for 6 loans in default.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Cybersecurity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participant in the mortgage lending and MI industries, we rely on e-commerce and other technologies to provide and expand our products and services. We have established and implemented security measures, controls and procedures to safeguard our information technology systems and to prevent unauthorized access to such systems and any data processed and/or stored in such systems. We periodically employ third parties to evaluate and test the adequacy of such systems, controls and procedures. In addition, we have established a business continuity plan that is designed to allow our business to continue to operate in the midst of certain disruptive events, including any disruptions to our information technology systems. We also have an incident response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that is designed to address information security incidents, including breaches of our information technology systems. Despite these safeguards, disruptions to and breaches of our information technology systems are possible and may negatively impact our business.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cyber errors and omissions coverage to limit our exposure if an incident occurs. This insurance provides coverage for (i) claims related to, among other things, unauthorized network or computer access, unintentional disclosure or misuse of personally identifiable information in our possession, unintentional failure to disclose a breach and (ii) certain costs related to privacy notification, crisis management, cyber extortion, data recovery and business interruption.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practices of the private MI industry in the U.S. are driven in large part by the requirements and practices of the GSEs.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NMIC is subject to ongoing compliance with the PMIERs.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The PMIERs financial requirements prescribe a risk-based capital methodology whereby the amount of capital required to be held against each insured loan is determined based on certain risk characteristics, such as FICO, vintage (year of origination), performing vs. non-performing (</w:t>
      </w:r>
      <w:r>
        <w:rPr>
          <w:rFonts w:ascii="Arial" w:cs="Arial" w:eastAsia="Arial" w:hAnsi="Arial"/>
          <w:sz w:val="18"/>
          <w:szCs w:val="18"/>
          <w:i w:val="1"/>
          <w:iCs w:val="1"/>
          <w:color w:val="auto"/>
        </w:rPr>
        <w:t>i.e.</w:t>
      </w:r>
      <w:r>
        <w:rPr>
          <w:rFonts w:ascii="Arial" w:cs="Arial" w:eastAsia="Arial" w:hAnsi="Arial"/>
          <w:sz w:val="18"/>
          <w:szCs w:val="18"/>
          <w:color w:val="auto"/>
        </w:rPr>
        <w:t>, current vs. delinquent), LTV and other risk features. An asset charge is calculated for each insured loan based on its risk profile. In general, higher quality loans carry lower capital charges.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 xml:space="preserve">risk-based required asset 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PMIERs 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loans originated on or after January 1, 2016 that are insured under LPMI policies.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expect to certify to the GSEs by April 15, 2017 that NMIC fully complied with the PMIERs as of December 31, 2016. NMIC also has an ongoing obligation to immediately notify the GSEs in writing upon discovery of its failure to meet one or more of the PMIERs requirements. We will continue to monitor our compliance with the PMIERs going forward.</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following table provides a comparison of the PMIERs financial requirements as reported by NMIC. Our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balance as of December 31, 2016 decreased from the prior quarter as the result of new PMIERs requirements that the GSEs released in December 2016. Under the new requirements, our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were reduced as a result of the deduction of our reinsurance funds withheld balance and restricted assets held on deposit by state regulatory agencies.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1"/>
              </w:rPr>
              <w:t>September 30, 2016</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31,2016</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20" w:type="dxa"/>
            <w:vAlign w:val="bottom"/>
            <w:gridSpan w:val="2"/>
          </w:tcPr>
          <w:p>
            <w:pPr>
              <w:jc w:val="right"/>
              <w:ind w:right="37"/>
              <w:spacing w:after="0"/>
              <w:rPr>
                <w:sz w:val="20"/>
                <w:szCs w:val="20"/>
                <w:color w:val="auto"/>
              </w:rPr>
            </w:pPr>
            <w:r>
              <w:rPr>
                <w:rFonts w:ascii="Arial" w:cs="Arial" w:eastAsia="Arial" w:hAnsi="Arial"/>
                <w:sz w:val="14"/>
                <w:szCs w:val="14"/>
                <w:i w:val="1"/>
                <w:iCs w:val="1"/>
                <w:color w:val="auto"/>
              </w:rPr>
              <w:t>($ values in thousands)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3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Available Assets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BFE4FF"/>
            </w:tcBorders>
            <w:shd w:val="clear" w:color="auto" w:fill="BFE4FF"/>
          </w:tcPr>
          <w:p>
            <w:pPr>
              <w:jc w:val="right"/>
              <w:ind w:right="154"/>
              <w:spacing w:after="0"/>
              <w:rPr>
                <w:sz w:val="20"/>
                <w:szCs w:val="20"/>
                <w:color w:val="auto"/>
              </w:rPr>
            </w:pPr>
            <w:r>
              <w:rPr>
                <w:rFonts w:ascii="Arial" w:cs="Arial" w:eastAsia="Arial" w:hAnsi="Arial"/>
                <w:sz w:val="18"/>
                <w:szCs w:val="18"/>
                <w:color w:val="auto"/>
              </w:rPr>
              <w:t>453,523</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BFE4FF"/>
            </w:tcBorders>
            <w:shd w:val="clear" w:color="auto" w:fill="BFE4FF"/>
          </w:tcPr>
          <w:p>
            <w:pPr>
              <w:jc w:val="right"/>
              <w:ind w:right="154"/>
              <w:spacing w:after="0"/>
              <w:rPr>
                <w:sz w:val="20"/>
                <w:szCs w:val="20"/>
                <w:color w:val="auto"/>
              </w:rPr>
            </w:pPr>
            <w:r>
              <w:rPr>
                <w:rFonts w:ascii="Arial" w:cs="Arial" w:eastAsia="Arial" w:hAnsi="Arial"/>
                <w:sz w:val="18"/>
                <w:szCs w:val="18"/>
                <w:color w:val="auto"/>
              </w:rPr>
              <w:t>488,635</w:t>
            </w:r>
          </w:p>
        </w:tc>
        <w:tc>
          <w:tcPr>
            <w:tcW w:w="2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18"/>
                <w:szCs w:val="18"/>
                <w:color w:val="auto"/>
              </w:rPr>
              <w:t>432,074</w:t>
            </w:r>
          </w:p>
        </w:tc>
        <w:tc>
          <w:tcPr>
            <w:tcW w:w="2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BFE4FF"/>
            </w:tcBorders>
            <w:shd w:val="clear" w:color="auto" w:fill="BFE4FF"/>
          </w:tcPr>
          <w:p>
            <w:pPr>
              <w:jc w:val="right"/>
              <w:ind w:right="154"/>
              <w:spacing w:after="0"/>
              <w:rPr>
                <w:sz w:val="20"/>
                <w:szCs w:val="20"/>
                <w:color w:val="auto"/>
              </w:rPr>
            </w:pPr>
            <w:r>
              <w:rPr>
                <w:rFonts w:ascii="Arial" w:cs="Arial" w:eastAsia="Arial" w:hAnsi="Arial"/>
                <w:sz w:val="18"/>
                <w:szCs w:val="18"/>
                <w:color w:val="auto"/>
              </w:rPr>
              <w:t>434,138</w:t>
            </w:r>
          </w:p>
        </w:tc>
        <w:tc>
          <w:tcPr>
            <w:tcW w:w="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431,411</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Net Risk-Based Required Assets</w:t>
            </w:r>
          </w:p>
        </w:tc>
        <w:tc>
          <w:tcPr>
            <w:tcW w:w="140" w:type="dxa"/>
            <w:vAlign w:val="bottom"/>
          </w:tcPr>
          <w:p>
            <w:pPr>
              <w:spacing w:after="0"/>
              <w:rPr>
                <w:sz w:val="21"/>
                <w:szCs w:val="21"/>
                <w:color w:val="auto"/>
              </w:rPr>
            </w:pPr>
          </w:p>
        </w:tc>
        <w:tc>
          <w:tcPr>
            <w:tcW w:w="1420" w:type="dxa"/>
            <w:vAlign w:val="bottom"/>
          </w:tcPr>
          <w:p>
            <w:pPr>
              <w:jc w:val="right"/>
              <w:ind w:right="154"/>
              <w:spacing w:after="0"/>
              <w:rPr>
                <w:sz w:val="20"/>
                <w:szCs w:val="20"/>
                <w:color w:val="auto"/>
              </w:rPr>
            </w:pPr>
            <w:r>
              <w:rPr>
                <w:rFonts w:ascii="Arial" w:cs="Arial" w:eastAsia="Arial" w:hAnsi="Arial"/>
                <w:sz w:val="18"/>
                <w:szCs w:val="18"/>
                <w:color w:val="auto"/>
              </w:rPr>
              <w:t>366,584</w:t>
            </w:r>
          </w:p>
        </w:tc>
        <w:tc>
          <w:tcPr>
            <w:tcW w:w="180" w:type="dxa"/>
            <w:vAlign w:val="bottom"/>
          </w:tcPr>
          <w:p>
            <w:pPr>
              <w:spacing w:after="0"/>
              <w:rPr>
                <w:sz w:val="21"/>
                <w:szCs w:val="21"/>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320,609</w:t>
            </w:r>
          </w:p>
        </w:tc>
        <w:tc>
          <w:tcPr>
            <w:tcW w:w="280" w:type="dxa"/>
            <w:vAlign w:val="bottom"/>
          </w:tcPr>
          <w:p>
            <w:pPr>
              <w:spacing w:after="0"/>
              <w:rPr>
                <w:sz w:val="21"/>
                <w:szCs w:val="21"/>
                <w:color w:val="auto"/>
              </w:rPr>
            </w:pP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377,468</w:t>
            </w:r>
          </w:p>
        </w:tc>
        <w:tc>
          <w:tcPr>
            <w:tcW w:w="26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302,852</w:t>
            </w:r>
          </w:p>
        </w:tc>
        <w:tc>
          <w:tcPr>
            <w:tcW w:w="220" w:type="dxa"/>
            <w:vAlign w:val="bottom"/>
          </w:tcPr>
          <w:p>
            <w:pPr>
              <w:spacing w:after="0"/>
              <w:rPr>
                <w:sz w:val="21"/>
                <w:szCs w:val="21"/>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249,805</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334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4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44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134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36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1380" w:type="dxa"/>
            <w:vAlign w:val="bottom"/>
            <w:shd w:val="clear" w:color="auto" w:fill="BFE4FF"/>
          </w:tcPr>
          <w:p>
            <w:pPr>
              <w:spacing w:after="0"/>
              <w:rPr>
                <w:sz w:val="24"/>
                <w:szCs w:val="24"/>
                <w:color w:val="auto"/>
              </w:rPr>
            </w:pPr>
          </w:p>
        </w:tc>
      </w:tr>
      <w:tr>
        <w:trPr>
          <w:trHeight w:val="341"/>
        </w:trPr>
        <w:tc>
          <w:tcPr>
            <w:tcW w:w="3340" w:type="dxa"/>
            <w:vAlign w:val="bottom"/>
          </w:tcPr>
          <w:p>
            <w:pPr>
              <w:ind w:left="20"/>
              <w:spacing w:after="0"/>
              <w:rPr>
                <w:sz w:val="20"/>
                <w:szCs w:val="20"/>
                <w:color w:val="auto"/>
              </w:rPr>
            </w:pPr>
            <w:r>
              <w:rPr>
                <w:rFonts w:ascii="Arial" w:cs="Arial" w:eastAsia="Arial" w:hAnsi="Arial"/>
                <w:sz w:val="18"/>
                <w:szCs w:val="18"/>
                <w:color w:val="auto"/>
              </w:rPr>
              <w:t xml:space="preserve">Asset charge % </w:t>
            </w:r>
            <w:r>
              <w:rPr>
                <w:rFonts w:ascii="Arial" w:cs="Arial" w:eastAsia="Arial" w:hAnsi="Arial"/>
                <w:sz w:val="25"/>
                <w:szCs w:val="25"/>
                <w:color w:val="auto"/>
                <w:vertAlign w:val="superscript"/>
              </w:rPr>
              <w:t>(1)</w:t>
            </w:r>
          </w:p>
        </w:tc>
        <w:tc>
          <w:tcPr>
            <w:tcW w:w="140" w:type="dxa"/>
            <w:vAlign w:val="bottom"/>
          </w:tcPr>
          <w:p>
            <w:pPr>
              <w:spacing w:after="0"/>
              <w:rPr>
                <w:sz w:val="24"/>
                <w:szCs w:val="24"/>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24"/>
                <w:szCs w:val="24"/>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24"/>
                <w:szCs w:val="24"/>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Asset charge represents the</w:t>
      </w:r>
      <w:r>
        <w:rPr>
          <w:rFonts w:ascii="Arial" w:cs="Arial" w:eastAsia="Arial" w:hAnsi="Arial"/>
          <w:sz w:val="9"/>
          <w:szCs w:val="9"/>
          <w:color w:val="auto"/>
        </w:rPr>
        <w:t xml:space="preserve"> </w:t>
      </w:r>
      <w:r>
        <w:rPr>
          <w:rFonts w:ascii="Arial" w:cs="Arial" w:eastAsia="Arial" w:hAnsi="Arial"/>
          <w:sz w:val="14"/>
          <w:szCs w:val="14"/>
          <w:i w:val="1"/>
          <w:iCs w:val="1"/>
          <w:color w:val="auto"/>
        </w:rPr>
        <w:t>risk-based required asset amount</w:t>
      </w:r>
      <w:r>
        <w:rPr>
          <w:rFonts w:ascii="Arial" w:cs="Arial" w:eastAsia="Arial" w:hAnsi="Arial"/>
          <w:sz w:val="9"/>
          <w:szCs w:val="9"/>
          <w:color w:val="auto"/>
        </w:rPr>
        <w:t xml:space="preserve"> </w:t>
      </w:r>
      <w:r>
        <w:rPr>
          <w:rFonts w:ascii="Arial" w:cs="Arial" w:eastAsia="Arial" w:hAnsi="Arial"/>
          <w:sz w:val="14"/>
          <w:szCs w:val="14"/>
          <w:color w:val="auto"/>
        </w:rPr>
        <w:t>divided by the outstanding RIF on performing primary loans.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GSE-imposed capital requirements, NMIC is also subject to state regulatory minimum capital requirements based on its insured RIF.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While formulations of this minimum capital may vary in each jurisdiction, the most common measure allows for a maximum permitted RTC ratio of 25:1.</w:t>
      </w:r>
    </w:p>
    <w:p>
      <w:pPr>
        <w:spacing w:after="0" w:line="1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NMIC's primary RIF was approximately $7.8 billion representing insurance on a total of 134,662 policies in force, and pool RIF was approximately $0.0 million, representing insurance on a total of 16,917 loans. Based on NMIC's reported total statutory capital of $473 million at December 31, 2016, NMIC's RTC ratio was 12.4:1, significantly below the regulatory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maximum RTC thresholds. Similarly, Re One had total statutory capital of $33 million at December 31, 2016, with a RTC ratio of .5:1.</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discussed above in Item 1, "</w:t>
      </w:r>
      <w:r>
        <w:rPr>
          <w:rFonts w:ascii="Arial" w:cs="Arial" w:eastAsia="Arial" w:hAnsi="Arial"/>
          <w:sz w:val="16"/>
          <w:szCs w:val="16"/>
          <w:i w:val="1"/>
          <w:iCs w:val="1"/>
          <w:color w:val="auto"/>
        </w:rPr>
        <w:t>Business - U.S. Mortgage Insurance Regulation - State Mortgage Insurance Regulation,</w:t>
      </w:r>
      <w:r>
        <w:rPr>
          <w:rFonts w:ascii="Arial" w:cs="Arial" w:eastAsia="Arial" w:hAnsi="Arial"/>
          <w:sz w:val="16"/>
          <w:szCs w:val="16"/>
          <w:color w:val="auto"/>
        </w:rPr>
        <w:t>" we, along with other MI companies, are working with the Mortgage Guaranty Insurance Working Group of the Financial Condition (E) Committee of the NAIC (Working Group). The Working Group will determine and make a recommendation to the Financial Condition (E) Committee of the NAIC as to what changes the Working Group believes are necessary to the solvency and market practices regulation of MI companies, including changes to the Mortgage Guaranty Insurers Model Act (Model #630). The Working Group has proposed a draft revised Model Act that contains risk-based capital requirements, which we and the MI industry are evaluating. We have provided feedback to the Working Group since early 2013, including comments on the risk-based capital approach. The Working Group's discussions are ongoing and the ultimate outcome of these discussions and any potential actions taken by the NAIC cannot be predicted at this time.</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2016, S&amp;P affirmed its "BBB-" financial strength and long-term counter-party credit ratings for NMIC. In July 2015, S&amp;P assigned its "BB-" long-term counter-party credit rating to NMIH. S&amp;P's outlook for both companies was "stable." In November 2015, Moody's Investors Service (Moody's) assigned a financial strength rating of "Ba2" for NMIC. Also at that time, Moody's assigned a B2 rating to the $150 million Term Loan held by NMIH. Moody's outlook for both companies was "stable."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governmental agencies like the FHA and the VA. See Part I, Item 1, "</w:t>
      </w:r>
      <w:r>
        <w:rPr>
          <w:rFonts w:ascii="Arial" w:cs="Arial" w:eastAsia="Arial" w:hAnsi="Arial"/>
          <w:sz w:val="18"/>
          <w:szCs w:val="18"/>
          <w:i w:val="1"/>
          <w:iCs w:val="1"/>
          <w:color w:val="auto"/>
        </w:rPr>
        <w:t>Business - Sales and Marketing and Competition - Competition,"</w:t>
      </w:r>
      <w:r>
        <w:rPr>
          <w:rFonts w:ascii="Arial" w:cs="Arial" w:eastAsia="Arial" w:hAnsi="Arial"/>
          <w:sz w:val="18"/>
          <w:szCs w:val="18"/>
          <w:color w:val="auto"/>
        </w:rPr>
        <w:t xml:space="preserve"> above.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companies compete based on service, customer relationships, underwriting, and other factors including price. In the recent past, lenders have pressured MIs to offer discounted rates, primarily on single premium LPMI. Higher capital requirements imposed by the PMIERs have also had an effect on premium rates. We expect the MI market to remain highly competitive, with pressure for industry participants to grow or maintain their market share in the coming years. Our competitors' respective shares of the private MI market for the quarter ended September 30, 2016 ranged from single percentage points penetration to a high of approximately 19%.</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there has been broad policy consensus toward the need for private capital to play a larger role and government credit risk to be reduced in the U.S. housing finance system, it remains difficult to predict whether the combined market share of governmental agencies such as the FHA and VA will recede to historical levels. In 2015, the FHA reduced some of its single-family annual mortgage insurance premiums, which had the effect of maintaining the FHA's elevated market share and continuing the increased role of government in the mortgage insurance market. In January 2017, the FHA announced further reductions to its annual premiums; however, before such reductions could take effect, the FHA announced that the cuts were suspended indefinitely. To date, the impact from the FHA's 2015 premium reduction has not had a significant impact on our continued growth in the market. We believe our pricing continues to be more attractive than the FHA's current pricing for a substantial majority of borrowers with credit and loan characteristics similar to those whose loans we insure. With the new Trump administration, it remains uncertain whether FHA will ultimately adopt the suspended reductions or otherwise reduce its mortgage insurance premiums again, or eliminate the non-cancelability of premiums, or whether Congress will continue to consider legislation to reform the FHA. There are factors beyond premium rate that influence a lender's decision to choose private MI over FHA insurance, including among others, the FHA's loan eligibility requirements, cancelability, loan size limits and the relative ease of use of private MI products compared to FHA products.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10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Pr>
          <w:p>
            <w:pPr>
              <w:spacing w:after="0"/>
              <w:rPr>
                <w:sz w:val="21"/>
                <w:szCs w:val="21"/>
                <w:color w:val="auto"/>
              </w:rPr>
            </w:pPr>
          </w:p>
        </w:tc>
        <w:tc>
          <w:tcPr>
            <w:tcW w:w="3060" w:type="dxa"/>
            <w:vAlign w:val="bottom"/>
            <w:gridSpan w:val="6"/>
          </w:tcPr>
          <w:p>
            <w:pPr>
              <w:jc w:val="right"/>
              <w:ind w:right="210"/>
              <w:spacing w:after="0"/>
              <w:rPr>
                <w:sz w:val="20"/>
                <w:szCs w:val="20"/>
                <w:color w:val="auto"/>
              </w:rPr>
            </w:pPr>
            <w:r>
              <w:rPr>
                <w:rFonts w:ascii="Arial" w:cs="Arial" w:eastAsia="Arial" w:hAnsi="Arial"/>
                <w:sz w:val="14"/>
                <w:szCs w:val="14"/>
                <w:i w:val="1"/>
                <w:iCs w:val="1"/>
                <w:color w:val="auto"/>
              </w:rPr>
              <w:t>(In Thousands, except for share data)</w:t>
            </w: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110,481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5,618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0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123,815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10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93,223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80,599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73,417</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from settlement of warrants</w:t>
            </w:r>
          </w:p>
        </w:tc>
        <w:tc>
          <w:tcPr>
            <w:tcW w:w="10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(14,848)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(51,292)</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(54,389)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65,841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(48,906)</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year ended December 31, 2016, we had net premiums earned of $110.5 million compared to net premiums earned of $45.5 million for the year ended December 31, 2015 and $13.4 million for the year ended December 31, 2014. The principal drivers of the increase in premiums earned for the year ended December 31, 2016 were the continued growth of our NIW and IIF, primarily related to our monthly products, and the continued development of our customer base, including higher allocations of business to us from existing customers, slightly offset by ceded premiums earned related to the 2016 QSR Transaction of $5.3 million. Premiums earned in 2014 and 2015 were primarily driven by growth of our policies in force and the significant development of our customer base. Additionally, we had $16.7 million of earned premiums in the year ended December 31, 2016 related to cancellations of single premium policies, compared to $4.4 million for the year ended December 31, 2015 and $1.9 million for the year ended December 31, 2014. We believe revenue from cancellations will be a lower portion of our revenue base as our IIF grows, particularly as interest rates have risen over the last quarter, causing refinance activity to slow. We will continue to experience higher than expected earnings from cancellations of single premium policies if interest rates remain low, and expect single premium policy cancellations to decrease if interest rates rise significantly.</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investment income has increased year over year from December 31, 2014, as a result of increases in the size of our consolidated investment portfolio. We realized a loss on investments of $0.7 million for the year ended December 31, 2016, compared to gains of $0.8 million and $0.2 million for the years ended December 31, 2015 and December 31, 2014,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have historically been related to business development and operating activities. Although we expect our year-over-year expenses to increase as we continue to grow our business, we ultimately expect that the majority of our operating expenses will be relatively fixed in the long term. Until our business matures, our expense ratio is expected to be significantly higher than the industry given the low levels of premium written compared to our "fixed" costs customary to operating an MI company. We expect to see a continued decrease in our expense ratio as our business matures and our revenues increase.</w:t>
      </w:r>
    </w:p>
    <w:p>
      <w:pPr>
        <w:spacing w:after="0" w:line="134"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Insurance claims and claim expenses increased for the year ended December 31, 2016 compared to the years ended December 31, 2015 and December 31, 2014, as a result of increases in our NODs, primarily due to increases in the number of policies-in-force year-over-year.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jc w:val="both"/>
        <w:ind w:firstLine="648"/>
        <w:spacing w:after="0" w:line="259" w:lineRule="auto"/>
        <w:rPr>
          <w:sz w:val="20"/>
          <w:szCs w:val="20"/>
          <w:color w:val="auto"/>
        </w:rPr>
      </w:pPr>
      <w:r>
        <w:rPr>
          <w:rFonts w:ascii="Arial" w:cs="Arial" w:eastAsia="Arial" w:hAnsi="Arial"/>
          <w:sz w:val="18"/>
          <w:szCs w:val="18"/>
          <w:color w:val="auto"/>
        </w:rPr>
        <w:t>Employee compensation represents the majority of our operating expense, which includes both cash and share-based compensation. Our underwriting and operating expenses grew year-over-year primarily as the result of hiring new employees and expanding our operations and sales activities. Our headcount grew from 189 and 243 at December 31, 2014 at December 31, 2015, respectively, to 276 at December 31, 2016. Underwriting and operating expenses also include costs related to policy acquisition, technology, professional services and facilities.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incurred interest expense in 2015 and 2016 related to the Term Loan entered into during the fourth quarter of 2015.</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recorded $54.4 million of income tax benefit for the year ended December 31, 2016 compared to $0.0 of income tax expense for the year ended December 31, 2015 and $2.4 million of income tax benefit for the year ended December 31, 2014. See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 - Notes to Consolidated Financial Statements - Note 11,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recognized net income of $65.8 million for the year ended December 31, 2016 compared to net losses of $27.8 million and $48.9 million for the years ended December 31, 2015 and December 31, 2014, respectively. The primary driver of the profitable year ended December 31, 2016, compared to the years ended December 31, 2015 and December 31, 2014, was the significant increase in premiums earned from our IIF as a result of the addition of new customers and higher allocations of business to us from existing customers, slightly offset by personnel and external costs.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628,969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559,235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47,746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57,317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30,109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17,530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reinsurance premiums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37,921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8,025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841,737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144,353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143,939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90,773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25,297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22,725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Reinsurance funds withheld</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30,633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ceding commission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364,388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259,720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841,737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December 31, 2016, we had approximately $677 million in cash and investments of which $74.1 million was held at NMIH. The increase in cash and investments from year-end 2015 relates directly to the magnitude of premiums collected in 2016, less operating expenses and capital expenditures.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deferred policy acquisition asset was $30.1 million as of December 31, 2016 compared to $17.5 million at December 31, 2015. The increase was driven by the deferrable costs associated with premiums written during the year ended December 31, 2016 of $134.7 million.</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software and equipment balance increased from $15.2 million at December 31, 2015 to $20.4 million at December 31, 2016, primarily due to the continued development of our technology platform to support the growth of our business, offset by depreciation and amortization expense during the year.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jc w:val="both"/>
        <w:ind w:right="20" w:firstLine="648"/>
        <w:spacing w:after="0" w:line="277" w:lineRule="auto"/>
        <w:rPr>
          <w:sz w:val="20"/>
          <w:szCs w:val="20"/>
          <w:color w:val="auto"/>
        </w:rPr>
      </w:pPr>
      <w:r>
        <w:rPr>
          <w:rFonts w:ascii="Arial" w:cs="Arial" w:eastAsia="Arial" w:hAnsi="Arial"/>
          <w:sz w:val="18"/>
          <w:szCs w:val="18"/>
          <w:color w:val="auto"/>
        </w:rPr>
        <w:t>Our premiums receivable balance increased from $5.1 million at December 31, 2015 to $13.7 million as of December 31, 2016 primarily as a result of the growth in IIF of our monthly policies.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prepaid reinsurance balance was $37.9 million as of December 31, 2016, which reflects the ceded unearned premium balance related to the 2016 QSR Transaction entered into during the third quarter of 2016.</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from $90.8 million as of December 31, 2015 to $152.9 million as of December 31, 2016 due to single premiums written in 2016, offset by cancellations of LPMI policies previously discussed and earnings of existing unearned premiums in accordance with the expiration of risk in the related policies.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NODs received in 2016, our reserves for insurance claims and claims expenses increased to $3.0 million at December 31, 2016 compared to $679 thousand at December 31, 2015. See, Item 8, "</w:t>
      </w:r>
      <w:r>
        <w:rPr>
          <w:rFonts w:ascii="Arial" w:cs="Arial" w:eastAsia="Arial" w:hAnsi="Arial"/>
          <w:sz w:val="18"/>
          <w:szCs w:val="18"/>
          <w:i w:val="1"/>
          <w:iCs w:val="1"/>
          <w:color w:val="auto"/>
        </w:rPr>
        <w:t>Financial Statements and Supplementary Data - Notes to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Note 7, Reserves for Insurance Claims and Claims Expenses.</w:t>
      </w:r>
      <w:r>
        <w:rPr>
          <w:rFonts w:ascii="Arial" w:cs="Arial" w:eastAsia="Arial" w:hAnsi="Arial"/>
          <w:sz w:val="18"/>
          <w:szCs w:val="18"/>
          <w:color w:val="auto"/>
        </w:rPr>
        <w:t>"</w:t>
      </w:r>
    </w:p>
    <w:p>
      <w:pPr>
        <w:spacing w:after="0" w:line="1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accounts payable and accrued expenses increased to $25.3 million as of December 31, 2016 from $22.7 million at December 31, 2015. The increase was primarily driven by an increase in accruals for liabilities related to increased headcount, accrued premium taxes and IT costs.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ceding commission related to the 2016 QSR Transaction was $4.8 million as of December 31, 2016.</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funds withheld was $30.6 million as of December 31, 2016, representing reinsurance premiums payable, offset by our profit and ceding commission receivables related to the 2016 QSR Transaction.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warrant liability increased to $3.4 million at December 31, 2016 from $1.5 million at December 31, 2015, as a result of an increase in our stock price during 2016, from $6.77 at December 31, 2015 to $10.65 at December 31, 2016.</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94"/>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0"/>
        </w:trPr>
        <w:tc>
          <w:tcPr>
            <w:tcW w:w="60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41,463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(79,792)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68,082</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142,998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47,092</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activities generated positive cash flow for the years ended December 31, 2016 and December 31, 2015, compared to the year ended December 31, 2014, due primarily to the collection of premiums offset by the continued hiring of management and staff personnel and costs for contract and professional services.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years ended December 31, 2016 and December 31, 2015 was $79.8 million and $230.2 million, respectively, compared to cash provided by investing activities in the same period in 2014 of $68.1 million. Amounts used for investment activities in 2015 and 2016 were for securities acquisitions in those years, primarily from the proceeds of the Term Loan.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flow used in financing activities totaled $1.7 million for the year ended December 31, 2016, due primarily to the repayment of principal of $1.5 million under the Term Loan, compared to cash inflows from the Term Loan for the year ended December 31,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subsidiaries; (iii) potential tax payments to the Internal Revenue Service (IRS); (iv) the payment of principal and interest related to the Term Loan; and (v)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December 31, 2016, NMIH's shareholders' equity was approximately $477 million.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65" w:right="239" w:bottom="1440" w:gutter="0" w:footer="0" w:header="0"/>
        </w:sectPr>
      </w:pPr>
    </w:p>
    <w:bookmarkStart w:id="68" w:name="page69"/>
    <w:bookmarkEnd w:id="68"/>
    <w:p>
      <w:pPr>
        <w:jc w:val="both"/>
        <w:ind w:firstLine="648"/>
        <w:spacing w:after="0" w:line="277" w:lineRule="auto"/>
        <w:rPr>
          <w:sz w:val="20"/>
          <w:szCs w:val="20"/>
          <w:color w:val="auto"/>
        </w:rPr>
      </w:pPr>
      <w:r>
        <w:rPr>
          <w:rFonts w:ascii="Arial" w:cs="Arial" w:eastAsia="Arial" w:hAnsi="Arial"/>
          <w:sz w:val="18"/>
          <w:szCs w:val="18"/>
          <w:color w:val="auto"/>
        </w:rPr>
        <w:t>As of December 31, 2016, NMIH had $74 million of cash and investments. NMIH's principal source of operating cash is investment income and in the future could include dividends from NMIC, if available and permitted under law and by the GSEs.</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NMIH may make additional capital contributions to its insurance subsidiaries to support their applicable capital adequacy requirements from time-to-time.</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has entered into expense-sharing agreements with its subsidiaries which have been approved by the Wisconsin OCI, but such approval may be changed or revoked at any time. NMIC's ability to pay dividends to NMIH is subject to insurance department notice or approval. In general, dividends in excess of prescribed limits are deemed "extraordinary" and require insurance regulatory approval. Since inception, NMIC has not paid any dividends to NMIH. As NMIC had a statutory net loss for the year ended December 31, 2015, NMIC cannot pay any dividends to NMIH through December 31, 2016 without the prior approval of the Wisconsin OCI. Certain other states in which NMIC is licensed also have statutes or regulations that restrict its ability to pay dividends.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in force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slower rate than our NIW over the coming years.</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2015, NMIH entered into the Credit Agreement for the Term Loan to support the continued growth of its IIF. On February 9, 2017, NMIH amended the Credit Agreement (the Amendment) to reduce the interest rate and extend the maturity date from November 10, 2018 to November 10, 2019. The Credit Agreement contains various restrictive covenants and required financial ratios and tests (which were not modified by the Amendment) that we are required to meet or maintain. These covenants include, but are not limited to the following: a maximum debt-to-total capitalization ratio (as defined) of 35%, maximum RTC ratio of 22.0:1.0, liquidity (as defined) of $25.5 million as of December 31, 2016, compliance with PMIERs financial requirements (subject to any GSE-approved waivers), and minimum equity requirements. Prior to the Amendment, the Term Loan accrued interest at the Eurodollar Rate (1%) plus an annual margin rate of 7.5% (an all-in rate of 8.75% at December 31, 2016), payable quarterly. After the Amendment, the Term Loan bears interest at the Eurodollar Rate (1%) plus an annual margin rate of 6.75%, payable quarterly. The Company recorded $14.8 million of interest expense for the year ended December 31,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net investment income for the year ended December 31, 2016 was $13.8 million, compared to $7.2 million for the year ended December 31, 2015 and $5.6 million for the year ended December 31, 2014. As of December 31, 2016,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Consistent with Wisconsin law, our investment policies emphasize preservation of capital, as well as total return. Based on our guidelines, our current investment portfolio is comprised almost entirely of cash and cash equivalents and fixed-income securities, all of which are investment grade. Prior to the third quarter of 2014, our investment portfolio consisted of A rated securities or better. During the third quarter of 2014, we changed our investment guidelines to allow 10-15% of the investment portfolio to be invested in BBB securities. As of December 31, 2016, approximately 13% of the investment portfolio was invested in BBB securities.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pre-tax book yield on our portfolio, excluding unrealized gains and losses, was 2.0% for the year ended December 31, 2016, compared to 1.8% for the year ended December 31, 2015 and 1.5% for the year ended December 31, 2014. The book yield for each year presented is calculated on the year-to-date net investment income over our average portfolio book value at December 31. We believe that the yield on our investment portfolio likely will change over time based on potential changes to the interest rate environment, the duration or mix of our investment portfolio or other factors.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2016</w:t>
            </w:r>
          </w:p>
        </w:tc>
        <w:tc>
          <w:tcPr>
            <w:tcW w:w="178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grade</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Below investment grade</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ratings above are provided by one or more of: Moody's, Standard &amp; Poor's and Fitch Ratings. If three ratings are available, we assign the middle rating for classification purposes, otherwise we assign the lowest rating.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We are a U.S. taxpayer and are subject to a statutory U.S. federal corporate income tax rate of 35%. Our holding company files a consolidated U.S. federal and various state income tax returns on behalf of itself and its subsidiaries. Our effective income tax rate on our pre-tax income was (474.9)% for the year ended December 31, 2016. Our effective income tax rate on our pre-tax loss was 0.0% and 4.7% for the years ended December 31, 2015 and 2014, respectively. For further information regarding income taxes and their impact on our results of operations and financial position, see,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and Supplementary Data - Notes to Consolidated Financial Statements - Note 11, Income Taxes."</w:t>
      </w:r>
    </w:p>
    <w:p>
      <w:pPr>
        <w:spacing w:after="0" w:line="1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Since inception and prior to December 31, 2016, we recorded a valuation allowance against deferred tax assets, and, as such, we generally did not record a benefit associated with the losses incurred in prior periods or other income tax benefits. (Income tax benefits recognized in prior periods were related to the tax effects of unrealized gains credited to other comprehensive income (OCI).) At December 31, 2016, after weighing applicable evidence, we concluded that it is more-likely-than-not that our deferred tax assets will be realized. As a result, as of December 31, 2016, we have released the valuation allowance on federal and certain state deferred tax assets. A valuation allowance will continue to be recorded against net state deferred tax assets, primarily related to state net operating losses generated by NMIH that we do not expect to be utilized. NMIH operates at a loss and currently only generates revenue from its investment portfolio. Starting in 2017, we expect that our consolidated effective tax rate will approximate the statutory tax rates.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the positive evidence that weighed in favor of releasing the valuation allowance and ultimately outweighed the negative evidence against releasing the allowance included:</w:t>
      </w:r>
    </w:p>
    <w:p>
      <w:pPr>
        <w:spacing w:after="0" w:line="11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net operating loss carryforwards are expected to be fully utilized by 2018;</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other deferred tax assets are based on known recognition schedules and our expectation is that the majority will either reverse in the next three years or are related to deferred tax liabilities;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significant unearned premium balance which represents future revenue that will be earned over the policies' lives;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substantial growth in our IIF driving the increase in net premiums;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positive earnings trends from quarterly and annual increases in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taxable income in 2016 and our expected taxable income in future years;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 that we will be in a cumulative profit in a three-year period in 2017.</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primary negative evidence that was considered was our cumulative losses in recent years. Although ASC 740 does not define the term or the length of time to consider when calculating the cumulative loss, practice and interpretations suggest that the guideline, not a “bright line”, is to aggregate the pretax results as adjusted for permanent items for three years (</w:t>
      </w:r>
      <w:r>
        <w:rPr>
          <w:rFonts w:ascii="Arial" w:cs="Arial" w:eastAsia="Arial" w:hAnsi="Arial"/>
          <w:sz w:val="18"/>
          <w:szCs w:val="18"/>
          <w:i w:val="1"/>
          <w:iCs w:val="1"/>
          <w:color w:val="auto"/>
        </w:rPr>
        <w:t>i.e.</w:t>
      </w:r>
      <w:r>
        <w:rPr>
          <w:rFonts w:ascii="Arial" w:cs="Arial" w:eastAsia="Arial" w:hAnsi="Arial"/>
          <w:sz w:val="18"/>
          <w:szCs w:val="18"/>
          <w:color w:val="auto"/>
        </w:rPr>
        <w:t>, the current and the two preceding years).</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has concluded that positive evidence of sufficient quantity and quality outweighs negative evidence, and supports our conclusion that it is more-likely-than-not that the Company will realize its federal and certain state deferred tax assets. The reversal of the Company’s beginning-of-the-year valuation allowance against such deferred tax assets (resulting from a change in judgment about the realizability of the related deferred tax assets in future years) is consistent with the requirements of ASC 740-10-45-20. We have recorded the effects of the change in income from continuing operations, generating a financial statement benefit of $60.0 million and $0.3 million related to net federal and certain state deferred tax assets, respectively. A tax effected valuation allowance of $7.3 million, $66.4 million, and $53.7 million was recorded at December 31, 2016, 2015 and 2014, respectively, to reflect the amount of the deferred taxes that more-likely-than-not will not be realized.</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2016, we had a federal net operating loss carryforward of $121.1 million, which expires from 2030 to 2035, and state net operating loss carryforwards of $63.6 million, which primarily expire from 2031 to 2036. Section 382 of the Internal Revenue Code (Section 382) imposes annual limitations on a corporation's ability to utilize its net operating losses (NOLs) if it experiences an “ownership change.” As a result of the acquisition of our insurance subsidiaries, $7.3 million of NOLs are subject to annual limitations of $0.8 million through 2016, then $0.3 million through 2029. If we were to experience another “ownership change,” further limitations would apply.</w:t>
      </w:r>
    </w:p>
    <w:p>
      <w:pPr>
        <w:spacing w:after="0" w:line="13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There is a tax sharing agreement between NMIH and its subsidiaries, dated August 23, 2012 and amended on September 1, 2016. Under this agreement, each of the parties mutually agreed to file a consolidated federal income tax return for 2012 and subsequent tax years, with NMIH as the direct tax filer. The tax liability of each subsidiary that is party to the agreement is limited to the amount of liability it would incur if it filed a separate tax return.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no off-balance sheet arrangements at December 31, 2016. Contractual obligations at December 31, 2016 are summarized in the table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1-3 years</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14,615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159,602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9"/>
              </w:rPr>
              <w:t>Other long-term liabilities reflected on the registrant's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balance sheet under GAAP</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18,392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166,202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*Long-term debt relates to our $150 million Credit Agreement and includes future interest payments using the minimum interest rate in effect at December 31, 2016 (prior to the Amendment) of 8.75%.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These critical accounting policies and estimates are summarized below.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MI industry, a "book" is a group of loans that an MI company insures in a particular period, normally a calendar year. We set premiums at the time a policy is issued based on our filed rates and rating rules. The policies we issue are guaranteed renewable contracts at the policyholder's option. Premiums may be paid to us on a single, annual or monthly premium basis. We generally have no ability to re-underwrite or reprice these contracts. Premiums written on a single premium basis and an annual premium basis are initially deferred as unearned premium reserve and earned over the policy's expected life commencing in the month coverage is effective. Premiums written on policies covering more than one year are amortized over the policy's expected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and any refundable premium is returned to the policyholder. Premiums returned to policyholders are recorded as a reduction of written and earned premiums in the current period. The actual return of premium for all periods affects premiums written and earned in those periods.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Claims and Claims Expenses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Consistent with industry accounting practices, for purposes of establishing claim reserves, we adhere to the general claim reserving principles contained in ASC 944,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(ASC 944), even though that standard expressly excludes mortgage insurance from its guidance. Consistent with our industry, we do not establish claim reserves for anticipated future claims on insured loans that are not currently in default. We do not consider a loan to be in default for claim reserve purposes until we receive notice from the servicer that a borrower has failed to make two consecutive regularly scheduled payments and is at least sixty days in default. Default is defined in our Master Policy as the failure by a borrower to pay when due an amount equal to the scheduled mortgage payment due under the terms of a loan or the failure by a borrower to pay all amounts due under a loan after the exercise of the due on sale clause of such loan. In addition to reserves on reported defaults, we establish IBNR reserves for estimated claims incurred on loans that have been in default for at least sixty days that have not yet been reported to us by the servicers.</w:t>
      </w:r>
    </w:p>
    <w:p>
      <w:pPr>
        <w:spacing w:after="0" w:line="1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establishment of claim and IBNR reserves is subject to inherent uncertainty and requires significant judgment by management. We establish claim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claims on loans reported to us as being at least sixty days in default as of the end of each reporting period. We estimate IBNR by analyzing historical lags in default reporting to determine a specific number of IBNR claims in each reporting period. We utilize internal and external data to estimate lags in NOD reporting. Additionally, our estimates of claim rates and claim sizes are strongly influenced by prevailing economic conditions, for example current rates or trends in unemployment, house price appreciation and/or interest rates, and our best judgment as to the future values or trends of these macroeconomic factors.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left="140" w:firstLine="500"/>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Prices or valuations based on observable inputs other than quoted prices in active markets for identical assets and liabilities.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ind w:left="140" w:firstLine="500"/>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left="140" w:firstLine="500"/>
        <w:spacing w:after="0" w:line="287"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however, we do perform quality checks and review the prices received.</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left="140" w:firstLine="500"/>
        <w:spacing w:after="0" w:line="264" w:lineRule="auto"/>
        <w:rPr>
          <w:sz w:val="20"/>
          <w:szCs w:val="20"/>
          <w:color w:val="auto"/>
        </w:rPr>
      </w:pPr>
      <w:r>
        <w:rPr>
          <w:rFonts w:ascii="Arial" w:cs="Arial" w:eastAsia="Arial" w:hAnsi="Arial"/>
          <w:sz w:val="18"/>
          <w:szCs w:val="18"/>
          <w:color w:val="auto"/>
        </w:rPr>
        <w:t>Our outstanding warrants are valued using a Black-Scholes option-pricing model, in combination with a binomial model. We use a Monte-Carlo simulation model to value the pricing protection features within the warrants. Variables in the model include the risk-free rate of return, dividend yield, expected life and expected volatility of our stock price.</w:t>
      </w:r>
    </w:p>
    <w:p>
      <w:pPr>
        <w:spacing w:after="0" w:line="127" w:lineRule="exact"/>
        <w:rPr>
          <w:sz w:val="20"/>
          <w:szCs w:val="20"/>
          <w:color w:val="auto"/>
        </w:rPr>
      </w:pPr>
    </w:p>
    <w:p>
      <w:pPr>
        <w:jc w:val="both"/>
        <w:ind w:left="140" w:firstLine="500"/>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(loss) income in shareholders' equity. Net realized investment gains and losses are reported in income based upon specific identification of securities sold, and are reclassified out of accumulated other comprehensive (loss) income.</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fiscal quarter we evaluate our investments in order to determine whether declines in fair value below amortized cost were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Premium Deficiency Reserve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The calculation of premium deficiency reserves requires the use of significant judgment and estimates to determine the present value of future premiums and present value of expected claims and expenses on our business. The present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7"/>
          <w:szCs w:val="17"/>
          <w:color w:val="auto"/>
        </w:rPr>
        <w:t>value of future premiums relies on, among other things, assumptions about persistency and repayment patterns on underlying loans. The present value of expected claims and expenses depends on assumptions relating to severity of claims, claim rates on current defaults and expected defaults in future periods. These assumptions may also include an estimate of expected rescission activity. Assumptions used in calculating premium deficiency reserves can be affected by volatility in the current housing and mortgage lending industries. To the extent premium patterns and actual claim experience differ from the assumptions used in calculating a premium deficiency reserve, the differences between the actual results and our estimate will affect future period earnings. In considering the potential sensitivity of the factors underlying our best estimate of premium deficiency reserves, it is possible that even a relatively small change in estimated claim rate or a relatively small percentage change in estimated claim amount could have a significant impact on establishing a premium deficiency reserve, should one be needed, and, correspondingly, on our operating results.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account for income taxes using the liability method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 We evaluate the need for a valuation allowance against deferred tax assets on a quarterly basis. In the course of our review, we assess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management's expectations regarding the realization of tax benefits.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 xml:space="preserve">Derivatives and Hedging - Contracts in Entity's Own Equity. </w:t>
      </w:r>
      <w:r>
        <w:rPr>
          <w:rFonts w:ascii="Arial" w:cs="Arial" w:eastAsia="Arial" w:hAnsi="Arial"/>
          <w:sz w:val="16"/>
          <w:szCs w:val="16"/>
          <w:color w:val="auto"/>
        </w:rPr>
        <w:t>Our outstanding warrants may be settled by us using either (i) a physical settlement method or</w:t>
      </w:r>
    </w:p>
    <w:p>
      <w:pPr>
        <w:jc w:val="both"/>
        <w:ind w:firstLine="8"/>
        <w:spacing w:after="0" w:line="253" w:lineRule="auto"/>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cashless exercise, where shares that are issued upon exercise of the warrants are reduced to cover the cost of the exercise, in lieu of the holder remitting a cash payment of the exercise price. The warrants expire, and are not exercisable after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date they were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We calculate the fair value of the warrants using a Black-Scholes option-pricing model in combination with a binomial model. We use a Monte Carlo simulation model to value the pricing protection features within the warrants. Variables in the model include the fair value of the stock, risk-free rate of return, dividend yield, expected life and expected volatility of the Company's stock price.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account for share-based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 ASC 718 addresses accounting for share-based awards and recognizes compensation expense, measured using grant date fair value, over the requisite service or performance period of the award. Share-based payments include stock options and restricted stock unit (RSU) grants under the 2012 Stock Incentive Plan and the NMIH 2014 Omnibus Incentive Plan. We determine the fair value of issued stock option grants using an option pricing model, which takes into account various assumptions that are subjective. Key assumptions used in the stock option valuation include the expected term of the option award, taking into account the contractual term of the award, the effects of expected exercise and post-vesting termination behavior, expected volatility, expected dividends and the risk-free interest rate for the expected term of the award. RSU grants to employees contain a market and/or service condition. The fair value of RSU grants to employees prior to our IPO was determined using a Monte Carlo Simulation model at the date of grant. Following the IPO, fair value was determined based on closing price on the grant date. Restricted grants to non-employee directors are valued at our stock price on the date of grant less the present value of anticipated dividends. Expense is recognized over the required service period, which is generally a three-year vesting period for the options (vesting in one-third increments per year).</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There were no stock options granted in 2016. The estimated grant date fair values of the stock options granted during 2015 and 2014 were calculated using the Black-Scholes valuation model. See Item 8, </w:t>
      </w:r>
      <w:r>
        <w:rPr>
          <w:rFonts w:ascii="Arial" w:cs="Arial" w:eastAsia="Arial" w:hAnsi="Arial"/>
          <w:sz w:val="18"/>
          <w:szCs w:val="18"/>
          <w:i w:val="1"/>
          <w:iCs w:val="1"/>
          <w:color w:val="auto"/>
        </w:rPr>
        <w:t>"Financial Statements and Supplementary Data - Notes to Consolidated Financial Statements - Note</w:t>
      </w:r>
      <w:r>
        <w:rPr>
          <w:rFonts w:ascii="Arial" w:cs="Arial" w:eastAsia="Arial" w:hAnsi="Arial"/>
          <w:sz w:val="18"/>
          <w:szCs w:val="18"/>
          <w:color w:val="auto"/>
        </w:rPr>
        <w:t xml:space="preserve"> </w:t>
      </w:r>
      <w:r>
        <w:rPr>
          <w:rFonts w:ascii="Arial" w:cs="Arial" w:eastAsia="Arial" w:hAnsi="Arial"/>
          <w:sz w:val="18"/>
          <w:szCs w:val="18"/>
          <w:i w:val="1"/>
          <w:iCs w:val="1"/>
          <w:color w:val="auto"/>
        </w:rPr>
        <w:t>10, Share-Based Compensation."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RSUs which are subject to a service condition, expense is recognized over the required service period, which is generally a three-year vesting period (vesting in one-third increments per year). Expense is measured by multiplying the number of RSUs by the grant date fair value.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grant date fair values of the RSUs granted in 2012 that are subject to both a market and service condition were calculated using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Monte Carlo Simulation model based on the average outcome of 150,000 simulations using the following assumptions: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 years</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9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297"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w:t>
      </w:r>
      <w:r>
        <w:rPr>
          <w:rFonts w:ascii="Arial" w:cs="Arial" w:eastAsia="Arial" w:hAnsi="Arial"/>
          <w:sz w:val="17"/>
          <w:szCs w:val="17"/>
          <w:i w:val="1"/>
          <w:iCs w:val="1"/>
          <w:color w:val="auto"/>
        </w:rPr>
        <w:t>e.g.</w:t>
      </w:r>
      <w:r>
        <w:rPr>
          <w:rFonts w:ascii="Arial" w:cs="Arial" w:eastAsia="Arial" w:hAnsi="Arial"/>
          <w:sz w:val="17"/>
          <w:szCs w:val="17"/>
          <w:color w:val="auto"/>
        </w:rPr>
        <w:t>,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December 31, 2016 and 2015 was $629 million and $559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2016, the duration of our fixed income portfolio, including cash and cash equivalents, was 0.56 years, which means that an instantaneous parallel shift (movement up or down) in the yield curve of 100 basis points would result in a change of 0.56% in fair value of our fixed income portfolio. Excluding cash, our fixed income portfolio duration was 1.02 years, which means that an instantaneous parallel shift (movement up or down) in the yield curve of 100 basis points would result in a change of 1.02% in fair value of our fixed income portfolio.</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As discussed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5, Term Loan,</w:t>
      </w:r>
      <w:r>
        <w:rPr>
          <w:rFonts w:ascii="Arial" w:cs="Arial" w:eastAsia="Arial" w:hAnsi="Arial"/>
          <w:sz w:val="18"/>
          <w:szCs w:val="18"/>
          <w:color w:val="auto"/>
        </w:rPr>
        <w:t>" the Term Loan bears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 BDO USA LLP</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2016 and 2015</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Consolidated Statements of Operations and Comprehensive Income (Loss) for each of the years in the three-year period ended December 31, 2016</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80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Changes in Shareholders' Equity for each of the years in the three-year period ended December 31, 2016</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in the three-year period ended December 31, 2016</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r>
      <w:tr>
        <w:trPr>
          <w:trHeight w:val="723"/>
        </w:trPr>
        <w:tc>
          <w:tcPr>
            <w:tcW w:w="11220" w:type="dxa"/>
            <w:vAlign w:val="bottom"/>
          </w:tcPr>
          <w:p>
            <w:pPr>
              <w:ind w:left="5620"/>
              <w:spacing w:after="0"/>
              <w:rPr>
                <w:sz w:val="20"/>
                <w:szCs w:val="20"/>
                <w:color w:val="auto"/>
              </w:rPr>
            </w:pPr>
            <w:r>
              <w:rPr>
                <w:rFonts w:ascii="Arial" w:cs="Arial" w:eastAsia="Arial" w:hAnsi="Arial"/>
                <w:sz w:val="18"/>
                <w:szCs w:val="18"/>
                <w:color w:val="auto"/>
              </w:rPr>
              <w:t>77</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NMI Holdings, Inc. as of December 31, 2016 and 2015, and the related consolidated statements of operations and comprehensive income(loss), changes in shareholders' equity, and cash flows for each of the years in the three-year period ended December 31, 2016. In connection with our audits of the financial statements, we have also audited the financial statement schedules listed in the accompanying index. These financial statements and schedules are the responsibility of the Company's management. Our responsibility is to express an opinion on these financial statements and schedules based on our audits.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schedules. We believe that our audits provide a reasonable basis for our opinion.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NMI Holdings, Inc. at December 31, 2016 and 2015, and the results of their operations and their cash flows for each of the years in the three-year period ended December 31, 2016, in conformity with accounting principles generally accepted in the United States of America.</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our opinion, the financial statement schedules,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78"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Fixed maturities, available-for-sale, at fair value (amortized cost of $630,688 and $564,319 as of</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2016 and December 31, 2015,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628,969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559,235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47,746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57,317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2,873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17,530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53,274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841,737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r>
      <w:tr>
        <w:trPr>
          <w:trHeight w:val="311"/>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152,906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90,773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 net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59,145,161 and 58,807,825 shares issued and outstanding as of December 31, 2016 and December 31,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 respectively (250,000,000 shares 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576,927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570,340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(160,723)</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841,737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44"/>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60" w:type="dxa"/>
            <w:vAlign w:val="bottom"/>
            <w:gridSpan w:val="6"/>
          </w:tcPr>
          <w:p>
            <w:pPr>
              <w:jc w:val="right"/>
              <w:ind w:right="210"/>
              <w:spacing w:after="0"/>
              <w:rPr>
                <w:sz w:val="20"/>
                <w:szCs w:val="20"/>
                <w:color w:val="auto"/>
              </w:rPr>
            </w:pPr>
            <w:r>
              <w:rPr>
                <w:rFonts w:ascii="Arial" w:cs="Arial" w:eastAsia="Arial" w:hAnsi="Arial"/>
                <w:sz w:val="14"/>
                <w:szCs w:val="14"/>
                <w:i w:val="1"/>
                <w:iCs w:val="1"/>
                <w:color w:val="auto"/>
              </w:rPr>
              <w:t>(In Thousands, except for share data)</w:t>
            </w:r>
          </w:p>
        </w:tc>
        <w:tc>
          <w:tcPr>
            <w:tcW w:w="1280" w:type="dxa"/>
            <w:vAlign w:val="bottom"/>
          </w:tcPr>
          <w:p>
            <w:pPr>
              <w:spacing w:after="0"/>
              <w:rPr>
                <w:sz w:val="21"/>
                <w:szCs w:val="2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5,618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123,815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93,223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80,599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73,417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73,500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from settlement of warrants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2,986</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11,452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(51,292)</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65,841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(48,906)</w:t>
            </w:r>
          </w:p>
        </w:tc>
      </w:tr>
      <w:tr>
        <w:trPr>
          <w:trHeight w:val="311"/>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59,070,948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58,683,194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58,281,425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60,829,372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58,683,194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58,281,425</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65,841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(48,906)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2"/>
              </w:rPr>
              <w:t>Net unrealized gains (losses) in accumulated other comprehensive income (loss),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0"/>
              </w:rPr>
              <w:t>net of tax expense of $1,178, $0, and $2,390 for each of the years in the three-year</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period ended December 31, 2016, respectively</w:t>
            </w:r>
          </w:p>
        </w:tc>
        <w:tc>
          <w:tcPr>
            <w:tcW w:w="42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3,636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Reclassification adjustment for (gains) losses included in net income (loss), net of</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of $0 for the each of the years in the three-year period ended</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3,440</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68,028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0" w:name="page81"/>
    <w:bookmarkEnd w:id="80"/>
    <w:p>
      <w:pPr>
        <w:jc w:val="center"/>
        <w:ind w:right="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400" w:type="dxa"/>
        <w:tblCellMar>
          <w:top w:w="0" w:type="dxa"/>
          <w:left w:w="0" w:type="dxa"/>
          <w:bottom w:w="0" w:type="dxa"/>
          <w:right w:w="0" w:type="dxa"/>
        </w:tblCellMar>
      </w:tblPr>
      <w:tr>
        <w:trPr>
          <w:trHeight w:val="171"/>
        </w:trPr>
        <w:tc>
          <w:tcPr>
            <w:tcW w:w="2520" w:type="dxa"/>
            <w:vAlign w:val="bottom"/>
            <w:gridSpan w:val="2"/>
          </w:tcPr>
          <w:p>
            <w:pPr>
              <w:ind w:left="500"/>
              <w:spacing w:after="0"/>
              <w:rPr>
                <w:sz w:val="20"/>
                <w:szCs w:val="20"/>
                <w:color w:val="auto"/>
              </w:rPr>
            </w:pPr>
            <w:r>
              <w:rPr>
                <w:rFonts w:ascii="Arial" w:cs="Arial" w:eastAsia="Arial" w:hAnsi="Arial"/>
                <w:sz w:val="14"/>
                <w:szCs w:val="14"/>
                <w:b w:val="1"/>
                <w:bCs w:val="1"/>
                <w:color w:val="auto"/>
              </w:rPr>
              <w:t>Common Stock - Class A</w:t>
            </w:r>
          </w:p>
        </w:tc>
        <w:tc>
          <w:tcPr>
            <w:tcW w:w="1300" w:type="dxa"/>
            <w:vAlign w:val="bottom"/>
          </w:tcPr>
          <w:p>
            <w:pPr>
              <w:spacing w:after="0"/>
              <w:rPr>
                <w:sz w:val="14"/>
                <w:szCs w:val="14"/>
                <w:color w:val="auto"/>
              </w:rPr>
            </w:pPr>
          </w:p>
        </w:tc>
        <w:tc>
          <w:tcPr>
            <w:tcW w:w="14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Accumulated Other</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30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6"/>
              </w:rPr>
              <w:t>Additional</w:t>
            </w:r>
          </w:p>
        </w:tc>
        <w:tc>
          <w:tcPr>
            <w:tcW w:w="1420" w:type="dxa"/>
            <w:vAlign w:val="bottom"/>
            <w:vMerge w:val="restart"/>
          </w:tcPr>
          <w:p>
            <w:pPr>
              <w:jc w:val="center"/>
              <w:ind w:left="8"/>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2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Amount</w:t>
            </w:r>
          </w:p>
        </w:tc>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Class B</w:t>
            </w:r>
          </w:p>
        </w:tc>
        <w:tc>
          <w:tcPr>
            <w:tcW w:w="130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Paid-in Capital</w:t>
            </w:r>
          </w:p>
        </w:tc>
        <w:tc>
          <w:tcPr>
            <w:tcW w:w="14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Income (Loss)</w:t>
            </w:r>
          </w:p>
        </w:tc>
        <w:tc>
          <w:tcPr>
            <w:tcW w:w="16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9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80"/>
          </w:cols>
          <w:pgMar w:left="280" w:top="125" w:right="2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Balances, January 1, 2014</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Common stock: class A shares issued under related to warrants</w:t>
      </w:r>
    </w:p>
    <w:p>
      <w:pPr>
        <w:spacing w:after="0" w:line="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 in unrealized investment gains/losses, net of tax of $2,390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2014</w:t>
      </w:r>
    </w:p>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 in unrealized investment gains/losses, net of tax of $0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2015</w:t>
      </w:r>
    </w:p>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Change in unrealized investment gains/losses, net of tax expense of $1,178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2016</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553,707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(84,024)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463,217</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39"/>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702"/>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9,180</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9,180</w:t>
            </w:r>
          </w:p>
        </w:tc>
      </w:tr>
      <w:tr>
        <w:trPr>
          <w:trHeight w:val="486"/>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0"/>
        </w:trPr>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(48,906)</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(48,906)</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60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562,911</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(3,607)</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(132,930)</w:t>
            </w:r>
          </w:p>
        </w:tc>
        <w:tc>
          <w:tcPr>
            <w:tcW w:w="4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426,958</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55"/>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4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0"/>
        </w:trPr>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8,123</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8,123</w:t>
            </w:r>
          </w:p>
        </w:tc>
      </w:tr>
      <w:tr>
        <w:trPr>
          <w:trHeight w:val="486"/>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(3,867)</w:t>
            </w:r>
          </w:p>
        </w:tc>
      </w:tr>
      <w:tr>
        <w:trPr>
          <w:trHeight w:val="270"/>
        </w:trPr>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(27,793)</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(27,793)</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w:t>
            </w:r>
          </w:p>
        </w:tc>
        <w:tc>
          <w:tcPr>
            <w:tcW w:w="60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570,340</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(7,474)</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(160,723)</w:t>
            </w:r>
          </w:p>
        </w:tc>
        <w:tc>
          <w:tcPr>
            <w:tcW w:w="4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402,731</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55"/>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4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6,814</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6,814</w:t>
            </w:r>
          </w:p>
        </w:tc>
      </w:tr>
      <w:tr>
        <w:trPr>
          <w:trHeight w:val="486"/>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2,187</w:t>
            </w:r>
          </w:p>
        </w:tc>
      </w:tr>
      <w:tr>
        <w:trPr>
          <w:trHeight w:val="270"/>
        </w:trPr>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65,841</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65,841</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576,927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(94,882)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477,349</w:t>
            </w:r>
          </w:p>
        </w:tc>
      </w:tr>
      <w:tr>
        <w:trPr>
          <w:trHeight w:val="27"/>
        </w:trPr>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-3858260</wp:posOffset>
            </wp:positionV>
            <wp:extent cx="72466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-3241040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-2760980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-2134870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-1654810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-1303020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-685165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-205105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300" w:space="100"/>
            <w:col w:w="7980"/>
          </w:cols>
          <w:pgMar w:left="280" w:top="125" w:right="239" w:bottom="1440" w:gutter="0" w:footer="0" w:header="0"/>
          <w:type w:val="continuous"/>
        </w:sectPr>
      </w:pPr>
    </w:p>
    <w:p>
      <w:pPr>
        <w:ind w:left="780" w:hanging="488"/>
        <w:spacing w:after="0" w:line="275"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During 2014, we issued 1,115 common shares with a par value of $0.01 related to the exercise of warrants, which is not identifiable in this schedule due to rounding.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80" w:top="125"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815"/>
              <w:spacing w:after="0"/>
              <w:rPr>
                <w:sz w:val="20"/>
                <w:szCs w:val="20"/>
                <w:color w:val="auto"/>
              </w:rPr>
            </w:pPr>
            <w:r>
              <w:rPr>
                <w:rFonts w:ascii="Arial" w:cs="Arial" w:eastAsia="Arial" w:hAnsi="Arial"/>
                <w:sz w:val="14"/>
                <w:szCs w:val="14"/>
                <w:b w:val="1"/>
                <w:bCs w:val="1"/>
                <w:color w:val="auto"/>
                <w:w w:val="92"/>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63"/>
        </w:trPr>
        <w:tc>
          <w:tcPr>
            <w:tcW w:w="6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2014</w:t>
            </w:r>
          </w:p>
        </w:tc>
      </w:tr>
      <w:tr>
        <w:trPr>
          <w:trHeight w:val="231"/>
        </w:trPr>
        <w:tc>
          <w:tcPr>
            <w:tcW w:w="62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628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65,841</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(27,793)</w:t>
            </w:r>
          </w:p>
        </w:tc>
        <w:tc>
          <w:tcPr>
            <w:tcW w:w="100" w:type="dxa"/>
            <w:vAlign w:val="bottom"/>
          </w:tcPr>
          <w:p>
            <w:pPr>
              <w:spacing w:after="0"/>
              <w:rPr>
                <w:sz w:val="21"/>
                <w:szCs w:val="21"/>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(48,906)</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Adjustments to reconcile net income (loss) to net cash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Net realized investment losses (gains)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Loss (gain) from change in fair value of warrant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(2,949)</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5,660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4,861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8,080</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1,914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6,854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8,174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9,180</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Current tax payable</w:t>
            </w:r>
          </w:p>
        </w:tc>
        <w:tc>
          <w:tcPr>
            <w:tcW w:w="4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(2,386)</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Accrued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294</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Premiums receivable</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(1,029)</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(12,579)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(14,545)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(2,895)</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62,133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68,704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20,622</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8,167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w:t>
            </w:r>
          </w:p>
        </w:tc>
      </w:tr>
      <w:tr>
        <w:trPr>
          <w:trHeight w:val="219"/>
        </w:trPr>
        <w:tc>
          <w:tcPr>
            <w:tcW w:w="6280" w:type="dxa"/>
            <w:vAlign w:val="bottom"/>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71,944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41,463</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(20,967)</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(170,067)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(21,160)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(143,568)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(343,771)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(60,462)</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Proceeds from maturity of short-term investments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129,033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2"/>
        </w:trPr>
        <w:tc>
          <w:tcPr>
            <w:tcW w:w="62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Proceeds from redemptions, maturities and sale of fixed-maturity investments,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available-for-sale</w:t>
            </w:r>
          </w:p>
        </w:tc>
        <w:tc>
          <w:tcPr>
            <w:tcW w:w="4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116,281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140,901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136,764</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Purchase of software and equipment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(11,471)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(6,135)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(8,220)</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(230,165)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68,082</w:t>
            </w:r>
          </w:p>
        </w:tc>
      </w:tr>
      <w:tr>
        <w:trPr>
          <w:trHeight w:val="233"/>
        </w:trPr>
        <w:tc>
          <w:tcPr>
            <w:tcW w:w="62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(1,083)</w:t>
            </w: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1,097</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from settlement of warrants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term loan, net of discount</w:t>
            </w:r>
          </w:p>
        </w:tc>
        <w:tc>
          <w:tcPr>
            <w:tcW w:w="4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148,500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Payments of debt issuance costs</w:t>
            </w:r>
          </w:p>
        </w:tc>
        <w:tc>
          <w:tcPr>
            <w:tcW w:w="4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(4,437)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142,998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91"/>
        </w:trPr>
        <w:tc>
          <w:tcPr>
            <w:tcW w:w="6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47,092</w:t>
            </w:r>
          </w:p>
        </w:tc>
      </w:tr>
      <w:tr>
        <w:trPr>
          <w:trHeight w:val="239"/>
        </w:trPr>
        <w:tc>
          <w:tcPr>
            <w:tcW w:w="628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57,317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103,021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55,929</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47,746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57,317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103,021</w:t>
            </w:r>
          </w:p>
        </w:tc>
      </w:tr>
      <w:tr>
        <w:trPr>
          <w:trHeight w:val="20"/>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Noncash financing activities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 paid</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Income tax payments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is a Delaware corporation, formed in May 2011, to provide mortgage insurance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shares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 For a further discussion, see "</w:t>
      </w:r>
      <w:r>
        <w:rPr>
          <w:rFonts w:ascii="Arial" w:cs="Arial" w:eastAsia="Arial" w:hAnsi="Arial"/>
          <w:sz w:val="18"/>
          <w:szCs w:val="18"/>
          <w:i w:val="1"/>
          <w:iCs w:val="1"/>
          <w:color w:val="auto"/>
        </w:rPr>
        <w:t>Note 15, Common Stock Offerings.</w:t>
      </w:r>
      <w:r>
        <w:rPr>
          <w:rFonts w:ascii="Arial" w:cs="Arial" w:eastAsia="Arial" w:hAnsi="Arial"/>
          <w:sz w:val="18"/>
          <w:szCs w:val="18"/>
          <w:color w:val="auto"/>
        </w:rPr>
        <w:t>"</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on a limited basis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accompanying consolidated financial statements include the results of NMIH and its wholly 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00" w:lineRule="exact"/>
        <w:rPr>
          <w:sz w:val="20"/>
          <w:szCs w:val="20"/>
          <w:color w:val="auto"/>
        </w:rPr>
      </w:pPr>
    </w:p>
    <w:p>
      <w:pPr>
        <w:ind w:left="660" w:right="8540" w:hanging="652"/>
        <w:spacing w:after="0" w:line="495" w:lineRule="auto"/>
        <w:tabs>
          <w:tab w:leader="none" w:pos="19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Accounting Principles </w:t>
      </w:r>
      <w:r>
        <w:rPr>
          <w:rFonts w:ascii="Arial" w:cs="Arial" w:eastAsia="Arial" w:hAnsi="Arial"/>
          <w:sz w:val="16"/>
          <w:szCs w:val="16"/>
          <w:i w:val="1"/>
          <w:iCs w:val="1"/>
          <w:color w:val="auto"/>
        </w:rPr>
        <w:t>Revenue Recognition</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mortgage insurance industry, a "book" is a group of loans that a mortgage insurance (MI) company insures in a particular period, normally a calendar year. We set premiums at the time a policy is issued based on our filed rates and rating rules. The policies we issue are guaranteed renewable contracts at the policyholder's option. Premiums may be paid to us on a single, annual or monthly basis. Premiums written on a single premium basis and an annual premium basis are initially deferred as unearned premium reserve and earned over the policy's expected life commencing in the month coverage is effective.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and any refundable premium is returned to the policyholder. Premiums returned to policyholders are recorded as a reduction of written and earned premiums in the current period. The actual return of premium for all periods affects premiums written and earned in those periods.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2016, one customer represented a material portion of our revenues. At December 31, 2016, approximately 14% of our total risk-in-force (RIF) was concentrated in California. We expect our RIF and state concentrations to lessen and align to industry averages as our insurance portfolio matures.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Reserves for Insurance Claims and Claims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Consistent with industry accounting practices, for purposes of establishing claim reserves, we adhere to the general claim reserving principles contained in Financial Accounting Standards Board (FASB) Accounting Standards Codification (ASC) 944, </w:t>
      </w:r>
      <w:r>
        <w:rPr>
          <w:rFonts w:ascii="Arial" w:cs="Arial" w:eastAsia="Arial" w:hAnsi="Arial"/>
          <w:sz w:val="18"/>
          <w:szCs w:val="18"/>
          <w:i w:val="1"/>
          <w:iCs w:val="1"/>
          <w:color w:val="auto"/>
        </w:rPr>
        <w:t>Financial Services - Insurance</w:t>
      </w:r>
      <w:r>
        <w:rPr>
          <w:rFonts w:ascii="Arial" w:cs="Arial" w:eastAsia="Arial" w:hAnsi="Arial"/>
          <w:sz w:val="18"/>
          <w:szCs w:val="18"/>
          <w:color w:val="auto"/>
        </w:rPr>
        <w:t xml:space="preserve"> (ASC 944), even though that standard expressly excludes mortgage insurance from its guidance. Consistent with our industry, we do not establish claim reserves for anticipated future claims on insured loans that are not currently in default. We do not consider a loan to be in default for claim reserve purposes until we receive notice from the servicer that a borrower has failed to make two consecutive regularly scheduled payments and is at least 60 days in default. In addition to reserves on reported defaults, we establish IBNR reserves for estimated claims incurred on loans that have been in default for at least 60 days that have not yet been reported to us by the servicers.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(loss) income in shareholders' equity. Net realized investment gains and losses are reported in income based upon specific identification of securities sold, and are reclassified out of accumulated other comprehensive (loss) income.</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the change in effective yields and maturities are recognized on a prospective basis through yield adjustments.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quarter, we evaluate our investments in order to determine whether declines in fair value below amortized cost were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consider items such as commercial paper with original maturities of 90 days or less to be short-term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 Total amortization of DAC for each of the three years in the three-year period ended December 31, 2016, net of a portion of ceding commission related to the 2016 QSR Transaction (see Note 6, Reinsurance), was $0.4 million, $2.8 million, and $4.3 million,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any of the years in the three-year period ended December 31,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premiums, losses and loss expenses that are ceded to reinsurers on bases consistent with those we use to account for the original policies we issue and pursuant to the terms of our reinsurance contracts. We account for premiums ceded to reinsurers as reductions to premium revenue. We earn profit commissions, which represent a percentage of the profits recognized by the reinsurers that are returned to us, based on the level of losses ceded. We recognize any profit commissions we earn as increases in net premium revenue.</w:t>
      </w:r>
    </w:p>
    <w:p>
      <w:pPr>
        <w:spacing w:after="0" w:line="13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receive ceding commissions, calculated as a percentage of ceded written premiums, which are intended to cover our costs to acquire and service the direct policies. We earn the ceding commissions in a manner consistent with our recognition of earnings on the underlying insurance policies, over the terms of the policies reinsured. We account for ceding commissions as reductions to underwriting and operating expenses.</w:t>
      </w:r>
    </w:p>
    <w:p>
      <w:pPr>
        <w:spacing w:after="0" w:line="166"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cede a portion of loss reserves, paid losses and loss expenses, which are accounted for as reductions to loss expense and as reinsurance recoverables. We remain directly liable for all loss payments in the event we are unable to collect from any reinsurer.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Our outstanding warrants may be settled by us using either (i) physical settlement method or (ii)</w:t>
      </w:r>
      <w:r>
        <w:rPr>
          <w:rFonts w:ascii="Arial" w:cs="Arial" w:eastAsia="Arial" w:hAnsi="Arial"/>
          <w:sz w:val="16"/>
          <w:szCs w:val="16"/>
          <w:i w:val="1"/>
          <w:iCs w:val="1"/>
          <w:color w:val="auto"/>
        </w:rPr>
        <w:t xml:space="preserve"> </w:t>
      </w:r>
      <w:r>
        <w:rPr>
          <w:rFonts w:ascii="Arial" w:cs="Arial" w:eastAsia="Arial" w:hAnsi="Arial"/>
          <w:sz w:val="16"/>
          <w:szCs w:val="16"/>
          <w:color w:val="auto"/>
        </w:rPr>
        <w:t>cashless exercise, where shares that are issued upon exercise of the warrants are reduced, to cover the cost of the exercise, in lieu of the holder remitting a cash payment of the exercise price. The warrants expire and are not exercisable after the 10th anniversary of the date the warrant was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account for stock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which addresses accounting for share-based awards and recognition of compensation expense, measured using grant date fair value, over the requisite service or performance period of the award. Share-based payments include restricted stock unit (RSU) and stock option grants under the 2012 Stock Incentive Plan and the NMIH 2014 Omnibus Incentive Plan. We determine the fair value of issued stock option grants using an option pricing model, which takes into account various assumptions that are subjective. Key assumptions used in the stock option valuation include the expected term of the option award, taking into account the contractual term of the award, the effects of expected exercise and post-vesting termination behavior, expected volatility, expected dividends and the risk free interest rate for the expected term of the award. RSU grants to employees contain a market condition and/or service condition. The fair value of RSU grants to employees with a market condition is determined based on a Monte Carlo simulation model at the date of grant. RSU grants to employees with a service condition and RSU grants to non-employee directors are valued at our stock price on the date of grant less the present value of anticipated dividends.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Basic net earnings (loss) per share is based on the weighted-average number of common shares outstanding, while diluted net earnings (loss) per share is based on the weighted-average number of common shares outstanding and common stock equivalents that would be issuable upon the exercise of stock options, other stock-based compensation arrangements, and the dilutive effect of outstanding warrants. For the year ending December 31, 2016, the computation of diluted EPS includes the dilutive effect of 1,758,424 shares; 4,763,826 shares were not included in the calculation of diluted net income as the average price of the common stock during the period was below the exercise price of such shares. As a result of our net losses for the years ended December 31, 2015 and December 31, 2014, 6,266,905 shares, and 5,839,909 shares, respectively. of our common stock equivalents issued under stock-based compensation arrangements and warrants were not included in the calculation of diluted net loss per share as of such dates because they were anti-dilutive.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costs associated with the development of internal-use software are capitalized. Software and equipment are stated at cost, less accumulated amortization and depreciation. Once the software is ready for its intended use, amortization and depreciation are calculated using the straight-line method over the estimated useful lives of the respective assets ranging typically from 3 to 7 years, unless factors indicate a shorter useful life. Amortization of software and depreciation of equipment commences at the beginning of the month following our placement of the assets into use. For further detail,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12, Software and Equipment.</w:t>
      </w:r>
      <w:r>
        <w:rPr>
          <w:rFonts w:ascii="Arial" w:cs="Arial" w:eastAsia="Arial" w:hAnsi="Arial"/>
          <w:sz w:val="18"/>
          <w:szCs w:val="18"/>
          <w:color w:val="auto"/>
        </w:rPr>
        <w: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test goodwill for impairment during the third quarter each year, or more frequently if we believe indicators of impairment exist. We have not identified any impairments of goodwill through December 31, 2016.</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intangible assets consist of state licenses and GSE applications which have indefinite lives. We test indefinite-lived intangible assets for impairment during the fourth quarter of each year or more frequently if we believe indicators of impairment exist. We do not believe that the indefinite-lived intangible assets were impaired as of December 31, 2016.</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Standards Updates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The Company is currently evaluating the impact the adoption of this ASU will</w:t>
      </w:r>
    </w:p>
    <w:p>
      <w:pPr>
        <w:jc w:val="both"/>
        <w:spacing w:after="0" w:line="261" w:lineRule="auto"/>
        <w:rPr>
          <w:sz w:val="20"/>
          <w:szCs w:val="20"/>
          <w:color w:val="auto"/>
        </w:rPr>
      </w:pPr>
      <w:r>
        <w:rPr>
          <w:rFonts w:ascii="Arial" w:cs="Arial" w:eastAsia="Arial" w:hAnsi="Arial"/>
          <w:sz w:val="18"/>
          <w:szCs w:val="18"/>
          <w:color w:val="auto"/>
        </w:rPr>
        <w:t>have, if any, on the consolidated financial statements; however, this update is not expected to impact the recognition of revenue related to insurance premiums or investments, which represent the majority of our total revenues.</w:t>
      </w:r>
    </w:p>
    <w:p>
      <w:pPr>
        <w:spacing w:after="0" w:line="3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May 2015, the FASB issued ASU 2015-09, </w:t>
      </w:r>
      <w:r>
        <w:rPr>
          <w:rFonts w:ascii="Arial" w:cs="Arial" w:eastAsia="Arial" w:hAnsi="Arial"/>
          <w:sz w:val="17"/>
          <w:szCs w:val="17"/>
          <w:i w:val="1"/>
          <w:iCs w:val="1"/>
          <w:color w:val="auto"/>
        </w:rPr>
        <w:t>Disclosures about Short-Duration Contracts</w:t>
      </w:r>
      <w:r>
        <w:rPr>
          <w:rFonts w:ascii="Arial" w:cs="Arial" w:eastAsia="Arial" w:hAnsi="Arial"/>
          <w:sz w:val="17"/>
          <w:szCs w:val="17"/>
          <w:color w:val="auto"/>
        </w:rPr>
        <w:t xml:space="preserve"> (Topic 944), which requires insurance entities to disclose additional information related to the liability for unpaid claims and claims adjustment expenses. These disclosures include the nature, amount, timing and uncertainty of cash flows related to those liabilities and the effects of those cash flows on comprehensive income. This update is effective for annual periods beginning after December 15, 2015 and interim periods within annual periods beginning after December 15, 2016. For the year ended December 31, 2016, we have included additional information in our financial statements and notes therein related to this guidance.</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We anticipate this standard will have a material impact on our financial position, primarily due to our office space operating lease, as we will be required to recognize lease assets and lease liabilities on our consolidated balance sheet. We will continue to assess the potential impacts of this standard, including the impact the adoption of this guidance will have on our results of operations or cash flows, if any.</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This update is intended to provide improvements to employee share-based payment accounting. The areas for simplification in the update involve several aspects of the accounting for share-based payment transactions, including the income tax consequences, classification of awards as either equity or liabilities, and classification on the statement of cash flows. For public business entities, the amendments in this update are effective for annual periods beginning after December 15, 2016 and interim periods within those annual periods. The Company will adopt this guidance in the first quarter of 2017 and has evaluated the impact the adoption of this ASU will have on the consolidated financial statements. The Company will elect to recognize forfeitures as they occur. The Company will record deferred tax assets for past unrecognized excess tax benefits on a modified retrospective basis through a cumulative-effect adjustment to retained earnings as of January 1, 2017, which we expect will not have a material impact on stockholders' equity as of January 1, 2017. The classification of excess tax benefits and tax deficiencies as income tax benefit or expense may result in net income volatility in reporting periods subsequent to 2016. The amount of excess tax benefits or tax deficiencies in future periods will vary based on the market value of the Company's common stock at the vesting dates of non-vested common share units. The Company does not expect to adjust prior period consolidated statement of cash flows.</w:t>
      </w:r>
    </w:p>
    <w:p>
      <w:pPr>
        <w:spacing w:after="0" w:line="11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This update requires companies to measure all expected credit losses for financial assets held at the reporting date. The accounting for credit losses on available-for-sale debt securities and purchased financial assets with credit deterioration also is amended in the standard. The standard will take effect for public business entities for fiscal years, and interim periods within those fiscal years, beginning after December 15, 2019. While the Company is still in the early states of evaluating this ASU, we do not expect it to impact our accounting for insurance losses and loss adjustment expenses (LAE) as these items are not within the scope of the this ASU.</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This update is intended to reduce diversity in practice in how certain cash receipts and cash payments are presented and classified in the statement of cash flows. The standard will take effect for public business entities for fiscal years, and interim periods within those fiscal years, beginning after December 15, 2017. The Company is currently in the early stages of evaluating the impact the adoption of this ASU will have, if any, on the presentation of the consolidated financial statements.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2016, the FASB issued ASU 2016-16, </w:t>
      </w:r>
      <w:r>
        <w:rPr>
          <w:rFonts w:ascii="Arial" w:cs="Arial" w:eastAsia="Arial" w:hAnsi="Arial"/>
          <w:sz w:val="18"/>
          <w:szCs w:val="18"/>
          <w:i w:val="1"/>
          <w:iCs w:val="1"/>
          <w:color w:val="auto"/>
        </w:rPr>
        <w:t>Income Taxes- Intra-Entity Transfers of Assets Other Than Inventory</w:t>
      </w:r>
      <w:r>
        <w:rPr>
          <w:rFonts w:ascii="Arial" w:cs="Arial" w:eastAsia="Arial" w:hAnsi="Arial"/>
          <w:sz w:val="18"/>
          <w:szCs w:val="18"/>
          <w:color w:val="auto"/>
        </w:rPr>
        <w:t xml:space="preserve"> (Topic 740). This update is intended to improve the accounting for the income tax consequences of intra-entity transfers of assets other than inventory. The standard will take effect for public business entities for fiscal years, and interim periods within those fiscal years, beginning after December 15, 2017. Early adoption is permitted at the beginning of any annual reporting period. The Company is currently in the early stages of evaluating the impact the adoption of this ASU will have, if any, on the consolidated financial statements.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(Topic 350). This update is intended to simplify the test for goodwill impairment. The standard will take effect for public business entities for fiscal years, and interim periods within those fiscal years, after December 15, 2020. Early adoption is permitted for interim or annual goodwill impairment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tests performed on testing dates after January 1, 2017. The Company is currently in the early stages of evaluating the impact the adoption of this ASU will have, if any, on the consolidated financial statements.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Certain items in the financial statements as of and for the periods ending December 31, 2014 have been reclassified to conform to the current period's presentation. There was no effect on net income or shareholders' equity previously reported.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considered subsequent events through the date of this filing.</w:t>
      </w:r>
    </w:p>
    <w:p>
      <w:pPr>
        <w:spacing w:after="0" w:line="17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February 10, 2017, the Company entered into an amendment to the Credit Agreement, dated as of November 10, 2015, to, among other things, extend the maturity date of the Credit Agreement, reduce the interest rate, and make certain changes to the financial covenants and other provisions.</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Borrowings under the Amended Credit Agreement will bear interest at a variable rate per annum equal to, at the Company's option, (i) the Eurodollar Rate (as defined in the Amended Credit Agreement) plus 6.75% (subject to a Eurodollar Rate floor of 1.00% per annum), or (ii) the Base Rate (as defined in the Amended Credit Agreement) plus 5.75% (subject to a Base Rate floor of 2.00% per annum). The loans under the Amended Credit Agreement will mature on November 10, 2019.</w:t>
      </w:r>
    </w:p>
    <w:p>
      <w:pPr>
        <w:spacing w:after="0" w:line="187" w:lineRule="exact"/>
        <w:rPr>
          <w:sz w:val="20"/>
          <w:szCs w:val="20"/>
          <w:color w:val="auto"/>
        </w:rPr>
      </w:pPr>
    </w:p>
    <w:p>
      <w:pPr>
        <w:ind w:right="2020" w:firstLine="648"/>
        <w:spacing w:after="0" w:line="286" w:lineRule="auto"/>
        <w:rPr>
          <w:sz w:val="20"/>
          <w:szCs w:val="20"/>
          <w:color w:val="auto"/>
        </w:rPr>
      </w:pPr>
      <w:r>
        <w:rPr>
          <w:rFonts w:ascii="Arial" w:cs="Arial" w:eastAsia="Arial" w:hAnsi="Arial"/>
          <w:sz w:val="17"/>
          <w:szCs w:val="17"/>
          <w:color w:val="auto"/>
        </w:rPr>
        <w:t>In the event that the Company prepays all or any portion of the borrowings under the Amended Credit Agreement in connection with certain repricing transactions within 12 months after the effective date of the Amendment, the Company shall pay a prepayment premium in an amount equal to 1.0% of the principal amount of the borrowings so prepaid.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40,801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349,712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114,456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569,104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567,187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61,584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61,782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630,688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20,209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543,770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538,681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564,319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December 31, 2016 and 2015,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94,382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173,296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173,251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242,005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240,060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114,456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630,688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4"/>
                <w:szCs w:val="2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62,745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187,633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186,629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19,015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101,320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564,319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December 31, 2016, the investment portfolio had gross unrealized losses of $4.5 million, $0.5 million of which has been in an unrealized loss position for a period of twelve months or greater. We did not consider these securities to be other-than-temporarily impaired as of December 31, 2016. We based our conclusion that these investments were not other-than-temporarily impaired at December 31, 2016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28,659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30,363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135,115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148,988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38,702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41,174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4"/>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Less Than 12 Months</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5"/>
              </w:rPr>
              <w:t>12 Months or Greater</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3"/>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3"/>
                <w:szCs w:val="13"/>
                <w:color w:val="auto"/>
              </w:rPr>
            </w:pPr>
          </w:p>
        </w:tc>
        <w:tc>
          <w:tcPr>
            <w:tcW w:w="4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6"/>
          </w:tcPr>
          <w:p>
            <w:pPr>
              <w:jc w:val="right"/>
              <w:ind w:right="68"/>
              <w:spacing w:after="0" w:line="153"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3"/>
                <w:szCs w:val="13"/>
                <w:color w:val="auto"/>
              </w:rPr>
            </w:pPr>
          </w:p>
        </w:tc>
        <w:tc>
          <w:tcPr>
            <w:tcW w:w="8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w w:val="95"/>
              </w:rPr>
              <w:t>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8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7"/>
          </w:tcPr>
          <w:p>
            <w:pPr>
              <w:jc w:val="right"/>
              <w:ind w:right="228"/>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 and</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50,558</w:t>
            </w:r>
          </w:p>
        </w:tc>
        <w:tc>
          <w:tcPr>
            <w:tcW w:w="3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60,752</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11,293</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3"/>
          </w:tcPr>
          <w:p>
            <w:pPr>
              <w:jc w:val="right"/>
              <w:ind w:right="4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14,535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244,128</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253,348</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69,878</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1060" w:type="dxa"/>
            <w:vAlign w:val="bottom"/>
            <w:gridSpan w:val="3"/>
          </w:tcPr>
          <w:p>
            <w:pPr>
              <w:jc w:val="right"/>
              <w:ind w:right="48"/>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79,086</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375,857</w:t>
            </w:r>
          </w:p>
        </w:tc>
        <w:tc>
          <w:tcPr>
            <w:tcW w:w="3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407,721</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800" w:type="dxa"/>
            <w:vAlign w:val="bottom"/>
            <w:gridSpan w:val="2"/>
          </w:tcPr>
          <w:p>
            <w:pPr>
              <w:ind w:left="660"/>
              <w:spacing w:after="0"/>
              <w:rPr>
                <w:sz w:val="20"/>
                <w:szCs w:val="20"/>
                <w:color w:val="auto"/>
              </w:rPr>
            </w:pPr>
            <w:r>
              <w:rPr>
                <w:rFonts w:ascii="Arial" w:cs="Arial" w:eastAsia="Arial" w:hAnsi="Arial"/>
                <w:sz w:val="18"/>
                <w:szCs w:val="18"/>
                <w:i w:val="1"/>
                <w:iCs w:val="1"/>
                <w:color w:val="auto"/>
              </w:rPr>
              <w:t>Net Investment Income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60" w:type="dxa"/>
            <w:vAlign w:val="bottom"/>
            <w:gridSpan w:val="6"/>
          </w:tcPr>
          <w:p>
            <w:pPr>
              <w:ind w:left="660"/>
              <w:spacing w:after="0"/>
              <w:rPr>
                <w:sz w:val="20"/>
                <w:szCs w:val="20"/>
                <w:color w:val="auto"/>
              </w:rPr>
            </w:pPr>
            <w:r>
              <w:rPr>
                <w:rFonts w:ascii="Arial" w:cs="Arial" w:eastAsia="Arial" w:hAnsi="Arial"/>
                <w:sz w:val="18"/>
                <w:szCs w:val="18"/>
                <w:color w:val="auto"/>
                <w:w w:val="92"/>
              </w:rPr>
              <w:t>Net investment income is comprised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center"/>
              <w:ind w:right="408"/>
              <w:spacing w:after="0"/>
              <w:rPr>
                <w:sz w:val="20"/>
                <w:szCs w:val="20"/>
                <w:color w:val="auto"/>
              </w:rPr>
            </w:pPr>
            <w:r>
              <w:rPr>
                <w:rFonts w:ascii="Arial" w:cs="Arial" w:eastAsia="Arial" w:hAnsi="Arial"/>
                <w:sz w:val="14"/>
                <w:szCs w:val="14"/>
                <w:b w:val="1"/>
                <w:bCs w:val="1"/>
                <w:color w:val="auto"/>
                <w:w w:val="92"/>
              </w:rPr>
              <w:t>For the year ended December 31,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3"/>
          </w:tcPr>
          <w:p>
            <w:pPr>
              <w:jc w:val="center"/>
              <w:ind w:right="108"/>
              <w:spacing w:after="0"/>
              <w:rPr>
                <w:sz w:val="20"/>
                <w:szCs w:val="20"/>
                <w:color w:val="auto"/>
              </w:rPr>
            </w:pPr>
            <w:r>
              <w:rPr>
                <w:rFonts w:ascii="Arial" w:cs="Arial" w:eastAsia="Arial" w:hAnsi="Arial"/>
                <w:sz w:val="14"/>
                <w:szCs w:val="14"/>
                <w:i w:val="1"/>
                <w:iCs w:val="1"/>
                <w:color w:val="auto"/>
                <w:w w:val="93"/>
              </w:rPr>
              <w:t>(In Thousands)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64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800" w:type="dxa"/>
            <w:vAlign w:val="bottom"/>
            <w:tcBorders>
              <w:bottom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6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80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Arial" w:cs="Arial" w:eastAsia="Arial" w:hAnsi="Arial"/>
                <w:sz w:val="18"/>
                <w:szCs w:val="18"/>
                <w:i w:val="1"/>
                <w:iCs w:val="1"/>
                <w:color w:val="auto"/>
              </w:rPr>
              <w:t>Net Realized Investment Gains (Losses)</w:t>
            </w: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2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2"/>
          </w:tcPr>
          <w:p>
            <w:pPr>
              <w:jc w:val="center"/>
              <w:ind w:right="648"/>
              <w:spacing w:after="0"/>
              <w:rPr>
                <w:sz w:val="20"/>
                <w:szCs w:val="20"/>
                <w:color w:val="auto"/>
              </w:rPr>
            </w:pPr>
            <w:r>
              <w:rPr>
                <w:rFonts w:ascii="Arial" w:cs="Arial" w:eastAsia="Arial" w:hAnsi="Arial"/>
                <w:sz w:val="14"/>
                <w:szCs w:val="14"/>
                <w:b w:val="1"/>
                <w:bCs w:val="1"/>
                <w:color w:val="auto"/>
                <w:w w:val="92"/>
              </w:rPr>
              <w:t>For the year ended December 31,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46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jc w:val="center"/>
              <w:ind w:right="48"/>
              <w:spacing w:after="0"/>
              <w:rPr>
                <w:sz w:val="20"/>
                <w:szCs w:val="20"/>
                <w:color w:val="auto"/>
              </w:rPr>
            </w:pPr>
            <w:r>
              <w:rPr>
                <w:rFonts w:ascii="Arial" w:cs="Arial" w:eastAsia="Arial" w:hAnsi="Arial"/>
                <w:sz w:val="14"/>
                <w:szCs w:val="14"/>
                <w:i w:val="1"/>
                <w:iCs w:val="1"/>
                <w:color w:val="auto"/>
                <w:w w:val="93"/>
              </w:rPr>
              <w:t>(In Thousands)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Gross realized investment losses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Net realized investment gains (losses)</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and December 31, 2015, there were approximately $6.9 million of cash and investments in the form of U.S. Treasury securities on deposit with various state insurance departments to satisfy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describes the valuation techniques used by us to determine the fair value of financial instruments held at December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 Financial assets utilizing Level 1 inputs are U.S. Treasury securities;</w:t>
      </w:r>
    </w:p>
    <w:p>
      <w:pPr>
        <w:spacing w:after="0" w:line="11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Prices or valuations based on observable inputs other than quoted prices in active markets for identical assets and liabilities. Financial assets utilizing Level 2 inputs include certain obligations of U.S. government agencies, municipal and corporate debt securities and asset-backed securities; and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We value our warrant liability utilizing Level 3 inputs.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There were no transfers between Level 1 and Level 2 of the fair value hierarchy during the year ended December 31, 2016.</w:t>
      </w:r>
    </w:p>
    <w:p>
      <w:pPr>
        <w:spacing w:after="0" w:line="146" w:lineRule="exact"/>
        <w:rPr>
          <w:sz w:val="20"/>
          <w:szCs w:val="20"/>
          <w:color w:val="auto"/>
        </w:rPr>
      </w:pPr>
    </w:p>
    <w:p>
      <w:pPr>
        <w:ind w:right="260" w:firstLine="648"/>
        <w:spacing w:after="0" w:line="354" w:lineRule="auto"/>
        <w:rPr>
          <w:sz w:val="20"/>
          <w:szCs w:val="20"/>
          <w:color w:val="auto"/>
        </w:rPr>
      </w:pPr>
      <w:r>
        <w:rPr>
          <w:rFonts w:ascii="Arial" w:cs="Arial" w:eastAsia="Arial" w:hAnsi="Arial"/>
          <w:sz w:val="16"/>
          <w:szCs w:val="16"/>
          <w:color w:val="auto"/>
        </w:rPr>
        <w:t>Securities classified as Level 2 assets include Federal Home, Farm and Agriculture agency obligations, municipal debt securities, corporate debt securities and asset-backed securities. Corporate securities are broadly diversified across industries and include $31.0 million of U.S. denominated foreign securities (Yankee Bonds) as of December 31, 2016. Asset-backed securities consist primarily of securities in the automobile and industrial sectors and include $3.7 million of Yankee Bonds as of December 31, 2016. Short-term investments included $5.0 million of Yankee Bonds as of December 31, 2016.</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calculate the fair value of outstanding warrants using a Black-Scholes option-pricing model in combination with a binomial model. Variables in the model include the risk-free rate of return, dividend yield, expected life and expected volatility of our stock price.</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those assets and liabilities that are measured at fair value by hierarchy level as of December 31, 2016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Fair Value Measurements Using</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center"/>
              <w:ind w:left="997"/>
              <w:spacing w:after="0"/>
              <w:rPr>
                <w:sz w:val="20"/>
                <w:szCs w:val="20"/>
                <w:color w:val="auto"/>
              </w:rPr>
            </w:pPr>
            <w:r>
              <w:rPr>
                <w:rFonts w:ascii="Arial" w:cs="Arial" w:eastAsia="Arial" w:hAnsi="Arial"/>
                <w:sz w:val="14"/>
                <w:szCs w:val="14"/>
                <w:i w:val="1"/>
                <w:iCs w:val="1"/>
                <w:color w:val="auto"/>
                <w:w w:val="93"/>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114,661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109,528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109,528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160,247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516,468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676,715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Fair Value Measurements Using</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center"/>
              <w:ind w:left="997"/>
              <w:spacing w:after="0"/>
              <w:rPr>
                <w:sz w:val="20"/>
                <w:szCs w:val="20"/>
                <w:color w:val="auto"/>
              </w:rPr>
            </w:pPr>
            <w:r>
              <w:rPr>
                <w:rFonts w:ascii="Arial" w:cs="Arial" w:eastAsia="Arial" w:hAnsi="Arial"/>
                <w:sz w:val="14"/>
                <w:szCs w:val="14"/>
                <w:i w:val="1"/>
                <w:iCs w:val="1"/>
                <w:color w:val="auto"/>
                <w:w w:val="93"/>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65,185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333,327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100,793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77,872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143,057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473,496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616,553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244"/>
        </w:trPr>
        <w:tc>
          <w:tcPr>
            <w:tcW w:w="5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center"/>
              <w:ind w:right="335"/>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Balance, January 1,</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1,467</w:t>
            </w:r>
          </w:p>
        </w:tc>
        <w:tc>
          <w:tcPr>
            <w:tcW w:w="4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3,372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6,371</w:t>
            </w:r>
          </w:p>
        </w:tc>
      </w:tr>
      <w:tr>
        <w:trPr>
          <w:trHeight w:val="27"/>
        </w:trPr>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(1,905)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Gain on settlement of warrants</w:t>
            </w:r>
          </w:p>
        </w:tc>
        <w:tc>
          <w:tcPr>
            <w:tcW w:w="1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1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Balance, December 31</w:t>
            </w: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4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1,467</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3,372</w:t>
            </w: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December 31, 2016, the assumptions used in the option pricing model were as follows: a common stock price as of December 31, 2016 of $10.65, risk free interest rate of 1.78%, expected life of 4.33 years, expected volatility of 32.7% and a dividend yield of 0%. The</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is primarily attributable to an increase in the price of our common stock during the year ended December 31, 2016.</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2015, the assumptions used in the option pricing model were : a common stock price as of December 31, 2015 of $6.77, risk free interest rate of 1.91%, expected life of 5.92 years, expected volatility of 32.7% and a dividend yield of 0%. The change in fair value was primarily attributable to a decline in the price of our common stock from December 31, 2014 to December 31, 2015.</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of the fair value hierarchy during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7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November 10, 2015, we entered into a credit agreement (the Credit Agreement) to obtain a three-year senior secured term loan B (the Term Loan) for $150 million. As of December 31, 2016, the Term Loan accrued interest at the Eurodollar rate, as defined in the Credit Agreement, (1% floor) plus an annual margin rate of 7.5% (an all-in rate of 8.75% as of December 31, 2016), payable quarterly. Quarterly principal payments of $375 thousand are also required. The outstanding balance as of December 31, 2016 was $148.1 million.</w:t>
      </w:r>
    </w:p>
    <w:p>
      <w:pPr>
        <w:spacing w:after="0" w:line="13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Debt issuance costs totaling $4.4 million and a 1% debt discount are being amortized to interest expense, using the effective interest method, over the contractual life of the Term Loan. Effective interest rate for the Term Loan includes interest, amortization of issuance cost and the discount. For the year ended December 31, 2016, the Company recorded $14.8 million of interest expense, including amortization of the issuance cost and discount.</w:t>
      </w:r>
    </w:p>
    <w:p>
      <w:pPr>
        <w:spacing w:after="0" w:line="1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NMIH is subject to certain quarterly covenants under the Credit Agreement. These covenants include, but are not limited to the following: a maximum debt-to-total capitalization ratio (as defined) of 35%, maximum RTC ratio of 22.0:1.0, liquidity (as defined) of $25.5 million, compliance with the PMIERs financial requirements (subject to any GSE-approved waivers), and equity requirements. This description is not intended to be complete in all respects and is qualified in its entirety by the terms of the Credit Agreement, including its covenants and events of default. We were in compliance with all covenants at December 31, 2016.</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for the Company's Term Loan as of December 31, 2016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5"/>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1"/>
                <w:szCs w:val="21"/>
                <w:color w:val="auto"/>
              </w:rPr>
            </w:pP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146,625</w:t>
            </w: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148,125</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February 10, 2017, the Company entered into an amendment to the Credit Agreement. See "</w:t>
      </w:r>
      <w:r>
        <w:rPr>
          <w:rFonts w:ascii="Arial" w:cs="Arial" w:eastAsia="Arial" w:hAnsi="Arial"/>
          <w:sz w:val="18"/>
          <w:szCs w:val="18"/>
          <w:i w:val="1"/>
          <w:iCs w:val="1"/>
          <w:color w:val="auto"/>
        </w:rPr>
        <w:t>Note 2. Summary of Accounting Principles</w:t>
      </w:r>
      <w:r>
        <w:rPr>
          <w:rFonts w:ascii="Arial" w:cs="Arial" w:eastAsia="Arial" w:hAnsi="Arial"/>
          <w:sz w:val="18"/>
          <w:szCs w:val="18"/>
          <w:color w:val="auto"/>
        </w:rPr>
        <w:t>" for further details of this subsequent event.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w:t>
      </w:r>
    </w:p>
    <w:p>
      <w:pPr>
        <w:spacing w:after="0" w:line="17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In September 2016, in order to continue to grow our business and manage insurance risk and our </w:t>
      </w:r>
      <w:r>
        <w:rPr>
          <w:rFonts w:ascii="Arial" w:cs="Arial" w:eastAsia="Arial" w:hAnsi="Arial"/>
          <w:sz w:val="16"/>
          <w:szCs w:val="16"/>
          <w:i w:val="1"/>
          <w:iCs w:val="1"/>
          <w:color w:val="auto"/>
        </w:rPr>
        <w:t>minimum required assets</w:t>
      </w:r>
      <w:r>
        <w:rPr>
          <w:rFonts w:ascii="Arial" w:cs="Arial" w:eastAsia="Arial" w:hAnsi="Arial"/>
          <w:sz w:val="16"/>
          <w:szCs w:val="16"/>
          <w:color w:val="auto"/>
        </w:rPr>
        <w:t xml:space="preserve"> under PMIERs financial requirements, the Company entered into a quota-share reinsurance transaction with a panel of third-party reinsurers, subject to certain conditions (2016 QSR Transaction). Each of the third-party reinsurers has an insurer financial strength rating of A- or better by S&amp;P, A.M. Best or both. The GSEs and the Wisconsin OCI approved the 2016 QSR Transaction (subject to certain conditions), giving full capital credit under PMIERs and statutory accounting principles, respectively, for the risk ceded under the agreement. The credit that we receive under PMIERs is subject to periodic review by the GSEs.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effective September 1, 2016, NMIC ceded premiums related to:</w:t>
      </w:r>
    </w:p>
    <w:p>
      <w:pPr>
        <w:spacing w:after="0" w:line="252" w:lineRule="exact"/>
        <w:rPr>
          <w:sz w:val="20"/>
          <w:szCs w:val="20"/>
          <w:color w:val="auto"/>
        </w:rPr>
      </w:pPr>
    </w:p>
    <w:p>
      <w:pPr>
        <w:ind w:left="720" w:hanging="388"/>
        <w:spacing w:after="0"/>
        <w:tabs>
          <w:tab w:leader="none" w:pos="720" w:val="left"/>
        </w:tabs>
        <w:numPr>
          <w:ilvl w:val="0"/>
          <w:numId w:val="46"/>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our existing risk under our pool agreement with Fannie Mae;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200" w:lineRule="exact"/>
        <w:rPr>
          <w:sz w:val="20"/>
          <w:szCs w:val="20"/>
          <w:color w:val="auto"/>
        </w:rPr>
      </w:pPr>
    </w:p>
    <w:p>
      <w:pPr>
        <w:spacing w:after="0" w:line="2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 of reinsurance on net premiums written and earned is as follows. For the year ended December 31, 2014, there were no reinsurance effects on net premiums written and earned.</w:t>
      </w:r>
    </w:p>
    <w:p>
      <w:pPr>
        <w:spacing w:after="0" w:line="338"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264"/>
        </w:trPr>
        <w:tc>
          <w:tcPr>
            <w:tcW w:w="76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44"/>
        </w:trPr>
        <w:tc>
          <w:tcPr>
            <w:tcW w:w="7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4"/>
          </w:tcPr>
          <w:p>
            <w:pPr>
              <w:jc w:val="center"/>
              <w:ind w:right="73"/>
              <w:spacing w:after="0"/>
              <w:rPr>
                <w:sz w:val="20"/>
                <w:szCs w:val="20"/>
                <w:color w:val="auto"/>
              </w:rPr>
            </w:pPr>
            <w:r>
              <w:rPr>
                <w:rFonts w:ascii="Arial" w:cs="Arial" w:eastAsia="Arial" w:hAnsi="Arial"/>
                <w:sz w:val="14"/>
                <w:szCs w:val="14"/>
                <w:i w:val="1"/>
                <w:iCs w:val="1"/>
                <w:color w:val="auto"/>
                <w:w w:val="91"/>
              </w:rPr>
              <w:t>(In Thousands)</w:t>
            </w:r>
          </w:p>
        </w:tc>
        <w:tc>
          <w:tcPr>
            <w:tcW w:w="0" w:type="dxa"/>
            <w:vAlign w:val="bottom"/>
          </w:tcPr>
          <w:p>
            <w:pPr>
              <w:spacing w:after="0"/>
              <w:rPr>
                <w:sz w:val="1"/>
                <w:szCs w:val="1"/>
                <w:color w:val="auto"/>
              </w:rPr>
            </w:pPr>
          </w:p>
        </w:tc>
      </w:tr>
      <w:tr>
        <w:trPr>
          <w:trHeight w:val="255"/>
        </w:trPr>
        <w:tc>
          <w:tcPr>
            <w:tcW w:w="7680" w:type="dxa"/>
            <w:vAlign w:val="bottom"/>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114,210</w:t>
            </w:r>
          </w:p>
        </w:tc>
        <w:tc>
          <w:tcPr>
            <w:tcW w:w="0" w:type="dxa"/>
            <w:vAlign w:val="bottom"/>
          </w:tcPr>
          <w:p>
            <w:pPr>
              <w:spacing w:after="0"/>
              <w:rPr>
                <w:sz w:val="1"/>
                <w:szCs w:val="1"/>
                <w:color w:val="auto"/>
              </w:rPr>
            </w:pPr>
          </w:p>
        </w:tc>
      </w:tr>
      <w:tr>
        <w:trPr>
          <w:trHeight w:val="243"/>
        </w:trPr>
        <w:tc>
          <w:tcPr>
            <w:tcW w:w="7680" w:type="dxa"/>
            <w:vAlign w:val="bottom"/>
          </w:tcPr>
          <w:p>
            <w:pPr>
              <w:ind w:left="160"/>
              <w:spacing w:after="0"/>
              <w:rPr>
                <w:sz w:val="20"/>
                <w:szCs w:val="20"/>
                <w:color w:val="auto"/>
              </w:rPr>
            </w:pPr>
            <w:r>
              <w:rPr>
                <w:rFonts w:ascii="Arial" w:cs="Arial" w:eastAsia="Arial" w:hAnsi="Arial"/>
                <w:sz w:val="18"/>
                <w:szCs w:val="18"/>
                <w:color w:val="auto"/>
              </w:rPr>
              <w:t>Ceded</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134,692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114,210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60"/>
              <w:spacing w:after="0"/>
              <w:rPr>
                <w:sz w:val="20"/>
                <w:szCs w:val="20"/>
                <w:color w:val="auto"/>
              </w:rPr>
            </w:pPr>
            <w:r>
              <w:rPr>
                <w:rFonts w:ascii="Arial" w:cs="Arial" w:eastAsia="Arial" w:hAnsi="Arial"/>
                <w:sz w:val="18"/>
                <w:szCs w:val="18"/>
                <w:color w:val="auto"/>
              </w:rPr>
              <w:t>Direct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115,830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45,506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Ceded</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8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110,481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45,506</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20"/>
              <w:spacing w:after="0"/>
              <w:rPr>
                <w:sz w:val="20"/>
                <w:szCs w:val="20"/>
                <w:color w:val="auto"/>
              </w:rPr>
            </w:pPr>
            <w:r>
              <w:rPr>
                <w:rFonts w:ascii="Arial" w:cs="Arial" w:eastAsia="Arial" w:hAnsi="Arial"/>
                <w:sz w:val="18"/>
                <w:szCs w:val="18"/>
                <w:color w:val="auto"/>
              </w:rPr>
              <w:t>The following tables show the amounts ceded related to the 2016 QSR Transaction:</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264"/>
        </w:trPr>
        <w:tc>
          <w:tcPr>
            <w:tcW w:w="76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44"/>
        </w:trPr>
        <w:tc>
          <w:tcPr>
            <w:tcW w:w="7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4"/>
          </w:tcPr>
          <w:p>
            <w:pPr>
              <w:jc w:val="center"/>
              <w:ind w:right="73"/>
              <w:spacing w:after="0"/>
              <w:rPr>
                <w:sz w:val="20"/>
                <w:szCs w:val="20"/>
                <w:color w:val="auto"/>
              </w:rPr>
            </w:pPr>
            <w:r>
              <w:rPr>
                <w:rFonts w:ascii="Arial" w:cs="Arial" w:eastAsia="Arial" w:hAnsi="Arial"/>
                <w:sz w:val="14"/>
                <w:szCs w:val="14"/>
                <w:i w:val="1"/>
                <w:iCs w:val="1"/>
                <w:color w:val="auto"/>
                <w:w w:val="91"/>
              </w:rPr>
              <w:t>(In Thousands)</w:t>
            </w:r>
          </w:p>
        </w:tc>
        <w:tc>
          <w:tcPr>
            <w:tcW w:w="0" w:type="dxa"/>
            <w:vAlign w:val="bottom"/>
          </w:tcPr>
          <w:p>
            <w:pPr>
              <w:spacing w:after="0"/>
              <w:rPr>
                <w:sz w:val="1"/>
                <w:szCs w:val="1"/>
                <w:color w:val="auto"/>
              </w:rPr>
            </w:pPr>
          </w:p>
        </w:tc>
      </w:tr>
      <w:tr>
        <w:trPr>
          <w:trHeight w:val="255"/>
        </w:trPr>
        <w:tc>
          <w:tcPr>
            <w:tcW w:w="7680" w:type="dxa"/>
            <w:vAlign w:val="bottom"/>
          </w:tcPr>
          <w:p>
            <w:pPr>
              <w:ind w:left="40"/>
              <w:spacing w:after="0"/>
              <w:rPr>
                <w:sz w:val="20"/>
                <w:szCs w:val="20"/>
                <w:color w:val="auto"/>
              </w:rPr>
            </w:pPr>
            <w:r>
              <w:rPr>
                <w:rFonts w:ascii="Arial" w:cs="Arial" w:eastAsia="Arial" w:hAnsi="Arial"/>
                <w:sz w:val="18"/>
                <w:szCs w:val="18"/>
                <w:color w:val="auto"/>
              </w:rPr>
              <w:t>Ceded risk-in-force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2,008,385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written</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Ceded premiums earned</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2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NMIC receives a 20% ceding commission for premiums ceded pursuant to this transaction. NMIC will also receive a profit commission, provided that the loss ratio on the loans covered under the agreement generally remains below 60%, as measured annually. Losses on the ceded risk reduce NMIC's profit commission on a dollar-for-dollar basis.</w:t>
      </w:r>
    </w:p>
    <w:p>
      <w:pPr>
        <w:spacing w:after="0" w:line="141" w:lineRule="exact"/>
        <w:rPr>
          <w:sz w:val="20"/>
          <w:szCs w:val="20"/>
          <w:color w:val="auto"/>
        </w:rPr>
      </w:pPr>
    </w:p>
    <w:p>
      <w:pPr>
        <w:ind w:right="20" w:firstLine="648"/>
        <w:spacing w:after="0" w:line="319" w:lineRule="auto"/>
        <w:rPr>
          <w:sz w:val="20"/>
          <w:szCs w:val="20"/>
          <w:color w:val="auto"/>
        </w:rPr>
      </w:pPr>
      <w:r>
        <w:rPr>
          <w:rFonts w:ascii="Arial" w:cs="Arial" w:eastAsia="Arial" w:hAnsi="Arial"/>
          <w:sz w:val="16"/>
          <w:szCs w:val="16"/>
          <w:color w:val="auto"/>
        </w:rPr>
        <w:t>In accordance with the terms of the 2016 QSR Transaction, rather than making a cash payment or transferring investments for ceded premiums written, NMIC established a funds withheld liability, which is net of amounts due to NMIC for ceding and profit commissions. Any loss recoveries and any potential profit commission to NMIC will be realized from this account until exhausted. Ceded premiums written are recorded on the balance sheet as prepaid reinsurance premiums and amortized to ceded premiums earned in a manner consistent with the recognition of income on direct premiums.</w:t>
      </w:r>
    </w:p>
    <w:p>
      <w:pPr>
        <w:spacing w:after="0" w:line="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reinsurance recoverable on loss reserves related to our 2016 QSR Transaction was $297 thousand as of December 31, 2016, reflected with other assets. The reinsurance recoverable balance is further supported by trust accounts established and maintained by each reinsurer in accordance with the PMIERs funding requirements that address ceded risk.</w:t>
      </w:r>
    </w:p>
    <w:p>
      <w:pPr>
        <w:spacing w:after="0" w:line="12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agreement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5"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Reserves for Insurance Claims and Claim Expenses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reserves incurred but not reported (IBNR). As of December 31, 2016, we have established reserves for insurance claims of $3.0 million for 179 primary loans in default, compared to a reserve of $679 thousand for the year ended December 31, 2015. We paid nine claims totaling $367 thousand during the year ended December 31, 2016.</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2013, we entered into a pool insurance transaction with Fannie Mae. We only establish claim or IBNR reserves for pool risk if we expect claims to exceed the deductible under the pool agreement, which represents the amount of claims absorbed by Fannie Mae before we are obligated to pay any claims. At December 31, 2016, fifty-six loans in the pool were past due by sixty days or more. These fifty-six loans represent approximately $3.4 million in RIF. Due to the size of the remaining deductible of$10.1 million, the low level of Notices of Default (NODs) reported through December 31, 2016 and the expected severity (all loans in the pool have loan-to-value (LTV) ratios under 80%), we have not established any pool reserves for claims or IBNR for the years ended December 31, 2016 and December 31, 2015. In connection with the settlement of pool claims, we applied $256 thousand to the pool deductible through December 31, 2016. We have not paid any pool claims to date.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r>
      <w:tr>
        <w:trPr>
          <w:trHeight w:val="250"/>
        </w:trPr>
        <w:tc>
          <w:tcPr>
            <w:tcW w:w="5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20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64"/>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20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318"/>
        </w:trPr>
        <w:tc>
          <w:tcPr>
            <w:tcW w:w="57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83</w:t>
            </w:r>
          </w:p>
        </w:tc>
      </w:tr>
      <w:tr>
        <w:trPr>
          <w:trHeight w:val="270"/>
        </w:trPr>
        <w:tc>
          <w:tcPr>
            <w:tcW w:w="57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83</w:t>
            </w:r>
          </w:p>
        </w:tc>
      </w:tr>
      <w:tr>
        <w:trPr>
          <w:trHeight w:val="318"/>
        </w:trPr>
        <w:tc>
          <w:tcPr>
            <w:tcW w:w="57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318"/>
        </w:trPr>
        <w:tc>
          <w:tcPr>
            <w:tcW w:w="57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83</w:t>
            </w:r>
          </w:p>
        </w:tc>
      </w:tr>
      <w:tr>
        <w:trPr>
          <w:trHeight w:val="270"/>
        </w:trPr>
        <w:tc>
          <w:tcPr>
            <w:tcW w:w="57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83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 xml:space="preserve">Related to ceded losses recoverable on the 2016 QSR Transaction. See Note 6, </w:t>
      </w:r>
      <w:r>
        <w:rPr>
          <w:rFonts w:ascii="Arial" w:cs="Arial" w:eastAsia="Arial" w:hAnsi="Arial"/>
          <w:sz w:val="15"/>
          <w:szCs w:val="15"/>
          <w:i w:val="1"/>
          <w:iCs w:val="1"/>
          <w:color w:val="auto"/>
        </w:rPr>
        <w:t>"Reinsurance"</w:t>
      </w:r>
      <w:r>
        <w:rPr>
          <w:rFonts w:ascii="Arial" w:cs="Arial" w:eastAsia="Arial" w:hAnsi="Arial"/>
          <w:sz w:val="15"/>
          <w:szCs w:val="15"/>
          <w:color w:val="auto"/>
        </w:rPr>
        <w:t xml:space="preserve"> for additional information.</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Related to defaults occurring in the current year.</w:t>
      </w:r>
    </w:p>
    <w:p>
      <w:pPr>
        <w:spacing w:after="0" w:line="10" w:lineRule="exact"/>
        <w:rPr>
          <w:rFonts w:ascii="Arial" w:cs="Arial" w:eastAsia="Arial" w:hAnsi="Arial"/>
          <w:sz w:val="22"/>
          <w:szCs w:val="22"/>
          <w:color w:val="auto"/>
          <w:vertAlign w:val="superscript"/>
        </w:rPr>
      </w:pPr>
    </w:p>
    <w:p>
      <w:pPr>
        <w:ind w:left="160" w:hanging="152"/>
        <w:spacing w:after="0" w:line="223" w:lineRule="auto"/>
        <w:tabs>
          <w:tab w:leader="none" w:pos="1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Related to defaults occurring in prior years.</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“claims incurred” section of the table above shows claims and claim expenses incurred on default notices received in the current year and in prior years. The amount of claims incurred relating to default notices received in the current year represents the estimated amount to be ultimately paid on such default notices. The decreases during the periods presented in reserves held for prior year defaults are generally the result of ongoing analysis of recent loss development trends. We may increase or decrease our original estimates as we learn additional information about individual defaults and claims.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was a $65 thousand favorable prior year development for the year ended December 31, 2016, primarily attributable to cures of NOD's received in prior years. Reserves of $418 thousand related to prior year defaults remained as of December 31, 2016.</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provide claim development data, by accident year, and a reconciliation to the reserve for insurance claims and claim expenses, related to the new guidance on short-duration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1"/>
              </w:rPr>
              <w:t>Reserves net of Reinsurance</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As of December 31, 2016</w:t>
            </w:r>
          </w:p>
        </w:tc>
      </w:tr>
      <w:tr>
        <w:trPr>
          <w:trHeight w:val="229"/>
        </w:trPr>
        <w:tc>
          <w:tcPr>
            <w:tcW w:w="7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Accident Year</w:t>
            </w:r>
          </w:p>
        </w:tc>
        <w:tc>
          <w:tcPr>
            <w:tcW w:w="340" w:type="dxa"/>
            <w:vAlign w:val="bottom"/>
          </w:tcPr>
          <w:p>
            <w:pPr>
              <w:spacing w:after="0"/>
              <w:rPr>
                <w:sz w:val="19"/>
                <w:szCs w:val="19"/>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9"/>
                <w:szCs w:val="19"/>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2014</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 of IBNR+</w:t>
            </w:r>
          </w:p>
        </w:tc>
        <w:tc>
          <w:tcPr>
            <w:tcW w:w="100" w:type="dxa"/>
            <w:vAlign w:val="bottom"/>
          </w:tcPr>
          <w:p>
            <w:pPr>
              <w:spacing w:after="0"/>
              <w:rPr>
                <w:sz w:val="19"/>
                <w:szCs w:val="19"/>
                <w:color w:val="auto"/>
              </w:rPr>
            </w:pPr>
          </w:p>
        </w:tc>
        <w:tc>
          <w:tcPr>
            <w:tcW w:w="1360" w:type="dxa"/>
            <w:vAlign w:val="bottom"/>
          </w:tcPr>
          <w:p>
            <w:pPr>
              <w:jc w:val="right"/>
              <w:ind w:right="396"/>
              <w:spacing w:after="0"/>
              <w:rPr>
                <w:sz w:val="20"/>
                <w:szCs w:val="20"/>
                <w:color w:val="auto"/>
              </w:rPr>
            </w:pPr>
            <w:r>
              <w:rPr>
                <w:rFonts w:ascii="Arial" w:cs="Arial" w:eastAsia="Arial" w:hAnsi="Arial"/>
                <w:sz w:val="14"/>
                <w:szCs w:val="14"/>
                <w:b w:val="1"/>
                <w:bCs w:val="1"/>
                <w:color w:val="auto"/>
              </w:rPr>
              <w:t>NODs</w:t>
            </w:r>
          </w:p>
        </w:tc>
      </w:tr>
      <w:tr>
        <w:trPr>
          <w:trHeight w:val="21"/>
        </w:trPr>
        <w:tc>
          <w:tcPr>
            <w:tcW w:w="7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i w:val="1"/>
                <w:iCs w:val="1"/>
                <w:color w:val="auto"/>
                <w:w w:val="91"/>
              </w:rPr>
              <w:t>($ Values In Thousands)</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7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5"/>
              </w:rPr>
              <w:t>2013</w:t>
            </w:r>
          </w:p>
        </w:tc>
        <w:tc>
          <w:tcPr>
            <w:tcW w:w="8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ind w:right="5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720" w:type="dxa"/>
            <w:vAlign w:val="bottom"/>
          </w:tcPr>
          <w:p>
            <w:pPr>
              <w:jc w:val="right"/>
              <w:ind w:right="279"/>
              <w:spacing w:after="0"/>
              <w:rPr>
                <w:sz w:val="20"/>
                <w:szCs w:val="20"/>
                <w:color w:val="auto"/>
              </w:rPr>
            </w:pPr>
            <w:r>
              <w:rPr>
                <w:rFonts w:ascii="Arial" w:cs="Arial" w:eastAsia="Arial" w:hAnsi="Arial"/>
                <w:sz w:val="16"/>
                <w:szCs w:val="16"/>
                <w:color w:val="auto"/>
                <w:w w:val="95"/>
              </w:rPr>
              <w:t>2014</w:t>
            </w: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56</w:t>
            </w:r>
          </w:p>
        </w:tc>
        <w:tc>
          <w:tcPr>
            <w:tcW w:w="940" w:type="dxa"/>
            <w:vAlign w:val="bottom"/>
          </w:tcPr>
          <w:p>
            <w:pPr>
              <w:spacing w:after="0"/>
              <w:rPr>
                <w:sz w:val="21"/>
                <w:szCs w:val="21"/>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21"/>
                <w:szCs w:val="21"/>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5"/>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652</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r>
      <w:tr>
        <w:trPr>
          <w:trHeight w:val="243"/>
        </w:trPr>
        <w:tc>
          <w:tcPr>
            <w:tcW w:w="720" w:type="dxa"/>
            <w:vAlign w:val="bottom"/>
          </w:tcPr>
          <w:p>
            <w:pPr>
              <w:jc w:val="right"/>
              <w:ind w:right="279"/>
              <w:spacing w:after="0"/>
              <w:rPr>
                <w:sz w:val="20"/>
                <w:szCs w:val="20"/>
                <w:color w:val="auto"/>
              </w:rPr>
            </w:pPr>
            <w:r>
              <w:rPr>
                <w:rFonts w:ascii="Arial" w:cs="Arial" w:eastAsia="Arial" w:hAnsi="Arial"/>
                <w:sz w:val="16"/>
                <w:szCs w:val="16"/>
                <w:color w:val="auto"/>
                <w:w w:val="95"/>
              </w:rPr>
              <w:t>2016</w:t>
            </w: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2,210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170</w:t>
            </w: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165</w:t>
            </w:r>
          </w:p>
        </w:tc>
      </w:tr>
      <w:tr>
        <w:trPr>
          <w:trHeight w:val="27"/>
        </w:trPr>
        <w:tc>
          <w:tcPr>
            <w:tcW w:w="7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Total</w:t>
            </w:r>
          </w:p>
        </w:tc>
        <w:tc>
          <w:tcPr>
            <w:tcW w:w="840" w:type="dxa"/>
            <w:vAlign w:val="bottom"/>
            <w:tcBorders>
              <w:bottom w:val="single" w:sz="8" w:color="CCEEFF"/>
            </w:tcBorders>
            <w:shd w:val="clear" w:color="auto" w:fill="CCEEFF"/>
          </w:tcPr>
          <w:p>
            <w:pPr>
              <w:jc w:val="center"/>
              <w:ind w:right="5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2,824</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w:t>
            </w:r>
          </w:p>
        </w:tc>
        <w:tc>
          <w:tcPr>
            <w:tcW w:w="14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179</w:t>
            </w:r>
          </w:p>
        </w:tc>
      </w:tr>
      <w:tr>
        <w:trPr>
          <w:trHeight w:val="20"/>
        </w:trPr>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Our IBNR reserves reflect the actuarial estimate for claims incurred but not reported as of December 31, 2016. The number of NODs outstanding as of December 31, 2016 is the total number of loans in default over 60 days for which we have established reserves.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92"/>
              </w:rPr>
              <w:t>Cumulative Paid Claims, net of Reinsurance</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29"/>
        </w:trPr>
        <w:tc>
          <w:tcPr>
            <w:tcW w:w="1000" w:type="dxa"/>
            <w:vAlign w:val="bottom"/>
          </w:tcPr>
          <w:p>
            <w:pPr>
              <w:spacing w:after="0"/>
              <w:rPr>
                <w:sz w:val="19"/>
                <w:szCs w:val="19"/>
                <w:color w:val="auto"/>
              </w:rPr>
            </w:pPr>
          </w:p>
        </w:tc>
        <w:tc>
          <w:tcPr>
            <w:tcW w:w="242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92"/>
              </w:rPr>
              <w:t>Accident Year</w:t>
            </w:r>
          </w:p>
        </w:tc>
        <w:tc>
          <w:tcPr>
            <w:tcW w:w="1620" w:type="dxa"/>
            <w:vAlign w:val="bottom"/>
          </w:tcPr>
          <w:p>
            <w:pPr>
              <w:jc w:val="right"/>
              <w:ind w:right="919"/>
              <w:spacing w:after="0"/>
              <w:rPr>
                <w:sz w:val="20"/>
                <w:szCs w:val="20"/>
                <w:color w:val="auto"/>
              </w:rPr>
            </w:pPr>
            <w:r>
              <w:rPr>
                <w:rFonts w:ascii="Arial" w:cs="Arial" w:eastAsia="Arial" w:hAnsi="Arial"/>
                <w:sz w:val="14"/>
                <w:szCs w:val="14"/>
                <w:b w:val="1"/>
                <w:bCs w:val="1"/>
                <w:color w:val="auto"/>
              </w:rPr>
              <w:t>2013</w:t>
            </w:r>
          </w:p>
        </w:tc>
        <w:tc>
          <w:tcPr>
            <w:tcW w:w="1420" w:type="dxa"/>
            <w:vAlign w:val="bottom"/>
          </w:tcPr>
          <w:p>
            <w:pPr>
              <w:jc w:val="right"/>
              <w:ind w:right="164"/>
              <w:spacing w:after="0"/>
              <w:rPr>
                <w:sz w:val="20"/>
                <w:szCs w:val="20"/>
                <w:color w:val="auto"/>
              </w:rPr>
            </w:pPr>
            <w:r>
              <w:rPr>
                <w:rFonts w:ascii="Arial" w:cs="Arial" w:eastAsia="Arial" w:hAnsi="Arial"/>
                <w:sz w:val="14"/>
                <w:szCs w:val="14"/>
                <w:b w:val="1"/>
                <w:bCs w:val="1"/>
                <w:color w:val="auto"/>
              </w:rPr>
              <w:t>2014</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92"/>
              <w:spacing w:after="0"/>
              <w:rPr>
                <w:sz w:val="20"/>
                <w:szCs w:val="20"/>
                <w:color w:val="auto"/>
              </w:rPr>
            </w:pPr>
            <w:r>
              <w:rPr>
                <w:rFonts w:ascii="Arial" w:cs="Arial" w:eastAsia="Arial" w:hAnsi="Arial"/>
                <w:sz w:val="14"/>
                <w:szCs w:val="14"/>
                <w:b w:val="1"/>
                <w:bCs w:val="1"/>
                <w:color w:val="auto"/>
              </w:rPr>
              <w:t>2016</w:t>
            </w:r>
          </w:p>
        </w:tc>
      </w:tr>
      <w:tr>
        <w:trPr>
          <w:trHeight w:val="21"/>
        </w:trPr>
        <w:tc>
          <w:tcPr>
            <w:tcW w:w="10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20" w:type="dxa"/>
            <w:vAlign w:val="bottom"/>
            <w:gridSpan w:val="2"/>
          </w:tcPr>
          <w:p>
            <w:pPr>
              <w:jc w:val="center"/>
              <w:ind w:right="730"/>
              <w:spacing w:after="0"/>
              <w:rPr>
                <w:sz w:val="20"/>
                <w:szCs w:val="20"/>
                <w:color w:val="auto"/>
              </w:rPr>
            </w:pPr>
            <w:r>
              <w:rPr>
                <w:rFonts w:ascii="Arial" w:cs="Arial" w:eastAsia="Arial" w:hAnsi="Arial"/>
                <w:sz w:val="14"/>
                <w:szCs w:val="14"/>
                <w:i w:val="1"/>
                <w:iCs w:val="1"/>
                <w:color w:val="auto"/>
                <w:w w:val="93"/>
              </w:rPr>
              <w:t>(In Thousands)</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24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24"/>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000" w:type="dxa"/>
            <w:vAlign w:val="bottom"/>
          </w:tcPr>
          <w:p>
            <w:pPr>
              <w:ind w:left="40"/>
              <w:spacing w:after="0"/>
              <w:rPr>
                <w:sz w:val="20"/>
                <w:szCs w:val="20"/>
                <w:color w:val="auto"/>
              </w:rPr>
            </w:pPr>
            <w:r>
              <w:rPr>
                <w:rFonts w:ascii="Arial" w:cs="Arial" w:eastAsia="Arial" w:hAnsi="Arial"/>
                <w:sz w:val="16"/>
                <w:szCs w:val="16"/>
                <w:color w:val="auto"/>
              </w:rPr>
              <w:t>2014</w:t>
            </w: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r>
      <w:tr>
        <w:trPr>
          <w:trHeight w:val="243"/>
        </w:trPr>
        <w:tc>
          <w:tcPr>
            <w:tcW w:w="1000" w:type="dxa"/>
            <w:vAlign w:val="bottom"/>
          </w:tcPr>
          <w:p>
            <w:pPr>
              <w:ind w:left="40"/>
              <w:spacing w:after="0"/>
              <w:rPr>
                <w:sz w:val="20"/>
                <w:szCs w:val="20"/>
                <w:color w:val="auto"/>
              </w:rPr>
            </w:pPr>
            <w:r>
              <w:rPr>
                <w:rFonts w:ascii="Arial" w:cs="Arial" w:eastAsia="Arial" w:hAnsi="Arial"/>
                <w:sz w:val="16"/>
                <w:szCs w:val="16"/>
                <w:color w:val="auto"/>
              </w:rPr>
              <w:t>2016</w:t>
            </w: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7"/>
        </w:trPr>
        <w:tc>
          <w:tcPr>
            <w:tcW w:w="10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0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r>
      <w:tr>
        <w:trPr>
          <w:trHeight w:val="20"/>
        </w:trPr>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865"/>
        </w:trPr>
        <w:tc>
          <w:tcPr>
            <w:tcW w:w="10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gridSpan w:val="10"/>
          </w:tcPr>
          <w:p>
            <w:pPr>
              <w:jc w:val="center"/>
              <w:ind w:left="242"/>
              <w:spacing w:after="0"/>
              <w:rPr>
                <w:sz w:val="20"/>
                <w:szCs w:val="20"/>
                <w:color w:val="auto"/>
              </w:rPr>
            </w:pPr>
            <w:r>
              <w:rPr>
                <w:rFonts w:ascii="Arial" w:cs="Arial" w:eastAsia="Arial" w:hAnsi="Arial"/>
                <w:sz w:val="14"/>
                <w:szCs w:val="14"/>
                <w:b w:val="1"/>
                <w:bCs w:val="1"/>
                <w:color w:val="auto"/>
                <w:w w:val="93"/>
              </w:rPr>
              <w:t>Reconciliation of Disclosure of Incurred and Paid Claims Development to the Liability for Unpaid Claims and Claim Adjustment Expenses</w:t>
            </w:r>
          </w:p>
        </w:tc>
        <w:tc>
          <w:tcPr>
            <w:tcW w:w="1300" w:type="dxa"/>
            <w:vAlign w:val="bottom"/>
            <w:tcBorders>
              <w:bottom w:val="single" w:sz="8" w:color="auto"/>
            </w:tcBorders>
          </w:tcPr>
          <w:p>
            <w:pPr>
              <w:spacing w:after="0"/>
              <w:rPr>
                <w:sz w:val="24"/>
                <w:szCs w:val="24"/>
                <w:color w:val="auto"/>
              </w:rPr>
            </w:pPr>
          </w:p>
        </w:tc>
      </w:tr>
      <w:tr>
        <w:trPr>
          <w:trHeight w:val="190"/>
        </w:trPr>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6"/>
        </w:trPr>
        <w:tc>
          <w:tcPr>
            <w:tcW w:w="10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4"/>
                <w:szCs w:val="14"/>
                <w:b w:val="1"/>
                <w:bCs w:val="1"/>
                <w:color w:val="auto"/>
                <w:w w:val="92"/>
              </w:rPr>
              <w:t>As of December 31, 2016</w:t>
            </w:r>
          </w:p>
        </w:tc>
      </w:tr>
      <w:tr>
        <w:trPr>
          <w:trHeight w:val="250"/>
        </w:trPr>
        <w:tc>
          <w:tcPr>
            <w:tcW w:w="6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Liabilities for unpaid claims and claim adjustment expenses, net of reinsurance</w:t>
            </w:r>
          </w:p>
        </w:tc>
        <w:tc>
          <w:tcPr>
            <w:tcW w:w="2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w:t>
            </w:r>
          </w:p>
        </w:tc>
      </w:tr>
      <w:tr>
        <w:trPr>
          <w:trHeight w:val="243"/>
        </w:trPr>
        <w:tc>
          <w:tcPr>
            <w:tcW w:w="3420" w:type="dxa"/>
            <w:vAlign w:val="bottom"/>
            <w:gridSpan w:val="4"/>
          </w:tcPr>
          <w:p>
            <w:pPr>
              <w:ind w:left="40"/>
              <w:spacing w:after="0"/>
              <w:rPr>
                <w:sz w:val="20"/>
                <w:szCs w:val="20"/>
                <w:color w:val="auto"/>
              </w:rPr>
            </w:pPr>
            <w:r>
              <w:rPr>
                <w:rFonts w:ascii="Arial" w:cs="Arial" w:eastAsia="Arial" w:hAnsi="Arial"/>
                <w:sz w:val="18"/>
                <w:szCs w:val="18"/>
                <w:color w:val="auto"/>
                <w:w w:val="98"/>
              </w:rPr>
              <w:t>Reinsurance recoverable on unpaid claims</w:t>
            </w: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297</w:t>
            </w:r>
          </w:p>
        </w:tc>
      </w:tr>
      <w:tr>
        <w:trPr>
          <w:trHeight w:val="27"/>
        </w:trPr>
        <w:tc>
          <w:tcPr>
            <w:tcW w:w="188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Unallocated claims adjustment expenses</w:t>
            </w:r>
          </w:p>
        </w:tc>
        <w:tc>
          <w:tcPr>
            <w:tcW w:w="16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57"/>
        </w:trPr>
        <w:tc>
          <w:tcPr>
            <w:tcW w:w="5040" w:type="dxa"/>
            <w:vAlign w:val="bottom"/>
            <w:gridSpan w:val="5"/>
          </w:tcPr>
          <w:p>
            <w:pPr>
              <w:ind w:left="40"/>
              <w:spacing w:after="0"/>
              <w:rPr>
                <w:sz w:val="20"/>
                <w:szCs w:val="20"/>
                <w:color w:val="auto"/>
              </w:rPr>
            </w:pPr>
            <w:r>
              <w:rPr>
                <w:rFonts w:ascii="Arial" w:cs="Arial" w:eastAsia="Arial" w:hAnsi="Arial"/>
                <w:sz w:val="18"/>
                <w:szCs w:val="18"/>
                <w:color w:val="auto"/>
                <w:w w:val="91"/>
              </w:rPr>
              <w:t>Total gross liability for unpaid claims and claim adjustment expenses</w:t>
            </w:r>
          </w:p>
        </w:tc>
        <w:tc>
          <w:tcPr>
            <w:tcW w:w="14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3,001</w:t>
            </w:r>
          </w:p>
        </w:tc>
      </w:tr>
      <w:tr>
        <w:trPr>
          <w:trHeight w:val="20"/>
        </w:trPr>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shows, on average, the percentage of claims paid over the years after a claim is incurred.</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62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Average annual percentage payout of incurred claims by age, net of reinsurance</w:t>
            </w:r>
          </w:p>
        </w:tc>
      </w:tr>
      <w:tr>
        <w:trPr>
          <w:trHeight w:val="264"/>
        </w:trPr>
        <w:tc>
          <w:tcPr>
            <w:tcW w:w="3000" w:type="dxa"/>
            <w:vAlign w:val="bottom"/>
          </w:tcPr>
          <w:p>
            <w:pPr>
              <w:spacing w:after="0"/>
              <w:rPr>
                <w:sz w:val="22"/>
                <w:szCs w:val="22"/>
                <w:color w:val="auto"/>
              </w:rPr>
            </w:pPr>
          </w:p>
        </w:tc>
        <w:tc>
          <w:tcPr>
            <w:tcW w:w="15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5"/>
              </w:rPr>
              <w:t>Year 1</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Year 2</w:t>
            </w:r>
          </w:p>
        </w:tc>
        <w:tc>
          <w:tcPr>
            <w:tcW w:w="7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Year 3</w:t>
            </w: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Year 4</w:t>
            </w:r>
          </w:p>
        </w:tc>
      </w:tr>
      <w:tr>
        <w:trPr>
          <w:trHeight w:val="258"/>
        </w:trPr>
        <w:tc>
          <w:tcPr>
            <w:tcW w:w="3000" w:type="dxa"/>
            <w:vAlign w:val="bottom"/>
          </w:tcPr>
          <w:p>
            <w:pPr>
              <w:spacing w:after="0"/>
              <w:rPr>
                <w:sz w:val="20"/>
                <w:szCs w:val="20"/>
                <w:color w:val="auto"/>
              </w:rPr>
            </w:pPr>
            <w:r>
              <w:rPr>
                <w:rFonts w:ascii="Arial" w:cs="Arial" w:eastAsia="Arial" w:hAnsi="Arial"/>
                <w:sz w:val="14"/>
                <w:szCs w:val="14"/>
                <w:b w:val="1"/>
                <w:bCs w:val="1"/>
                <w:color w:val="auto"/>
              </w:rPr>
              <w:t>Claims duration disclosure</w:t>
            </w:r>
          </w:p>
        </w:tc>
        <w:tc>
          <w:tcPr>
            <w:tcW w:w="1520" w:type="dxa"/>
            <w:vAlign w:val="bottom"/>
          </w:tcPr>
          <w:p>
            <w:pPr>
              <w:jc w:val="right"/>
              <w:ind w:right="602"/>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22"/>
                <w:szCs w:val="22"/>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1600" w:type="dxa"/>
            <w:vAlign w:val="bottom"/>
          </w:tcPr>
          <w:p>
            <w:pPr>
              <w:ind w:left="920"/>
              <w:spacing w:after="0"/>
              <w:rPr>
                <w:sz w:val="20"/>
                <w:szCs w:val="20"/>
                <w:color w:val="auto"/>
              </w:rPr>
            </w:pPr>
            <w:r>
              <w:rPr>
                <w:rFonts w:ascii="Arial" w:cs="Arial" w:eastAsia="Arial" w:hAnsi="Arial"/>
                <w:sz w:val="18"/>
                <w:szCs w:val="18"/>
                <w:color w:val="auto"/>
              </w:rPr>
              <w:t>—%</w:t>
            </w:r>
          </w:p>
        </w:tc>
        <w:tc>
          <w:tcPr>
            <w:tcW w:w="13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 (EPS)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earnings (loss) per share is based on the weighted average number of shares of common stock outstanding, while diluted earnings (loss) per share is based on the weighted average number of shares of common stock outstanding and common stock equivalents that would be issuable upon the exercise of stock options, other share-based compensation arrangements, and the dilutive effect of outstanding warrants. The following table reconciles the net income (loss) and the weighted average shares of common stock outstanding used in the computations of basic and diluted earnings (loss) per share of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310"/>
              <w:spacing w:after="0"/>
              <w:rPr>
                <w:sz w:val="20"/>
                <w:szCs w:val="20"/>
                <w:color w:val="auto"/>
              </w:rPr>
            </w:pPr>
            <w:r>
              <w:rPr>
                <w:rFonts w:ascii="Arial" w:cs="Arial" w:eastAsia="Arial" w:hAnsi="Arial"/>
                <w:sz w:val="14"/>
                <w:szCs w:val="14"/>
                <w:b w:val="1"/>
                <w:bCs w:val="1"/>
                <w:color w:val="auto"/>
                <w:w w:val="92"/>
              </w:rPr>
              <w:t>For the year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6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00" w:type="dxa"/>
            <w:vAlign w:val="bottom"/>
            <w:gridSpan w:val="7"/>
          </w:tcPr>
          <w:p>
            <w:pPr>
              <w:jc w:val="center"/>
              <w:ind w:left="754"/>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2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65,841</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r>
      <w:tr>
        <w:trPr>
          <w:trHeight w:val="297"/>
        </w:trPr>
        <w:tc>
          <w:tcPr>
            <w:tcW w:w="60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59,070,948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58,683,194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58,281,425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Dilutive effect of un-vested shares</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1,758,424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60,829,372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58,683,194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58,281,425</w:t>
            </w:r>
          </w:p>
        </w:tc>
      </w:tr>
      <w:tr>
        <w:trPr>
          <w:trHeight w:val="297"/>
        </w:trPr>
        <w:tc>
          <w:tcPr>
            <w:tcW w:w="60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2016, 4,763,826 of our common stock equivalents we issued under share-based compensation arrangements and warrants were not included in the calculation of diluted earnings (loss) per share because they were anti-dilutive. Un-vested shares of 1,758,424 were included in our weighted average number of common shares outstanding for the year ended December 31, 2016,</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a result of our net loss for the years ended December 31, 2015 and December 31, 2014, 6,266,905 and 5,839,909 of our common stock equivalents we issued under share-based compensation arrangements and warrants, respectively, were not included in the calculation of diluted earnings (loss) per share as of such date because they were anti-dilutive.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issued 992,000 warrants in connection with our Private Placement. Each warrant gave the holder thereof the right to purchase one share of common stock at an exercise price equal to $10.00. The warrants were issued with an aggregate fair value of $5.1 million.</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exercise of these warrants, the amounts will be treated as additional paid-in capital. During the first quarter of 2014, 7,790 warrants were exercised and we issued 1,115 Class A common shares via a cashless exercise. Upon exercise, we reclassified the fair value of the warrants from warrant liability to additional paid in capital and recognized a gain of approximately $37 thousand. No other warrants were exercised during 2015 or 2016.</w:t>
      </w:r>
    </w:p>
    <w:p>
      <w:pPr>
        <w:spacing w:after="0" w:line="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2012 Stock Incentive Plan (Plan) was approved by the Board on April 16, 2012 and authorized 5.5 million shares to be reserved for issuance under the Plan, with 3.85 million shares available for stock options and 1.65 million shares available for RSUs. Options granted under the Plan are non-qualified stock options and may be granted to employees, directors and other key persons. The exercise price per share for the common stock covered by this Plan is determined by the Board at the time of grant, but shall not be less than the fair market value, defined as the closing price of our common stock, on the date of the grant. The term of the stock option grants is established by the Board, but no stock option shall be exercisable more than ten years after the date the stock option is granted. The vesting period of the stock option grants is also established by the Board at the time of grant and generally is for a three-year period. Upon the exercise of stock options, we issue shares from the authorized, unissued share reserve.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8, 2014, NMIH held its annual shareholder meeting, at which our shareholders voted to approve the NMIH 2014 Omnibus Incentive Plan, which authorizes us to make 4 million shares of NMIH's class A common stock available to be granted. These shares may be either authorized but unissued shares or treasury shares.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option activity in the plan during the years ended December 31, 2016, December 31, 2015, and December 31, 2014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2016</w:t>
            </w:r>
          </w:p>
        </w:tc>
        <w:tc>
          <w:tcPr>
            <w:tcW w:w="16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w w:val="91"/>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2015</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10.21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10.06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10.27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2015</w:t>
            </w:r>
          </w:p>
        </w:tc>
        <w:tc>
          <w:tcPr>
            <w:tcW w:w="16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w w:val="91"/>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2014</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10.66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10.48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outstanding at December 31, 2015</w:t>
            </w: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3,851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10.21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2014</w:t>
            </w:r>
          </w:p>
        </w:tc>
        <w:tc>
          <w:tcPr>
            <w:tcW w:w="162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Weighted Average Exercise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Date Fair Value 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4"/>
                <w:szCs w:val="14"/>
                <w:i w:val="1"/>
                <w:iCs w:val="1"/>
                <w:color w:val="auto"/>
                <w:w w:val="91"/>
              </w:rPr>
              <w:t>(Shares in Thousands)</w:t>
            </w: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2013</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2014</w:t>
            </w:r>
          </w:p>
        </w:tc>
        <w:tc>
          <w:tcPr>
            <w:tcW w:w="3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there were approximately 2.4 million options fully vested and exercisable. There were no exercises during the year. The weighted average exercise price for the fully vested and exercisable options was $10.43. The remaining weighted average contractual life of options fully vested and exercisable as of December 31, 2016 was 6.03 years. The aggregate intrinsic value for fully vested and exercisable options was $1.5 million as of December 31, 2016.</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weighted average contractual life of options outstanding as of December 31, 2016 was 6.38 years. As of December 31, 2016, there was $0.3 million of total unrecognized compensation cost related to un-vested stock options. The weighted-average period over which total compensation related to un-vested stock options will be recognized is 0.86 years.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stock options under ASC 718, which requires all share-based payments to be recognized in the financial statements at their fair values. To measure the fair value of stock options granted, we utilize the Black-Scholes options pricing model. Expense is recognized over the required service period, which is generally the three-year vesting period of the options (vesting in one-third increments per year).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stock options granted during 2016. The estimated grant date fair values of the stock options granted during 2015 and 2014 were calculated using the Black-Scholes valuation model based on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66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6 years</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 years</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660" w:type="dxa"/>
            <w:vAlign w:val="bottom"/>
          </w:tcPr>
          <w:p>
            <w:pPr>
              <w:jc w:val="right"/>
              <w:ind w:right="213"/>
              <w:spacing w:after="0"/>
              <w:rPr>
                <w:sz w:val="20"/>
                <w:szCs w:val="20"/>
                <w:color w:val="auto"/>
              </w:rPr>
            </w:pPr>
            <w:r>
              <w:rPr>
                <w:rFonts w:ascii="Arial" w:cs="Arial" w:eastAsia="Arial" w:hAnsi="Arial"/>
                <w:sz w:val="18"/>
                <w:szCs w:val="18"/>
                <w:color w:val="auto"/>
              </w:rPr>
              <w:t>1.65% - 1.78%</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1.90% - 2.01%</w:t>
            </w:r>
          </w:p>
        </w:tc>
      </w:tr>
      <w:tr>
        <w:trPr>
          <w:trHeight w:val="27"/>
        </w:trPr>
        <w:tc>
          <w:tcPr>
            <w:tcW w:w="8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34.40%</w:t>
            </w:r>
          </w:p>
        </w:tc>
        <w:tc>
          <w:tcPr>
            <w:tcW w:w="144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8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1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Expected Price Volatility - </w:t>
      </w:r>
      <w:r>
        <w:rPr>
          <w:rFonts w:ascii="Arial" w:cs="Arial" w:eastAsia="Arial" w:hAnsi="Arial"/>
          <w:sz w:val="17"/>
          <w:szCs w:val="17"/>
          <w:color w:val="auto"/>
        </w:rPr>
        <w:t>is a measure of the amount by which a price has fluctuated or is expected to fluctuate. At the time of grants,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Projected Forfeiture Rate - </w:t>
      </w:r>
      <w:r>
        <w:rPr>
          <w:rFonts w:ascii="Arial" w:cs="Arial" w:eastAsia="Arial" w:hAnsi="Arial"/>
          <w:sz w:val="16"/>
          <w:szCs w:val="16"/>
          <w:color w:val="auto"/>
        </w:rPr>
        <w:t>is the estimated percentage of options granted that are expected to be forfeited or canceled before becoming fully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forfeiture rate will decrease compensation expense.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RSU activity in the plan during the years ended December 31, 2016, December 31, 2015, and December 31, 2014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3140" w:type="dxa"/>
            <w:vAlign w:val="bottom"/>
          </w:tcPr>
          <w:p>
            <w:pPr>
              <w:spacing w:after="0"/>
              <w:rPr>
                <w:sz w:val="14"/>
                <w:szCs w:val="14"/>
                <w:color w:val="auto"/>
              </w:rPr>
            </w:pP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4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6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2015</w:t>
            </w:r>
          </w:p>
        </w:tc>
        <w:tc>
          <w:tcPr>
            <w:tcW w:w="4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4860" w:type="dxa"/>
            <w:vAlign w:val="bottom"/>
            <w:gridSpan w:val="2"/>
          </w:tcPr>
          <w:p>
            <w:pPr>
              <w:jc w:val="right"/>
              <w:ind w:right="48"/>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4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2016</w:t>
            </w:r>
          </w:p>
        </w:tc>
        <w:tc>
          <w:tcPr>
            <w:tcW w:w="4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3140" w:type="dxa"/>
            <w:vAlign w:val="bottom"/>
          </w:tcPr>
          <w:p>
            <w:pPr>
              <w:spacing w:after="0"/>
              <w:rPr>
                <w:sz w:val="23"/>
                <w:szCs w:val="23"/>
                <w:color w:val="auto"/>
              </w:rPr>
            </w:pP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4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6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2014</w:t>
            </w:r>
          </w:p>
        </w:tc>
        <w:tc>
          <w:tcPr>
            <w:tcW w:w="4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4860" w:type="dxa"/>
            <w:vAlign w:val="bottom"/>
            <w:gridSpan w:val="2"/>
          </w:tcPr>
          <w:p>
            <w:pPr>
              <w:jc w:val="right"/>
              <w:ind w:right="48"/>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4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2015</w:t>
            </w:r>
          </w:p>
        </w:tc>
        <w:tc>
          <w:tcPr>
            <w:tcW w:w="4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100</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7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2014</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2014</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2016, the 2.5 million shares of granted and un-vested RSUs consisted of 0.5 million shares that are subject to both a market and service condition and 2.0 million shares that are subject only to service conditions. The un-vested RSUs subject to both a market and service condition vest in one-half increments upon the achievement of certain market price goals and continued service. Un-vested RSUs subject only to a service condition vest over a service period ranging from one to three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w:t>
      </w:r>
    </w:p>
    <w:p>
      <w:pPr>
        <w:spacing w:after="0" w:line="139" w:lineRule="exact"/>
        <w:rPr>
          <w:sz w:val="20"/>
          <w:szCs w:val="20"/>
          <w:color w:val="auto"/>
        </w:rPr>
      </w:pPr>
    </w:p>
    <w:p>
      <w:pPr>
        <w:jc w:val="both"/>
        <w:ind w:firstLine="227"/>
        <w:spacing w:after="0" w:line="277" w:lineRule="auto"/>
        <w:rPr>
          <w:sz w:val="20"/>
          <w:szCs w:val="20"/>
          <w:color w:val="auto"/>
        </w:rPr>
      </w:pPr>
      <w:r>
        <w:rPr>
          <w:rFonts w:ascii="Arial" w:cs="Arial" w:eastAsia="Arial" w:hAnsi="Arial"/>
          <w:sz w:val="18"/>
          <w:szCs w:val="18"/>
          <w:color w:val="auto"/>
        </w:rPr>
        <w:t>The estimated grant date fair values of the RSUs granted in 2012 that are subject to both a market and service condition were calculated using a Monte Carlo simulation model based on the average outcome of 150,000 simulations using the following assumption: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 years</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9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RSUs granted in 2016, 2015, or 2014 that were subject to a market condition, therefore the Monte Carlo simulation was not used.</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remaining weighted average contractual life of un-vested RSUs as of December 31, 2016 was 8.18 years. The weighted-average period over which total compensation related to un-vested RSUs will be recognized is 1.39 years.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RSUs granted in 2016 were valued at our stock price on the date of grant less the present value of anticipated dividends, which was $0. As of December 31, 2016, there was $4.2 million of total unrecognized compensation cost related to un-vested RSUs, compared to $3.1 million and $3.0 million as of December 31, 2015 and December 31, 2014, respectively.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401(k) Savings Plan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on January 1, 2014, we offered to our employees a 401(k) Savings Plan (401(k) Plan) that qualifies as a deferred salary arrangement under Section 401(k) of the Internal Revenue Code. Under the 401(k) Plan, we match up to 100% of eligible employees' pre-tax contributions up to 4% of eligible compensation. We contributed approximately $1.5 million for the year ended December 31, 2016, compared to $1.2 million for the year ended December 31, 2015. We contributed approximately $0.9 million for the year ended December 31, 2014.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Phantom Shares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2016, we granted 8,169 phantom stock units to one independent director with a grant date fair market value of $50 thousand. Each phantom unit entitles the participants to a cash award equal to the fair market value of the unit based on the price of our stock on the first anniversary of the grant date. We have accounted for these units in accordance with ASC 718-30, </w:t>
      </w:r>
      <w:r>
        <w:rPr>
          <w:rFonts w:ascii="Arial" w:cs="Arial" w:eastAsia="Arial" w:hAnsi="Arial"/>
          <w:sz w:val="18"/>
          <w:szCs w:val="18"/>
          <w:i w:val="1"/>
          <w:iCs w:val="1"/>
          <w:color w:val="auto"/>
        </w:rPr>
        <w:t>Stock Compensation Awards Classified as Liabilities</w:t>
      </w:r>
      <w:r>
        <w:rPr>
          <w:rFonts w:ascii="Arial" w:cs="Arial" w:eastAsia="Arial" w:hAnsi="Arial"/>
          <w:sz w:val="18"/>
          <w:szCs w:val="18"/>
          <w:color w:val="auto"/>
        </w:rPr>
        <w:t>. The fair value of the awards is remeasured at each reporting period until settled. At December 31, 2016, based on a closing share price of $10.65, we recognized $54 thousand as share-based compensation expense with a corresponding liability which is recorded in accounts payable and accrued expenses in our Consolidated Balance Sheets as of December 31,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income tax expense (benefit) consists of the following components: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94"/>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(54,749)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benefit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(54,389)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year ended December 31, 2016, we had an income tax benefit of $54.4 million related primarily to the release of the valuation allowance recorded against federal and certain state deferred tax assets. The provision for income taxes also include current year alternative minimum tax and changes to deferred tax assets. The income tax benefit of $2.4 million for the year ended December 31, 2014 was related to the tax effects of unrealized gains credited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The intraperiod tax allocation rules related to items charged or credited directly to OCI can result in disproportionate tax effects that remain in OCI until certain events occur. As a result of a reduction in unrealized losses credited directly to OCI, $2.4 million of income tax expense was netted with unrealized gains in OCI, and $2.4 million of income tax benefit was allocated to the income tax provision for continuing operations. As a result of net unrealized losses to OCI during the year ended December 31, 2015 and pre-tax income from continuing operations during the year ended December 31, 2016, the exception was not applicable.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between the federal statutory income tax rate to our effective income tax (benefit) rate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 ended December 31,</w:t>
            </w:r>
          </w:p>
        </w:tc>
        <w:tc>
          <w:tcPr>
            <w:tcW w:w="1400" w:type="dxa"/>
            <w:vAlign w:val="bottom"/>
            <w:tcBorders>
              <w:bottom w:val="single" w:sz="8" w:color="auto"/>
            </w:tcBorders>
          </w:tcPr>
          <w:p>
            <w:pPr>
              <w:spacing w:after="0"/>
              <w:rPr>
                <w:sz w:val="16"/>
                <w:szCs w:val="16"/>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r>
      <w:tr>
        <w:trPr>
          <w:trHeight w:val="250"/>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Federal statutory income tax rate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(527.02)</w:t>
            </w:r>
          </w:p>
        </w:tc>
        <w:tc>
          <w:tcPr>
            <w:tcW w:w="1900" w:type="dxa"/>
            <w:vAlign w:val="bottom"/>
            <w:gridSpan w:val="3"/>
          </w:tcPr>
          <w:p>
            <w:pPr>
              <w:jc w:val="right"/>
              <w:ind w:right="74"/>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(31.42)</w:t>
            </w:r>
          </w:p>
        </w:tc>
      </w:tr>
      <w:tr>
        <w:trPr>
          <w:trHeight w:val="27"/>
        </w:trPr>
        <w:tc>
          <w:tcPr>
            <w:tcW w:w="5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and other compensation</w:t>
            </w: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Warrant gain/loss</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3.95</w:t>
            </w:r>
          </w:p>
        </w:tc>
        <w:tc>
          <w:tcPr>
            <w:tcW w:w="1900" w:type="dxa"/>
            <w:vAlign w:val="bottom"/>
            <w:gridSpan w:val="3"/>
          </w:tcPr>
          <w:p>
            <w:pPr>
              <w:jc w:val="right"/>
              <w:ind w:right="134"/>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1.40</w:t>
            </w:r>
          </w:p>
        </w:tc>
      </w:tr>
      <w:tr>
        <w:trPr>
          <w:trHeight w:val="27"/>
        </w:trPr>
        <w:tc>
          <w:tcPr>
            <w:tcW w:w="5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3.47</w:t>
            </w:r>
          </w:p>
        </w:tc>
        <w:tc>
          <w:tcPr>
            <w:tcW w:w="190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(0.32)</w:t>
            </w: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True-up from prior year</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(0.01)</w:t>
            </w:r>
          </w:p>
        </w:tc>
      </w:tr>
      <w:tr>
        <w:trPr>
          <w:trHeight w:val="27"/>
        </w:trPr>
        <w:tc>
          <w:tcPr>
            <w:tcW w:w="58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Effective income tax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8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U.S. taxpayer and are subject to a statutory U.S. federal corporate income tax rate of 35%. Our holding company files a consolidated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and various state income tax returns on behalf of itself and its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net deferred income tax asset (liability) are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02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1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47,867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52,819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Unearned premium reserve</w:t>
            </w:r>
          </w:p>
        </w:tc>
        <w:tc>
          <w:tcPr>
            <w:tcW w:w="10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7,504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ceding commissions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start-up costs</w:t>
            </w:r>
          </w:p>
        </w:tc>
        <w:tc>
          <w:tcPr>
            <w:tcW w:w="10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Alternative minimum tax credit</w:t>
            </w:r>
          </w:p>
        </w:tc>
        <w:tc>
          <w:tcPr>
            <w:tcW w:w="10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78,408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78,535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71,156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12,136</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acquisition costs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(12,456)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(17,882)</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asset (liability)</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53,274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2016, we had a net deferred tax asset of $53.3 million compared to a net deferred tax liability of $0.1 million in all prior periods. The change to our net deferred tax asset (liability) was a result of a change in the valuation allowance during the current year and the balance is primarily related to our deferred tax asset for net operating loss carryforwards of $47.9 million. The net deferred tax liability in all prior years was a result of the acquisition of indefinite-lived intangibles from the acquisition of our insurance subsidiaries. The tax liability incurred at the acquisition was recorded as an increase in goodwill.</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Excluded from deferred tax assets were a gross $2.2 million and $2.1 million of excess stock compensation as of December 31, 2016 and December 31, 2015, respectively, for which any benefit realized will be recorded to stockholders' equity.</w:t>
      </w:r>
    </w:p>
    <w:p>
      <w:pPr>
        <w:spacing w:after="0" w:line="1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2016, we had a federal net operating loss carryforward of $121.1 million which expires from 2030 to 2036, and state net operating loss carryforwards of $63.6 million, which expire in varying amounts during the years 2031 to 2035. Section 382 of the Internal Revenue Code imposes annual limitations on a corporation's ability to utilize its net operating loss carryforwards if it experiences an "ownership change." As a result of the acquisition of our insurance subsidiaries, $7.3 million of NOLs are subject to annual limitations of $0.8 million through 2016, then $0.3 million through 2029.</w:t>
      </w:r>
    </w:p>
    <w:p>
      <w:pPr>
        <w:spacing w:after="0" w:line="1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Since inception and prior to December 31, 2016, we recorded a valuation allowance against deferred tax assets, and, as such, we generally did not record a benefit associated with the losses incurred in prior periods or other income tax benefits. The income tax benefit recognized in prior periods was related to the tax effects of unrealized gains credited to other comprehensive income (OCI). At December 31, 2016, management has concluded that positive evidence of sufficient quantity and quality outweighs negative evidence, and supports our conclusion that it is more-likely-than-not that the Company will realize its federal and certain state deferred tax assets. We have recorded the effects of the change in income from continuing operations, generating a financial statement benefit of $60.0 million and $0.3 million related to net federal and certain state deferred tax assets, respectively. A tax effected valuation allowance of $7.3 million, $66.4 million, and $53.7 million was recorded at December 31, 2016, 2015 and 2014, respectively, to reflect the amount of the deferred taxes that may not be realized. The valuation allowance at December 31, 2016 recorded against net state deferred tax assets primarily relates to state net operating losses generated by NMIH that we do not expect to be utilized. NMIH operates at a loss and currently only generates revenue from its investment portfolio.</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December 31, 2016 , 2015, and 2014, we have no reserve for unrecognized tax benefits, and have taken no material uncertain positions that would require recognition and measurement. It is our policy to classify interest and penalties related to unrecognized tax benefits as income tax expense.</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file income tax returns with the U.S. federal government and various state jurisdictions which are subject to potential examination by tax authorities. We are not currently under examination by federal or state jurisdictions. Our U.S. federal income tax returns for 2013 and subsequent years and state income tax returns for 2012 and subsequent years remain open by statute.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Software and Equipment</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Software and equipment consist largely of capitalized software developed to support our MI operations. Software and equipment, net of accumulated amortization and depreciation, as of December 31, 2016 and December 31, 2015,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1,803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20,098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20,402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15,201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and depreciation expense for software, equipment, and leasehold improvements for the years ended December 31, 2016, 2015, and 2014 was $4.9 million, $3.2 million, and $5.8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 and Goodwill</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we purchased in connection with the acquisition of our insurance subsidiaries, and at December 31, 2016 and December 31, 2015, were as follows for both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Expected Lives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GSE applications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test goodwill and intangibles for impairment in the third and fourth quarter, respectively, of every year, or more frequently if we believe indicators of impairment exist. No impairments of indefinite-lived intangibles or goodwill were identified as of December 31, 2016 and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PMIERs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the second quarter of 2015, the FHFA published final updated PMIERs that went into effect on December 31, 2015 (Effective Date) for existing, GSE-approved private mortgage insurers, </w:t>
      </w:r>
      <w:r>
        <w:rPr>
          <w:rFonts w:ascii="Arial" w:cs="Arial" w:eastAsia="Arial" w:hAnsi="Arial"/>
          <w:sz w:val="18"/>
          <w:szCs w:val="18"/>
          <w:i w:val="1"/>
          <w:iCs w:val="1"/>
          <w:color w:val="auto"/>
        </w:rPr>
        <w:t>i.e.</w:t>
      </w:r>
      <w:r>
        <w:rPr>
          <w:rFonts w:ascii="Arial" w:cs="Arial" w:eastAsia="Arial" w:hAnsi="Arial"/>
          <w:sz w:val="18"/>
          <w:szCs w:val="18"/>
          <w:color w:val="auto"/>
        </w:rPr>
        <w:t xml:space="preserve">, </w:t>
      </w:r>
      <w:r>
        <w:rPr>
          <w:rFonts w:ascii="Arial" w:cs="Arial" w:eastAsia="Arial" w:hAnsi="Arial"/>
          <w:sz w:val="18"/>
          <w:szCs w:val="18"/>
          <w:i w:val="1"/>
          <w:iCs w:val="1"/>
          <w:color w:val="auto"/>
        </w:rPr>
        <w:t>Approved Insurers</w:t>
      </w:r>
      <w:r>
        <w:rPr>
          <w:rFonts w:ascii="Arial" w:cs="Arial" w:eastAsia="Arial" w:hAnsi="Arial"/>
          <w:sz w:val="18"/>
          <w:szCs w:val="18"/>
          <w:color w:val="auto"/>
        </w:rPr>
        <w:t>.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required asset amount </w:t>
      </w:r>
      <w:r>
        <w:rPr>
          <w:rFonts w:ascii="Arial" w:cs="Arial" w:eastAsia="Arial" w:hAnsi="Arial"/>
          <w:sz w:val="18"/>
          <w:szCs w:val="18"/>
          <w:color w:val="auto"/>
        </w:rPr>
        <w:t>for primary insurance is subject to a floor of 5.6% of total, performing, primary RIF,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insurance considers both the factors in the tables and the </w:t>
      </w:r>
      <w:r>
        <w:rPr>
          <w:rFonts w:ascii="Arial" w:cs="Arial" w:eastAsia="Arial" w:hAnsi="Arial"/>
          <w:sz w:val="18"/>
          <w:szCs w:val="18"/>
          <w:i w:val="1"/>
          <w:iCs w:val="1"/>
          <w:color w:val="auto"/>
        </w:rPr>
        <w:t>net remaining stop loss</w:t>
      </w:r>
      <w:r>
        <w:rPr>
          <w:rFonts w:ascii="Arial" w:cs="Arial" w:eastAsia="Arial" w:hAnsi="Arial"/>
          <w:sz w:val="18"/>
          <w:szCs w:val="18"/>
          <w:color w:val="auto"/>
        </w:rPr>
        <w:t xml:space="preserve"> for each pool insurance policy. The PMIERs 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loans originated on or after January 1, 2016 that are insured under LPMI policies.</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expect to certify to the GSEs by April 15, 2017 that NMIC fully complied with the PMIERs as of December 31, 2016. NMIC also has an ongoing obligation to immediately notify the GSEs in writing upon discovery of its failure to meet one or more of the PMIERs requirements. We continuously monitor our compliance with the PMIERs.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Lease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office space under a facilities lease in Emeryville, California. In December 2016, the Company amended its lease to extend the term of the lease through March 2023.</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management expects that future minimum lease payments under this lease will be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6"/>
                <w:szCs w:val="16"/>
                <w:color w:val="auto"/>
              </w:rPr>
            </w:pPr>
          </w:p>
        </w:tc>
        <w:tc>
          <w:tcPr>
            <w:tcW w:w="1780" w:type="dxa"/>
            <w:vAlign w:val="bottom"/>
          </w:tcPr>
          <w:p>
            <w:pPr>
              <w:jc w:val="right"/>
              <w:ind w:right="55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1,711</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2,417</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2,564</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13,673</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rent expense related to this lease of $1.5 million and $1.5 million for the years ended December 31, 2016 and 2015, respectively. We incurred rent expense related to this lease of $1.6 million for the year ended December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Common Stock Offerings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8, 2013, we filed a final prospectus announcing the sale of 2.1 million shares of Class A common stock through an initial public offering. The underwriters of the offering were granted a 30-day option to purchase up to an additional 315,000 shares of common stock from us at an initial public offering price of $13.00, which they exercised on November 12, 2013. The offering closed on November 14, 2013. Gross proceeds to us were $31.4 million. Net proceeds from the offering were approximately $28 million.</w:t>
      </w:r>
    </w:p>
    <w:p>
      <w:pPr>
        <w:spacing w:after="0" w:line="129" w:lineRule="exact"/>
        <w:rPr>
          <w:sz w:val="20"/>
          <w:szCs w:val="20"/>
          <w:color w:val="auto"/>
        </w:rPr>
      </w:pPr>
    </w:p>
    <w:p>
      <w:pPr>
        <w:ind w:left="660" w:right="9080" w:hanging="652"/>
        <w:spacing w:after="0" w:line="528" w:lineRule="auto"/>
        <w:tabs>
          <w:tab w:leader="none" w:pos="282"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OCI. NMIC's principal regulator is the Wisconsin OCI. Prescribed SAP includes state laws, regulations and general administrative rules, as well as a variety of publications of the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NMIC and Re One's combined statutory net loss, statutory surplus, contingency reserve and RTC ratios for each of the years in the three-year period ended December 31, 2016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38"/>
              <w:spacing w:after="0"/>
              <w:rPr>
                <w:sz w:val="20"/>
                <w:szCs w:val="20"/>
                <w:color w:val="auto"/>
              </w:rPr>
            </w:pPr>
            <w:r>
              <w:rPr>
                <w:rFonts w:ascii="Arial" w:cs="Arial" w:eastAsia="Arial" w:hAnsi="Arial"/>
                <w:sz w:val="14"/>
                <w:szCs w:val="14"/>
                <w:i w:val="1"/>
                <w:iCs w:val="1"/>
                <w:color w:val="auto"/>
                <w:w w:val="93"/>
              </w:rPr>
              <w:t>(In Thousands)</w:t>
            </w: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(26,653)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(52,322)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0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413,809</w:t>
            </w:r>
          </w:p>
        </w:tc>
        <w:tc>
          <w:tcPr>
            <w:tcW w:w="340" w:type="dxa"/>
            <w:vAlign w:val="bottom"/>
          </w:tcPr>
          <w:p>
            <w:pPr>
              <w:spacing w:after="0"/>
              <w:rPr>
                <w:sz w:val="21"/>
                <w:szCs w:val="21"/>
                <w:color w:val="auto"/>
              </w:rPr>
            </w:pPr>
          </w:p>
        </w:tc>
        <w:tc>
          <w:tcPr>
            <w:tcW w:w="1480" w:type="dxa"/>
            <w:vAlign w:val="bottom"/>
          </w:tcPr>
          <w:p>
            <w:pPr>
              <w:jc w:val="right"/>
              <w:ind w:right="78"/>
              <w:spacing w:after="0"/>
              <w:rPr>
                <w:sz w:val="20"/>
                <w:szCs w:val="20"/>
                <w:color w:val="auto"/>
              </w:rPr>
            </w:pPr>
            <w:r>
              <w:rPr>
                <w:rFonts w:ascii="Arial" w:cs="Arial" w:eastAsia="Arial" w:hAnsi="Arial"/>
                <w:sz w:val="18"/>
                <w:szCs w:val="18"/>
                <w:color w:val="auto"/>
              </w:rPr>
              <w:t>391,422</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236,738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90,479</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32,564</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10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11.6:1</w:t>
            </w:r>
          </w:p>
        </w:tc>
        <w:tc>
          <w:tcPr>
            <w:tcW w:w="340" w:type="dxa"/>
            <w:vAlign w:val="bottom"/>
          </w:tcPr>
          <w:p>
            <w:pPr>
              <w:spacing w:after="0"/>
              <w:rPr>
                <w:sz w:val="21"/>
                <w:szCs w:val="21"/>
                <w:color w:val="auto"/>
              </w:rPr>
            </w:pPr>
          </w:p>
        </w:tc>
        <w:tc>
          <w:tcPr>
            <w:tcW w:w="1480" w:type="dxa"/>
            <w:vAlign w:val="bottom"/>
          </w:tcPr>
          <w:p>
            <w:pPr>
              <w:jc w:val="right"/>
              <w:ind w:right="78"/>
              <w:spacing w:after="0"/>
              <w:rPr>
                <w:sz w:val="20"/>
                <w:szCs w:val="20"/>
                <w:color w:val="auto"/>
              </w:rPr>
            </w:pPr>
            <w:r>
              <w:rPr>
                <w:rFonts w:ascii="Arial" w:cs="Arial" w:eastAsia="Arial" w:hAnsi="Arial"/>
                <w:sz w:val="18"/>
                <w:szCs w:val="18"/>
                <w:color w:val="auto"/>
              </w:rPr>
              <w:t>8.7:1</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applicable Wisconsin law and 15 other states, a mortgage insurer must maintain a minimum amount of statutory capital relative to its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A working group of the National Association of Commissioners (NAIC) is currently developing a loan level capital model applicable to mortgage guaranty insurers that will ultimately be incorporated into a revised NAIC Mortgage Guaranty Insurance Model Act. Following adoption by the NAIC, some or all of the 16 states, and perhaps additional states, will enact a portion or all of the revised Model Act, including the loan-level capital model.</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NMIC had 134,662 policies in force totaling approximately $5.8 billion in total RIF with a RTC ratio of 12.4:1, significantly below the state financial requirements. As of December 31, 2015, NMIC had 63,948 policies in force totaling approximately $3.3 billion of primary RIF, resulting in an RTC ratio of 8.4:1.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states limit the amount of risk a mortgage insurer may retain on a single loan to 25% of the indebtedness to the insured and, as a result, the portion of such insurance in excess of 25% must be reinsured. NMIC and Re One have entered into a primary excess share reinsurance agreement, effective August 1, 2012, and a facultative pool reinsurance agreement, effective September 1, 2013, under which NMIC cedes premiums, loss reserves and claims to Re One on an excess share basis for any primary or pool policy which offers coverage greater than 25% on any loan insured thereunder. NMIC will use reinsurance provided by Re One solely for purposes of compliance with these state statutory coverage limits.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Restrictions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2016, NMIH's shareholders' equity was approximately $477 million. NMIH's total assets, excluding investment and intercompany receivables for NMIC, Re One, and NMIS, were approximately $135 million at December 31, 2016. The insurance subsidiaries are both mono-line mortgage insurance companies, and the assets of each are dedicated only to the support of direct risk and obligations of each mortgage insurance entity. NMIC only writes direct mortgage insurance business and assumes no business from any other entity. Re One only assumes business from NMIC to allow NMIC to comply with statutory risk requirements. Neither NMIC nor Re One have subsidiaries, and therefore do not have subsidiary risks and obligations that compete for its resources.</w:t>
      </w:r>
    </w:p>
    <w:p>
      <w:pPr>
        <w:spacing w:after="0" w:line="20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ability of our insurance subsidiaries to pay dividends to NMIH is limited by insurance laws of the State of Wisconsin and certain other states. Wisconsin law provides that an insurance company may pay out "ordinary dividends" with 30 days' prior notice to the Wisconsin OCI in an amount, when added to other shareholder distributions made in the prior 12 months, not to exceed the lesser of (a) 10% of statutory policyholders' surplus as of the preceding calendar year end or (b) its adjusted statutory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2016, the amount of restricted net assets held by our consolidated insurance subsidiaries totaled approximately $505 million. The amount of restricted assets used to determine any dividend to NMIH, once all restrictions expire, would be computed under SAP which may differ from the amount of restricted assets computed under GAAP. Since inception, NMIC has not paid any dividends to NMIH. As NMIC had a statutory net loss for the year ended December 31, 2015, NMIC cannot pay any dividends to NMIH through December 31, 2016, without the prior approval of the Wisconsin OCI.</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2016 Quarters</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3"/>
              <w:spacing w:after="0"/>
              <w:rPr>
                <w:sz w:val="20"/>
                <w:szCs w:val="20"/>
                <w:color w:val="auto"/>
              </w:rPr>
            </w:pPr>
            <w:r>
              <w:rPr>
                <w:rFonts w:ascii="Arial" w:cs="Arial" w:eastAsia="Arial" w:hAnsi="Arial"/>
                <w:sz w:val="14"/>
                <w:szCs w:val="14"/>
                <w:i w:val="1"/>
                <w:iCs w:val="1"/>
                <w:color w:val="auto"/>
                <w:w w:val="90"/>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26,041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31,808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3,231</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3,342</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3,544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13,751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claims and claims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470</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22,671</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23,234</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24,037</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93,223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3,632</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3,707</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3,733</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14,848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(54,389)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6,175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65,841</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income per share: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58,936,694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59,105,613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59,130,401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59,140,011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59,070,948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58,936,694</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59,830,899</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60,284,746</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w w:val="90"/>
              </w:rPr>
              <w:t>61,229,338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60,829,372</w:t>
            </w:r>
          </w:p>
        </w:tc>
      </w:tr>
      <w:tr>
        <w:trPr>
          <w:trHeight w:val="42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2015 Quarters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3"/>
              <w:spacing w:after="0"/>
              <w:rPr>
                <w:sz w:val="20"/>
                <w:szCs w:val="20"/>
                <w:color w:val="auto"/>
              </w:rPr>
            </w:pPr>
            <w:r>
              <w:rPr>
                <w:rFonts w:ascii="Arial" w:cs="Arial" w:eastAsia="Arial" w:hAnsi="Arial"/>
                <w:sz w:val="14"/>
                <w:szCs w:val="14"/>
                <w:i w:val="1"/>
                <w:iCs w:val="1"/>
                <w:color w:val="auto"/>
                <w:w w:val="90"/>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6,936</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8,856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12,834</w:t>
            </w: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1,596</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1,688</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1,884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7,246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claims and claims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18,350</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20,910</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19,653</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80,599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2,057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per share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58,485,899</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58,720,095</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58,741,328</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w w:val="90"/>
              </w:rPr>
              <w:t>58,781,566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58,683,194</w:t>
            </w:r>
          </w:p>
        </w:tc>
      </w:tr>
    </w:tbl>
    <w:p>
      <w:pPr>
        <w:spacing w:after="0" w:line="179" w:lineRule="exact"/>
        <w:rPr>
          <w:sz w:val="20"/>
          <w:szCs w:val="20"/>
          <w:color w:val="auto"/>
        </w:rPr>
      </w:pPr>
    </w:p>
    <w:p>
      <w:pPr>
        <w:ind w:left="820" w:right="20" w:hanging="488"/>
        <w:spacing w:after="0" w:line="275" w:lineRule="auto"/>
        <w:tabs>
          <w:tab w:leader="none" w:pos="8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Due to the use of weighted average shares outstanding when calculating earnings per share, the sum of quarterly per share data may not equal the per share data for the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December 31, 2016,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of our Chief Executive Officer and Chief Financial Officer, our management assessed the effectiveness of the Company's internal control over financial reporting as of December 31, 2016. In making this assessment, management used the criteria set forth in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2016.</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Due to the Company's status as an EGC, this annual report does not include an attestation report of our registered public accounting firm.</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0"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2016.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2016.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2016.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2016.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2016. Accordingly, we have omitted the information from this Item pursuant to General Instruction G (3) of Form 10-K.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580"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firstLine="8"/>
        <w:spacing w:after="0" w:line="277"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Statements — See the "</w:t>
      </w:r>
      <w:r>
        <w:rPr>
          <w:rFonts w:ascii="Arial" w:cs="Arial" w:eastAsia="Arial" w:hAnsi="Arial"/>
          <w:sz w:val="18"/>
          <w:szCs w:val="18"/>
          <w:i w:val="1"/>
          <w:iCs w:val="1"/>
          <w:color w:val="auto"/>
        </w:rPr>
        <w:t>Index to Financial Statements</w:t>
      </w:r>
      <w:r>
        <w:rPr>
          <w:rFonts w:ascii="Arial" w:cs="Arial" w:eastAsia="Arial" w:hAnsi="Arial"/>
          <w:sz w:val="18"/>
          <w:szCs w:val="18"/>
          <w:color w:val="auto"/>
        </w:rPr>
        <w:t>" included in Part II, Item 8 of this report for a list of the financial statements filed as part of this report.</w:t>
      </w:r>
    </w:p>
    <w:p>
      <w:pPr>
        <w:spacing w:after="0" w:line="116" w:lineRule="exact"/>
        <w:rPr>
          <w:rFonts w:ascii="Arial" w:cs="Arial" w:eastAsia="Arial" w:hAnsi="Arial"/>
          <w:sz w:val="18"/>
          <w:szCs w:val="18"/>
          <w:color w:val="auto"/>
        </w:rPr>
      </w:pPr>
    </w:p>
    <w:p>
      <w:pPr>
        <w:ind w:firstLine="8"/>
        <w:spacing w:after="0" w:line="277"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Statement Schedules — See the "</w:t>
      </w:r>
      <w:r>
        <w:rPr>
          <w:rFonts w:ascii="Arial" w:cs="Arial" w:eastAsia="Arial" w:hAnsi="Arial"/>
          <w:sz w:val="18"/>
          <w:szCs w:val="18"/>
          <w:i w:val="1"/>
          <w:iCs w:val="1"/>
          <w:color w:val="auto"/>
        </w:rPr>
        <w:t>Index to Financial Statement Schedules</w:t>
      </w:r>
      <w:r>
        <w:rPr>
          <w:rFonts w:ascii="Arial" w:cs="Arial" w:eastAsia="Arial" w:hAnsi="Arial"/>
          <w:sz w:val="18"/>
          <w:szCs w:val="18"/>
          <w:color w:val="auto"/>
        </w:rPr>
        <w:t>" on page 112 of this report for a list of the financial statement schedules filed as part of this report.</w:t>
      </w:r>
    </w:p>
    <w:p>
      <w:pPr>
        <w:spacing w:after="0" w:line="116"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 — See "</w:t>
      </w:r>
      <w:r>
        <w:rPr>
          <w:rFonts w:ascii="Arial" w:cs="Arial" w:eastAsia="Arial" w:hAnsi="Arial"/>
          <w:sz w:val="18"/>
          <w:szCs w:val="18"/>
          <w:i w:val="1"/>
          <w:iCs w:val="1"/>
          <w:color w:val="auto"/>
        </w:rPr>
        <w:t>Exhibit Index</w:t>
      </w:r>
      <w:r>
        <w:rPr>
          <w:rFonts w:ascii="Arial" w:cs="Arial" w:eastAsia="Arial" w:hAnsi="Arial"/>
          <w:sz w:val="18"/>
          <w:szCs w:val="18"/>
          <w:color w:val="auto"/>
        </w:rPr>
        <w:t>" on page i of this report for a list of exhibits filed as part of this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0" w:right="239" w:bottom="1440" w:gutter="0" w:footer="0" w:header="0"/>
        </w:sectPr>
      </w:pPr>
    </w:p>
    <w:bookmarkStart w:id="110" w:name="page111"/>
    <w:bookmarkEnd w:id="110"/>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February 17, 2017</w:t>
      </w:r>
      <w:r>
        <w:rPr>
          <w:sz w:val="20"/>
          <w:szCs w:val="20"/>
          <w:color w:val="auto"/>
        </w:rPr>
        <w:tab/>
      </w:r>
      <w:r>
        <w:rPr>
          <w:rFonts w:ascii="Arial" w:cs="Arial" w:eastAsia="Arial" w:hAnsi="Arial"/>
          <w:sz w:val="16"/>
          <w:szCs w:val="16"/>
          <w:color w:val="auto"/>
        </w:rPr>
        <w:t>By: /s/ Bradley M. Shuster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Bradley M. Shuster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640" w:type="dxa"/>
            <w:vAlign w:val="bottom"/>
          </w:tcPr>
          <w:p>
            <w:pPr>
              <w:ind w:left="1480"/>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3660" w:type="dxa"/>
            <w:vAlign w:val="bottom"/>
            <w:gridSpan w:val="2"/>
          </w:tcPr>
          <w:p>
            <w:pPr>
              <w:ind w:left="1600"/>
              <w:spacing w:after="0"/>
              <w:rPr>
                <w:sz w:val="20"/>
                <w:szCs w:val="20"/>
                <w:color w:val="auto"/>
              </w:rPr>
            </w:pPr>
            <w:r>
              <w:rPr>
                <w:rFonts w:ascii="Arial" w:cs="Arial" w:eastAsia="Arial" w:hAnsi="Arial"/>
                <w:sz w:val="18"/>
                <w:szCs w:val="18"/>
                <w:color w:val="auto"/>
              </w:rPr>
              <w:t>Title</w:t>
            </w:r>
          </w:p>
        </w:tc>
        <w:tc>
          <w:tcPr>
            <w:tcW w:w="1980" w:type="dxa"/>
            <w:vAlign w:val="bottom"/>
          </w:tcPr>
          <w:p>
            <w:pPr>
              <w:ind w:left="820"/>
              <w:spacing w:after="0"/>
              <w:rPr>
                <w:sz w:val="20"/>
                <w:szCs w:val="20"/>
                <w:color w:val="auto"/>
              </w:rPr>
            </w:pPr>
            <w:r>
              <w:rPr>
                <w:rFonts w:ascii="Arial" w:cs="Arial" w:eastAsia="Arial" w:hAnsi="Arial"/>
                <w:sz w:val="18"/>
                <w:szCs w:val="18"/>
                <w:color w:val="auto"/>
              </w:rPr>
              <w:t>Date</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642"/>
        </w:trPr>
        <w:tc>
          <w:tcPr>
            <w:tcW w:w="3640" w:type="dxa"/>
            <w:vAlign w:val="bottom"/>
          </w:tcPr>
          <w:p>
            <w:pPr>
              <w:ind w:left="20"/>
              <w:spacing w:after="0"/>
              <w:rPr>
                <w:sz w:val="20"/>
                <w:szCs w:val="20"/>
                <w:color w:val="auto"/>
              </w:rPr>
            </w:pPr>
            <w:r>
              <w:rPr>
                <w:rFonts w:ascii="Arial" w:cs="Arial" w:eastAsia="Arial" w:hAnsi="Arial"/>
                <w:sz w:val="18"/>
                <w:szCs w:val="18"/>
                <w:color w:val="auto"/>
              </w:rPr>
              <w:t>/s/ Bradley M. Shuster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Bradley M. Shuster</w:t>
            </w: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r>
      <w:tr>
        <w:trPr>
          <w:trHeight w:val="500"/>
        </w:trPr>
        <w:tc>
          <w:tcPr>
            <w:tcW w:w="3640" w:type="dxa"/>
            <w:vAlign w:val="bottom"/>
          </w:tcPr>
          <w:p>
            <w:pPr>
              <w:ind w:left="20"/>
              <w:spacing w:after="0"/>
              <w:rPr>
                <w:sz w:val="20"/>
                <w:szCs w:val="20"/>
                <w:color w:val="auto"/>
              </w:rPr>
            </w:pPr>
            <w:r>
              <w:rPr>
                <w:rFonts w:ascii="Arial" w:cs="Arial" w:eastAsia="Arial" w:hAnsi="Arial"/>
                <w:sz w:val="18"/>
                <w:szCs w:val="18"/>
                <w:color w:val="auto"/>
              </w:rPr>
              <w:t>/s/ Glenn M. Farrell</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Glenn M. Farrell</w:t>
            </w: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Steven L. Scheid</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Steven L. Scheid</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James G. Jones</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James G. Jones</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Michael Montgomery</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Michael Montgomery</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Michael Embler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Michael Embler</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James H. Ozanne</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w w:val="91"/>
              </w:rPr>
              <w:t>February 17, 2017</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James H. Ozanne</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940"/>
          </w:cols>
          <w:pgMar w:left="240" w:top="1012" w:right="719" w:bottom="1440" w:gutter="0" w:footer="0" w:header="0"/>
        </w:sectPr>
      </w:pP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940"/>
          </w:cols>
          <w:pgMar w:left="240" w:top="1012" w:right="719" w:bottom="1440" w:gutter="0" w:footer="0" w:header="0"/>
          <w:type w:val="continuous"/>
        </w:sectPr>
      </w:pPr>
    </w:p>
    <w:bookmarkStart w:id="111" w:name="page112"/>
    <w:bookmarkEnd w:id="111"/>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I — Summary of Investments — other than investments in related parties as of December 31, 2016</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Arial" w:cs="Arial" w:eastAsia="Arial" w:hAnsi="Arial"/>
                <w:sz w:val="18"/>
                <w:szCs w:val="18"/>
                <w:color w:val="auto"/>
              </w:rPr>
              <w:t>Schedule II — Financial Information of Registrant as of December 31, 2016</w:t>
            </w:r>
          </w:p>
        </w:tc>
        <w:tc>
          <w:tcPr>
            <w:tcW w:w="1920" w:type="dxa"/>
            <w:vAlign w:val="bottom"/>
            <w:gridSpan w:val="3"/>
          </w:tcPr>
          <w:p>
            <w:pPr>
              <w:ind w:left="1640"/>
              <w:spacing w:after="0" w:line="202" w:lineRule="exact"/>
              <w:rPr>
                <w:rFonts w:ascii="Arial" w:cs="Arial" w:eastAsia="Arial" w:hAnsi="Arial"/>
                <w:sz w:val="18"/>
                <w:szCs w:val="18"/>
                <w:color w:val="0000EE"/>
                <w:w w:val="96"/>
              </w:rPr>
            </w:pPr>
            <w:hyperlink w:anchor="page114">
              <w:r>
                <w:rPr>
                  <w:rFonts w:ascii="Arial" w:cs="Arial" w:eastAsia="Arial" w:hAnsi="Arial"/>
                  <w:sz w:val="18"/>
                  <w:szCs w:val="18"/>
                  <w:color w:val="0000EE"/>
                  <w:w w:val="96"/>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 — Reinsurance as of December 31, 2016</w:t>
            </w:r>
          </w:p>
        </w:tc>
        <w:tc>
          <w:tcPr>
            <w:tcW w:w="1920" w:type="dxa"/>
            <w:vAlign w:val="bottom"/>
            <w:gridSpan w:val="3"/>
            <w:shd w:val="clear" w:color="auto" w:fill="CCEEFF"/>
          </w:tcPr>
          <w:p>
            <w:pPr>
              <w:ind w:left="1640"/>
              <w:spacing w:after="0" w:line="202"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44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Amount Reflected on</w:t>
            </w:r>
          </w:p>
        </w:tc>
        <w:tc>
          <w:tcPr>
            <w:tcW w:w="0" w:type="dxa"/>
            <w:vAlign w:val="bottom"/>
          </w:tcPr>
          <w:p>
            <w:pPr>
              <w:spacing w:after="0"/>
              <w:rPr>
                <w:sz w:val="1"/>
                <w:szCs w:val="1"/>
                <w:color w:val="auto"/>
              </w:rPr>
            </w:pPr>
          </w:p>
        </w:tc>
      </w:tr>
      <w:tr>
        <w:trPr>
          <w:trHeight w:val="192"/>
        </w:trPr>
        <w:tc>
          <w:tcPr>
            <w:tcW w:w="5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Arial" w:cs="Arial" w:eastAsia="Arial" w:hAnsi="Arial"/>
                <w:sz w:val="18"/>
                <w:szCs w:val="18"/>
                <w:color w:val="auto"/>
                <w:w w:val="90"/>
              </w:rPr>
              <w:t>U.S. Treasury securities and obligations of U.S. government agencies</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64,135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63,179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debt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349,712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349,078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Asset-backed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114,661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569,104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567,187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567,187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61,782</w:t>
            </w:r>
          </w:p>
        </w:tc>
        <w:tc>
          <w:tcPr>
            <w:tcW w:w="0" w:type="dxa"/>
            <w:vAlign w:val="bottom"/>
          </w:tcPr>
          <w:p>
            <w:pPr>
              <w:spacing w:after="0"/>
              <w:rPr>
                <w:sz w:val="1"/>
                <w:szCs w:val="1"/>
                <w:color w:val="auto"/>
              </w:rPr>
            </w:pP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Total investments other than investments in related parties</w:t>
            </w:r>
          </w:p>
        </w:tc>
        <w:tc>
          <w:tcPr>
            <w:tcW w:w="5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630,688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628,969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40" w:type="dxa"/>
            <w:vAlign w:val="bottom"/>
          </w:tcPr>
          <w:p>
            <w:pPr>
              <w:spacing w:after="0"/>
              <w:rPr>
                <w:sz w:val="24"/>
                <w:szCs w:val="24"/>
                <w:color w:val="auto"/>
              </w:rPr>
            </w:pP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Fixed maturities, available-for-sale, at fair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58,209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Investment in subsidiaries, at equity in net assets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503,731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442,077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from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20,401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648,108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567,486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170,759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164,755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59,145,161 and 58,807,825 shares issued and outstanding as of December 31, 2016 and December 31,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 respectively (250,000,000 shares 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576,927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570,340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(160,723)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648,108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567,486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80"/>
              <w:spacing w:after="0"/>
              <w:rPr>
                <w:sz w:val="20"/>
                <w:szCs w:val="20"/>
                <w:color w:val="auto"/>
              </w:rPr>
            </w:pPr>
            <w:r>
              <w:rPr>
                <w:rFonts w:ascii="Arial" w:cs="Arial" w:eastAsia="Arial" w:hAnsi="Arial"/>
                <w:sz w:val="18"/>
                <w:szCs w:val="18"/>
                <w:color w:val="auto"/>
              </w:rPr>
              <w:t>F-2</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91"/>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(loss)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from change in fair value of warrant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from settlement of warrants</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(14,848)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(expenses) income</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(16,748)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net income (loss) of subsidiaries</w:t>
            </w:r>
          </w:p>
        </w:tc>
        <w:tc>
          <w:tcPr>
            <w:tcW w:w="10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58,819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(40,544)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65,841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unrealized gains in accumulated other comprehensive loss, net of tax (benefit)</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expense of $82, $0, and $2,390 for each of the years in the three-year period ended</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 respectively</w:t>
            </w:r>
          </w:p>
        </w:tc>
        <w:tc>
          <w:tcPr>
            <w:tcW w:w="10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9"/>
              </w:rPr>
              <w:t>Reclassification adjustment for losses (gains) included in net loss, net of tax</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2"/>
              </w:rPr>
              <w:t>expense of $0 for each of the years in the three-year period ended December 31,</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other comprehensive income (loss) of subsidiaries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68,028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580"/>
              <w:spacing w:after="0"/>
              <w:rPr>
                <w:sz w:val="20"/>
                <w:szCs w:val="20"/>
                <w:color w:val="auto"/>
              </w:rPr>
            </w:pPr>
            <w:r>
              <w:rPr>
                <w:rFonts w:ascii="Arial" w:cs="Arial" w:eastAsia="Arial" w:hAnsi="Arial"/>
                <w:sz w:val="18"/>
                <w:szCs w:val="18"/>
                <w:color w:val="auto"/>
              </w:rPr>
              <w:t>F-3</w:t>
            </w: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4"/>
                <w:szCs w:val="14"/>
                <w:b w:val="1"/>
                <w:bCs w:val="1"/>
                <w:color w:val="auto"/>
                <w:w w:val="92"/>
              </w:rPr>
              <w:t>For the year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w w:val="93"/>
              </w:rPr>
              <w:t>Adjustments to reconcile net income (loss) to net cash used in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Current tax payable</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Equity in net (income) loss of subsidiaries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14,430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38,710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Receivable from affiliates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Capitalization of subsidiaries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115,049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Proceeds from redemptions, maturities and sale of fixed-maturity investments,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120,813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 of software and equipment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settlement of warrants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term loan, net of discount</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148,500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term loan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Payments of debt issuance costs</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142,998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29,925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36,433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80"/>
              <w:spacing w:after="0"/>
              <w:rPr>
                <w:sz w:val="20"/>
                <w:szCs w:val="20"/>
                <w:color w:val="auto"/>
              </w:rPr>
            </w:pPr>
            <w:r>
              <w:rPr>
                <w:rFonts w:ascii="Arial" w:cs="Arial" w:eastAsia="Arial" w:hAnsi="Arial"/>
                <w:sz w:val="18"/>
                <w:szCs w:val="18"/>
                <w:color w:val="auto"/>
              </w:rPr>
              <w:t>F-4</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Revisions to Prior Periods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other prior balances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Wisconsin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2016 were $80.5 million, $76.0 million and $55.7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REINSURANCE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September 2016, in order to continue to grow our business and manage insurance risk and our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under PMIERs financial requirements, NMIC entered into a quota-share reinsurance transaction with a panel of third-party reinsurers.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Parent Company has no reinsurance agreements. The insurance subsidiaries are both mono-line mortgage insurance companies and the assets of each are dedicated only to the support of our mortgage insurance operations. NMIC only writes direct mortgage insurance business and assumes no business from any other entity. Re One only assumes business from NMIC to allow NMIC to comply with statutory risk requirements. Neither NMIC nor Re One count any subsidiary of any kind in their admitted statutory assets.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380" w:type="dxa"/>
            <w:vAlign w:val="bottom"/>
          </w:tcPr>
          <w:p>
            <w:pPr>
              <w:jc w:val="right"/>
              <w:ind w:right="257"/>
              <w:spacing w:after="0"/>
              <w:rPr>
                <w:sz w:val="20"/>
                <w:szCs w:val="20"/>
                <w:color w:val="auto"/>
              </w:rPr>
            </w:pPr>
            <w:r>
              <w:rPr>
                <w:rFonts w:ascii="Arial" w:cs="Arial" w:eastAsia="Arial" w:hAnsi="Arial"/>
                <w:sz w:val="14"/>
                <w:szCs w:val="14"/>
                <w:b w:val="1"/>
                <w:bCs w:val="1"/>
                <w:color w:val="auto"/>
              </w:rPr>
              <w:t>Ceded to Other</w:t>
            </w:r>
          </w:p>
        </w:tc>
        <w:tc>
          <w:tcPr>
            <w:tcW w:w="220" w:type="dxa"/>
            <w:vAlign w:val="bottom"/>
          </w:tcPr>
          <w:p>
            <w:pPr>
              <w:spacing w:after="0"/>
              <w:rPr>
                <w:sz w:val="14"/>
                <w:szCs w:val="14"/>
                <w:color w:val="auto"/>
              </w:rPr>
            </w:pPr>
          </w:p>
        </w:tc>
        <w:tc>
          <w:tcPr>
            <w:tcW w:w="1840" w:type="dxa"/>
            <w:vAlign w:val="bottom"/>
          </w:tcPr>
          <w:p>
            <w:pPr>
              <w:jc w:val="center"/>
              <w:ind w:right="417"/>
              <w:spacing w:after="0"/>
              <w:rPr>
                <w:sz w:val="20"/>
                <w:szCs w:val="20"/>
                <w:color w:val="auto"/>
              </w:rPr>
            </w:pPr>
            <w:r>
              <w:rPr>
                <w:rFonts w:ascii="Arial" w:cs="Arial" w:eastAsia="Arial" w:hAnsi="Arial"/>
                <w:sz w:val="14"/>
                <w:szCs w:val="14"/>
                <w:b w:val="1"/>
                <w:bCs w:val="1"/>
                <w:color w:val="auto"/>
                <w:w w:val="93"/>
              </w:rPr>
              <w:t>Assumed from Other</w:t>
            </w:r>
          </w:p>
        </w:tc>
        <w:tc>
          <w:tcPr>
            <w:tcW w:w="14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Net Amount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Percentage of Amount</w:t>
            </w: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Companies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2"/>
              </w:rPr>
              <w:t>Companies</w:t>
            </w:r>
          </w:p>
        </w:tc>
        <w:tc>
          <w:tcPr>
            <w:tcW w:w="14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Assumed to Net</w:t>
            </w: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For the years ended December 31,</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ind w:left="2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2016</w:t>
            </w:r>
          </w:p>
        </w:tc>
        <w:tc>
          <w:tcPr>
            <w:tcW w:w="2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115,830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110,481</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2015</w:t>
            </w:r>
          </w:p>
        </w:tc>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2014</w:t>
            </w:r>
          </w:p>
        </w:tc>
        <w:tc>
          <w:tcPr>
            <w:tcW w:w="2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jc w:val="both"/>
        <w:ind w:left="1160" w:right="4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77"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w:t>
      </w:r>
    </w:p>
    <w:p>
      <w:pPr>
        <w:spacing w:after="0" w:line="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6"/>
          <w:szCs w:val="16"/>
          <w:color w:val="auto"/>
        </w:rPr>
        <w:t>Form of NMI Holdings, Inc. 2012 Stock Incentive Plan Nonqualified Stock Option Award Agreement for Employees</w:t>
      </w:r>
    </w:p>
    <w:p>
      <w:pPr>
        <w:spacing w:after="0" w:line="63" w:lineRule="exact"/>
        <w:rPr>
          <w:sz w:val="20"/>
          <w:szCs w:val="20"/>
          <w:color w:val="auto"/>
        </w:rPr>
      </w:pPr>
    </w:p>
    <w:p>
      <w:pPr>
        <w:ind w:left="1160" w:right="40" w:hanging="921"/>
        <w:spacing w:after="0" w:line="277" w:lineRule="auto"/>
        <w:tabs>
          <w:tab w:leader="none" w:pos="1140" w:val="left"/>
        </w:tabs>
        <w:rPr>
          <w:sz w:val="20"/>
          <w:szCs w:val="20"/>
          <w:color w:val="auto"/>
        </w:rPr>
      </w:pPr>
      <w:r>
        <w:rPr>
          <w:rFonts w:ascii="Arial" w:cs="Arial" w:eastAsia="Arial" w:hAnsi="Arial"/>
          <w:sz w:val="18"/>
          <w:szCs w:val="18"/>
          <w:color w:val="auto"/>
        </w:rPr>
        <w:t>10.10 ~</w:t>
      </w:r>
      <w:r>
        <w:rPr>
          <w:sz w:val="20"/>
          <w:szCs w:val="20"/>
          <w:color w:val="auto"/>
        </w:rPr>
        <w:tab/>
      </w:r>
      <w:r>
        <w:rPr>
          <w:rFonts w:ascii="Arial" w:cs="Arial" w:eastAsia="Arial" w:hAnsi="Arial"/>
          <w:sz w:val="18"/>
          <w:szCs w:val="18"/>
          <w:color w:val="auto"/>
        </w:rPr>
        <w:t>Amended and Restated Employment Agreement by and between NMI Holdings, Inc. and Bradley M. Shuster, dated December 23, 2015 (incorporated herein by reference to Exhibit 10.1 to our Form 8-K, filed on December 29, 2015)</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Offer Letter by and between NMI Holdings, Inc. and Glenn Farrell, effective December 4, 2014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 to our Form 8-K, filed on December 9,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Offer Letter by and between NMI Holdings, Inc. and William Leatherberry, dated July 11, 2014 (incorporated herein by reference to Exhibit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10.10 to our Form 10-Q, filed on April 28,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10.13~</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Offer Letter by and between NMI Holdings, Inc. and Adam Pollitzer, dated February 1, 2017 (incorporated herein by reference to Exhibit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10.1 to our Form 8-K, filed on February 3, 2017)</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Credit Agreement, dated November 10, 2015, between NMI Holdings, Inc., the lenders party thereto and JPMorgan Chase Bank, N.A., as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administrative agent (incorporated herein by reference to Exhibit 4.1 to our Form 8-K, filed on November 10,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Amendment No. 1, dated February 10, 2017, to the Credit Agreement dated November 10, 2015, between NMI Holdings, Inc., the lender</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parties thereto and JPMorgan Chase Bank, N.A., as administrative agent (incorporated herein by reference to Exhibit 10.1 to our Form 8-K,</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February 10, 2017)</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10.16 to our Form 10-K, filed on February 19,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Restricted Stock Unit Award Agreement for Executive Officers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10.16 to our Form 10-K, filed on February 19,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10.22~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10.23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Phantom Unit Award Agreement for Independent Directors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10.21 to our Form 10-Q, filed on August 5,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9"/>
              </w:rPr>
              <w:t>Form of NMI Holdings, Inc. 2014 Omnibus Incentive Plan Performance Based Restricted Stock Unit Award Agreement for Chief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10.27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NMI Holdings, Inc. Severance Benefit Plan (incorporated herein by reference to Exhibit 10.1 to our Form 8-K, filed on February 17, 2016)</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9"/>
              </w:rPr>
              <w:t>Subsidiaries of NMI Holdings, Inc. (incorporated herein by reference to Exhibit 21.1 to our Form 10-Q filed on October 30,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120" w:name="page121"/>
    <w:bookmarkEnd w:id="120"/>
    <w:p>
      <w:pPr>
        <w:ind w:left="4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88900</wp:posOffset>
            </wp:positionV>
            <wp:extent cx="6515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60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107950</wp:posOffset>
            </wp:positionV>
            <wp:extent cx="6449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860" w:space="720"/>
            <w:col w:w="5480"/>
          </w:cols>
          <w:pgMar w:left="500" w:top="742" w:right="339" w:bottom="1440" w:gutter="0" w:footer="0" w:header="0"/>
        </w:sectPr>
      </w:pPr>
    </w:p>
    <w:p>
      <w:pPr>
        <w:ind w:left="980" w:right="540" w:hanging="850"/>
        <w:spacing w:after="0" w:line="258" w:lineRule="auto"/>
        <w:tabs>
          <w:tab w:leader="none" w:pos="9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Annual Report on Form 10-K for the year ended December 31, 2016 formatted in XBRL (eXtensible Business Reporting Language):</w:t>
      </w:r>
    </w:p>
    <w:p>
      <w:pPr>
        <w:spacing w:after="0" w:line="1" w:lineRule="exact"/>
        <w:rPr>
          <w:sz w:val="20"/>
          <w:szCs w:val="20"/>
          <w:color w:val="auto"/>
        </w:rPr>
      </w:pPr>
    </w:p>
    <w:p>
      <w:pPr>
        <w:ind w:left="1180" w:hanging="210"/>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Consolidated Balance Sheets as of December 31, 2016 and 2015</w:t>
      </w:r>
    </w:p>
    <w:p>
      <w:pPr>
        <w:spacing w:after="0" w:line="9" w:lineRule="exact"/>
        <w:rPr>
          <w:rFonts w:ascii="Arial" w:cs="Arial" w:eastAsia="Arial" w:hAnsi="Arial"/>
          <w:sz w:val="18"/>
          <w:szCs w:val="18"/>
          <w:color w:val="auto"/>
        </w:rPr>
      </w:pPr>
    </w:p>
    <w:p>
      <w:pPr>
        <w:ind w:left="1240" w:hanging="270"/>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Consolidated Statements of Comprehensive Income (Loss) for each of the three years in the period ended December 31, 2016,</w:t>
      </w:r>
    </w:p>
    <w:p>
      <w:pPr>
        <w:spacing w:after="0" w:line="20" w:lineRule="exact"/>
        <w:rPr>
          <w:rFonts w:ascii="Arial" w:cs="Arial" w:eastAsia="Arial" w:hAnsi="Arial"/>
          <w:sz w:val="17"/>
          <w:szCs w:val="17"/>
          <w:color w:val="auto"/>
        </w:rPr>
      </w:pPr>
    </w:p>
    <w:p>
      <w:pPr>
        <w:ind w:left="1520" w:hanging="325"/>
        <w:spacing w:after="0"/>
        <w:tabs>
          <w:tab w:leader="none" w:pos="15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2016</w:t>
      </w:r>
    </w:p>
    <w:p>
      <w:pPr>
        <w:spacing w:after="0" w:line="32" w:lineRule="exact"/>
        <w:rPr>
          <w:rFonts w:ascii="Arial" w:cs="Arial" w:eastAsia="Arial" w:hAnsi="Arial"/>
          <w:sz w:val="16"/>
          <w:szCs w:val="16"/>
          <w:color w:val="auto"/>
        </w:rPr>
      </w:pPr>
    </w:p>
    <w:p>
      <w:pPr>
        <w:ind w:left="1280" w:hanging="310"/>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December 31, 2016, and</w:t>
      </w:r>
    </w:p>
    <w:p>
      <w:pPr>
        <w:spacing w:after="0" w:line="9" w:lineRule="exact"/>
        <w:rPr>
          <w:rFonts w:ascii="Arial" w:cs="Arial" w:eastAsia="Arial" w:hAnsi="Arial"/>
          <w:sz w:val="18"/>
          <w:szCs w:val="18"/>
          <w:color w:val="auto"/>
        </w:rPr>
      </w:pPr>
    </w:p>
    <w:p>
      <w:pPr>
        <w:ind w:left="1220" w:hanging="250"/>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77" w:lineRule="exact"/>
        <w:rPr>
          <w:sz w:val="20"/>
          <w:szCs w:val="20"/>
          <w:color w:val="auto"/>
        </w:rPr>
      </w:pPr>
    </w:p>
    <w:p>
      <w:pPr>
        <w:ind w:left="100"/>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00"/>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320" w:hanging="221"/>
        <w:spacing w:after="0" w:line="278"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320" w:right="20" w:hanging="221"/>
        <w:spacing w:after="0" w:line="278"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500" w:top="742" w:right="3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spacing w:after="0"/>
        <w:rPr>
          <w:sz w:val="20"/>
          <w:szCs w:val="20"/>
          <w:color w:val="auto"/>
        </w:rPr>
      </w:pPr>
      <w:r>
        <w:rPr>
          <w:rFonts w:ascii="Arial" w:cs="Arial" w:eastAsia="Arial" w:hAnsi="Arial"/>
          <w:sz w:val="20"/>
          <w:szCs w:val="20"/>
          <w:b w:val="1"/>
          <w:bCs w:val="1"/>
          <w:color w:val="auto"/>
        </w:rPr>
        <w:t>NONQUALIFIED STOCK OPTION AGREEMENT</w:t>
      </w:r>
    </w:p>
    <w:p>
      <w:pPr>
        <w:jc w:val="center"/>
        <w:spacing w:after="0"/>
        <w:rPr>
          <w:sz w:val="20"/>
          <w:szCs w:val="20"/>
          <w:color w:val="auto"/>
        </w:rPr>
      </w:pPr>
      <w:r>
        <w:rPr>
          <w:rFonts w:ascii="Arial" w:cs="Arial" w:eastAsia="Arial" w:hAnsi="Arial"/>
          <w:sz w:val="20"/>
          <w:szCs w:val="20"/>
          <w:b w:val="1"/>
          <w:bCs w:val="1"/>
          <w:color w:val="auto"/>
        </w:rPr>
        <w:t>(FOR CEO/CFO)</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THIS OPTION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___________(the “</w:t>
      </w:r>
      <w:r>
        <w:rPr>
          <w:rFonts w:ascii="Arial" w:cs="Arial" w:eastAsia="Arial" w:hAnsi="Arial"/>
          <w:sz w:val="18"/>
          <w:szCs w:val="18"/>
          <w:u w:val="single" w:color="auto"/>
          <w:color w:val="auto"/>
        </w:rPr>
        <w:t>Date of Grant</w:t>
      </w:r>
      <w:r>
        <w:rPr>
          <w:rFonts w:ascii="Arial" w:cs="Arial" w:eastAsia="Arial" w:hAnsi="Arial"/>
          <w:sz w:val="18"/>
          <w:szCs w:val="18"/>
          <w:color w:val="auto"/>
        </w:rPr>
        <w:t>”), is made by and between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____________________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94"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2012 Stock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pursuant to which</w:t>
      </w:r>
      <w:r>
        <w:rPr>
          <w:rFonts w:ascii="Arial" w:cs="Arial" w:eastAsia="Arial" w:hAnsi="Arial"/>
          <w:sz w:val="20"/>
          <w:szCs w:val="20"/>
          <w:b w:val="1"/>
          <w:bCs w:val="1"/>
          <w:color w:val="auto"/>
        </w:rPr>
        <w:t xml:space="preserve"> </w:t>
      </w:r>
      <w:r>
        <w:rPr>
          <w:rFonts w:ascii="Arial" w:cs="Arial" w:eastAsia="Arial" w:hAnsi="Arial"/>
          <w:sz w:val="20"/>
          <w:szCs w:val="20"/>
          <w:color w:val="auto"/>
        </w:rPr>
        <w:t>nonqualified stock options may be granted to purchase shares of the Company’s common stock, par value $0.01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and</w:t>
      </w:r>
    </w:p>
    <w:p>
      <w:pPr>
        <w:spacing w:after="0" w:line="178"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Committee has determined that it would be in the best interests of the Company and its stockholders to grant</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nonqualified stock options on the terms and subject to the conditions set forth in this Agreement and the Plan.</w:t>
      </w:r>
    </w:p>
    <w:p>
      <w:pPr>
        <w:spacing w:after="0" w:line="142" w:lineRule="exact"/>
        <w:rPr>
          <w:sz w:val="20"/>
          <w:szCs w:val="20"/>
          <w:color w:val="auto"/>
        </w:rPr>
      </w:pPr>
    </w:p>
    <w:p>
      <w:pPr>
        <w:jc w:val="both"/>
        <w:ind w:right="60" w:firstLine="1297"/>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ind w:left="2100" w:hanging="795"/>
        <w:spacing w:after="0"/>
        <w:tabs>
          <w:tab w:leader="none" w:pos="21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60" w:firstLine="1953"/>
        <w:spacing w:after="0" w:line="274" w:lineRule="auto"/>
        <w:tabs>
          <w:tab w:leader="none" w:pos="2813"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 nonqualified stock option (the “</w:t>
      </w:r>
      <w:r>
        <w:rPr>
          <w:rFonts w:ascii="Arial" w:cs="Arial" w:eastAsia="Arial" w:hAnsi="Arial"/>
          <w:sz w:val="20"/>
          <w:szCs w:val="20"/>
          <w:u w:val="single" w:color="auto"/>
          <w:color w:val="auto"/>
        </w:rPr>
        <w:t>Option</w:t>
      </w:r>
      <w:r>
        <w:rPr>
          <w:rFonts w:ascii="Arial" w:cs="Arial" w:eastAsia="Arial" w:hAnsi="Arial"/>
          <w:sz w:val="20"/>
          <w:szCs w:val="20"/>
          <w:color w:val="auto"/>
        </w:rPr>
        <w:t>” and any portion thereof, the “</w:t>
      </w:r>
      <w:r>
        <w:rPr>
          <w:rFonts w:ascii="Arial" w:cs="Arial" w:eastAsia="Arial" w:hAnsi="Arial"/>
          <w:sz w:val="20"/>
          <w:szCs w:val="20"/>
          <w:u w:val="single" w:color="auto"/>
          <w:color w:val="auto"/>
        </w:rPr>
        <w:t>Options</w:t>
      </w:r>
      <w:r>
        <w:rPr>
          <w:rFonts w:ascii="Arial" w:cs="Arial" w:eastAsia="Arial" w:hAnsi="Arial"/>
          <w:sz w:val="20"/>
          <w:szCs w:val="20"/>
          <w:color w:val="auto"/>
        </w:rPr>
        <w:t>”) to purchase _________ shares of Common Stock (such shares of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conditions set forth in this Agreement and as otherwise provided in the Plan. The Option is not intended to qualify as an incentive stock option within the meaning of Section 422 of the Internal Revenue Code (the “</w:t>
      </w:r>
      <w:r>
        <w:rPr>
          <w:rFonts w:ascii="Arial" w:cs="Arial" w:eastAsia="Arial" w:hAnsi="Arial"/>
          <w:sz w:val="20"/>
          <w:szCs w:val="20"/>
          <w:u w:val="single" w:color="auto"/>
          <w:color w:val="auto"/>
        </w:rPr>
        <w:t>Code</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ind w:right="300" w:firstLine="1953"/>
        <w:spacing w:after="0" w:line="299" w:lineRule="auto"/>
        <w:tabs>
          <w:tab w:leader="none" w:pos="2824"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15" w:lineRule="exact"/>
        <w:rPr>
          <w:rFonts w:ascii="Arial" w:cs="Arial" w:eastAsia="Arial" w:hAnsi="Arial"/>
          <w:sz w:val="19"/>
          <w:szCs w:val="19"/>
          <w:color w:val="auto"/>
        </w:rPr>
      </w:pPr>
    </w:p>
    <w:p>
      <w:pPr>
        <w:ind w:left="2100" w:hanging="795"/>
        <w:spacing w:after="0"/>
        <w:tabs>
          <w:tab w:leader="none" w:pos="21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Option; Option Price</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160" w:firstLine="1953"/>
        <w:spacing w:after="0" w:line="289" w:lineRule="auto"/>
        <w:tabs>
          <w:tab w:leader="none" w:pos="2813"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Option Price</w:t>
      </w:r>
      <w:r>
        <w:rPr>
          <w:rFonts w:ascii="Arial" w:cs="Arial" w:eastAsia="Arial" w:hAnsi="Arial"/>
          <w:sz w:val="20"/>
          <w:szCs w:val="20"/>
          <w:color w:val="auto"/>
        </w:rPr>
        <w:t>. The option price, being the price at which Participant shall be entitled to purchase the Shares upon the exercise of all or any of the Options, shall be $_______ per Share (the “</w:t>
      </w:r>
      <w:r>
        <w:rPr>
          <w:rFonts w:ascii="Arial" w:cs="Arial" w:eastAsia="Arial" w:hAnsi="Arial"/>
          <w:sz w:val="20"/>
          <w:szCs w:val="20"/>
          <w:u w:val="single" w:color="auto"/>
          <w:color w:val="auto"/>
        </w:rPr>
        <w:t>Option Price</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right="80" w:firstLine="1953"/>
        <w:spacing w:after="0" w:line="274" w:lineRule="auto"/>
        <w:tabs>
          <w:tab w:leader="none" w:pos="2824"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Payment of the Option Price</w:t>
      </w:r>
      <w:r>
        <w:rPr>
          <w:rFonts w:ascii="Arial" w:cs="Arial" w:eastAsia="Arial" w:hAnsi="Arial"/>
          <w:sz w:val="20"/>
          <w:szCs w:val="20"/>
          <w:color w:val="auto"/>
        </w:rPr>
        <w:t>. The Option may be exercised only by written notice, substantially in the form provided by the Company, delivered in person or by mail in accordance with Section 10(c) hereof and accompanied by payment of the Option Price. The Option Price shall be payable in cash, or, to the extent permitted by the Committee, by any of the other methods permitted under Section 7(b) of the Plan.</w:t>
      </w:r>
    </w:p>
    <w:p>
      <w:pPr>
        <w:spacing w:after="0" w:line="138" w:lineRule="exact"/>
        <w:rPr>
          <w:rFonts w:ascii="Arial" w:cs="Arial" w:eastAsia="Arial" w:hAnsi="Arial"/>
          <w:sz w:val="20"/>
          <w:szCs w:val="20"/>
          <w:color w:val="auto"/>
        </w:rPr>
      </w:pPr>
    </w:p>
    <w:p>
      <w:pPr>
        <w:ind w:firstLine="1305"/>
        <w:spacing w:after="0" w:line="278" w:lineRule="auto"/>
        <w:tabs>
          <w:tab w:leader="none" w:pos="2093"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may otherwise be provided herein, the Option shall become non-forfeitable (any Options that shall have become non-forfeitable pursuant to this Section 3, the “</w:t>
      </w:r>
      <w:r>
        <w:rPr>
          <w:rFonts w:ascii="Arial" w:cs="Arial" w:eastAsia="Arial" w:hAnsi="Arial"/>
          <w:sz w:val="20"/>
          <w:szCs w:val="20"/>
          <w:u w:val="single" w:color="auto"/>
          <w:color w:val="auto"/>
        </w:rPr>
        <w:t>Vested Options</w:t>
      </w:r>
      <w:r>
        <w:rPr>
          <w:rFonts w:ascii="Arial" w:cs="Arial" w:eastAsia="Arial" w:hAnsi="Arial"/>
          <w:sz w:val="20"/>
          <w:szCs w:val="20"/>
          <w:color w:val="auto"/>
        </w:rPr>
        <w:t>”) and shall become exercisable according to the following provisions, subject to Participant’s continued employment with the Company as of any such date:</w:t>
      </w:r>
    </w:p>
    <w:p>
      <w:pPr>
        <w:spacing w:after="0" w:line="132" w:lineRule="exact"/>
        <w:rPr>
          <w:rFonts w:ascii="Arial" w:cs="Arial" w:eastAsia="Arial" w:hAnsi="Arial"/>
          <w:sz w:val="20"/>
          <w:szCs w:val="20"/>
          <w:color w:val="auto"/>
        </w:rPr>
      </w:pPr>
    </w:p>
    <w:p>
      <w:pPr>
        <w:ind w:right="280" w:firstLine="1953"/>
        <w:spacing w:after="0" w:line="274" w:lineRule="auto"/>
        <w:tabs>
          <w:tab w:leader="none" w:pos="2813"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General Vesting</w:t>
      </w:r>
      <w:r>
        <w:rPr>
          <w:rFonts w:ascii="Arial" w:cs="Arial" w:eastAsia="Arial" w:hAnsi="Arial"/>
          <w:sz w:val="20"/>
          <w:szCs w:val="20"/>
          <w:color w:val="auto"/>
        </w:rPr>
        <w:t>. (i) One-third of the Options (rounded down to the nearest whole Share) shall become Vested Options and shall become exercisable on the first anniversary of the Date of Grant, (ii) one-third of the Options (rounded down to the nearest whole Share) shall become Vested Options and shall become exercisable on the second anniversary of the Date of Grant and (iii) the remainder of the Options shall become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2" w:name="page123"/>
    <w:bookmarkEnd w:id="122"/>
    <w:p>
      <w:pPr>
        <w:ind w:left="10340"/>
        <w:spacing w:after="0"/>
        <w:rPr>
          <w:sz w:val="20"/>
          <w:szCs w:val="20"/>
          <w:color w:val="auto"/>
        </w:rPr>
      </w:pPr>
      <w:r>
        <w:rPr>
          <w:rFonts w:ascii="Arial" w:cs="Arial" w:eastAsia="Arial" w:hAnsi="Arial"/>
          <w:sz w:val="17"/>
          <w:szCs w:val="17"/>
          <w:color w:val="auto"/>
        </w:rPr>
        <w:t>EXHIBIT 10.8</w:t>
      </w:r>
    </w:p>
    <w:p>
      <w:pPr>
        <w:spacing w:after="0" w:line="275"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color w:val="auto"/>
        </w:rPr>
        <w:t>Vested Options and shall become exercisable on the third anniversary of the Date of Grant, in the case of each of clauses (i), (ii) and (iii), subject to Participant not having incurred a Termination of Service prior to the applicable vesting date.</w:t>
      </w:r>
    </w:p>
    <w:p>
      <w:pPr>
        <w:spacing w:after="0" w:line="121" w:lineRule="exact"/>
        <w:rPr>
          <w:sz w:val="20"/>
          <w:szCs w:val="20"/>
          <w:color w:val="auto"/>
        </w:rPr>
      </w:pPr>
    </w:p>
    <w:p>
      <w:pPr>
        <w:ind w:right="60" w:firstLine="1953"/>
        <w:spacing w:after="0" w:line="285" w:lineRule="auto"/>
        <w:tabs>
          <w:tab w:leader="none" w:pos="2824"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Except as provided in the immediately following sentence, in the event that Participant incurs a Termination of Service, any Options that have not theretofore become Vested Options (such Options, the “</w:t>
      </w:r>
      <w:r>
        <w:rPr>
          <w:rFonts w:ascii="Arial" w:cs="Arial" w:eastAsia="Arial" w:hAnsi="Arial"/>
          <w:sz w:val="19"/>
          <w:szCs w:val="19"/>
          <w:u w:val="single" w:color="auto"/>
          <w:color w:val="auto"/>
        </w:rPr>
        <w:t>Unvested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Options</w:t>
      </w:r>
      <w:r>
        <w:rPr>
          <w:rFonts w:ascii="Arial" w:cs="Arial" w:eastAsia="Arial" w:hAnsi="Arial"/>
          <w:sz w:val="19"/>
          <w:szCs w:val="19"/>
          <w:color w:val="auto"/>
        </w:rPr>
        <w:t>”) shall be forfeited without consideration by Participant. Notwithstanding the foregoing, in the event Participant incurs a Termination of Service (i) as a result of termination by the Company or its Affiliate without “Cause” (as defined in Participant’s employment agreement with the Company dated as of December 23, 2015 (the “Employment Agreement”) or by the Participant for “Good Reason” (as defined in Participant’s Employment Agreement) any Unvested Option that is outstanding immediately prior to such Termination of Service shall vest in full effective as of the date of Termination of Service or (ii) due to Participant’s death or “Disability” (as defined in the Employment Agreement), Unvested Options that are outstanding immediately prior to such Termination of Service and that would have vested on the next vesting date shall vest pro-rata, with the number of Unvested Options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Service) and the date of Participant’s Termination of Service, and the denominator of which is 365.</w:t>
      </w:r>
    </w:p>
    <w:p>
      <w:pPr>
        <w:spacing w:after="0" w:line="114" w:lineRule="exact"/>
        <w:rPr>
          <w:rFonts w:ascii="Arial" w:cs="Arial" w:eastAsia="Arial" w:hAnsi="Arial"/>
          <w:sz w:val="19"/>
          <w:szCs w:val="19"/>
          <w:color w:val="auto"/>
        </w:rPr>
      </w:pPr>
    </w:p>
    <w:p>
      <w:pPr>
        <w:ind w:left="1620" w:hanging="315"/>
        <w:spacing w:after="0"/>
        <w:tabs>
          <w:tab w:leader="none" w:pos="162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380" w:firstLine="1953"/>
        <w:spacing w:after="0" w:line="289" w:lineRule="auto"/>
        <w:tabs>
          <w:tab w:leader="none" w:pos="2813"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 Option shall automatically terminate and shall become null and void, be unexercisable and be of no further force and effect upon the earliest of:</w:t>
      </w:r>
    </w:p>
    <w:p>
      <w:pPr>
        <w:spacing w:after="0" w:line="121" w:lineRule="exact"/>
        <w:rPr>
          <w:rFonts w:ascii="Arial" w:cs="Arial" w:eastAsia="Arial" w:hAnsi="Arial"/>
          <w:sz w:val="20"/>
          <w:szCs w:val="20"/>
          <w:color w:val="auto"/>
        </w:rPr>
      </w:pPr>
    </w:p>
    <w:p>
      <w:pPr>
        <w:ind w:left="3440" w:hanging="839"/>
        <w:spacing w:after="0"/>
        <w:tabs>
          <w:tab w:leader="none" w:pos="3440" w:val="left"/>
        </w:tabs>
        <w:numPr>
          <w:ilvl w:val="2"/>
          <w:numId w:val="58"/>
        </w:numPr>
        <w:rPr>
          <w:rFonts w:ascii="Arial" w:cs="Arial" w:eastAsia="Arial" w:hAnsi="Arial"/>
          <w:sz w:val="20"/>
          <w:szCs w:val="20"/>
          <w:color w:val="auto"/>
        </w:rPr>
      </w:pPr>
      <w:r>
        <w:rPr>
          <w:rFonts w:ascii="Arial" w:cs="Arial" w:eastAsia="Arial" w:hAnsi="Arial"/>
          <w:sz w:val="20"/>
          <w:szCs w:val="20"/>
          <w:color w:val="auto"/>
        </w:rPr>
        <w:t>the tenth anniversary of the Date of Grant;</w:t>
      </w:r>
    </w:p>
    <w:p>
      <w:pPr>
        <w:spacing w:after="0" w:line="134" w:lineRule="exact"/>
        <w:rPr>
          <w:rFonts w:ascii="Arial" w:cs="Arial" w:eastAsia="Arial" w:hAnsi="Arial"/>
          <w:sz w:val="20"/>
          <w:szCs w:val="20"/>
          <w:color w:val="auto"/>
        </w:rPr>
      </w:pPr>
    </w:p>
    <w:p>
      <w:pPr>
        <w:ind w:right="100" w:firstLine="2601"/>
        <w:spacing w:after="0" w:line="289" w:lineRule="auto"/>
        <w:tabs>
          <w:tab w:leader="none" w:pos="3483" w:val="left"/>
        </w:tabs>
        <w:numPr>
          <w:ilvl w:val="2"/>
          <w:numId w:val="58"/>
        </w:numPr>
        <w:rPr>
          <w:rFonts w:ascii="Arial" w:cs="Arial" w:eastAsia="Arial" w:hAnsi="Arial"/>
          <w:sz w:val="20"/>
          <w:szCs w:val="20"/>
          <w:color w:val="auto"/>
        </w:rPr>
      </w:pPr>
      <w:r>
        <w:rPr>
          <w:rFonts w:ascii="Arial" w:cs="Arial" w:eastAsia="Arial" w:hAnsi="Arial"/>
          <w:sz w:val="20"/>
          <w:szCs w:val="20"/>
          <w:color w:val="auto"/>
        </w:rPr>
        <w:t>the first anniversary following Participant’s Termination of Service, in the case of a Termination of Service due to death or Disability (as defined in the Plan);</w:t>
      </w:r>
    </w:p>
    <w:p>
      <w:pPr>
        <w:spacing w:after="0" w:line="56" w:lineRule="exact"/>
        <w:rPr>
          <w:rFonts w:ascii="Arial" w:cs="Arial" w:eastAsia="Arial" w:hAnsi="Arial"/>
          <w:sz w:val="20"/>
          <w:szCs w:val="20"/>
          <w:color w:val="auto"/>
        </w:rPr>
      </w:pPr>
    </w:p>
    <w:p>
      <w:pPr>
        <w:ind w:right="120" w:firstLine="2601"/>
        <w:spacing w:after="0"/>
        <w:tabs>
          <w:tab w:leader="none" w:pos="3538" w:val="left"/>
        </w:tabs>
        <w:numPr>
          <w:ilvl w:val="2"/>
          <w:numId w:val="58"/>
        </w:numPr>
        <w:rPr>
          <w:rFonts w:ascii="Arial" w:cs="Arial" w:eastAsia="Arial" w:hAnsi="Arial"/>
          <w:sz w:val="20"/>
          <w:szCs w:val="20"/>
          <w:color w:val="auto"/>
        </w:rPr>
      </w:pPr>
      <w:r>
        <w:rPr>
          <w:rFonts w:ascii="Arial" w:cs="Arial" w:eastAsia="Arial" w:hAnsi="Arial"/>
          <w:sz w:val="20"/>
          <w:szCs w:val="20"/>
          <w:color w:val="auto"/>
        </w:rPr>
        <w:t>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Participant’s Termination of Service in the case of a Termination of Service without Cause or by the Participant for Good Reason;</w:t>
      </w:r>
    </w:p>
    <w:p>
      <w:pPr>
        <w:spacing w:after="0" w:line="103" w:lineRule="exact"/>
        <w:rPr>
          <w:rFonts w:ascii="Arial" w:cs="Arial" w:eastAsia="Arial" w:hAnsi="Arial"/>
          <w:sz w:val="20"/>
          <w:szCs w:val="20"/>
          <w:color w:val="auto"/>
        </w:rPr>
      </w:pPr>
    </w:p>
    <w:p>
      <w:pPr>
        <w:ind w:right="120" w:firstLine="2601"/>
        <w:spacing w:after="0"/>
        <w:tabs>
          <w:tab w:leader="none" w:pos="3527" w:val="left"/>
        </w:tabs>
        <w:numPr>
          <w:ilvl w:val="2"/>
          <w:numId w:val="58"/>
        </w:numPr>
        <w:rPr>
          <w:rFonts w:ascii="Arial" w:cs="Arial" w:eastAsia="Arial" w:hAnsi="Arial"/>
          <w:sz w:val="20"/>
          <w:szCs w:val="20"/>
          <w:color w:val="auto"/>
        </w:rPr>
      </w:pPr>
      <w:r>
        <w:rPr>
          <w:rFonts w:ascii="Arial" w:cs="Arial" w:eastAsia="Arial" w:hAnsi="Arial"/>
          <w:sz w:val="20"/>
          <w:szCs w:val="20"/>
          <w:color w:val="auto"/>
        </w:rPr>
        <w:t>the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Participant’s Termination of Service in the case of a Termination of Service by the Participant without Good Reason; and</w:t>
      </w:r>
    </w:p>
    <w:p>
      <w:pPr>
        <w:spacing w:after="0" w:line="114" w:lineRule="exact"/>
        <w:rPr>
          <w:rFonts w:ascii="Arial" w:cs="Arial" w:eastAsia="Arial" w:hAnsi="Arial"/>
          <w:sz w:val="20"/>
          <w:szCs w:val="20"/>
          <w:color w:val="auto"/>
        </w:rPr>
      </w:pPr>
    </w:p>
    <w:p>
      <w:pPr>
        <w:ind w:left="3480" w:hanging="879"/>
        <w:spacing w:after="0"/>
        <w:tabs>
          <w:tab w:leader="none" w:pos="3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day of Participant’s Termination of Service in the case of a Termination of Service for Cause.</w:t>
      </w:r>
    </w:p>
    <w:p>
      <w:pPr>
        <w:spacing w:after="0" w:line="157" w:lineRule="exact"/>
        <w:rPr>
          <w:rFonts w:ascii="Arial" w:cs="Arial" w:eastAsia="Arial" w:hAnsi="Arial"/>
          <w:sz w:val="18"/>
          <w:szCs w:val="18"/>
          <w:color w:val="auto"/>
        </w:rPr>
      </w:pPr>
    </w:p>
    <w:p>
      <w:pPr>
        <w:ind w:right="40" w:firstLine="1953"/>
        <w:spacing w:after="0" w:line="274" w:lineRule="auto"/>
        <w:tabs>
          <w:tab w:leader="none" w:pos="2824" w:val="left"/>
        </w:tabs>
        <w:numPr>
          <w:ilvl w:val="1"/>
          <w:numId w:val="58"/>
        </w:numPr>
        <w:rPr>
          <w:rFonts w:ascii="Arial" w:cs="Arial" w:eastAsia="Arial" w:hAnsi="Arial"/>
          <w:sz w:val="20"/>
          <w:szCs w:val="20"/>
          <w:color w:val="auto"/>
        </w:rPr>
      </w:pPr>
      <w:r>
        <w:rPr>
          <w:rFonts w:ascii="Arial" w:cs="Arial" w:eastAsia="Arial" w:hAnsi="Arial"/>
          <w:sz w:val="20"/>
          <w:szCs w:val="20"/>
          <w:color w:val="auto"/>
        </w:rPr>
        <w:t>Notwithstanding the provisions of Section 4(a) to the contrary, in the event of Participant’s Termination of Service for any reason (other than due to a Termination of Service for Cause) during the two-year period following a Change in Control, the Option shall remain outstanding and exercisable until the earlier of (i) the tenth anniversary of the Date of Grant and (ii) the fifth anniversary of such Termination of Service.</w:t>
      </w:r>
    </w:p>
    <w:p>
      <w:pPr>
        <w:spacing w:after="0" w:line="138" w:lineRule="exact"/>
        <w:rPr>
          <w:rFonts w:ascii="Arial" w:cs="Arial" w:eastAsia="Arial" w:hAnsi="Arial"/>
          <w:sz w:val="20"/>
          <w:szCs w:val="20"/>
          <w:color w:val="auto"/>
        </w:rPr>
      </w:pPr>
    </w:p>
    <w:p>
      <w:pPr>
        <w:ind w:right="20" w:firstLine="1953"/>
        <w:spacing w:after="0" w:line="347" w:lineRule="auto"/>
        <w:tabs>
          <w:tab w:leader="none" w:pos="2813"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Except as otherwise provided in the Plan and Section 3(b) of this Agreement, upon a Termination of Service for any reason, any Unvested Options shall immediately terminate and be forfeited on the date the Termination of Service occurs.</w:t>
      </w:r>
    </w:p>
    <w:p>
      <w:pPr>
        <w:spacing w:after="0" w:line="76" w:lineRule="exact"/>
        <w:rPr>
          <w:rFonts w:ascii="Arial" w:cs="Arial" w:eastAsia="Arial" w:hAnsi="Arial"/>
          <w:sz w:val="18"/>
          <w:szCs w:val="18"/>
          <w:color w:val="auto"/>
        </w:rPr>
      </w:pPr>
    </w:p>
    <w:p>
      <w:pPr>
        <w:ind w:right="140" w:firstLine="1305"/>
        <w:spacing w:after="0" w:line="356" w:lineRule="auto"/>
        <w:tabs>
          <w:tab w:leader="none" w:pos="209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The grant and exercise of the Option,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80" w:lineRule="exact"/>
        <w:rPr>
          <w:rFonts w:ascii="Arial" w:cs="Arial" w:eastAsia="Arial" w:hAnsi="Arial"/>
          <w:sz w:val="16"/>
          <w:szCs w:val="16"/>
          <w:color w:val="auto"/>
        </w:rPr>
      </w:pPr>
    </w:p>
    <w:p>
      <w:pPr>
        <w:ind w:right="120" w:firstLine="1305"/>
        <w:spacing w:after="0" w:line="278" w:lineRule="auto"/>
        <w:tabs>
          <w:tab w:leader="none" w:pos="209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The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123" w:name="page124"/>
    <w:bookmarkEnd w:id="123"/>
    <w:p>
      <w:pPr>
        <w:ind w:left="10340"/>
        <w:spacing w:after="0"/>
        <w:rPr>
          <w:sz w:val="20"/>
          <w:szCs w:val="20"/>
          <w:color w:val="auto"/>
        </w:rPr>
      </w:pPr>
      <w:r>
        <w:rPr>
          <w:rFonts w:ascii="Arial" w:cs="Arial" w:eastAsia="Arial" w:hAnsi="Arial"/>
          <w:sz w:val="17"/>
          <w:szCs w:val="17"/>
          <w:color w:val="auto"/>
        </w:rPr>
        <w:t>EXHIBIT 10.8</w:t>
      </w:r>
    </w:p>
    <w:p>
      <w:pPr>
        <w:spacing w:after="0" w:line="275" w:lineRule="exact"/>
        <w:rPr>
          <w:sz w:val="20"/>
          <w:szCs w:val="20"/>
          <w:color w:val="auto"/>
        </w:rPr>
      </w:pPr>
    </w:p>
    <w:p>
      <w:pPr>
        <w:ind w:right="240"/>
        <w:spacing w:after="0" w:line="278" w:lineRule="auto"/>
        <w:rPr>
          <w:sz w:val="20"/>
          <w:szCs w:val="20"/>
          <w:color w:val="auto"/>
        </w:rPr>
      </w:pPr>
      <w:r>
        <w:rPr>
          <w:rFonts w:ascii="Arial" w:cs="Arial" w:eastAsia="Arial" w:hAnsi="Arial"/>
          <w:sz w:val="20"/>
          <w:szCs w:val="20"/>
          <w:color w:val="auto"/>
        </w:rPr>
        <w:t xml:space="preserve">unenforceable against the Company, its Subsidiaries or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an assignment, alienation, pledge, attachment, sale, transfer or encumbrance. The Option and any Shares received upon exercise thereof shall be subject to the restrictions set forth in the Plan and this Agreement.</w:t>
      </w:r>
    </w:p>
    <w:p>
      <w:pPr>
        <w:spacing w:after="0" w:line="133" w:lineRule="exact"/>
        <w:rPr>
          <w:sz w:val="20"/>
          <w:szCs w:val="20"/>
          <w:color w:val="auto"/>
        </w:rPr>
      </w:pPr>
    </w:p>
    <w:p>
      <w:pPr>
        <w:ind w:right="320" w:firstLine="1305"/>
        <w:spacing w:after="0" w:line="289" w:lineRule="auto"/>
        <w:tabs>
          <w:tab w:leader="none" w:pos="209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13 of the Plan occurring after the Date of Grant, the adjustment provisions as provided for under Section 13 of the Plan shall apply to the Option.</w:t>
      </w:r>
    </w:p>
    <w:p>
      <w:pPr>
        <w:spacing w:after="0" w:line="121" w:lineRule="exact"/>
        <w:rPr>
          <w:rFonts w:ascii="Arial" w:cs="Arial" w:eastAsia="Arial" w:hAnsi="Arial"/>
          <w:sz w:val="20"/>
          <w:szCs w:val="20"/>
          <w:color w:val="auto"/>
        </w:rPr>
      </w:pPr>
    </w:p>
    <w:p>
      <w:pPr>
        <w:ind w:right="260" w:firstLine="1305"/>
        <w:spacing w:after="0" w:line="278" w:lineRule="auto"/>
        <w:tabs>
          <w:tab w:leader="none" w:pos="209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of the Company occurring after the Date of Grant, any outstanding Options that are not then exercisable and vested shall become fully exercisable and vested immediately upon the occurrence of a Change in Control.</w:t>
      </w:r>
    </w:p>
    <w:p>
      <w:pPr>
        <w:spacing w:after="0" w:line="132" w:lineRule="exact"/>
        <w:rPr>
          <w:rFonts w:ascii="Arial" w:cs="Arial" w:eastAsia="Arial" w:hAnsi="Arial"/>
          <w:sz w:val="20"/>
          <w:szCs w:val="20"/>
          <w:color w:val="auto"/>
        </w:rPr>
      </w:pPr>
    </w:p>
    <w:p>
      <w:pPr>
        <w:ind w:right="80" w:firstLine="1305"/>
        <w:spacing w:after="0" w:line="287" w:lineRule="auto"/>
        <w:tabs>
          <w:tab w:leader="none" w:pos="209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As a condition to exercising the Option, in whole or in part, Participant will pay to the Company, or, pursuant to Section 12(d) of the Plan, make provisions satisfactory to the Company for payment of, any federal, state or local tax laws in respect of the exercise or the transfer of the Shares. The Company may allow a Participant to elect to have any withholding obligation satisfied by surrendering to the Company a portion of the Shares that is issued or transferred to Participant upon the exercise of any Options (but only to the extent of the minimum withholding required by law) and the Shares so surrendered by Participant shall be credited against any such withholding obligation at the Fair Market Value of such Shares on the date of such surrender (and the amount equal to the Fair Market Value of such Shares shall be remitted to the appropriate tax authorities).</w:t>
      </w:r>
    </w:p>
    <w:p>
      <w:pPr>
        <w:spacing w:after="0" w:line="129" w:lineRule="exact"/>
        <w:rPr>
          <w:rFonts w:ascii="Arial" w:cs="Arial" w:eastAsia="Arial" w:hAnsi="Arial"/>
          <w:sz w:val="19"/>
          <w:szCs w:val="19"/>
          <w:color w:val="auto"/>
        </w:rPr>
      </w:pPr>
    </w:p>
    <w:p>
      <w:pPr>
        <w:ind w:left="2200" w:hanging="895"/>
        <w:spacing w:after="0"/>
        <w:tabs>
          <w:tab w:leader="none" w:pos="220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40" w:firstLine="1953"/>
        <w:spacing w:after="0" w:line="274" w:lineRule="auto"/>
        <w:tabs>
          <w:tab w:leader="none" w:pos="2813"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38" w:lineRule="exact"/>
        <w:rPr>
          <w:rFonts w:ascii="Arial" w:cs="Arial" w:eastAsia="Arial" w:hAnsi="Arial"/>
          <w:sz w:val="20"/>
          <w:szCs w:val="20"/>
          <w:color w:val="auto"/>
        </w:rPr>
      </w:pPr>
    </w:p>
    <w:p>
      <w:pPr>
        <w:ind w:right="60" w:firstLine="1953"/>
        <w:spacing w:after="0" w:line="288" w:lineRule="auto"/>
        <w:tabs>
          <w:tab w:leader="none" w:pos="2824"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Waiver and Amendment</w:t>
      </w:r>
      <w:r>
        <w:rPr>
          <w:rFonts w:ascii="Arial" w:cs="Arial" w:eastAsia="Arial" w:hAnsi="Arial"/>
          <w:sz w:val="19"/>
          <w:szCs w:val="19"/>
          <w:color w:val="auto"/>
        </w:rPr>
        <w:t xml:space="preserve">. The Committee may waive any conditions or rights under, or amend any terms of, this Agreement and the Option granted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waiver or amendment that would impair the rights of any Participant or any holder or beneficiary of any Option theretofore granted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28" w:lineRule="exact"/>
        <w:rPr>
          <w:rFonts w:ascii="Arial" w:cs="Arial" w:eastAsia="Arial" w:hAnsi="Arial"/>
          <w:sz w:val="19"/>
          <w:szCs w:val="19"/>
          <w:color w:val="auto"/>
        </w:rPr>
      </w:pPr>
    </w:p>
    <w:p>
      <w:pPr>
        <w:ind w:right="40" w:firstLine="1953"/>
        <w:spacing w:after="0" w:line="347" w:lineRule="auto"/>
        <w:tabs>
          <w:tab w:leader="none" w:pos="2813"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ind w:left="1960"/>
        <w:spacing w:after="0" w:line="204" w:lineRule="auto"/>
        <w:rPr>
          <w:sz w:val="20"/>
          <w:szCs w:val="20"/>
          <w:color w:val="auto"/>
        </w:rPr>
      </w:pPr>
      <w:r>
        <w:rPr>
          <w:rFonts w:ascii="Arial" w:cs="Arial" w:eastAsia="Arial" w:hAnsi="Arial"/>
          <w:sz w:val="20"/>
          <w:szCs w:val="20"/>
          <w:color w:val="auto"/>
        </w:rPr>
        <w:t>2100 Powell Street, 12</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10.8</w:t>
      </w:r>
    </w:p>
    <w:p>
      <w:pPr>
        <w:spacing w:after="0" w:line="263" w:lineRule="exact"/>
        <w:rPr>
          <w:sz w:val="20"/>
          <w:szCs w:val="20"/>
          <w:color w:val="auto"/>
        </w:rPr>
      </w:pPr>
    </w:p>
    <w:p>
      <w:pPr>
        <w:ind w:right="520" w:firstLine="1953"/>
        <w:spacing w:after="0" w:line="278" w:lineRule="auto"/>
        <w:tabs>
          <w:tab w:leader="none" w:pos="282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2" w:lineRule="exact"/>
        <w:rPr>
          <w:rFonts w:ascii="Arial" w:cs="Arial" w:eastAsia="Arial" w:hAnsi="Arial"/>
          <w:sz w:val="20"/>
          <w:szCs w:val="20"/>
          <w:color w:val="auto"/>
        </w:rPr>
      </w:pPr>
    </w:p>
    <w:p>
      <w:pPr>
        <w:ind w:right="180" w:firstLine="1953"/>
        <w:spacing w:after="0" w:line="274" w:lineRule="auto"/>
        <w:tabs>
          <w:tab w:leader="none" w:pos="2813"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38" w:lineRule="exact"/>
        <w:rPr>
          <w:rFonts w:ascii="Arial" w:cs="Arial" w:eastAsia="Arial" w:hAnsi="Arial"/>
          <w:sz w:val="20"/>
          <w:szCs w:val="20"/>
          <w:color w:val="auto"/>
        </w:rPr>
      </w:pPr>
    </w:p>
    <w:p>
      <w:pPr>
        <w:ind w:right="60" w:firstLine="1953"/>
        <w:spacing w:after="0" w:line="272" w:lineRule="auto"/>
        <w:tabs>
          <w:tab w:leader="none" w:pos="2791"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37" w:lineRule="exact"/>
        <w:rPr>
          <w:rFonts w:ascii="Arial" w:cs="Arial" w:eastAsia="Arial" w:hAnsi="Arial"/>
          <w:sz w:val="20"/>
          <w:szCs w:val="20"/>
          <w:color w:val="auto"/>
        </w:rPr>
      </w:pPr>
    </w:p>
    <w:p>
      <w:pPr>
        <w:ind w:right="100" w:firstLine="1953"/>
        <w:spacing w:after="0" w:line="347" w:lineRule="auto"/>
        <w:tabs>
          <w:tab w:leader="none" w:pos="282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76" w:lineRule="exact"/>
        <w:rPr>
          <w:rFonts w:ascii="Arial" w:cs="Arial" w:eastAsia="Arial" w:hAnsi="Arial"/>
          <w:sz w:val="18"/>
          <w:szCs w:val="18"/>
          <w:color w:val="auto"/>
        </w:rPr>
      </w:pPr>
    </w:p>
    <w:p>
      <w:pPr>
        <w:ind w:right="60" w:firstLine="1953"/>
        <w:spacing w:after="0" w:line="278" w:lineRule="auto"/>
        <w:tabs>
          <w:tab w:leader="none" w:pos="282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32" w:lineRule="exact"/>
        <w:rPr>
          <w:rFonts w:ascii="Arial" w:cs="Arial" w:eastAsia="Arial" w:hAnsi="Arial"/>
          <w:sz w:val="20"/>
          <w:szCs w:val="20"/>
          <w:color w:val="auto"/>
        </w:rPr>
      </w:pPr>
    </w:p>
    <w:p>
      <w:pPr>
        <w:ind w:right="120" w:firstLine="1953"/>
        <w:spacing w:after="0" w:line="316" w:lineRule="auto"/>
        <w:tabs>
          <w:tab w:leader="none" w:pos="278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Bound by the Plan</w:t>
      </w:r>
      <w:r>
        <w:rPr>
          <w:rFonts w:ascii="Arial" w:cs="Arial" w:eastAsia="Arial" w:hAnsi="Arial"/>
          <w:sz w:val="19"/>
          <w:szCs w:val="19"/>
          <w:color w:val="auto"/>
        </w:rPr>
        <w:t>. By signing this Agreement, Participant acknowledges that he has received a copy of the Plan and has had an opportunity to review the Plan and agrees to be bound by all the terms and provisions of the Plan.</w:t>
      </w:r>
    </w:p>
    <w:p>
      <w:pPr>
        <w:spacing w:after="0" w:line="99" w:lineRule="exact"/>
        <w:rPr>
          <w:rFonts w:ascii="Arial" w:cs="Arial" w:eastAsia="Arial" w:hAnsi="Arial"/>
          <w:sz w:val="19"/>
          <w:szCs w:val="19"/>
          <w:color w:val="auto"/>
        </w:rPr>
      </w:pPr>
    </w:p>
    <w:p>
      <w:pPr>
        <w:ind w:right="160" w:firstLine="1953"/>
        <w:spacing w:after="0" w:line="278" w:lineRule="auto"/>
        <w:tabs>
          <w:tab w:leader="none" w:pos="278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32" w:lineRule="exact"/>
        <w:rPr>
          <w:rFonts w:ascii="Arial" w:cs="Arial" w:eastAsia="Arial" w:hAnsi="Arial"/>
          <w:sz w:val="20"/>
          <w:szCs w:val="20"/>
          <w:color w:val="auto"/>
        </w:rPr>
      </w:pPr>
    </w:p>
    <w:p>
      <w:pPr>
        <w:ind w:right="180" w:firstLine="1953"/>
        <w:spacing w:after="0" w:line="289" w:lineRule="auto"/>
        <w:tabs>
          <w:tab w:leader="none" w:pos="282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21" w:lineRule="exact"/>
        <w:rPr>
          <w:rFonts w:ascii="Arial" w:cs="Arial" w:eastAsia="Arial" w:hAnsi="Arial"/>
          <w:sz w:val="20"/>
          <w:szCs w:val="20"/>
          <w:color w:val="auto"/>
        </w:rPr>
      </w:pPr>
    </w:p>
    <w:p>
      <w:pPr>
        <w:ind w:right="680" w:firstLine="1953"/>
        <w:spacing w:after="0" w:line="289" w:lineRule="auto"/>
        <w:tabs>
          <w:tab w:leader="none" w:pos="278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10.8</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________________________________</w:t>
      </w:r>
    </w:p>
    <w:p>
      <w:pPr>
        <w:spacing w:after="0" w:line="15"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By: James H. Ozanne</w:t>
      </w:r>
    </w:p>
    <w:p>
      <w:pPr>
        <w:ind w:left="2680"/>
        <w:spacing w:after="0"/>
        <w:rPr>
          <w:sz w:val="20"/>
          <w:szCs w:val="20"/>
          <w:color w:val="auto"/>
        </w:rPr>
      </w:pPr>
      <w:r>
        <w:rPr>
          <w:rFonts w:ascii="Arial" w:cs="Arial" w:eastAsia="Arial" w:hAnsi="Arial"/>
          <w:sz w:val="20"/>
          <w:szCs w:val="20"/>
          <w:color w:val="auto"/>
        </w:rPr>
        <w:t>Title:Chairman, Compensation Committee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PARTICIPANT</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auto"/>
        </w:rPr>
        <w:t>[Signature Page to Nonqualified Stock Option Agreement (CEO/CFO)]</w:t>
      </w:r>
    </w:p>
    <w:p>
      <w:pPr>
        <w:spacing w:after="0" w:line="200" w:lineRule="exact"/>
        <w:rPr>
          <w:sz w:val="20"/>
          <w:szCs w:val="20"/>
          <w:color w:val="auto"/>
        </w:rPr>
      </w:pPr>
    </w:p>
    <w:p>
      <w:pPr>
        <w:spacing w:after="0" w:line="2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10.9</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spacing w:after="0"/>
        <w:rPr>
          <w:sz w:val="20"/>
          <w:szCs w:val="20"/>
          <w:color w:val="auto"/>
        </w:rPr>
      </w:pPr>
      <w:r>
        <w:rPr>
          <w:rFonts w:ascii="Arial" w:cs="Arial" w:eastAsia="Arial" w:hAnsi="Arial"/>
          <w:sz w:val="20"/>
          <w:szCs w:val="20"/>
          <w:b w:val="1"/>
          <w:bCs w:val="1"/>
          <w:color w:val="auto"/>
        </w:rPr>
        <w:t>NONQUALIFIED STOCK OPTION AGREEMENT</w:t>
      </w:r>
    </w:p>
    <w:p>
      <w:pPr>
        <w:jc w:val="center"/>
        <w:spacing w:after="0"/>
        <w:rPr>
          <w:sz w:val="20"/>
          <w:szCs w:val="20"/>
          <w:color w:val="auto"/>
        </w:rPr>
      </w:pPr>
      <w:r>
        <w:rPr>
          <w:rFonts w:ascii="Arial" w:cs="Arial" w:eastAsia="Arial" w:hAnsi="Arial"/>
          <w:sz w:val="20"/>
          <w:szCs w:val="20"/>
          <w:b w:val="1"/>
          <w:bCs w:val="1"/>
          <w:color w:val="auto"/>
        </w:rPr>
        <w:t>(FOR EMPLOYEES)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THIS OPTION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____________(the “</w:t>
      </w:r>
      <w:r>
        <w:rPr>
          <w:rFonts w:ascii="Arial" w:cs="Arial" w:eastAsia="Arial" w:hAnsi="Arial"/>
          <w:sz w:val="18"/>
          <w:szCs w:val="18"/>
          <w:u w:val="single" w:color="auto"/>
          <w:color w:val="auto"/>
        </w:rPr>
        <w:t>Date of Grant</w:t>
      </w:r>
      <w:r>
        <w:rPr>
          <w:rFonts w:ascii="Arial" w:cs="Arial" w:eastAsia="Arial" w:hAnsi="Arial"/>
          <w:sz w:val="18"/>
          <w:szCs w:val="18"/>
          <w:color w:val="auto"/>
        </w:rPr>
        <w:t>”), is made by and between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____________________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94"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2012 Stock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pursuant to which</w:t>
      </w:r>
      <w:r>
        <w:rPr>
          <w:rFonts w:ascii="Arial" w:cs="Arial" w:eastAsia="Arial" w:hAnsi="Arial"/>
          <w:sz w:val="20"/>
          <w:szCs w:val="20"/>
          <w:b w:val="1"/>
          <w:bCs w:val="1"/>
          <w:color w:val="auto"/>
        </w:rPr>
        <w:t xml:space="preserve"> </w:t>
      </w:r>
      <w:r>
        <w:rPr>
          <w:rFonts w:ascii="Arial" w:cs="Arial" w:eastAsia="Arial" w:hAnsi="Arial"/>
          <w:sz w:val="20"/>
          <w:szCs w:val="20"/>
          <w:color w:val="auto"/>
        </w:rPr>
        <w:t>nonqualified stock options may be granted to purchase shares of the Company’s common stock, par value $0.01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and</w:t>
      </w:r>
    </w:p>
    <w:p>
      <w:pPr>
        <w:spacing w:after="0" w:line="178"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Committee has determined that it would be in the best interests of the Company and its stockholders to grant</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nonqualified stock options on the terms and subject to the conditions set forth in this Agreement and the Plan.</w:t>
      </w:r>
    </w:p>
    <w:p>
      <w:pPr>
        <w:spacing w:after="0" w:line="142" w:lineRule="exact"/>
        <w:rPr>
          <w:sz w:val="20"/>
          <w:szCs w:val="20"/>
          <w:color w:val="auto"/>
        </w:rPr>
      </w:pPr>
    </w:p>
    <w:p>
      <w:pPr>
        <w:jc w:val="both"/>
        <w:ind w:right="60" w:firstLine="1297"/>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ind w:left="2100" w:hanging="795"/>
        <w:spacing w:after="0"/>
        <w:tabs>
          <w:tab w:leader="none" w:pos="21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60" w:firstLine="1953"/>
        <w:spacing w:after="0" w:line="274" w:lineRule="auto"/>
        <w:tabs>
          <w:tab w:leader="none" w:pos="2813"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 nonqualified stock option (the “</w:t>
      </w:r>
      <w:r>
        <w:rPr>
          <w:rFonts w:ascii="Arial" w:cs="Arial" w:eastAsia="Arial" w:hAnsi="Arial"/>
          <w:sz w:val="20"/>
          <w:szCs w:val="20"/>
          <w:u w:val="single" w:color="auto"/>
          <w:color w:val="auto"/>
        </w:rPr>
        <w:t>Option</w:t>
      </w:r>
      <w:r>
        <w:rPr>
          <w:rFonts w:ascii="Arial" w:cs="Arial" w:eastAsia="Arial" w:hAnsi="Arial"/>
          <w:sz w:val="20"/>
          <w:szCs w:val="20"/>
          <w:color w:val="auto"/>
        </w:rPr>
        <w:t>” and any portion thereof, the “</w:t>
      </w:r>
      <w:r>
        <w:rPr>
          <w:rFonts w:ascii="Arial" w:cs="Arial" w:eastAsia="Arial" w:hAnsi="Arial"/>
          <w:sz w:val="20"/>
          <w:szCs w:val="20"/>
          <w:u w:val="single" w:color="auto"/>
          <w:color w:val="auto"/>
        </w:rPr>
        <w:t>Options</w:t>
      </w:r>
      <w:r>
        <w:rPr>
          <w:rFonts w:ascii="Arial" w:cs="Arial" w:eastAsia="Arial" w:hAnsi="Arial"/>
          <w:sz w:val="20"/>
          <w:szCs w:val="20"/>
          <w:color w:val="auto"/>
        </w:rPr>
        <w:t>”) to purchase _________ shares of Common Stock (such shares of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conditions set forth in this Agreement and as otherwise provided in the Plan. The Option is not intended to qualify as an incentive stock option within the meaning of Section 422 of the Internal Revenue Code (the “</w:t>
      </w:r>
      <w:r>
        <w:rPr>
          <w:rFonts w:ascii="Arial" w:cs="Arial" w:eastAsia="Arial" w:hAnsi="Arial"/>
          <w:sz w:val="20"/>
          <w:szCs w:val="20"/>
          <w:u w:val="single" w:color="auto"/>
          <w:color w:val="auto"/>
        </w:rPr>
        <w:t>Code</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ind w:right="300" w:firstLine="1953"/>
        <w:spacing w:after="0" w:line="299" w:lineRule="auto"/>
        <w:tabs>
          <w:tab w:leader="none" w:pos="2824"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15" w:lineRule="exact"/>
        <w:rPr>
          <w:rFonts w:ascii="Arial" w:cs="Arial" w:eastAsia="Arial" w:hAnsi="Arial"/>
          <w:sz w:val="19"/>
          <w:szCs w:val="19"/>
          <w:color w:val="auto"/>
        </w:rPr>
      </w:pPr>
    </w:p>
    <w:p>
      <w:pPr>
        <w:ind w:left="2100" w:hanging="795"/>
        <w:spacing w:after="0"/>
        <w:tabs>
          <w:tab w:leader="none" w:pos="21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Option; Option Price</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160" w:firstLine="1953"/>
        <w:spacing w:after="0" w:line="289" w:lineRule="auto"/>
        <w:tabs>
          <w:tab w:leader="none" w:pos="2813"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Option Price</w:t>
      </w:r>
      <w:r>
        <w:rPr>
          <w:rFonts w:ascii="Arial" w:cs="Arial" w:eastAsia="Arial" w:hAnsi="Arial"/>
          <w:sz w:val="20"/>
          <w:szCs w:val="20"/>
          <w:color w:val="auto"/>
        </w:rPr>
        <w:t>. The option price, being the price at which Participant shall be entitled to purchase the Shares upon the exercise of all or any of the Options, shall be $_______ per Share (the “</w:t>
      </w:r>
      <w:r>
        <w:rPr>
          <w:rFonts w:ascii="Arial" w:cs="Arial" w:eastAsia="Arial" w:hAnsi="Arial"/>
          <w:sz w:val="20"/>
          <w:szCs w:val="20"/>
          <w:u w:val="single" w:color="auto"/>
          <w:color w:val="auto"/>
        </w:rPr>
        <w:t>Option Price</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right="80" w:firstLine="1953"/>
        <w:spacing w:after="0" w:line="274" w:lineRule="auto"/>
        <w:tabs>
          <w:tab w:leader="none" w:pos="2824"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Payment of the Option Price</w:t>
      </w:r>
      <w:r>
        <w:rPr>
          <w:rFonts w:ascii="Arial" w:cs="Arial" w:eastAsia="Arial" w:hAnsi="Arial"/>
          <w:sz w:val="20"/>
          <w:szCs w:val="20"/>
          <w:color w:val="auto"/>
        </w:rPr>
        <w:t>. The Option may be exercised only by written notice, substantially in the form provided by the Company, delivered in person or by mail in accordance with Section 10(c) hereof and accompanied by payment of the Option Price. The Option Price shall be payable in cash, or, to the extent permitted by the Committee, by any of the other methods permitted under Section 7(b) of the Plan.</w:t>
      </w:r>
    </w:p>
    <w:p>
      <w:pPr>
        <w:spacing w:after="0" w:line="138" w:lineRule="exact"/>
        <w:rPr>
          <w:rFonts w:ascii="Arial" w:cs="Arial" w:eastAsia="Arial" w:hAnsi="Arial"/>
          <w:sz w:val="20"/>
          <w:szCs w:val="20"/>
          <w:color w:val="auto"/>
        </w:rPr>
      </w:pPr>
    </w:p>
    <w:p>
      <w:pPr>
        <w:ind w:firstLine="1305"/>
        <w:spacing w:after="0" w:line="278" w:lineRule="auto"/>
        <w:tabs>
          <w:tab w:leader="none" w:pos="209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may otherwise be provided herein, the Option shall become non-forfeitable (any Options that shall have become non-forfeitable pursuant to this Section 3, the “</w:t>
      </w:r>
      <w:r>
        <w:rPr>
          <w:rFonts w:ascii="Arial" w:cs="Arial" w:eastAsia="Arial" w:hAnsi="Arial"/>
          <w:sz w:val="20"/>
          <w:szCs w:val="20"/>
          <w:u w:val="single" w:color="auto"/>
          <w:color w:val="auto"/>
        </w:rPr>
        <w:t>Vested Options</w:t>
      </w:r>
      <w:r>
        <w:rPr>
          <w:rFonts w:ascii="Arial" w:cs="Arial" w:eastAsia="Arial" w:hAnsi="Arial"/>
          <w:sz w:val="20"/>
          <w:szCs w:val="20"/>
          <w:color w:val="auto"/>
        </w:rPr>
        <w:t>”) and shall become exercisable according to the following provisions, subject to Participant’s continued employment with the Company as of any such date:</w:t>
      </w:r>
    </w:p>
    <w:p>
      <w:pPr>
        <w:spacing w:after="0" w:line="132" w:lineRule="exact"/>
        <w:rPr>
          <w:rFonts w:ascii="Arial" w:cs="Arial" w:eastAsia="Arial" w:hAnsi="Arial"/>
          <w:sz w:val="20"/>
          <w:szCs w:val="20"/>
          <w:color w:val="auto"/>
        </w:rPr>
      </w:pPr>
    </w:p>
    <w:p>
      <w:pPr>
        <w:ind w:right="220" w:firstLine="1953"/>
        <w:spacing w:after="0" w:line="273" w:lineRule="auto"/>
        <w:tabs>
          <w:tab w:leader="none" w:pos="2813"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General Vesting</w:t>
      </w:r>
      <w:r>
        <w:rPr>
          <w:rFonts w:ascii="Arial" w:cs="Arial" w:eastAsia="Arial" w:hAnsi="Arial"/>
          <w:sz w:val="20"/>
          <w:szCs w:val="20"/>
          <w:color w:val="auto"/>
        </w:rPr>
        <w:t>. (i) One-third of the Options (rounded down to the nearest whole Share) shall become Vested Options and shall become exercisable on the first anniversary of the Date of Grant, (ii) one-third of the Options (rounded down to the nearest whole Share) shall become Vested Options and shall become exercisable on the second anniversary of the Date of Grant and (iii) the remainder of the Options shall become Vested Options and shall become exercisable on the third anniversary of the Date of Grant, in the case of each 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10.9</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clauses (i), (ii) and (iii), subject to Participant not having incurred a Termination of Service prior to the applicable vesting date.</w:t>
      </w:r>
    </w:p>
    <w:p>
      <w:pPr>
        <w:spacing w:after="0" w:line="189" w:lineRule="exact"/>
        <w:rPr>
          <w:sz w:val="20"/>
          <w:szCs w:val="20"/>
          <w:color w:val="auto"/>
        </w:rPr>
      </w:pPr>
    </w:p>
    <w:p>
      <w:pPr>
        <w:ind w:firstLine="1953"/>
        <w:spacing w:after="0" w:line="286" w:lineRule="auto"/>
        <w:tabs>
          <w:tab w:leader="none" w:pos="2824"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Except as provided in the immediately following sentence, in the event that Participant incurs a Termination of Service, any Options that have not theretofore become Vested Options (such Options, the “</w:t>
      </w:r>
      <w:r>
        <w:rPr>
          <w:rFonts w:ascii="Arial" w:cs="Arial" w:eastAsia="Arial" w:hAnsi="Arial"/>
          <w:sz w:val="19"/>
          <w:szCs w:val="19"/>
          <w:u w:val="single" w:color="auto"/>
          <w:color w:val="auto"/>
        </w:rPr>
        <w:t>Unvested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Options</w:t>
      </w:r>
      <w:r>
        <w:rPr>
          <w:rFonts w:ascii="Arial" w:cs="Arial" w:eastAsia="Arial" w:hAnsi="Arial"/>
          <w:sz w:val="19"/>
          <w:szCs w:val="19"/>
          <w:color w:val="auto"/>
        </w:rPr>
        <w:t>”) shall be forfeited without consideration by Participant. Notwithstanding the foregoing, in the event Participant incurs a Termination of Service as a result of termination by the Company or its Affiliate without “Cause” (as defined in the Plan), or due to Participant’s death or “Disability” (as defined in the Plan), any Unvested Options that are outstanding immediately prior to such Termination of Service and that would have vested on the next vesting date shall vest pro-rata, with the number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Service) and the date of Participant’s Termination of Service and the denominator of which is 365.</w:t>
      </w:r>
    </w:p>
    <w:p>
      <w:pPr>
        <w:spacing w:after="0" w:line="114" w:lineRule="exact"/>
        <w:rPr>
          <w:rFonts w:ascii="Arial" w:cs="Arial" w:eastAsia="Arial" w:hAnsi="Arial"/>
          <w:sz w:val="19"/>
          <w:szCs w:val="19"/>
          <w:color w:val="auto"/>
        </w:rPr>
      </w:pPr>
    </w:p>
    <w:p>
      <w:pPr>
        <w:ind w:left="1620" w:hanging="315"/>
        <w:spacing w:after="0"/>
        <w:tabs>
          <w:tab w:leader="none" w:pos="162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380" w:firstLine="1953"/>
        <w:spacing w:after="0" w:line="289" w:lineRule="auto"/>
        <w:tabs>
          <w:tab w:leader="none" w:pos="2813"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Option shall automatically terminate and shall become null and void, be unexercisable and be of no further force and effect upon the earliest of:</w:t>
      </w:r>
    </w:p>
    <w:p>
      <w:pPr>
        <w:spacing w:after="0" w:line="121" w:lineRule="exact"/>
        <w:rPr>
          <w:rFonts w:ascii="Arial" w:cs="Arial" w:eastAsia="Arial" w:hAnsi="Arial"/>
          <w:sz w:val="20"/>
          <w:szCs w:val="20"/>
          <w:color w:val="auto"/>
        </w:rPr>
      </w:pPr>
    </w:p>
    <w:p>
      <w:pPr>
        <w:ind w:left="3440" w:hanging="839"/>
        <w:spacing w:after="0"/>
        <w:tabs>
          <w:tab w:leader="none" w:pos="3440" w:val="left"/>
        </w:tabs>
        <w:numPr>
          <w:ilvl w:val="2"/>
          <w:numId w:val="63"/>
        </w:numPr>
        <w:rPr>
          <w:rFonts w:ascii="Arial" w:cs="Arial" w:eastAsia="Arial" w:hAnsi="Arial"/>
          <w:sz w:val="20"/>
          <w:szCs w:val="20"/>
          <w:color w:val="auto"/>
        </w:rPr>
      </w:pPr>
      <w:r>
        <w:rPr>
          <w:rFonts w:ascii="Arial" w:cs="Arial" w:eastAsia="Arial" w:hAnsi="Arial"/>
          <w:sz w:val="20"/>
          <w:szCs w:val="20"/>
          <w:color w:val="auto"/>
        </w:rPr>
        <w:t>the tenth anniversary of the Date of Grant;</w:t>
      </w:r>
    </w:p>
    <w:p>
      <w:pPr>
        <w:spacing w:after="0" w:line="134" w:lineRule="exact"/>
        <w:rPr>
          <w:rFonts w:ascii="Arial" w:cs="Arial" w:eastAsia="Arial" w:hAnsi="Arial"/>
          <w:sz w:val="20"/>
          <w:szCs w:val="20"/>
          <w:color w:val="auto"/>
        </w:rPr>
      </w:pPr>
    </w:p>
    <w:p>
      <w:pPr>
        <w:ind w:right="100" w:firstLine="2601"/>
        <w:spacing w:after="0" w:line="289" w:lineRule="auto"/>
        <w:tabs>
          <w:tab w:leader="none" w:pos="3483" w:val="left"/>
        </w:tabs>
        <w:numPr>
          <w:ilvl w:val="2"/>
          <w:numId w:val="63"/>
        </w:numPr>
        <w:rPr>
          <w:rFonts w:ascii="Arial" w:cs="Arial" w:eastAsia="Arial" w:hAnsi="Arial"/>
          <w:sz w:val="20"/>
          <w:szCs w:val="20"/>
          <w:color w:val="auto"/>
        </w:rPr>
      </w:pPr>
      <w:r>
        <w:rPr>
          <w:rFonts w:ascii="Arial" w:cs="Arial" w:eastAsia="Arial" w:hAnsi="Arial"/>
          <w:sz w:val="20"/>
          <w:szCs w:val="20"/>
          <w:color w:val="auto"/>
        </w:rPr>
        <w:t>the first anniversary following Participant’s Termination of Service, in the case of a Termination of Service due to death or Disability (as defined in the Plan);</w:t>
      </w:r>
    </w:p>
    <w:p>
      <w:pPr>
        <w:spacing w:after="0" w:line="56" w:lineRule="exact"/>
        <w:rPr>
          <w:rFonts w:ascii="Arial" w:cs="Arial" w:eastAsia="Arial" w:hAnsi="Arial"/>
          <w:sz w:val="20"/>
          <w:szCs w:val="20"/>
          <w:color w:val="auto"/>
        </w:rPr>
      </w:pPr>
    </w:p>
    <w:p>
      <w:pPr>
        <w:ind w:left="3540" w:hanging="939"/>
        <w:spacing w:after="0"/>
        <w:tabs>
          <w:tab w:leader="none" w:pos="35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Participant’s Termination of Service in the case of a Termination of Service</w:t>
      </w:r>
    </w:p>
    <w:p>
      <w:pPr>
        <w:spacing w:after="0" w:line="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without Cause;</w:t>
      </w:r>
    </w:p>
    <w:p>
      <w:pPr>
        <w:spacing w:after="0" w:line="107" w:lineRule="exact"/>
        <w:rPr>
          <w:rFonts w:ascii="Arial" w:cs="Arial" w:eastAsia="Arial" w:hAnsi="Arial"/>
          <w:sz w:val="18"/>
          <w:szCs w:val="18"/>
          <w:color w:val="auto"/>
        </w:rPr>
      </w:pPr>
    </w:p>
    <w:p>
      <w:pPr>
        <w:ind w:left="3540" w:hanging="939"/>
        <w:spacing w:after="0"/>
        <w:tabs>
          <w:tab w:leader="none" w:pos="35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Participant’s Termination of Service in the case of a Termination of Service</w:t>
      </w:r>
    </w:p>
    <w:p>
      <w:pPr>
        <w:spacing w:after="0" w:line="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the Participant for any reason; and</w:t>
      </w:r>
    </w:p>
    <w:p>
      <w:pPr>
        <w:spacing w:after="0" w:line="118" w:lineRule="exact"/>
        <w:rPr>
          <w:rFonts w:ascii="Arial" w:cs="Arial" w:eastAsia="Arial" w:hAnsi="Arial"/>
          <w:sz w:val="18"/>
          <w:szCs w:val="18"/>
          <w:color w:val="auto"/>
        </w:rPr>
      </w:pPr>
    </w:p>
    <w:p>
      <w:pPr>
        <w:ind w:left="3480" w:hanging="879"/>
        <w:spacing w:after="0"/>
        <w:tabs>
          <w:tab w:leader="none" w:pos="3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day of Participant’s Termination of Service in the case of a Termination of Service for Cause.</w:t>
      </w:r>
    </w:p>
    <w:p>
      <w:pPr>
        <w:spacing w:after="0" w:line="157" w:lineRule="exact"/>
        <w:rPr>
          <w:rFonts w:ascii="Arial" w:cs="Arial" w:eastAsia="Arial" w:hAnsi="Arial"/>
          <w:sz w:val="18"/>
          <w:szCs w:val="18"/>
          <w:color w:val="auto"/>
        </w:rPr>
      </w:pPr>
    </w:p>
    <w:p>
      <w:pPr>
        <w:ind w:right="40" w:firstLine="1953"/>
        <w:spacing w:after="0" w:line="274" w:lineRule="auto"/>
        <w:tabs>
          <w:tab w:leader="none" w:pos="2824" w:val="left"/>
        </w:tabs>
        <w:numPr>
          <w:ilvl w:val="1"/>
          <w:numId w:val="63"/>
        </w:numPr>
        <w:rPr>
          <w:rFonts w:ascii="Arial" w:cs="Arial" w:eastAsia="Arial" w:hAnsi="Arial"/>
          <w:sz w:val="20"/>
          <w:szCs w:val="20"/>
          <w:color w:val="auto"/>
        </w:rPr>
      </w:pPr>
      <w:r>
        <w:rPr>
          <w:rFonts w:ascii="Arial" w:cs="Arial" w:eastAsia="Arial" w:hAnsi="Arial"/>
          <w:sz w:val="20"/>
          <w:szCs w:val="20"/>
          <w:color w:val="auto"/>
        </w:rPr>
        <w:t>Notwithstanding the provisions of Section 4(a) to the contrary, in the event of Participant’s Termination of Service for any reason (other than due to a Termination of Service for Cause) during the two-year period following a Change in Control, the Option shall remain outstanding and exercisable until the earlier of (i) the tenth anniversary of the Date of Grant and (ii) the fifth anniversary of such Termination of Service.</w:t>
      </w:r>
    </w:p>
    <w:p>
      <w:pPr>
        <w:spacing w:after="0" w:line="138" w:lineRule="exact"/>
        <w:rPr>
          <w:rFonts w:ascii="Arial" w:cs="Arial" w:eastAsia="Arial" w:hAnsi="Arial"/>
          <w:sz w:val="20"/>
          <w:szCs w:val="20"/>
          <w:color w:val="auto"/>
        </w:rPr>
      </w:pPr>
    </w:p>
    <w:p>
      <w:pPr>
        <w:ind w:right="20" w:firstLine="1953"/>
        <w:spacing w:after="0" w:line="347" w:lineRule="auto"/>
        <w:tabs>
          <w:tab w:leader="none" w:pos="28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Except as otherwise provided in the Plan and Section 3(b) of this Agreement, upon a Termination of Service for any reason, any Unvested Options shall immediately terminate and be forfeited on the date the Termination of Service occurs.</w:t>
      </w:r>
    </w:p>
    <w:p>
      <w:pPr>
        <w:spacing w:after="0" w:line="76" w:lineRule="exact"/>
        <w:rPr>
          <w:rFonts w:ascii="Arial" w:cs="Arial" w:eastAsia="Arial" w:hAnsi="Arial"/>
          <w:sz w:val="18"/>
          <w:szCs w:val="18"/>
          <w:color w:val="auto"/>
        </w:rPr>
      </w:pPr>
    </w:p>
    <w:p>
      <w:pPr>
        <w:ind w:right="140" w:firstLine="1305"/>
        <w:spacing w:after="0" w:line="356" w:lineRule="auto"/>
        <w:tabs>
          <w:tab w:leader="none" w:pos="209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The grant and exercise of the Option,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80" w:lineRule="exact"/>
        <w:rPr>
          <w:rFonts w:ascii="Arial" w:cs="Arial" w:eastAsia="Arial" w:hAnsi="Arial"/>
          <w:sz w:val="16"/>
          <w:szCs w:val="16"/>
          <w:color w:val="auto"/>
        </w:rPr>
      </w:pPr>
    </w:p>
    <w:p>
      <w:pPr>
        <w:ind w:right="80" w:firstLine="1305"/>
        <w:spacing w:after="0" w:line="310" w:lineRule="auto"/>
        <w:tabs>
          <w:tab w:leader="none" w:pos="209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The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designation of a beneficiary shall not constitute an assignment, alienation, pledge, attachment, sale, transfer or encumbrance. The Option and any Shares received upon exercise thereof shall be subject to the restrictions set forth in the Plan and this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10.9</w:t>
      </w:r>
    </w:p>
    <w:p>
      <w:pPr>
        <w:spacing w:after="0" w:line="263" w:lineRule="exact"/>
        <w:rPr>
          <w:sz w:val="20"/>
          <w:szCs w:val="20"/>
          <w:color w:val="auto"/>
        </w:rPr>
      </w:pPr>
    </w:p>
    <w:p>
      <w:pPr>
        <w:ind w:right="320" w:firstLine="1305"/>
        <w:spacing w:after="0" w:line="289" w:lineRule="auto"/>
        <w:tabs>
          <w:tab w:leader="none" w:pos="2093"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13 of the Plan occurring after the Date of Grant, the adjustment provisions as provided for under Section 13 of the Plan shall apply to the Option.</w:t>
      </w:r>
    </w:p>
    <w:p>
      <w:pPr>
        <w:spacing w:after="0" w:line="121" w:lineRule="exact"/>
        <w:rPr>
          <w:rFonts w:ascii="Arial" w:cs="Arial" w:eastAsia="Arial" w:hAnsi="Arial"/>
          <w:sz w:val="20"/>
          <w:szCs w:val="20"/>
          <w:color w:val="auto"/>
        </w:rPr>
      </w:pPr>
    </w:p>
    <w:p>
      <w:pPr>
        <w:ind w:right="260" w:firstLine="1305"/>
        <w:spacing w:after="0" w:line="278" w:lineRule="auto"/>
        <w:tabs>
          <w:tab w:leader="none" w:pos="2093"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of the Company occurring after the Date of Grant, any outstanding Options that are not then exercisable and vested shall become fully exercisable and vested immediately upon the occurrence of a Change in Control.</w:t>
      </w:r>
    </w:p>
    <w:p>
      <w:pPr>
        <w:spacing w:after="0" w:line="132" w:lineRule="exact"/>
        <w:rPr>
          <w:rFonts w:ascii="Arial" w:cs="Arial" w:eastAsia="Arial" w:hAnsi="Arial"/>
          <w:sz w:val="20"/>
          <w:szCs w:val="20"/>
          <w:color w:val="auto"/>
        </w:rPr>
      </w:pPr>
    </w:p>
    <w:p>
      <w:pPr>
        <w:ind w:right="80" w:firstLine="1305"/>
        <w:spacing w:after="0" w:line="287" w:lineRule="auto"/>
        <w:tabs>
          <w:tab w:leader="none" w:pos="209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As a condition to exercising the Option, in whole or in part, Participant will pay to the Company, or, pursuant to Section 12(d) of the Plan, make provisions satisfactory to the Company for payment of, any federal, state or local tax laws in respect of the exercise or the transfer of the Shares. The Company may allow a Participant to elect to have any withholding obligation satisfied by surrendering to the Company a portion of the Shares that is issued or transferred to Participant upon the exercise of any Options (but only to the extent of the minimum withholding required by law) and the Shares so surrendered by Participant shall be credited against any such withholding obligation at the Fair Market Value of such Shares on the date of such surrender (and the amount equal to the Fair Market Value of such Shares shall be remitted to the appropriate tax authorities).</w:t>
      </w:r>
    </w:p>
    <w:p>
      <w:pPr>
        <w:spacing w:after="0" w:line="129" w:lineRule="exact"/>
        <w:rPr>
          <w:rFonts w:ascii="Arial" w:cs="Arial" w:eastAsia="Arial" w:hAnsi="Arial"/>
          <w:sz w:val="19"/>
          <w:szCs w:val="19"/>
          <w:color w:val="auto"/>
        </w:rPr>
      </w:pPr>
    </w:p>
    <w:p>
      <w:pPr>
        <w:ind w:left="2200" w:hanging="895"/>
        <w:spacing w:after="0"/>
        <w:tabs>
          <w:tab w:leader="none" w:pos="220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40" w:firstLine="1953"/>
        <w:spacing w:after="0" w:line="274" w:lineRule="auto"/>
        <w:tabs>
          <w:tab w:leader="none" w:pos="2813"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38" w:lineRule="exact"/>
        <w:rPr>
          <w:rFonts w:ascii="Arial" w:cs="Arial" w:eastAsia="Arial" w:hAnsi="Arial"/>
          <w:sz w:val="20"/>
          <w:szCs w:val="20"/>
          <w:color w:val="auto"/>
        </w:rPr>
      </w:pPr>
    </w:p>
    <w:p>
      <w:pPr>
        <w:ind w:right="60" w:firstLine="1953"/>
        <w:spacing w:after="0" w:line="288" w:lineRule="auto"/>
        <w:tabs>
          <w:tab w:leader="none" w:pos="2824"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Waiver and Amendment</w:t>
      </w:r>
      <w:r>
        <w:rPr>
          <w:rFonts w:ascii="Arial" w:cs="Arial" w:eastAsia="Arial" w:hAnsi="Arial"/>
          <w:sz w:val="19"/>
          <w:szCs w:val="19"/>
          <w:color w:val="auto"/>
        </w:rPr>
        <w:t xml:space="preserve">. The Committee may waive any conditions or rights under, or amend any terms of, this Agreement and the Option granted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waiver or amendment that would impair the rights of any Participant or any holder or beneficiary of any Option theretofore granted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28" w:lineRule="exact"/>
        <w:rPr>
          <w:rFonts w:ascii="Arial" w:cs="Arial" w:eastAsia="Arial" w:hAnsi="Arial"/>
          <w:sz w:val="19"/>
          <w:szCs w:val="19"/>
          <w:color w:val="auto"/>
        </w:rPr>
      </w:pPr>
    </w:p>
    <w:p>
      <w:pPr>
        <w:ind w:right="40" w:firstLine="1953"/>
        <w:spacing w:after="0" w:line="347" w:lineRule="auto"/>
        <w:tabs>
          <w:tab w:leader="none" w:pos="2813"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ind w:left="1960"/>
        <w:spacing w:after="0" w:line="204" w:lineRule="auto"/>
        <w:rPr>
          <w:sz w:val="20"/>
          <w:szCs w:val="20"/>
          <w:color w:val="auto"/>
        </w:rPr>
      </w:pPr>
      <w:r>
        <w:rPr>
          <w:rFonts w:ascii="Arial" w:cs="Arial" w:eastAsia="Arial" w:hAnsi="Arial"/>
          <w:sz w:val="20"/>
          <w:szCs w:val="20"/>
          <w:color w:val="auto"/>
        </w:rPr>
        <w:t>2100 Powell Street, 12</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46" w:lineRule="exact"/>
        <w:rPr>
          <w:sz w:val="20"/>
          <w:szCs w:val="20"/>
          <w:color w:val="auto"/>
        </w:rPr>
      </w:pPr>
    </w:p>
    <w:p>
      <w:pPr>
        <w:ind w:right="520" w:firstLine="1953"/>
        <w:spacing w:after="0" w:line="278" w:lineRule="auto"/>
        <w:tabs>
          <w:tab w:leader="none" w:pos="2824"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10.9</w:t>
      </w:r>
    </w:p>
    <w:p>
      <w:pPr>
        <w:spacing w:after="0" w:line="263" w:lineRule="exact"/>
        <w:rPr>
          <w:sz w:val="20"/>
          <w:szCs w:val="20"/>
          <w:color w:val="auto"/>
        </w:rPr>
      </w:pPr>
    </w:p>
    <w:p>
      <w:pPr>
        <w:ind w:right="180" w:firstLine="1953"/>
        <w:spacing w:after="0" w:line="274" w:lineRule="auto"/>
        <w:tabs>
          <w:tab w:leader="none" w:pos="2813"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38" w:lineRule="exact"/>
        <w:rPr>
          <w:rFonts w:ascii="Arial" w:cs="Arial" w:eastAsia="Arial" w:hAnsi="Arial"/>
          <w:sz w:val="20"/>
          <w:szCs w:val="20"/>
          <w:color w:val="auto"/>
        </w:rPr>
      </w:pPr>
    </w:p>
    <w:p>
      <w:pPr>
        <w:ind w:right="60" w:firstLine="1953"/>
        <w:spacing w:after="0" w:line="272" w:lineRule="auto"/>
        <w:tabs>
          <w:tab w:leader="none" w:pos="279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37" w:lineRule="exact"/>
        <w:rPr>
          <w:rFonts w:ascii="Arial" w:cs="Arial" w:eastAsia="Arial" w:hAnsi="Arial"/>
          <w:sz w:val="20"/>
          <w:szCs w:val="20"/>
          <w:color w:val="auto"/>
        </w:rPr>
      </w:pPr>
    </w:p>
    <w:p>
      <w:pPr>
        <w:ind w:right="100" w:firstLine="1953"/>
        <w:spacing w:after="0" w:line="347" w:lineRule="auto"/>
        <w:tabs>
          <w:tab w:leader="none" w:pos="282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76" w:lineRule="exact"/>
        <w:rPr>
          <w:rFonts w:ascii="Arial" w:cs="Arial" w:eastAsia="Arial" w:hAnsi="Arial"/>
          <w:sz w:val="18"/>
          <w:szCs w:val="18"/>
          <w:color w:val="auto"/>
        </w:rPr>
      </w:pPr>
    </w:p>
    <w:p>
      <w:pPr>
        <w:ind w:right="60" w:firstLine="1953"/>
        <w:spacing w:after="0" w:line="278" w:lineRule="auto"/>
        <w:tabs>
          <w:tab w:leader="none" w:pos="2824"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32" w:lineRule="exact"/>
        <w:rPr>
          <w:rFonts w:ascii="Arial" w:cs="Arial" w:eastAsia="Arial" w:hAnsi="Arial"/>
          <w:sz w:val="20"/>
          <w:szCs w:val="20"/>
          <w:color w:val="auto"/>
        </w:rPr>
      </w:pPr>
    </w:p>
    <w:p>
      <w:pPr>
        <w:ind w:right="120" w:firstLine="1953"/>
        <w:spacing w:after="0" w:line="316" w:lineRule="auto"/>
        <w:tabs>
          <w:tab w:leader="none" w:pos="278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Bound by the Plan</w:t>
      </w:r>
      <w:r>
        <w:rPr>
          <w:rFonts w:ascii="Arial" w:cs="Arial" w:eastAsia="Arial" w:hAnsi="Arial"/>
          <w:sz w:val="19"/>
          <w:szCs w:val="19"/>
          <w:color w:val="auto"/>
        </w:rPr>
        <w:t>. By signing this Agreement, Participant acknowledges that he has received a copy of the Plan and has had an opportunity to review the Plan and agrees to be bound by all the terms and provisions of the Plan.</w:t>
      </w:r>
    </w:p>
    <w:p>
      <w:pPr>
        <w:spacing w:after="0" w:line="99" w:lineRule="exact"/>
        <w:rPr>
          <w:rFonts w:ascii="Arial" w:cs="Arial" w:eastAsia="Arial" w:hAnsi="Arial"/>
          <w:sz w:val="19"/>
          <w:szCs w:val="19"/>
          <w:color w:val="auto"/>
        </w:rPr>
      </w:pPr>
    </w:p>
    <w:p>
      <w:pPr>
        <w:ind w:right="160" w:firstLine="1953"/>
        <w:spacing w:after="0" w:line="278" w:lineRule="auto"/>
        <w:tabs>
          <w:tab w:leader="none" w:pos="278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32" w:lineRule="exact"/>
        <w:rPr>
          <w:rFonts w:ascii="Arial" w:cs="Arial" w:eastAsia="Arial" w:hAnsi="Arial"/>
          <w:sz w:val="20"/>
          <w:szCs w:val="20"/>
          <w:color w:val="auto"/>
        </w:rPr>
      </w:pPr>
    </w:p>
    <w:p>
      <w:pPr>
        <w:ind w:right="180" w:firstLine="1953"/>
        <w:spacing w:after="0" w:line="289" w:lineRule="auto"/>
        <w:tabs>
          <w:tab w:leader="none" w:pos="2824"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21" w:lineRule="exact"/>
        <w:rPr>
          <w:rFonts w:ascii="Arial" w:cs="Arial" w:eastAsia="Arial" w:hAnsi="Arial"/>
          <w:sz w:val="20"/>
          <w:szCs w:val="20"/>
          <w:color w:val="auto"/>
        </w:rPr>
      </w:pPr>
    </w:p>
    <w:p>
      <w:pPr>
        <w:ind w:right="680" w:firstLine="1953"/>
        <w:spacing w:after="0" w:line="289" w:lineRule="auto"/>
        <w:tabs>
          <w:tab w:leader="none" w:pos="278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10.9</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________________________________</w:t>
      </w:r>
    </w:p>
    <w:p>
      <w:pPr>
        <w:spacing w:after="0" w:line="15"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By: Bradley M. Shuster</w:t>
      </w:r>
    </w:p>
    <w:p>
      <w:pPr>
        <w:ind w:left="2680"/>
        <w:spacing w:after="0"/>
        <w:rPr>
          <w:sz w:val="20"/>
          <w:szCs w:val="20"/>
          <w:color w:val="auto"/>
        </w:rPr>
      </w:pPr>
      <w:r>
        <w:rPr>
          <w:rFonts w:ascii="Arial" w:cs="Arial" w:eastAsia="Arial" w:hAnsi="Arial"/>
          <w:sz w:val="20"/>
          <w:szCs w:val="20"/>
          <w:color w:val="auto"/>
        </w:rPr>
        <w:t>Title:Chairman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0"/>
        <w:spacing w:after="0"/>
        <w:rPr>
          <w:sz w:val="20"/>
          <w:szCs w:val="20"/>
          <w:color w:val="auto"/>
        </w:rPr>
      </w:pPr>
      <w:r>
        <w:rPr>
          <w:rFonts w:ascii="Arial" w:cs="Arial" w:eastAsia="Arial" w:hAnsi="Arial"/>
          <w:sz w:val="20"/>
          <w:szCs w:val="20"/>
          <w:i w:val="1"/>
          <w:iCs w:val="1"/>
          <w:color w:val="auto"/>
        </w:rPr>
        <w:t>[Signature Page to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10.26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OMNIBUS INCENTIVE PLAN</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jc w:val="center"/>
        <w:spacing w:after="0"/>
        <w:rPr>
          <w:sz w:val="20"/>
          <w:szCs w:val="20"/>
          <w:color w:val="auto"/>
        </w:rPr>
      </w:pPr>
      <w:r>
        <w:rPr>
          <w:rFonts w:ascii="Arial" w:cs="Arial" w:eastAsia="Arial" w:hAnsi="Arial"/>
          <w:sz w:val="20"/>
          <w:szCs w:val="20"/>
          <w:b w:val="1"/>
          <w:bCs w:val="1"/>
          <w:color w:val="auto"/>
        </w:rPr>
        <w:t>(FOR CEO)</w:t>
      </w:r>
    </w:p>
    <w:p>
      <w:pPr>
        <w:spacing w:after="0" w:line="194" w:lineRule="exact"/>
        <w:rPr>
          <w:sz w:val="20"/>
          <w:szCs w:val="20"/>
          <w:color w:val="auto"/>
        </w:rPr>
      </w:pPr>
    </w:p>
    <w:p>
      <w:pPr>
        <w:ind w:right="440" w:firstLine="1297"/>
        <w:spacing w:after="0" w:line="293" w:lineRule="auto"/>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 (the “</w:t>
      </w:r>
      <w:r>
        <w:rPr>
          <w:rFonts w:ascii="Arial" w:cs="Arial" w:eastAsia="Arial" w:hAnsi="Arial"/>
          <w:sz w:val="19"/>
          <w:szCs w:val="19"/>
          <w:u w:val="single" w:color="auto"/>
          <w:color w:val="auto"/>
        </w:rPr>
        <w:t>Grant Date</w:t>
      </w:r>
      <w:r>
        <w:rPr>
          <w:rFonts w:ascii="Arial" w:cs="Arial" w:eastAsia="Arial" w:hAnsi="Arial"/>
          <w:sz w:val="19"/>
          <w:szCs w:val="19"/>
          <w:color w:val="auto"/>
        </w:rPr>
        <w:t>”), is</w:t>
      </w:r>
      <w:r>
        <w:rPr>
          <w:rFonts w:ascii="Arial" w:cs="Arial" w:eastAsia="Arial" w:hAnsi="Arial"/>
          <w:sz w:val="19"/>
          <w:szCs w:val="19"/>
          <w:b w:val="1"/>
          <w:bCs w:val="1"/>
          <w:color w:val="auto"/>
        </w:rPr>
        <w:t xml:space="preserve"> </w:t>
      </w:r>
      <w:r>
        <w:rPr>
          <w:rFonts w:ascii="Arial" w:cs="Arial" w:eastAsia="Arial" w:hAnsi="Arial"/>
          <w:sz w:val="19"/>
          <w:szCs w:val="19"/>
          <w:color w:val="auto"/>
        </w:rPr>
        <w:t>made by and between NMI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2014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w:t>
      </w:r>
    </w:p>
    <w:p>
      <w:pPr>
        <w:spacing w:after="0" w:line="216" w:lineRule="exact"/>
        <w:rPr>
          <w:sz w:val="20"/>
          <w:szCs w:val="20"/>
          <w:color w:val="auto"/>
        </w:rPr>
      </w:pPr>
    </w:p>
    <w:p>
      <w:pPr>
        <w:ind w:firstLine="1297"/>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would be in the best interests of the Company and its stockholders to grant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restricted stock units with respect to a number of shares of the Company’s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subject to the conditions set forth in this Agreement and the Plan.</w:t>
      </w:r>
    </w:p>
    <w:p>
      <w:pPr>
        <w:spacing w:after="0" w:line="178" w:lineRule="exact"/>
        <w:rPr>
          <w:sz w:val="20"/>
          <w:szCs w:val="20"/>
          <w:color w:val="auto"/>
        </w:rPr>
      </w:pPr>
    </w:p>
    <w:p>
      <w:pPr>
        <w:ind w:right="60" w:firstLine="1297"/>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ind w:left="2740" w:hanging="787"/>
        <w:spacing w:after="0"/>
        <w:tabs>
          <w:tab w:leader="none" w:pos="274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 Award</w:t>
      </w:r>
      <w:r>
        <w:rPr>
          <w:rFonts w:ascii="Arial" w:cs="Arial" w:eastAsia="Arial" w:hAnsi="Arial"/>
          <w:sz w:val="20"/>
          <w:szCs w:val="20"/>
          <w:color w:val="auto"/>
        </w:rPr>
        <w:t>.</w:t>
      </w:r>
    </w:p>
    <w:p>
      <w:pPr>
        <w:spacing w:after="0" w:line="189" w:lineRule="exact"/>
        <w:rPr>
          <w:sz w:val="20"/>
          <w:szCs w:val="20"/>
          <w:color w:val="auto"/>
        </w:rPr>
      </w:pPr>
    </w:p>
    <w:p>
      <w:pPr>
        <w:ind w:right="180" w:firstLine="1953"/>
        <w:spacing w:after="0" w:line="347" w:lineRule="auto"/>
        <w:tabs>
          <w:tab w:leader="none" w:pos="2813"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Participant an award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with respect to [●] Shares (the “</w:t>
      </w:r>
      <w:r>
        <w:rPr>
          <w:rFonts w:ascii="Arial" w:cs="Arial" w:eastAsia="Arial" w:hAnsi="Arial"/>
          <w:sz w:val="18"/>
          <w:szCs w:val="18"/>
          <w:u w:val="single" w:color="auto"/>
          <w:color w:val="auto"/>
        </w:rPr>
        <w:t>Target RSUs</w:t>
      </w:r>
      <w:r>
        <w:rPr>
          <w:rFonts w:ascii="Arial" w:cs="Arial" w:eastAsia="Arial" w:hAnsi="Arial"/>
          <w:sz w:val="18"/>
          <w:szCs w:val="18"/>
          <w:color w:val="auto"/>
        </w:rPr>
        <w:t>”) on the terms and conditions set forth in this Agreement and as otherwise provided in the Plan.</w:t>
      </w:r>
    </w:p>
    <w:p>
      <w:pPr>
        <w:spacing w:after="0" w:line="76" w:lineRule="exact"/>
        <w:rPr>
          <w:rFonts w:ascii="Arial" w:cs="Arial" w:eastAsia="Arial" w:hAnsi="Arial"/>
          <w:sz w:val="18"/>
          <w:szCs w:val="18"/>
          <w:color w:val="auto"/>
        </w:rPr>
      </w:pPr>
    </w:p>
    <w:p>
      <w:pPr>
        <w:ind w:right="300" w:firstLine="1953"/>
        <w:spacing w:after="0" w:line="299" w:lineRule="auto"/>
        <w:tabs>
          <w:tab w:leader="none" w:pos="2824"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15" w:lineRule="exact"/>
        <w:rPr>
          <w:rFonts w:ascii="Arial" w:cs="Arial" w:eastAsia="Arial" w:hAnsi="Arial"/>
          <w:sz w:val="19"/>
          <w:szCs w:val="19"/>
          <w:color w:val="auto"/>
        </w:rPr>
      </w:pPr>
    </w:p>
    <w:p>
      <w:pPr>
        <w:ind w:left="2100" w:hanging="795"/>
        <w:spacing w:after="0"/>
        <w:tabs>
          <w:tab w:leader="none" w:pos="210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180" w:firstLine="1953"/>
        <w:spacing w:after="0" w:line="278" w:lineRule="auto"/>
        <w:tabs>
          <w:tab w:leader="none" w:pos="2813" w:val="left"/>
        </w:tabs>
        <w:numPr>
          <w:ilvl w:val="1"/>
          <w:numId w:val="69"/>
        </w:numPr>
        <w:rPr>
          <w:rFonts w:ascii="Arial" w:cs="Arial" w:eastAsia="Arial" w:hAnsi="Arial"/>
          <w:sz w:val="20"/>
          <w:szCs w:val="20"/>
          <w:color w:val="auto"/>
        </w:rPr>
      </w:pPr>
      <w:r>
        <w:rPr>
          <w:rFonts w:ascii="Arial" w:cs="Arial" w:eastAsia="Arial" w:hAnsi="Arial"/>
          <w:sz w:val="20"/>
          <w:szCs w:val="20"/>
          <w:color w:val="auto"/>
        </w:rPr>
        <w:t>One-half of the Target RSUs (“</w:t>
      </w:r>
      <w:r>
        <w:rPr>
          <w:rFonts w:ascii="Arial" w:cs="Arial" w:eastAsia="Arial" w:hAnsi="Arial"/>
          <w:sz w:val="20"/>
          <w:szCs w:val="20"/>
          <w:u w:val="single" w:color="auto"/>
          <w:color w:val="auto"/>
        </w:rPr>
        <w:t>Tranche 1</w:t>
      </w:r>
      <w:r>
        <w:rPr>
          <w:rFonts w:ascii="Arial" w:cs="Arial" w:eastAsia="Arial" w:hAnsi="Arial"/>
          <w:sz w:val="20"/>
          <w:szCs w:val="20"/>
          <w:color w:val="auto"/>
        </w:rPr>
        <w:t>”) are eligible to vest on [insert Tranche 1 vest date] and one-half of the Target RSUs (“</w:t>
      </w:r>
      <w:r>
        <w:rPr>
          <w:rFonts w:ascii="Arial" w:cs="Arial" w:eastAsia="Arial" w:hAnsi="Arial"/>
          <w:sz w:val="20"/>
          <w:szCs w:val="20"/>
          <w:u w:val="single" w:color="auto"/>
          <w:color w:val="auto"/>
        </w:rPr>
        <w:t>Tranche 2</w:t>
      </w:r>
      <w:r>
        <w:rPr>
          <w:rFonts w:ascii="Arial" w:cs="Arial" w:eastAsia="Arial" w:hAnsi="Arial"/>
          <w:sz w:val="20"/>
          <w:szCs w:val="20"/>
          <w:color w:val="auto"/>
        </w:rPr>
        <w:t>”) are eligible to vest on [insert Tranche 2 vest date], in each case, subject to Participant’s continued employment with the Company and its Subsidiaries through the applicable vesting date.</w:t>
      </w:r>
    </w:p>
    <w:p>
      <w:pPr>
        <w:spacing w:after="0" w:line="132" w:lineRule="exact"/>
        <w:rPr>
          <w:rFonts w:ascii="Arial" w:cs="Arial" w:eastAsia="Arial" w:hAnsi="Arial"/>
          <w:sz w:val="20"/>
          <w:szCs w:val="20"/>
          <w:color w:val="auto"/>
        </w:rPr>
      </w:pPr>
    </w:p>
    <w:p>
      <w:pPr>
        <w:ind w:right="80" w:firstLine="1953"/>
        <w:spacing w:after="0" w:line="316" w:lineRule="auto"/>
        <w:tabs>
          <w:tab w:leader="none" w:pos="282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number of Shares subject to Tranche 1 and Tranche 2 will be earned based on the satisfaction of [insert goal] described in Sections 2(c) (the “[insert Tranche 1 vest year] [insert goal] Goals”) and 2(d) (the “[insert Tranche 2 vest year][insert goal] Goals”) below, respectively. The date of the Committee’s determination of whether the applicable [insert goal] are satisfied shall be made in writing no later than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applicable vesting date (the date of the Committee’s determination,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w:t>
      </w:r>
    </w:p>
    <w:p>
      <w:pPr>
        <w:spacing w:after="0" w:line="24" w:lineRule="exact"/>
        <w:rPr>
          <w:rFonts w:ascii="Arial" w:cs="Arial" w:eastAsia="Arial" w:hAnsi="Arial"/>
          <w:sz w:val="18"/>
          <w:szCs w:val="18"/>
          <w:color w:val="auto"/>
        </w:rPr>
      </w:pPr>
    </w:p>
    <w:p>
      <w:pPr>
        <w:ind w:left="2380" w:hanging="427"/>
        <w:spacing w:after="0"/>
        <w:tabs>
          <w:tab w:leader="none" w:pos="2380"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[insert Tranche 1 vest year] [insert goal].</w:t>
      </w:r>
    </w:p>
    <w:p>
      <w:pPr>
        <w:spacing w:after="0" w:line="161" w:lineRule="exact"/>
        <w:rPr>
          <w:rFonts w:ascii="Arial" w:cs="Arial" w:eastAsia="Arial" w:hAnsi="Arial"/>
          <w:sz w:val="20"/>
          <w:szCs w:val="20"/>
          <w:color w:val="auto"/>
        </w:rPr>
      </w:pPr>
    </w:p>
    <w:p>
      <w:pPr>
        <w:ind w:left="1960" w:right="460" w:firstLine="641"/>
        <w:spacing w:after="0" w:line="260" w:lineRule="auto"/>
        <w:tabs>
          <w:tab w:leader="none" w:pos="3039" w:val="left"/>
        </w:tabs>
        <w:numPr>
          <w:ilvl w:val="2"/>
          <w:numId w:val="69"/>
        </w:numPr>
        <w:rPr>
          <w:rFonts w:ascii="Arial" w:cs="Arial" w:eastAsia="Arial" w:hAnsi="Arial"/>
          <w:sz w:val="20"/>
          <w:szCs w:val="20"/>
          <w:color w:val="auto"/>
        </w:rPr>
      </w:pPr>
      <w:r>
        <w:rPr>
          <w:rFonts w:ascii="Arial" w:cs="Arial" w:eastAsia="Arial" w:hAnsi="Arial"/>
          <w:sz w:val="20"/>
          <w:szCs w:val="20"/>
          <w:color w:val="auto"/>
        </w:rPr>
        <w:t>The number of Shares subject to Tranche 1 that will become earned will be determined based on the satisfaction of [insert Tranche 1 vest year] [insert goal].</w:t>
      </w:r>
    </w:p>
    <w:p>
      <w:pPr>
        <w:spacing w:after="0" w:line="68" w:lineRule="exact"/>
        <w:rPr>
          <w:rFonts w:ascii="Arial" w:cs="Arial" w:eastAsia="Arial" w:hAnsi="Arial"/>
          <w:sz w:val="20"/>
          <w:szCs w:val="20"/>
          <w:color w:val="auto"/>
        </w:rPr>
      </w:pPr>
    </w:p>
    <w:p>
      <w:pPr>
        <w:ind w:left="3080" w:hanging="479"/>
        <w:spacing w:after="0"/>
        <w:tabs>
          <w:tab w:leader="none" w:pos="3080" w:val="left"/>
        </w:tabs>
        <w:numPr>
          <w:ilvl w:val="2"/>
          <w:numId w:val="69"/>
        </w:numPr>
        <w:rPr>
          <w:rFonts w:ascii="Arial" w:cs="Arial" w:eastAsia="Arial" w:hAnsi="Arial"/>
          <w:sz w:val="19"/>
          <w:szCs w:val="19"/>
          <w:color w:val="auto"/>
        </w:rPr>
      </w:pPr>
      <w:r>
        <w:rPr>
          <w:rFonts w:ascii="Arial" w:cs="Arial" w:eastAsia="Arial" w:hAnsi="Arial"/>
          <w:sz w:val="19"/>
          <w:szCs w:val="19"/>
          <w:color w:val="auto"/>
        </w:rPr>
        <w:t>The actual number of Shares subject to Tranche 1 that are earned will be determined based on the</w:t>
      </w:r>
    </w:p>
    <w:p>
      <w:pPr>
        <w:spacing w:after="0" w:line="27"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0"/>
          <w:szCs w:val="20"/>
          <w:color w:val="auto"/>
        </w:rPr>
        <w:t>following:</w:t>
      </w:r>
    </w:p>
    <w:p>
      <w:pPr>
        <w:spacing w:after="0" w:line="9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[PERFORMANCE TARGETS]</w:t>
      </w:r>
    </w:p>
    <w:p>
      <w:pPr>
        <w:spacing w:after="0" w:line="162" w:lineRule="exact"/>
        <w:rPr>
          <w:sz w:val="20"/>
          <w:szCs w:val="20"/>
          <w:color w:val="auto"/>
        </w:rPr>
      </w:pPr>
    </w:p>
    <w:p>
      <w:pPr>
        <w:ind w:left="2440" w:hanging="487"/>
        <w:spacing w:after="0"/>
        <w:tabs>
          <w:tab w:leader="none" w:pos="244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[insert Tranche 2 vest year] [insert goal].</w:t>
      </w:r>
    </w:p>
    <w:p>
      <w:pPr>
        <w:spacing w:after="0" w:line="161" w:lineRule="exact"/>
        <w:rPr>
          <w:rFonts w:ascii="Arial" w:cs="Arial" w:eastAsia="Arial" w:hAnsi="Arial"/>
          <w:sz w:val="20"/>
          <w:szCs w:val="20"/>
          <w:color w:val="auto"/>
        </w:rPr>
      </w:pPr>
    </w:p>
    <w:p>
      <w:pPr>
        <w:ind w:left="3040" w:hanging="439"/>
        <w:spacing w:after="0"/>
        <w:tabs>
          <w:tab w:leader="none" w:pos="30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[insert Tranche 2 vest year] [insert goal].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10.26</w:t>
      </w:r>
    </w:p>
    <w:p>
      <w:pPr>
        <w:spacing w:after="0" w:line="250" w:lineRule="exact"/>
        <w:rPr>
          <w:sz w:val="20"/>
          <w:szCs w:val="20"/>
          <w:color w:val="auto"/>
        </w:rPr>
      </w:pPr>
    </w:p>
    <w:p>
      <w:pPr>
        <w:ind w:left="1960" w:right="140" w:firstLine="641"/>
        <w:spacing w:after="0" w:line="282" w:lineRule="auto"/>
        <w:tabs>
          <w:tab w:leader="none" w:pos="30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[insert Tranche 2 vest year] [insert goal] shall be determined by the Committee, in its sole discretion, no later than its regularly scheduled meeting in [insert date of first quarter meeting in the year prior to year in which Tranche 2 vests]. At such time as the Committee establishes the [insert Tranche 2 vest year] [insert goal], such goals shall be set forth in an addendum and be incorporated into this Agreement and form a part hereof.</w:t>
      </w:r>
    </w:p>
    <w:p>
      <w:pPr>
        <w:spacing w:after="0" w:line="53" w:lineRule="exact"/>
        <w:rPr>
          <w:rFonts w:ascii="Arial" w:cs="Arial" w:eastAsia="Arial" w:hAnsi="Arial"/>
          <w:sz w:val="18"/>
          <w:szCs w:val="18"/>
          <w:color w:val="auto"/>
        </w:rPr>
      </w:pPr>
    </w:p>
    <w:p>
      <w:pPr>
        <w:ind w:firstLine="1953"/>
        <w:spacing w:after="0" w:line="271" w:lineRule="auto"/>
        <w:tabs>
          <w:tab w:leader="none" w:pos="236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Except as provided in this Section 2(e), if Participant incurs a Termination of Employment, all unvested RSUs shall be forfeited by Participant without consideration therefor. If Participant incurs a Termination of Employment as a result of a termination by the Company or its Affiliate without Cause (as defined in Participant’s Amended and Restated Employment Agreement dated December 23, 2015, without regard to any earlier expiration of such agreement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xml:space="preserve">”)) or for Good Reason (as defined in the Employment Agreement), unvested RSUs shall remain outstanding and shall vest subject to achievement of the applicable [insert goal], as determined by the Committee in accordance with Sections 2(a)-(d). If Participant incurs a Termination of Employment due to the Participant’s death or Disability (as defined in the Employment Agreement), unvested RSUs shall vest immediately and be deemed to be earned and payable in an amount equal to 100% of the full value of the Target RSUs (with all applicable [insert goal] deemed achieved at Target Performance);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such a Termination of Employment occurs prior to the date on which the [insert Tranche 2 vest year] [insert goal] have been established, 100% of the Shares subject to Tranche 2 shall vest.</w:t>
      </w:r>
    </w:p>
    <w:p>
      <w:pPr>
        <w:spacing w:after="0" w:line="134" w:lineRule="exact"/>
        <w:rPr>
          <w:sz w:val="20"/>
          <w:szCs w:val="20"/>
          <w:color w:val="auto"/>
        </w:rPr>
      </w:pPr>
    </w:p>
    <w:p>
      <w:pPr>
        <w:ind w:left="660" w:right="20" w:firstLine="1293"/>
        <w:spacing w:after="0" w:line="290" w:lineRule="auto"/>
        <w:tabs>
          <w:tab w:leader="none" w:pos="2753"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As soon as practicable after the date that the Committee determines the number of Shares subject to Tranche 1 or Tranche 2 that have been earned (and in any event, no later than fifteen business days immediately following such date), the Tranche 1 and Tranche 2 RSUs shall be settled. Subject to Section 4 (pertaining to the withholding of taxes) and Section 3(d) of the Plan (as applicable), for each earned RSU settled pursuant to this Section 3, the Company shall issue to Participant the number of Shares the Committee determines, in its sole discretion, are issuable pursuant to Section 2.</w:t>
      </w:r>
    </w:p>
    <w:p>
      <w:pPr>
        <w:spacing w:after="0" w:line="200" w:lineRule="exact"/>
        <w:rPr>
          <w:rFonts w:ascii="Arial" w:cs="Arial" w:eastAsia="Arial" w:hAnsi="Arial"/>
          <w:sz w:val="19"/>
          <w:szCs w:val="19"/>
          <w:color w:val="auto"/>
        </w:rPr>
      </w:pPr>
    </w:p>
    <w:p>
      <w:pPr>
        <w:spacing w:after="0" w:line="316" w:lineRule="exact"/>
        <w:rPr>
          <w:rFonts w:ascii="Arial" w:cs="Arial" w:eastAsia="Arial" w:hAnsi="Arial"/>
          <w:sz w:val="19"/>
          <w:szCs w:val="19"/>
          <w:color w:val="auto"/>
        </w:rPr>
      </w:pPr>
    </w:p>
    <w:p>
      <w:pPr>
        <w:ind w:left="660" w:right="40" w:firstLine="1293"/>
        <w:spacing w:after="0" w:line="285" w:lineRule="auto"/>
        <w:tabs>
          <w:tab w:leader="none" w:pos="2753"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As a condition to delivery of the Shares in respect of vested and earned RSUs, Section 15(d) of the Plan requires Participant to make provisions satisfactory to the Company for payment of, any federal, state or local taxes and other statutory obligations (including, but not limited to, Participant’s FICA and SDI obligations) in respect of the transfer of Shares in settlement of the RSUs. The Company shall have the power and the right to (i) deduct or withhold from all amounts payable or Shares issuable to Participant pursuant to the RSUs or otherwise, or (ii) require Participant to remit to the Company, an amount sufficient to satisfy any applicable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The Company may permit or require any such statutorily required minimum withholding obligation with regard to Participant to be satisfied by reducing the amount of Shares otherwise deliverable to Participant hereunder.</w:t>
      </w:r>
    </w:p>
    <w:p>
      <w:pPr>
        <w:spacing w:after="0" w:line="130" w:lineRule="exact"/>
        <w:rPr>
          <w:rFonts w:ascii="Arial" w:cs="Arial" w:eastAsia="Arial" w:hAnsi="Arial"/>
          <w:sz w:val="19"/>
          <w:szCs w:val="19"/>
          <w:color w:val="auto"/>
        </w:rPr>
      </w:pPr>
    </w:p>
    <w:p>
      <w:pPr>
        <w:jc w:val="both"/>
        <w:ind w:right="580" w:firstLine="1305"/>
        <w:spacing w:after="0" w:line="278" w:lineRule="auto"/>
        <w:tabs>
          <w:tab w:leader="none" w:pos="2093"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132" w:lineRule="exact"/>
        <w:rPr>
          <w:rFonts w:ascii="Arial" w:cs="Arial" w:eastAsia="Arial" w:hAnsi="Arial"/>
          <w:sz w:val="20"/>
          <w:szCs w:val="20"/>
          <w:color w:val="auto"/>
        </w:rPr>
      </w:pPr>
    </w:p>
    <w:p>
      <w:pPr>
        <w:ind w:right="80" w:firstLine="1305"/>
        <w:spacing w:after="0" w:line="363" w:lineRule="auto"/>
        <w:tabs>
          <w:tab w:leader="none" w:pos="209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designation of a beneficiary shall not constitute an assignment, alienation, pledge, attachment, sale, transfer or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10.26</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encumbrance.</w:t>
      </w:r>
    </w:p>
    <w:p>
      <w:pPr>
        <w:spacing w:after="0" w:line="189" w:lineRule="exact"/>
        <w:rPr>
          <w:sz w:val="20"/>
          <w:szCs w:val="20"/>
          <w:color w:val="auto"/>
        </w:rPr>
      </w:pPr>
    </w:p>
    <w:p>
      <w:pPr>
        <w:ind w:right="400" w:firstLine="1305"/>
        <w:spacing w:after="0" w:line="289" w:lineRule="auto"/>
        <w:tabs>
          <w:tab w:leader="none" w:pos="2093"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3(d) of the Plan occurring after the Grant Date, the adjustment provisions as provided for under Section 3(d) of the Plan shall apply to the RSUs.</w:t>
      </w:r>
    </w:p>
    <w:p>
      <w:pPr>
        <w:spacing w:after="0" w:line="121" w:lineRule="exact"/>
        <w:rPr>
          <w:rFonts w:ascii="Arial" w:cs="Arial" w:eastAsia="Arial" w:hAnsi="Arial"/>
          <w:sz w:val="20"/>
          <w:szCs w:val="20"/>
          <w:color w:val="auto"/>
        </w:rPr>
      </w:pPr>
    </w:p>
    <w:p>
      <w:pPr>
        <w:ind w:right="20" w:firstLine="1305"/>
        <w:spacing w:after="0" w:line="301" w:lineRule="auto"/>
        <w:tabs>
          <w:tab w:leader="none" w:pos="209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of the Company occurring after the Grant Date and prior to the Determination Date, the RSUs shall vest immediately prior to the Change in Control and be deemed to be earned and payable in an amount equal to the full value of the RSUs (with all applicable [insert goal] deemed achieved at the greater of (i) target performance and (ii) the level of achievement of [insert goal] for each of Tranche 1 and Tranche 2 as determined by the Committee not later than the date of the Change in Control, based upon such audited or unaudited financial information or other inputs then available as deemed relevant or appropriate in the discretion of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a Change in Control occurs prior to the date on which the 2019 [insert goal] have been established, 100% of the Shares subject to Tranche 2 shall vest. Any RSUs that vest in connection with this Section 8 shall be settled in a manner consistent with Section 3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to the contrary in this Agreement, with respect to any RSU that constitutes “nonqualified deferred compensation” within the meaning of Section 409A of the Code, the settlement of each such RSU pursuant to this Section 8 shall not occur until the earliest of (a)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 and (B) the date such RSU would otherwise be settled pursuant to the terms of this Agreement.</w:t>
      </w:r>
    </w:p>
    <w:p>
      <w:pPr>
        <w:spacing w:after="0" w:line="123" w:lineRule="exact"/>
        <w:rPr>
          <w:rFonts w:ascii="Arial" w:cs="Arial" w:eastAsia="Arial" w:hAnsi="Arial"/>
          <w:sz w:val="18"/>
          <w:szCs w:val="18"/>
          <w:color w:val="auto"/>
        </w:rPr>
      </w:pPr>
    </w:p>
    <w:p>
      <w:pPr>
        <w:ind w:left="2100" w:hanging="795"/>
        <w:spacing w:after="0"/>
        <w:tabs>
          <w:tab w:leader="none" w:pos="210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40" w:firstLine="1953"/>
        <w:spacing w:after="0" w:line="274" w:lineRule="auto"/>
        <w:tabs>
          <w:tab w:leader="none" w:pos="2813"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38" w:lineRule="exact"/>
        <w:rPr>
          <w:rFonts w:ascii="Arial" w:cs="Arial" w:eastAsia="Arial" w:hAnsi="Arial"/>
          <w:sz w:val="20"/>
          <w:szCs w:val="20"/>
          <w:color w:val="auto"/>
        </w:rPr>
      </w:pPr>
    </w:p>
    <w:p>
      <w:pPr>
        <w:ind w:right="60" w:firstLine="1953"/>
        <w:spacing w:after="0" w:line="307" w:lineRule="auto"/>
        <w:tabs>
          <w:tab w:leader="none" w:pos="2824"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The Committee may waive any conditions or rights under, or amend any terms of, this Agreement and the RSUs granted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13" w:lineRule="exact"/>
        <w:rPr>
          <w:rFonts w:ascii="Arial" w:cs="Arial" w:eastAsia="Arial" w:hAnsi="Arial"/>
          <w:sz w:val="18"/>
          <w:szCs w:val="18"/>
          <w:color w:val="auto"/>
        </w:rPr>
      </w:pPr>
    </w:p>
    <w:p>
      <w:pPr>
        <w:ind w:right="20" w:firstLine="1953"/>
        <w:spacing w:after="0" w:line="274" w:lineRule="auto"/>
        <w:tabs>
          <w:tab w:leader="none" w:pos="2813"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Unsecured Obligation</w:t>
      </w:r>
      <w:r>
        <w:rPr>
          <w:rFonts w:ascii="Arial" w:cs="Arial" w:eastAsia="Arial" w:hAnsi="Arial"/>
          <w:sz w:val="20"/>
          <w:szCs w:val="20"/>
          <w:color w:val="auto"/>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138" w:lineRule="exact"/>
        <w:rPr>
          <w:rFonts w:ascii="Arial" w:cs="Arial" w:eastAsia="Arial" w:hAnsi="Arial"/>
          <w:sz w:val="20"/>
          <w:szCs w:val="20"/>
          <w:color w:val="auto"/>
        </w:rPr>
      </w:pPr>
    </w:p>
    <w:p>
      <w:pPr>
        <w:ind w:right="40" w:firstLine="1953"/>
        <w:spacing w:after="0" w:line="347" w:lineRule="auto"/>
        <w:tabs>
          <w:tab w:leader="none" w:pos="2824"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ind w:left="1960"/>
        <w:spacing w:after="0" w:line="204" w:lineRule="auto"/>
        <w:rPr>
          <w:sz w:val="20"/>
          <w:szCs w:val="20"/>
          <w:color w:val="auto"/>
        </w:rPr>
      </w:pPr>
      <w:r>
        <w:rPr>
          <w:rFonts w:ascii="Arial" w:cs="Arial" w:eastAsia="Arial" w:hAnsi="Arial"/>
          <w:sz w:val="20"/>
          <w:szCs w:val="20"/>
          <w:color w:val="auto"/>
        </w:rPr>
        <w:t>2100 Powell Street, 12</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10.26</w:t>
      </w:r>
    </w:p>
    <w:p>
      <w:pPr>
        <w:spacing w:after="0" w:line="25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0" w:lineRule="exact"/>
        <w:rPr>
          <w:sz w:val="20"/>
          <w:szCs w:val="20"/>
          <w:color w:val="auto"/>
        </w:rPr>
      </w:pPr>
    </w:p>
    <w:p>
      <w:pPr>
        <w:ind w:left="660" w:right="200" w:firstLine="1293"/>
        <w:spacing w:after="0" w:line="278" w:lineRule="auto"/>
        <w:tabs>
          <w:tab w:leader="none" w:pos="2825"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2" w:lineRule="exact"/>
        <w:rPr>
          <w:rFonts w:ascii="Arial" w:cs="Arial" w:eastAsia="Arial" w:hAnsi="Arial"/>
          <w:sz w:val="20"/>
          <w:szCs w:val="20"/>
          <w:color w:val="auto"/>
        </w:rPr>
      </w:pPr>
    </w:p>
    <w:p>
      <w:pPr>
        <w:ind w:right="20" w:firstLine="1953"/>
        <w:spacing w:after="0" w:line="274" w:lineRule="auto"/>
        <w:tabs>
          <w:tab w:leader="none" w:pos="2791"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38" w:lineRule="exact"/>
        <w:rPr>
          <w:rFonts w:ascii="Arial" w:cs="Arial" w:eastAsia="Arial" w:hAnsi="Arial"/>
          <w:sz w:val="20"/>
          <w:szCs w:val="20"/>
          <w:color w:val="auto"/>
        </w:rPr>
      </w:pPr>
    </w:p>
    <w:p>
      <w:pPr>
        <w:ind w:right="60" w:firstLine="1953"/>
        <w:spacing w:after="0" w:line="272" w:lineRule="auto"/>
        <w:tabs>
          <w:tab w:leader="none" w:pos="2824"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37" w:lineRule="exact"/>
        <w:rPr>
          <w:rFonts w:ascii="Arial" w:cs="Arial" w:eastAsia="Arial" w:hAnsi="Arial"/>
          <w:sz w:val="20"/>
          <w:szCs w:val="20"/>
          <w:color w:val="auto"/>
        </w:rPr>
      </w:pPr>
    </w:p>
    <w:p>
      <w:pPr>
        <w:ind w:right="100" w:firstLine="1953"/>
        <w:spacing w:after="0" w:line="347" w:lineRule="auto"/>
        <w:tabs>
          <w:tab w:leader="none" w:pos="282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76" w:lineRule="exact"/>
        <w:rPr>
          <w:rFonts w:ascii="Arial" w:cs="Arial" w:eastAsia="Arial" w:hAnsi="Arial"/>
          <w:sz w:val="18"/>
          <w:szCs w:val="18"/>
          <w:color w:val="auto"/>
        </w:rPr>
      </w:pPr>
    </w:p>
    <w:p>
      <w:pPr>
        <w:ind w:right="60" w:firstLine="1953"/>
        <w:spacing w:after="0" w:line="278" w:lineRule="auto"/>
        <w:tabs>
          <w:tab w:leader="none" w:pos="2780"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32" w:lineRule="exact"/>
        <w:rPr>
          <w:rFonts w:ascii="Arial" w:cs="Arial" w:eastAsia="Arial" w:hAnsi="Arial"/>
          <w:sz w:val="20"/>
          <w:szCs w:val="20"/>
          <w:color w:val="auto"/>
        </w:rPr>
      </w:pPr>
    </w:p>
    <w:p>
      <w:pPr>
        <w:ind w:right="120" w:firstLine="1953"/>
        <w:spacing w:after="0" w:line="316" w:lineRule="auto"/>
        <w:tabs>
          <w:tab w:leader="none" w:pos="2780"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Bound by the Plan</w:t>
      </w:r>
      <w:r>
        <w:rPr>
          <w:rFonts w:ascii="Arial" w:cs="Arial" w:eastAsia="Arial" w:hAnsi="Arial"/>
          <w:sz w:val="19"/>
          <w:szCs w:val="19"/>
          <w:color w:val="auto"/>
        </w:rPr>
        <w:t>. By signing this Agreement, Participant acknowledges that he has received a copy of the Plan and has had an opportunity to review the Plan and agrees to be bound by all the terms and provisions of the Plan.</w:t>
      </w:r>
    </w:p>
    <w:p>
      <w:pPr>
        <w:spacing w:after="0" w:line="99" w:lineRule="exact"/>
        <w:rPr>
          <w:rFonts w:ascii="Arial" w:cs="Arial" w:eastAsia="Arial" w:hAnsi="Arial"/>
          <w:sz w:val="19"/>
          <w:szCs w:val="19"/>
          <w:color w:val="auto"/>
        </w:rPr>
      </w:pPr>
    </w:p>
    <w:p>
      <w:pPr>
        <w:ind w:right="200" w:firstLine="1953"/>
        <w:spacing w:after="0" w:line="274" w:lineRule="auto"/>
        <w:tabs>
          <w:tab w:leader="none" w:pos="2824"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138" w:lineRule="exact"/>
        <w:rPr>
          <w:rFonts w:ascii="Arial" w:cs="Arial" w:eastAsia="Arial" w:hAnsi="Arial"/>
          <w:sz w:val="20"/>
          <w:szCs w:val="20"/>
          <w:color w:val="auto"/>
        </w:rPr>
      </w:pPr>
    </w:p>
    <w:p>
      <w:pPr>
        <w:ind w:right="160" w:firstLine="1953"/>
        <w:spacing w:after="0" w:line="278" w:lineRule="auto"/>
        <w:tabs>
          <w:tab w:leader="none" w:pos="2780"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32" w:lineRule="exact"/>
        <w:rPr>
          <w:rFonts w:ascii="Arial" w:cs="Arial" w:eastAsia="Arial" w:hAnsi="Arial"/>
          <w:sz w:val="20"/>
          <w:szCs w:val="20"/>
          <w:color w:val="auto"/>
        </w:rPr>
      </w:pPr>
    </w:p>
    <w:p>
      <w:pPr>
        <w:ind w:right="120" w:firstLine="1953"/>
        <w:spacing w:after="0" w:line="289" w:lineRule="auto"/>
        <w:tabs>
          <w:tab w:leader="none" w:pos="2879"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21" w:lineRule="exact"/>
        <w:rPr>
          <w:rFonts w:ascii="Arial" w:cs="Arial" w:eastAsia="Arial" w:hAnsi="Arial"/>
          <w:sz w:val="20"/>
          <w:szCs w:val="20"/>
          <w:color w:val="auto"/>
        </w:rPr>
      </w:pPr>
    </w:p>
    <w:p>
      <w:pPr>
        <w:ind w:right="640" w:firstLine="1953"/>
        <w:spacing w:after="0" w:line="289" w:lineRule="auto"/>
        <w:tabs>
          <w:tab w:leader="none" w:pos="2824"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121" w:lineRule="exact"/>
        <w:rPr>
          <w:rFonts w:ascii="Arial" w:cs="Arial" w:eastAsia="Arial" w:hAnsi="Arial"/>
          <w:sz w:val="20"/>
          <w:szCs w:val="20"/>
          <w:color w:val="auto"/>
        </w:rPr>
      </w:pPr>
    </w:p>
    <w:p>
      <w:pPr>
        <w:ind w:right="80" w:firstLine="1305"/>
        <w:spacing w:after="0" w:line="274" w:lineRule="auto"/>
        <w:tabs>
          <w:tab w:leader="none" w:pos="219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The grant of the RSUs and the delivery of Shares in respect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35" w:name="page136"/>
    <w:bookmarkEnd w:id="135"/>
    <w:p>
      <w:pPr>
        <w:ind w:left="10260"/>
        <w:spacing w:after="0"/>
        <w:rPr>
          <w:sz w:val="20"/>
          <w:szCs w:val="20"/>
          <w:color w:val="auto"/>
        </w:rPr>
      </w:pPr>
      <w:r>
        <w:rPr>
          <w:rFonts w:ascii="Arial" w:cs="Arial" w:eastAsia="Arial" w:hAnsi="Arial"/>
          <w:sz w:val="17"/>
          <w:szCs w:val="17"/>
          <w:color w:val="auto"/>
        </w:rPr>
        <w:t>EXHIBIT 10.26</w:t>
      </w:r>
    </w:p>
    <w:p>
      <w:pPr>
        <w:spacing w:after="0" w:line="275"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33" w:lineRule="exact"/>
        <w:rPr>
          <w:sz w:val="20"/>
          <w:szCs w:val="20"/>
          <w:color w:val="auto"/>
        </w:rPr>
      </w:pPr>
    </w:p>
    <w:p>
      <w:pPr>
        <w:ind w:left="2200" w:hanging="895"/>
        <w:spacing w:after="0"/>
        <w:tabs>
          <w:tab w:leader="none" w:pos="22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The grant of RSUs is subject to any incentive compensation recoupment policy established from time to</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 by the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 page to follow]</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10.26</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Restricted Stock Unit Award Agreement (CEO)]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333-192540 and No. 333-198835) of NMI Holdings, Inc. of our report dated February 17, 2017, relating to the consolidated financial statements and financial statement schedules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ectPr>
          <w:pgSz w:w="11900" w:h="16838" w:orient="portrait"/>
          <w:cols w:equalWidth="0" w:num="1">
            <w:col w:w="11420"/>
          </w:cols>
          <w:pgMar w:left="240" w:top="125" w:right="239" w:bottom="1440" w:gutter="0" w:footer="0" w:header="0"/>
        </w:sectPr>
      </w:pPr>
    </w:p>
    <w:bookmarkStart w:id="138" w:name="page139"/>
    <w:bookmarkEnd w:id="138"/>
    <w:p>
      <w:pPr>
        <w:ind w:left="10340"/>
        <w:spacing w:after="0"/>
        <w:rPr>
          <w:sz w:val="20"/>
          <w:szCs w:val="20"/>
          <w:color w:val="auto"/>
        </w:rPr>
      </w:pPr>
      <w:r>
        <w:rPr>
          <w:rFonts w:ascii="Arial" w:cs="Arial" w:eastAsia="Arial" w:hAnsi="Arial"/>
          <w:sz w:val="17"/>
          <w:szCs w:val="17"/>
          <w:color w:val="auto"/>
        </w:rPr>
        <w:t>EXHIBIT 31.1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17, 2017</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9" w:name="page140"/>
    <w:bookmarkEnd w:id="139"/>
    <w:p>
      <w:pPr>
        <w:ind w:left="10340"/>
        <w:spacing w:after="0"/>
        <w:rPr>
          <w:sz w:val="20"/>
          <w:szCs w:val="20"/>
          <w:color w:val="auto"/>
        </w:rPr>
      </w:pPr>
      <w:r>
        <w:rPr>
          <w:rFonts w:ascii="Arial" w:cs="Arial" w:eastAsia="Arial" w:hAnsi="Arial"/>
          <w:sz w:val="17"/>
          <w:szCs w:val="17"/>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25"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17, 2017</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2016,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17, 2017</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17, 2017</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x"/>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lowerLetter"/>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lowerRoman"/>
      <w:start w:val="2"/>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2"/>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6"/>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lowerRoman"/>
      <w:start w:val="1"/>
    </w:lvl>
    <w:lvl w:ilvl="1">
      <w:lvlJc w:val="left"/>
      <w:lvlText w:val="(%2)"/>
      <w:numFmt w:val="lowerRoman"/>
      <w:start w:val="3"/>
    </w:lvl>
  </w:abstractNum>
  <w:abstractNum w:abstractNumId="52">
    <w:nsid w:val="1F48EAA1"/>
    <w:multiLevelType w:val="hybridMultilevel"/>
    <w:lvl w:ilvl="0">
      <w:lvlJc w:val="left"/>
      <w:lvlText w:val="(%1)"/>
      <w:numFmt w:val="lowerRoman"/>
      <w:start w:val="4"/>
    </w:lvl>
    <w:lvl w:ilvl="1">
      <w:lvlJc w:val="left"/>
      <w:lvlText w:val="%2"/>
      <w:numFmt w:val="lowerRoman"/>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decimal"/>
      <w:start w:val="1"/>
    </w:lvl>
    <w:lvl w:ilvl="1">
      <w:lvlJc w:val="left"/>
      <w:lvlText w:val="(%2)"/>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7">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5F5E7FD0"/>
    <w:multiLevelType w:val="hybridMultilevel"/>
    <w:lvl w:ilvl="0">
      <w:lvlJc w:val="left"/>
      <w:lvlText w:val="%1."/>
      <w:numFmt w:val="decimal"/>
      <w:start w:val="7"/>
    </w:lvl>
    <w:lvl w:ilvl="1">
      <w:lvlJc w:val="left"/>
      <w:lvlText w:val="(%2)"/>
      <w:numFmt w:val="lowerLetter"/>
      <w:start w:val="1"/>
    </w:lvl>
  </w:abstractNum>
  <w:abstractNum w:abstractNumId="59">
    <w:nsid w:val="98A3148"/>
    <w:multiLevelType w:val="hybridMultilevel"/>
    <w:lvl w:ilvl="0">
      <w:lvlJc w:val="left"/>
      <w:lvlText w:val="(%1)"/>
      <w:numFmt w:val="lowerLetter"/>
      <w:start w:val="4"/>
    </w:lvl>
  </w:abstractNum>
  <w:abstractNum w:abstractNumId="60">
    <w:nsid w:val="799D0247"/>
    <w:multiLevelType w:val="hybridMultilevel"/>
    <w:lvl w:ilvl="0">
      <w:lvlJc w:val="left"/>
      <w:lvlText w:val="%1."/>
      <w:numFmt w:val="decimal"/>
      <w:start w:val="1"/>
    </w:lvl>
    <w:lvl w:ilvl="1">
      <w:lvlJc w:val="left"/>
      <w:lvlText w:val="(%2)"/>
      <w:numFmt w:val="lowerLetter"/>
      <w:start w:val="1"/>
    </w:lvl>
  </w:abstractNum>
  <w:abstractNum w:abstractNumId="61">
    <w:nsid w:val="6B947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2">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
    <w:nsid w:val="168E121F"/>
    <w:multiLevelType w:val="hybridMultilevel"/>
    <w:lvl w:ilvl="0">
      <w:lvlJc w:val="left"/>
      <w:lvlText w:val="%1."/>
      <w:numFmt w:val="decimal"/>
      <w:start w:val="7"/>
    </w:lvl>
    <w:lvl w:ilvl="1">
      <w:lvlJc w:val="left"/>
      <w:lvlText w:val="(%2)"/>
      <w:numFmt w:val="lowerLetter"/>
      <w:start w:val="1"/>
    </w:lvl>
  </w:abstractNum>
  <w:abstractNum w:abstractNumId="64">
    <w:nsid w:val="1EBA5D23"/>
    <w:multiLevelType w:val="hybridMultilevel"/>
    <w:lvl w:ilvl="0">
      <w:lvlJc w:val="left"/>
      <w:lvlText w:val="(%1)"/>
      <w:numFmt w:val="lowerLetter"/>
      <w:start w:val="4"/>
    </w:lvl>
  </w:abstractNum>
  <w:abstractNum w:abstractNumId="65">
    <w:nsid w:val="661E3F1E"/>
    <w:multiLevelType w:val="hybridMultilevel"/>
    <w:lvl w:ilvl="0">
      <w:lvlJc w:val="left"/>
      <w:lvlText w:val="(%1)"/>
      <w:numFmt w:val="lowerLetter"/>
      <w:start w:val="5"/>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7BD3EE7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9">
    <w:nsid w:val="51D9C564"/>
    <w:multiLevelType w:val="hybridMultilevel"/>
    <w:lvl w:ilvl="0">
      <w:lvlJc w:val="left"/>
      <w:lvlText w:val="(%1)"/>
      <w:numFmt w:val="lowerLetter"/>
      <w:start w:val="4"/>
    </w:lvl>
    <w:lvl w:ilvl="1">
      <w:lvlJc w:val="left"/>
      <w:lvlText w:val="(%2)"/>
      <w:numFmt w:val="lowerLetter"/>
      <w:start w:val="9"/>
    </w:lvl>
  </w:abstractNum>
  <w:abstractNum w:abstractNumId="70">
    <w:nsid w:val="613EFDC5"/>
    <w:multiLevelType w:val="hybridMultilevel"/>
    <w:lvl w:ilvl="0">
      <w:lvlJc w:val="left"/>
      <w:lvlText w:val="%1"/>
      <w:numFmt w:val="lowerLetter"/>
      <w:start w:val="1"/>
    </w:lvl>
    <w:lvl w:ilvl="1">
      <w:lvlJc w:val="left"/>
      <w:lvlText w:val="(%2)"/>
      <w:numFmt w:val="lowerLetter"/>
      <w:start w:val="35"/>
    </w:lvl>
  </w:abstractNum>
  <w:abstractNum w:abstractNumId="71">
    <w:nsid w:val="BF72B14"/>
    <w:multiLevelType w:val="hybridMultilevel"/>
    <w:lvl w:ilvl="0">
      <w:lvlJc w:val="left"/>
      <w:lvlText w:val="(%1)"/>
      <w:numFmt w:val="lowerLetter"/>
      <w:start w:val="5"/>
    </w:lvl>
    <w:lvl w:ilvl="1">
      <w:lvlJc w:val="left"/>
      <w:lvlText w:val="%2"/>
      <w:numFmt w:val="lowerLetter"/>
      <w:start w:val="1"/>
    </w:lvl>
  </w:abstractNum>
  <w:abstractNum w:abstractNumId="72">
    <w:nsid w:val="11447B73"/>
    <w:multiLevelType w:val="hybridMultilevel"/>
    <w:lvl w:ilvl="0">
      <w:lvlJc w:val="left"/>
      <w:lvlText w:val="%1"/>
      <w:numFmt w:val="decimal"/>
      <w:start w:val="1"/>
    </w:lvl>
    <w:lvl w:ilvl="1">
      <w:lvlJc w:val="left"/>
      <w:lvlText w:val="%2."/>
      <w:numFmt w:val="decimal"/>
      <w:start w:val="3"/>
    </w:lvl>
  </w:abstractNum>
  <w:abstractNum w:abstractNumId="73">
    <w:nsid w:val="42963E5A"/>
    <w:multiLevelType w:val="hybridMultilevel"/>
    <w:lvl w:ilvl="0">
      <w:lvlJc w:val="left"/>
      <w:lvlText w:val="%1."/>
      <w:numFmt w:val="decimal"/>
      <w:start w:val="5"/>
    </w:lvl>
    <w:lvl w:ilvl="1">
      <w:lvlJc w:val="left"/>
      <w:lvlText w:val="%2"/>
      <w:numFmt w:val="decimal"/>
      <w:start w:val="1"/>
    </w:lvl>
  </w:abstractNum>
  <w:abstractNum w:abstractNumId="74">
    <w:nsid w:val="A0382C5"/>
    <w:multiLevelType w:val="hybridMultilevel"/>
    <w:lvl w:ilvl="0">
      <w:lvlJc w:val="left"/>
      <w:lvlText w:val="%1."/>
      <w:numFmt w:val="decimal"/>
      <w:start w:val="7"/>
    </w:lvl>
    <w:lvl w:ilvl="1">
      <w:lvlJc w:val="left"/>
      <w:lvlText w:val="(%2)"/>
      <w:numFmt w:val="lowerLetter"/>
      <w:start w:val="1"/>
    </w:lvl>
  </w:abstractNum>
  <w:abstractNum w:abstractNumId="75">
    <w:nsid w:val="8F2B15E"/>
    <w:multiLevelType w:val="hybridMultilevel"/>
    <w:lvl w:ilvl="0">
      <w:lvlJc w:val="left"/>
      <w:lvlText w:val="%1"/>
      <w:numFmt w:val="decimal"/>
      <w:start w:val="1"/>
    </w:lvl>
    <w:lvl w:ilvl="1">
      <w:lvlJc w:val="left"/>
      <w:lvlText w:val="(%2)"/>
      <w:numFmt w:val="lowerLetter"/>
      <w:start w:val="5"/>
    </w:lvl>
  </w:abstractNum>
  <w:abstractNum w:abstractNumId="76">
    <w:nsid w:val="1A32234B"/>
    <w:multiLevelType w:val="hybridMultilevel"/>
    <w:lvl w:ilvl="0">
      <w:lvlJc w:val="left"/>
      <w:lvlText w:val="%1."/>
      <w:numFmt w:val="decimal"/>
      <w:start w:val="10"/>
    </w:lvl>
    <w:lvl w:ilvl="1">
      <w:lvlJc w:val="left"/>
      <w:lvlText w:val="%2"/>
      <w:numFmt w:val="lowerLetter"/>
      <w:start w:val="1"/>
    </w:lvl>
  </w:abstractNum>
  <w:abstractNum w:abstractNumId="77">
    <w:nsid w:val="3B0FD379"/>
    <w:multiLevelType w:val="hybridMultilevel"/>
    <w:lvl w:ilvl="0">
      <w:lvlJc w:val="left"/>
      <w:lvlText w:val="%1."/>
      <w:numFmt w:val="decimal"/>
      <w:start w:val="1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2019-12-29T09:21:58Z</dcterms:created>
  <dcterms:modified xsi:type="dcterms:W3CDTF">2019-12-29T09:21:58Z</dcterms:modified>
</cp:coreProperties>
</file>