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41" w:lineRule="exact"/>
        <w:rPr>
          <w:sz w:val="24"/>
          <w:szCs w:val="24"/>
          <w:color w:val="auto"/>
        </w:rPr>
      </w:pPr>
    </w:p>
    <w:p>
      <w:pPr>
        <w:ind w:left="660" w:hanging="40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7" w:lineRule="exact"/>
        <w:rPr>
          <w:sz w:val="24"/>
          <w:szCs w:val="24"/>
          <w:color w:val="auto"/>
        </w:rPr>
      </w:pPr>
    </w:p>
    <w:p>
      <w:pPr>
        <w:ind w:left="660"/>
        <w:spacing w:after="0"/>
        <w:tabs>
          <w:tab w:leader="none" w:pos="594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6"/>
          <w:szCs w:val="16"/>
          <w:b w:val="1"/>
          <w:bCs w:val="1"/>
          <w:color w:val="auto"/>
        </w:rPr>
        <w:t>June 30, 2024</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54" w:lineRule="exact"/>
        <w:rPr>
          <w:sz w:val="24"/>
          <w:szCs w:val="24"/>
          <w:color w:val="auto"/>
        </w:rPr>
      </w:pPr>
    </w:p>
    <w:p>
      <w:pPr>
        <w:ind w:left="640" w:right="2120" w:hanging="404"/>
        <w:spacing w:after="0" w:line="285" w:lineRule="auto"/>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320" w:type="dxa"/>
            <w:vAlign w:val="bottom"/>
            <w:gridSpan w:val="2"/>
          </w:tcPr>
          <w:p>
            <w:pPr>
              <w:jc w:val="center"/>
              <w:ind w:left="37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380" w:type="dxa"/>
            <w:vAlign w:val="bottom"/>
          </w:tcPr>
          <w:p>
            <w:pPr>
              <w:spacing w:after="0"/>
              <w:rPr>
                <w:sz w:val="19"/>
                <w:szCs w:val="19"/>
                <w:color w:val="auto"/>
              </w:rPr>
            </w:pPr>
          </w:p>
        </w:tc>
        <w:tc>
          <w:tcPr>
            <w:tcW w:w="4560" w:type="dxa"/>
            <w:vAlign w:val="bottom"/>
            <w:gridSpan w:val="2"/>
          </w:tcPr>
          <w:p>
            <w:pPr>
              <w:jc w:val="right"/>
              <w:ind w:right="2638"/>
              <w:spacing w:after="0"/>
              <w:rPr>
                <w:sz w:val="20"/>
                <w:szCs w:val="20"/>
                <w:color w:val="auto"/>
              </w:rPr>
            </w:pPr>
            <w:r>
              <w:rPr>
                <w:rFonts w:ascii="Times New Roman" w:cs="Times New Roman" w:eastAsia="Times New Roman" w:hAnsi="Times New Roman"/>
                <w:sz w:val="18"/>
                <w:szCs w:val="18"/>
                <w:b w:val="1"/>
                <w:bCs w:val="1"/>
                <w:color w:val="auto"/>
              </w:rPr>
              <w:t>45-4914248</w:t>
            </w:r>
          </w:p>
        </w:tc>
      </w:tr>
      <w:tr>
        <w:trPr>
          <w:trHeight w:val="185"/>
        </w:trPr>
        <w:tc>
          <w:tcPr>
            <w:tcW w:w="4320" w:type="dxa"/>
            <w:vAlign w:val="bottom"/>
            <w:gridSpan w:val="2"/>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380" w:type="dxa"/>
            <w:vAlign w:val="bottom"/>
          </w:tcPr>
          <w:p>
            <w:pPr>
              <w:spacing w:after="0"/>
              <w:rPr>
                <w:sz w:val="16"/>
                <w:szCs w:val="16"/>
                <w:color w:val="auto"/>
              </w:rPr>
            </w:pPr>
          </w:p>
        </w:tc>
        <w:tc>
          <w:tcPr>
            <w:tcW w:w="4560" w:type="dxa"/>
            <w:vAlign w:val="bottom"/>
            <w:gridSpan w:val="2"/>
          </w:tcPr>
          <w:p>
            <w:pPr>
              <w:jc w:val="center"/>
              <w:ind w:right="1658"/>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r>
      <w:tr>
        <w:trPr>
          <w:trHeight w:val="342"/>
        </w:trPr>
        <w:tc>
          <w:tcPr>
            <w:tcW w:w="25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2100 Powell Street</w:t>
            </w:r>
          </w:p>
        </w:tc>
        <w:tc>
          <w:tcPr>
            <w:tcW w:w="1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Emeryville , CA</w:t>
            </w:r>
          </w:p>
        </w:tc>
        <w:tc>
          <w:tcPr>
            <w:tcW w:w="2380" w:type="dxa"/>
            <w:vAlign w:val="bottom"/>
          </w:tcPr>
          <w:p>
            <w:pPr>
              <w:spacing w:after="0"/>
              <w:rPr>
                <w:sz w:val="24"/>
                <w:szCs w:val="24"/>
                <w:color w:val="auto"/>
              </w:rPr>
            </w:pPr>
          </w:p>
        </w:tc>
        <w:tc>
          <w:tcPr>
            <w:tcW w:w="4560" w:type="dxa"/>
            <w:vAlign w:val="bottom"/>
            <w:gridSpan w:val="2"/>
          </w:tcPr>
          <w:p>
            <w:pPr>
              <w:jc w:val="right"/>
              <w:ind w:right="2838"/>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85"/>
        </w:trPr>
        <w:tc>
          <w:tcPr>
            <w:tcW w:w="4320" w:type="dxa"/>
            <w:vAlign w:val="bottom"/>
            <w:gridSpan w:val="2"/>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tcPr>
          <w:p>
            <w:pPr>
              <w:jc w:val="center"/>
              <w:ind w:right="209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40"/>
        </w:trPr>
        <w:tc>
          <w:tcPr>
            <w:tcW w:w="2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8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(855) 530-6642</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5"/>
        </w:trPr>
        <w:tc>
          <w:tcPr>
            <w:tcW w:w="2500" w:type="dxa"/>
            <w:vAlign w:val="bottom"/>
          </w:tcPr>
          <w:p>
            <w:pPr>
              <w:spacing w:after="0"/>
              <w:rPr>
                <w:sz w:val="16"/>
                <w:szCs w:val="16"/>
                <w:color w:val="auto"/>
              </w:rPr>
            </w:pPr>
          </w:p>
        </w:tc>
        <w:tc>
          <w:tcPr>
            <w:tcW w:w="8760" w:type="dxa"/>
            <w:vAlign w:val="bottom"/>
            <w:gridSpan w:val="4"/>
          </w:tcPr>
          <w:p>
            <w:pPr>
              <w:jc w:val="center"/>
              <w:ind w:right="2438"/>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313"/>
        </w:trPr>
        <w:tc>
          <w:tcPr>
            <w:tcW w:w="2500" w:type="dxa"/>
            <w:vAlign w:val="bottom"/>
          </w:tcPr>
          <w:p>
            <w:pPr>
              <w:spacing w:after="0"/>
              <w:rPr>
                <w:sz w:val="24"/>
                <w:szCs w:val="24"/>
                <w:color w:val="auto"/>
              </w:rPr>
            </w:pPr>
          </w:p>
        </w:tc>
        <w:tc>
          <w:tcPr>
            <w:tcW w:w="876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r>
      <w:tr>
        <w:trPr>
          <w:trHeight w:val="27"/>
        </w:trPr>
        <w:tc>
          <w:tcPr>
            <w:tcW w:w="4320" w:type="dxa"/>
            <w:vAlign w:val="bottom"/>
            <w:tcBorders>
              <w:bottom w:val="single" w:sz="8" w:color="auto"/>
            </w:tcBorders>
            <w:gridSpan w:val="2"/>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8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238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9"/>
              </w:rPr>
              <w:t>NMIH</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Nasdaq</w:t>
            </w:r>
          </w:p>
        </w:tc>
      </w:tr>
    </w:tbl>
    <w:p>
      <w:pPr>
        <w:spacing w:after="0" w:line="179" w:lineRule="exact"/>
        <w:rPr>
          <w:sz w:val="24"/>
          <w:szCs w:val="24"/>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tabs>
          <w:tab w:leader="none" w:pos="62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tabs>
          <w:tab w:leader="none" w:pos="62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46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Non-accelerated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5"/>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Rule 12b-2 of the Exchange Act.</w:t>
            </w: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78"/>
        </w:trPr>
        <w:tc>
          <w:tcPr>
            <w:tcW w:w="468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3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right="20"/>
        <w:spacing w:after="0" w:line="22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62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$0.01 par value per share, of the registrant outstanding on July 26, 2024 was 79,672,652 shares.</w:t>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00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9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4360" w:type="dxa"/>
            <w:vAlign w:val="bottom"/>
            <w:gridSpan w:val="9"/>
            <w:shd w:val="clear" w:color="auto" w:fill="CCEEFF"/>
          </w:tcPr>
          <w:p>
            <w:pPr>
              <w:spacing w:after="0" w:line="185" w:lineRule="exact"/>
              <w:rPr>
                <w:sz w:val="20"/>
                <w:szCs w:val="20"/>
                <w:color w:val="auto"/>
              </w:rPr>
            </w:pPr>
            <w:r>
              <w:rPr>
                <w:rFonts w:ascii="Times New Roman" w:cs="Times New Roman" w:eastAsia="Times New Roman" w:hAnsi="Times New Roman"/>
                <w:sz w:val="18"/>
                <w:szCs w:val="18"/>
                <w:b w:val="1"/>
                <w:bCs w:val="1"/>
                <w:color w:val="0000FF"/>
                <w:w w:val="97"/>
              </w:rPr>
              <w:t>Cautionary Note Regarding Forward-Looking Statements</w:t>
            </w:r>
          </w:p>
        </w:tc>
        <w:tc>
          <w:tcPr>
            <w:tcW w:w="2960" w:type="dxa"/>
            <w:vAlign w:val="bottom"/>
            <w:gridSpan w:val="2"/>
            <w:shd w:val="clear" w:color="auto" w:fill="CCEEFF"/>
          </w:tcPr>
          <w:p>
            <w:pPr>
              <w:spacing w:after="0"/>
              <w:rPr>
                <w:sz w:val="16"/>
                <w:szCs w:val="16"/>
                <w:color w:val="auto"/>
              </w:rPr>
            </w:pPr>
          </w:p>
        </w:tc>
        <w:tc>
          <w:tcPr>
            <w:tcW w:w="3900" w:type="dxa"/>
            <w:vAlign w:val="bottom"/>
            <w:gridSpan w:val="4"/>
            <w:shd w:val="clear" w:color="auto" w:fill="CCEEFF"/>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line="185" w:lineRule="exact"/>
              <w:rPr>
                <w:sz w:val="20"/>
                <w:szCs w:val="20"/>
                <w:color w:val="auto"/>
              </w:rPr>
            </w:pPr>
            <w:r>
              <w:rPr>
                <w:rFonts w:ascii="Times New Roman" w:cs="Times New Roman" w:eastAsia="Times New Roman" w:hAnsi="Times New Roman"/>
                <w:sz w:val="18"/>
                <w:szCs w:val="18"/>
                <w:b w:val="1"/>
                <w:bCs w:val="1"/>
                <w:color w:val="0000FF"/>
                <w:w w:val="89"/>
              </w:rPr>
              <w:t>PART I</w:t>
            </w:r>
          </w:p>
        </w:tc>
        <w:tc>
          <w:tcPr>
            <w:tcW w:w="46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900" w:type="dxa"/>
            <w:vAlign w:val="bottom"/>
            <w:gridSpan w:val="4"/>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5</w:t>
            </w:r>
          </w:p>
        </w:tc>
      </w:tr>
      <w:tr>
        <w:trPr>
          <w:trHeight w:val="30"/>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628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Financial Statements</w:t>
            </w:r>
          </w:p>
        </w:tc>
        <w:tc>
          <w:tcPr>
            <w:tcW w:w="3900" w:type="dxa"/>
            <w:vAlign w:val="bottom"/>
            <w:gridSpan w:val="4"/>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2.</w:t>
            </w:r>
          </w:p>
        </w:tc>
        <w:tc>
          <w:tcPr>
            <w:tcW w:w="6280" w:type="dxa"/>
            <w:vAlign w:val="bottom"/>
            <w:gridSpan w:val="8"/>
          </w:tcPr>
          <w:p>
            <w:pPr>
              <w:spacing w:after="0" w:line="18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27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628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52</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4.</w:t>
            </w:r>
          </w:p>
        </w:tc>
        <w:tc>
          <w:tcPr>
            <w:tcW w:w="1720" w:type="dxa"/>
            <w:vAlign w:val="bottom"/>
            <w:gridSpan w:val="5"/>
          </w:tcPr>
          <w:p>
            <w:pPr>
              <w:spacing w:after="0" w:line="185" w:lineRule="exact"/>
              <w:rPr>
                <w:sz w:val="20"/>
                <w:szCs w:val="20"/>
                <w:color w:val="auto"/>
              </w:rPr>
            </w:pPr>
            <w:r>
              <w:rPr>
                <w:rFonts w:ascii="Times New Roman" w:cs="Times New Roman" w:eastAsia="Times New Roman" w:hAnsi="Times New Roman"/>
                <w:sz w:val="18"/>
                <w:szCs w:val="18"/>
                <w:color w:val="0000FF"/>
                <w:w w:val="96"/>
              </w:rPr>
              <w:t>Controls and Procedures</w:t>
            </w:r>
          </w:p>
        </w:tc>
        <w:tc>
          <w:tcPr>
            <w:tcW w:w="2520" w:type="dxa"/>
            <w:vAlign w:val="bottom"/>
            <w:gridSpan w:val="2"/>
          </w:tcPr>
          <w:p>
            <w:pPr>
              <w:spacing w:after="0"/>
              <w:rPr>
                <w:sz w:val="16"/>
                <w:szCs w:val="16"/>
                <w:color w:val="auto"/>
              </w:rPr>
            </w:pP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53</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54</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w w:val="82"/>
              </w:rPr>
              <w:t>Item 1.</w:t>
            </w:r>
          </w:p>
        </w:tc>
        <w:tc>
          <w:tcPr>
            <w:tcW w:w="460" w:type="dxa"/>
            <w:vAlign w:val="bottom"/>
            <w:gridSpan w:val="2"/>
          </w:tcPr>
          <w:p>
            <w:pPr>
              <w:spacing w:after="0"/>
              <w:rPr>
                <w:sz w:val="16"/>
                <w:szCs w:val="16"/>
                <w:color w:val="auto"/>
              </w:rPr>
            </w:pPr>
          </w:p>
        </w:tc>
        <w:tc>
          <w:tcPr>
            <w:tcW w:w="6280" w:type="dxa"/>
            <w:vAlign w:val="bottom"/>
            <w:gridSpan w:val="8"/>
          </w:tcPr>
          <w:p>
            <w:pPr>
              <w:spacing w:after="0" w:line="185" w:lineRule="exact"/>
              <w:rPr>
                <w:sz w:val="20"/>
                <w:szCs w:val="20"/>
                <w:color w:val="auto"/>
              </w:rPr>
            </w:pPr>
            <w:r>
              <w:rPr>
                <w:rFonts w:ascii="Times New Roman" w:cs="Times New Roman" w:eastAsia="Times New Roman" w:hAnsi="Times New Roman"/>
                <w:sz w:val="18"/>
                <w:szCs w:val="18"/>
                <w:color w:val="0000FF"/>
              </w:rPr>
              <w:t>Legal Proceedings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54</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w w:val="94"/>
                <w:shd w:val="clear" w:color="auto" w:fill="CCEEFF"/>
              </w:rPr>
              <w:t>Risk Factors</w:t>
            </w:r>
          </w:p>
        </w:tc>
        <w:tc>
          <w:tcPr>
            <w:tcW w:w="3360" w:type="dxa"/>
            <w:vAlign w:val="bottom"/>
            <w:gridSpan w:val="5"/>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w w:val="88"/>
              </w:rPr>
              <w:t>54</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Times New Roman" w:cs="Times New Roman" w:eastAsia="Times New Roman" w:hAnsi="Times New Roman"/>
                <w:sz w:val="18"/>
                <w:szCs w:val="18"/>
                <w:color w:val="auto"/>
              </w:rPr>
              <w:t>Item 2.</w:t>
            </w:r>
          </w:p>
        </w:tc>
        <w:tc>
          <w:tcPr>
            <w:tcW w:w="4240" w:type="dxa"/>
            <w:vAlign w:val="bottom"/>
            <w:gridSpan w:val="7"/>
          </w:tcPr>
          <w:p>
            <w:pPr>
              <w:spacing w:after="0" w:line="185" w:lineRule="exact"/>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55</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5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Exhibits</w:t>
            </w:r>
          </w:p>
        </w:tc>
        <w:tc>
          <w:tcPr>
            <w:tcW w:w="3660" w:type="dxa"/>
            <w:vAlign w:val="bottom"/>
            <w:gridSpan w:val="6"/>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56</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88"/>
              </w:rPr>
              <w:t>59</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4" w:lineRule="exact"/>
        <w:rPr>
          <w:sz w:val="20"/>
          <w:szCs w:val="20"/>
          <w:color w:val="auto"/>
        </w:rPr>
      </w:pPr>
    </w:p>
    <w:p>
      <w:pPr>
        <w:jc w:val="both"/>
        <w:ind w:firstLine="185"/>
        <w:spacing w:after="0" w:line="24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42" w:lineRule="exact"/>
        <w:rPr>
          <w:sz w:val="20"/>
          <w:szCs w:val="20"/>
          <w:color w:val="auto"/>
        </w:rPr>
      </w:pPr>
    </w:p>
    <w:p>
      <w:pPr>
        <w:jc w:val="both"/>
        <w:ind w:left="960" w:hanging="321"/>
        <w:spacing w:after="0" w:line="253"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129" w:lineRule="exact"/>
        <w:rPr>
          <w:rFonts w:ascii="Times New Roman" w:cs="Times New Roman" w:eastAsia="Times New Roman" w:hAnsi="Times New Roman"/>
          <w:sz w:val="18"/>
          <w:szCs w:val="18"/>
          <w:color w:val="auto"/>
        </w:rPr>
      </w:pPr>
    </w:p>
    <w:p>
      <w:pPr>
        <w:jc w:val="both"/>
        <w:ind w:left="960" w:hanging="321"/>
        <w:spacing w:after="0" w:line="250"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charters, business practices, policies, pricing or priorities of Fannie Mae and Freddie Mac (collectively, the GSEs), which may include decisions that have the impact of decreasing or discontinuing the use of mortgage insurance as credit enhancement generally, or with first 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35"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16"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our existing certificates of authority in each state and the District of Columbia (D.C.) and our ability to remain a mortgage insurer in good standing in each state and D.C.;</w:t>
      </w:r>
    </w:p>
    <w:p>
      <w:pPr>
        <w:spacing w:after="0" w:line="11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liquidity and capital resources;</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existing competitors, including other private mortgage insurers and government mortgage insurers such as the Federal Housing Administration, the U.S. Department of Agriculture's Rural Housing Service and the U.S. Department of Veterans Affairs (collectively, government MIs), and potential market entry by new competitors or consolidation of existing competitors;</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tax reform and other potential changes in tax law and their impact on us and our operations;</w:t>
      </w:r>
    </w:p>
    <w:p>
      <w:pPr>
        <w:spacing w:after="0" w:line="162"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to the GSEs' role in the secondary mortgage market or other changes that could affect the residential mortgage industry generally or mortgage insurance industry in particular;</w:t>
      </w:r>
    </w:p>
    <w:p>
      <w:pPr>
        <w:spacing w:after="0" w:line="116"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 w:name="page4"/>
    <w:bookmarkEnd w:id="3"/>
    <w:p>
      <w:pPr>
        <w:ind w:left="960" w:hanging="321"/>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the coronavirus (COVID-19) virus and its variants, including their impact on the global economy, the U.S. housing, real estate, housing finance and mortgage insurance markets, and our business, operations and personnel;</w:t>
      </w:r>
    </w:p>
    <w:p>
      <w:pPr>
        <w:spacing w:after="0" w:line="116" w:lineRule="exact"/>
        <w:rPr>
          <w:rFonts w:ascii="Times New Roman" w:cs="Times New Roman" w:eastAsia="Times New Roman" w:hAnsi="Times New Roman"/>
          <w:sz w:val="18"/>
          <w:szCs w:val="18"/>
          <w:color w:val="auto"/>
        </w:rPr>
      </w:pPr>
    </w:p>
    <w:p>
      <w:pPr>
        <w:ind w:left="960" w:hanging="321"/>
        <w:spacing w:after="0" w:line="333" w:lineRule="auto"/>
        <w:tabs>
          <w:tab w:leader="none" w:pos="95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69" w:lineRule="exact"/>
        <w:rPr>
          <w:rFonts w:ascii="Times New Roman" w:cs="Times New Roman" w:eastAsia="Times New Roman" w:hAnsi="Times New Roman"/>
          <w:sz w:val="16"/>
          <w:szCs w:val="16"/>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the GSEs, or other market participants seeking alternatives to private mortgage insurance;</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diverse customer base, including the largest mortgage originators;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risk management or pricing or investment strategies;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unexpected claim and coverage issues, including claims exceeding our reserves or amounts we had expected to experience;</w:t>
      </w:r>
    </w:p>
    <w:p>
      <w:pPr>
        <w:spacing w:after="0" w:line="162"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11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risk and efforts to manage or regulate climate risk by government agencies could affect our business and operations;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impacts arising from the occurrence of any man-made disasters or public health emergencies, including pandemics;</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counter-parties, including third-party reinsurers, to meet their obligations to us;</w:t>
      </w:r>
    </w:p>
    <w:p>
      <w:pPr>
        <w:spacing w:after="0" w:line="162" w:lineRule="exact"/>
        <w:rPr>
          <w:rFonts w:ascii="Times New Roman" w:cs="Times New Roman" w:eastAsia="Times New Roman" w:hAnsi="Times New Roman"/>
          <w:sz w:val="18"/>
          <w:szCs w:val="18"/>
          <w:color w:val="auto"/>
        </w:rPr>
      </w:pPr>
    </w:p>
    <w:p>
      <w:pPr>
        <w:ind w:left="960" w:hanging="321"/>
        <w:spacing w:after="0" w:line="269"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improve and continue to develop necessary information technology (IT) systems or the failure of technology providers to perform;</w:t>
      </w:r>
    </w:p>
    <w:p>
      <w:pPr>
        <w:spacing w:after="0" w:line="11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train and retain key personnel.</w:t>
      </w:r>
    </w:p>
    <w:p>
      <w:pPr>
        <w:spacing w:after="0" w:line="162"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For more information regarding these risks and uncertainties as well as certain additional risks that we face, you should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II, Item 1A of this Report and in Part I, Item 1A, of our Annual Report on Form 10-K for the year ended December 31, 2023 (2023 10-K), as subsequently updated in other reports we file from time to time with the U.S. Securities and Exchange Commission (SEC).</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Balance Sheets as of June 30, 2024 (Unaudited) and December 31, 2023</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179"/>
        </w:trPr>
        <w:tc>
          <w:tcPr>
            <w:tcW w:w="11060" w:type="dxa"/>
            <w:vAlign w:val="bottom"/>
            <w:tcBorders>
              <w:top w:val="single" w:sz="8" w:color="CCEEFF"/>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for the three and six months ended June 30, 2024 and 2023</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00"/>
        </w:trPr>
        <w:tc>
          <w:tcPr>
            <w:tcW w:w="110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0000FF"/>
              </w:rPr>
              <w:t>7</w:t>
            </w:r>
          </w:p>
        </w:tc>
      </w:tr>
      <w:tr>
        <w:trPr>
          <w:trHeight w:val="189"/>
        </w:trPr>
        <w:tc>
          <w:tcPr>
            <w:tcW w:w="11060" w:type="dxa"/>
            <w:vAlign w:val="bottom"/>
            <w:tcBorders>
              <w:right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Changes in Shareholders' Equity for the three months ended March 31 and June 30, 2024 and 2023</w:t>
            </w:r>
          </w:p>
        </w:tc>
        <w:tc>
          <w:tcPr>
            <w:tcW w:w="80" w:type="dxa"/>
            <w:vAlign w:val="bottom"/>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0"/>
        </w:trPr>
        <w:tc>
          <w:tcPr>
            <w:tcW w:w="11060" w:type="dxa"/>
            <w:vAlign w:val="bottom"/>
            <w:tcBorders>
              <w:right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gridSpan w:val="3"/>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8"/>
                <w:szCs w:val="18"/>
                <w:color w:val="0000FF"/>
              </w:rPr>
              <w:t>8</w:t>
            </w: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Condensed Consolidated Statements of Cash Flows for the six months ended June 30, 2024 and 2023 (Unaudited)</w:t>
            </w:r>
          </w:p>
        </w:tc>
        <w:tc>
          <w:tcPr>
            <w:tcW w:w="180" w:type="dxa"/>
            <w:vAlign w:val="bottom"/>
            <w:gridSpan w:val="3"/>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w w:val="77"/>
              </w:rPr>
              <w:t>10</w:t>
            </w:r>
          </w:p>
        </w:tc>
      </w:tr>
      <w:tr>
        <w:trPr>
          <w:trHeight w:val="30"/>
        </w:trPr>
        <w:tc>
          <w:tcPr>
            <w:tcW w:w="110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80" w:type="dxa"/>
            <w:vAlign w:val="bottom"/>
            <w:gridSpan w:val="3"/>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77"/>
              </w:rPr>
              <w:t>11</w:t>
            </w: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of $2,707,416 and $2,542,862 as of</w:t>
            </w: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2,371,021</w:t>
            </w:r>
          </w:p>
        </w:tc>
        <w:tc>
          <w:tcPr>
            <w:tcW w:w="0" w:type="dxa"/>
            <w:vAlign w:val="bottom"/>
          </w:tcPr>
          <w:p>
            <w:pPr>
              <w:spacing w:after="0"/>
              <w:rPr>
                <w:sz w:val="1"/>
                <w:szCs w:val="1"/>
                <w:color w:val="auto"/>
              </w:rPr>
            </w:pPr>
          </w:p>
        </w:tc>
      </w:tr>
      <w:tr>
        <w:trPr>
          <w:trHeight w:val="171"/>
        </w:trPr>
        <w:tc>
          <w:tcPr>
            <w:tcW w:w="766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Cash and cash equivalents (including restricted cash of $1,152 and $1,338 as of June 30, 2024 and</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76,456</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30,252</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recoverable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federal income taxes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235,286</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0" w:type="dxa"/>
            <w:vAlign w:val="bottom"/>
          </w:tcPr>
          <w:p>
            <w:pPr>
              <w:spacing w:after="0"/>
              <w:rPr>
                <w:sz w:val="1"/>
                <w:szCs w:val="1"/>
                <w:color w:val="auto"/>
              </w:rPr>
            </w:pPr>
          </w:p>
        </w:tc>
      </w:tr>
      <w:tr>
        <w:trPr>
          <w:trHeight w:val="24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3,101,903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2,940,507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414,249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92,295</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86,189</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w:t>
            </w: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301,573</w:t>
            </w: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1,014,503</w:t>
            </w: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66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Common stock - $0.01 par value; 87,900,888 shares issued and 79,763,893 shares outstanding as of</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660" w:type="dxa"/>
            <w:vAlign w:val="bottom"/>
          </w:tcPr>
          <w:p>
            <w:pPr>
              <w:ind w:left="220"/>
              <w:spacing w:after="0" w:line="180" w:lineRule="exact"/>
              <w:rPr>
                <w:sz w:val="20"/>
                <w:szCs w:val="20"/>
                <w:color w:val="auto"/>
              </w:rPr>
            </w:pPr>
            <w:r>
              <w:rPr>
                <w:rFonts w:ascii="Times New Roman" w:cs="Times New Roman" w:eastAsia="Times New Roman" w:hAnsi="Times New Roman"/>
                <w:sz w:val="18"/>
                <w:szCs w:val="18"/>
                <w:color w:val="auto"/>
                <w:w w:val="98"/>
              </w:rPr>
              <w:t>June 30, 2024 and 87,334,138 shares issued and 80,881,280 shares outstanding as of December 31, 2023</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(250,000,000 shares authorized)</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990,816</w:t>
            </w:r>
          </w:p>
        </w:tc>
        <w:tc>
          <w:tcPr>
            <w:tcW w:w="0" w:type="dxa"/>
            <w:vAlign w:val="bottom"/>
          </w:tcPr>
          <w:p>
            <w:pPr>
              <w:spacing w:after="0"/>
              <w:rPr>
                <w:sz w:val="1"/>
                <w:szCs w:val="1"/>
                <w:color w:val="auto"/>
              </w:rPr>
            </w:pPr>
          </w:p>
        </w:tc>
      </w:tr>
      <w:tr>
        <w:trPr>
          <w:trHeight w:val="171"/>
        </w:trPr>
        <w:tc>
          <w:tcPr>
            <w:tcW w:w="766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w w:val="98"/>
              </w:rPr>
              <w:t>Treasury Stock, at cost: 8,136,995 and 6,452,858 common shares as of June 30, 2024 and December 31,</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 respectively</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(148,921)</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(139,917)</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1,404,282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1,223,153</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1,926,004</w:t>
            </w:r>
          </w:p>
        </w:tc>
        <w:tc>
          <w:tcPr>
            <w:tcW w:w="0" w:type="dxa"/>
            <w:vAlign w:val="bottom"/>
          </w:tcPr>
          <w:p>
            <w:pPr>
              <w:spacing w:after="0"/>
              <w:rPr>
                <w:sz w:val="1"/>
                <w:szCs w:val="1"/>
                <w:color w:val="auto"/>
              </w:rPr>
            </w:pPr>
          </w:p>
        </w:tc>
      </w:tr>
      <w:tr>
        <w:trPr>
          <w:trHeight w:val="21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3,101,903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2,940,507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“Reinsurance funds withheld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has been reclassified as “Other liabilities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40"/>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ONDENSED CONSOLIDATED STATEMENTS OF OPERATIONS AND COMPREHENSIVE INCOME (UNAUDITED)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6"/>
                <w:szCs w:val="16"/>
                <w:color w:val="auto"/>
              </w:rPr>
            </w:pPr>
          </w:p>
        </w:tc>
        <w:tc>
          <w:tcPr>
            <w:tcW w:w="224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6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141,168</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277,825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247,739</w:t>
            </w:r>
          </w:p>
        </w:tc>
      </w:tr>
      <w:tr>
        <w:trPr>
          <w:trHeight w:val="224"/>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w:t>
            </w:r>
          </w:p>
        </w:tc>
      </w:tr>
      <w:tr>
        <w:trPr>
          <w:trHeight w:val="224"/>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162,122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142,685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279,464</w:t>
            </w:r>
          </w:p>
        </w:tc>
      </w:tr>
      <w:tr>
        <w:trPr>
          <w:trHeight w:val="204"/>
        </w:trPr>
        <w:tc>
          <w:tcPr>
            <w:tcW w:w="61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4"/>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 claims and claim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r>
      <w:tr>
        <w:trPr>
          <w:trHeight w:val="224"/>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53,234</w:t>
            </w:r>
          </w:p>
        </w:tc>
      </w:tr>
      <w:tr>
        <w:trPr>
          <w:trHeight w:val="224"/>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expenses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4"/>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r>
      <w:tr>
        <w:trPr>
          <w:trHeight w:val="21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79,242</w:t>
            </w:r>
          </w:p>
        </w:tc>
      </w:tr>
      <w:tr>
        <w:trPr>
          <w:trHeight w:val="244"/>
        </w:trPr>
        <w:tc>
          <w:tcPr>
            <w:tcW w:w="6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200,222</w:t>
            </w:r>
          </w:p>
        </w:tc>
      </w:tr>
      <w:tr>
        <w:trPr>
          <w:trHeight w:val="224"/>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45,480</w:t>
            </w:r>
          </w:p>
        </w:tc>
      </w:tr>
      <w:tr>
        <w:trPr>
          <w:trHeight w:val="21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92,079</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154,742</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6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4"/>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64"/>
        </w:trPr>
        <w:tc>
          <w:tcPr>
            <w:tcW w:w="6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83,277</w:t>
            </w:r>
          </w:p>
        </w:tc>
      </w:tr>
      <w:tr>
        <w:trPr>
          <w:trHeight w:val="224"/>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84,504</w:t>
            </w:r>
          </w:p>
        </w:tc>
      </w:tr>
      <w:tr>
        <w:trPr>
          <w:trHeight w:val="264"/>
        </w:trPr>
        <w:tc>
          <w:tcPr>
            <w:tcW w:w="6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92,079</w:t>
            </w:r>
          </w:p>
        </w:tc>
        <w:tc>
          <w:tcPr>
            <w:tcW w:w="8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181,129</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154,742</w:t>
            </w:r>
          </w:p>
        </w:tc>
      </w:tr>
      <w:tr>
        <w:trPr>
          <w:trHeight w:val="22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ind w:left="20" w:right="4980"/>
        <w:spacing w:after="0" w:line="241" w:lineRule="auto"/>
        <w:rPr>
          <w:sz w:val="20"/>
          <w:szCs w:val="20"/>
          <w:color w:val="auto"/>
        </w:rPr>
      </w:pPr>
      <w:r>
        <w:rPr>
          <w:rFonts w:ascii="Times New Roman" w:cs="Times New Roman" w:eastAsia="Times New Roman" w:hAnsi="Times New Roman"/>
          <w:sz w:val="16"/>
          <w:szCs w:val="16"/>
          <w:color w:val="auto"/>
        </w:rPr>
        <w:t>Unrealized (losses) gains in accumulated other comprehensive income, net of tax (benefit) expense of $(412) and $(4,120) for the three months ended June 30, 2024 and</w:t>
      </w:r>
    </w:p>
    <w:tbl>
      <w:tblPr>
        <w:tblLayout w:type="fixed"/>
        <w:tblInd w:w="0" w:type="dxa"/>
        <w:tblCellMar>
          <w:top w:w="0" w:type="dxa"/>
          <w:left w:w="0" w:type="dxa"/>
          <w:bottom w:w="0" w:type="dxa"/>
          <w:right w:w="0" w:type="dxa"/>
        </w:tblCellMar>
      </w:tblPr>
      <w:tr>
        <w:trPr>
          <w:trHeight w:val="158"/>
        </w:trPr>
        <w:tc>
          <w:tcPr>
            <w:tcW w:w="6160" w:type="dxa"/>
            <w:vAlign w:val="bottom"/>
          </w:tcPr>
          <w:p>
            <w:pPr>
              <w:ind w:left="20"/>
              <w:spacing w:after="0" w:line="158" w:lineRule="exact"/>
              <w:rPr>
                <w:sz w:val="20"/>
                <w:szCs w:val="20"/>
                <w:color w:val="auto"/>
              </w:rPr>
            </w:pPr>
            <w:r>
              <w:rPr>
                <w:rFonts w:ascii="Times New Roman" w:cs="Times New Roman" w:eastAsia="Times New Roman" w:hAnsi="Times New Roman"/>
                <w:sz w:val="18"/>
                <w:szCs w:val="18"/>
                <w:color w:val="auto"/>
              </w:rPr>
              <w:t>2023, and $(3,141) and $4,513 for the six months ended June 30, 2024 and 2023,</w:t>
            </w:r>
          </w:p>
        </w:tc>
        <w:tc>
          <w:tcPr>
            <w:tcW w:w="3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0" w:type="dxa"/>
            <w:vAlign w:val="bottom"/>
          </w:tcPr>
          <w:p>
            <w:pPr>
              <w:spacing w:after="0"/>
              <w:rPr>
                <w:sz w:val="1"/>
                <w:szCs w:val="1"/>
                <w:color w:val="auto"/>
              </w:rPr>
            </w:pPr>
          </w:p>
        </w:tc>
      </w:tr>
      <w:tr>
        <w:trPr>
          <w:trHeight w:val="22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Reclassification adjustment for realized losses included in net income, net of tax</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of $7 for the six months ended June 30, 2023</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17,003</w:t>
            </w:r>
          </w:p>
        </w:tc>
        <w:tc>
          <w:tcPr>
            <w:tcW w:w="0" w:type="dxa"/>
            <w:vAlign w:val="bottom"/>
          </w:tcPr>
          <w:p>
            <w:pPr>
              <w:spacing w:after="0"/>
              <w:rPr>
                <w:sz w:val="1"/>
                <w:szCs w:val="1"/>
                <w:color w:val="auto"/>
              </w:rPr>
            </w:pPr>
          </w:p>
        </w:tc>
      </w:tr>
      <w:tr>
        <w:trPr>
          <w:trHeight w:val="242"/>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460" w:top="12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20" w:type="dxa"/>
            <w:vAlign w:val="bottom"/>
            <w:gridSpan w:val="3"/>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9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93"/>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1100" w:type="dxa"/>
            <w:vAlign w:val="bottom"/>
            <w:vMerge w:val="restart"/>
          </w:tcPr>
          <w:p>
            <w:pPr>
              <w:jc w:val="right"/>
              <w:ind w:right="54"/>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9"/>
                <w:szCs w:val="9"/>
                <w:color w:val="auto"/>
              </w:rPr>
            </w:pPr>
          </w:p>
        </w:tc>
        <w:tc>
          <w:tcPr>
            <w:tcW w:w="840" w:type="dxa"/>
            <w:vAlign w:val="bottom"/>
            <w:vMerge w:val="restart"/>
          </w:tcPr>
          <w:p>
            <w:pPr>
              <w:jc w:val="right"/>
              <w:ind w:right="155"/>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9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990,816</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(148,921)</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1,223,153</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1,926,004</w:t>
            </w:r>
          </w:p>
        </w:tc>
        <w:tc>
          <w:tcPr>
            <w:tcW w:w="0" w:type="dxa"/>
            <w:vAlign w:val="bottom"/>
          </w:tcPr>
          <w:p>
            <w:pPr>
              <w:spacing w:after="0"/>
              <w:rPr>
                <w:sz w:val="1"/>
                <w:szCs w:val="1"/>
                <w:color w:val="auto"/>
              </w:rPr>
            </w:pPr>
          </w:p>
        </w:tc>
      </w:tr>
      <w:tr>
        <w:trPr>
          <w:trHeight w:val="171"/>
        </w:trPr>
        <w:tc>
          <w:tcPr>
            <w:tcW w:w="39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w w:val="98"/>
              </w:rPr>
              <w:t>Common stock: shares issued under stock plans, net of</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of $2,729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989,349</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(174,227)</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1,312,203</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1,978,381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line="158" w:lineRule="exact"/>
              <w:rPr>
                <w:sz w:val="20"/>
                <w:szCs w:val="20"/>
                <w:color w:val="auto"/>
              </w:rPr>
            </w:pPr>
            <w:r>
              <w:rPr>
                <w:rFonts w:ascii="Times New Roman" w:cs="Times New Roman" w:eastAsia="Times New Roman" w:hAnsi="Times New Roman"/>
                <w:sz w:val="18"/>
                <w:szCs w:val="18"/>
                <w:color w:val="auto"/>
                <w:w w:val="98"/>
              </w:rPr>
              <w:t>Common stock: shares issued under stock plans, net of</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9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of $412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92,079</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993,143</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(201,323)</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1,404,282</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2,045,610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ectPr>
          <w:pgSz w:w="11900" w:h="16838" w:orient="portrait"/>
          <w:cols w:equalWidth="0" w:num="1">
            <w:col w:w="11200"/>
          </w:cols>
          <w:pgMar w:left="36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83185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60" w:top="121" w:right="339" w:bottom="1440" w:gutter="0" w:footer="0" w:header="0"/>
          <w:type w:val="continuous"/>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60" w:type="dxa"/>
            <w:vAlign w:val="bottom"/>
            <w:gridSpan w:val="3"/>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90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93"/>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9"/>
                <w:szCs w:val="9"/>
                <w:color w:val="auto"/>
              </w:rPr>
            </w:pPr>
          </w:p>
        </w:tc>
        <w:tc>
          <w:tcPr>
            <w:tcW w:w="1100" w:type="dxa"/>
            <w:vAlign w:val="bottom"/>
            <w:vMerge w:val="restart"/>
          </w:tcPr>
          <w:p>
            <w:pPr>
              <w:jc w:val="right"/>
              <w:ind w:right="54"/>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860" w:type="dxa"/>
            <w:vAlign w:val="bottom"/>
            <w:vMerge w:val="restart"/>
          </w:tcPr>
          <w:p>
            <w:pPr>
              <w:jc w:val="right"/>
              <w:ind w:right="154"/>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95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972,717</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(56,575)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901,043</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1,613,727</w:t>
            </w:r>
          </w:p>
        </w:tc>
        <w:tc>
          <w:tcPr>
            <w:tcW w:w="0" w:type="dxa"/>
            <w:vAlign w:val="bottom"/>
          </w:tcPr>
          <w:p>
            <w:pPr>
              <w:spacing w:after="0"/>
              <w:rPr>
                <w:sz w:val="1"/>
                <w:szCs w:val="1"/>
                <w:color w:val="auto"/>
              </w:rPr>
            </w:pPr>
          </w:p>
        </w:tc>
      </w:tr>
      <w:tr>
        <w:trPr>
          <w:trHeight w:val="171"/>
        </w:trPr>
        <w:tc>
          <w:tcPr>
            <w:tcW w:w="39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w w:val="98"/>
              </w:rPr>
              <w:t>Common stock: shares issued under stock plans, net of</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(14,862)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0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of $8,640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74,458</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973,599</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(71,437)</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975,501</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1,706,711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line="158" w:lineRule="exact"/>
              <w:rPr>
                <w:sz w:val="20"/>
                <w:szCs w:val="20"/>
                <w:color w:val="auto"/>
              </w:rPr>
            </w:pPr>
            <w:r>
              <w:rPr>
                <w:rFonts w:ascii="Times New Roman" w:cs="Times New Roman" w:eastAsia="Times New Roman" w:hAnsi="Times New Roman"/>
                <w:sz w:val="18"/>
                <w:szCs w:val="18"/>
                <w:color w:val="auto"/>
                <w:w w:val="98"/>
              </w:rPr>
              <w:t>Common stock: shares issued under stock plans, net of</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9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(26,238)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0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Change in unrealized investment gains/losses, net of</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of $4,120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80,284</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977,295</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(97,675)</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1,055,785</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1,748,955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ectPr>
          <w:pgSz w:w="11900" w:h="16838" w:orient="portrait"/>
          <w:cols w:equalWidth="0" w:num="1">
            <w:col w:w="11200"/>
          </w:cols>
          <w:pgMar w:left="36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83185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60" w:top="121" w:right="339" w:bottom="1440" w:gutter="0" w:footer="0" w:header="0"/>
          <w:type w:val="continuous"/>
        </w:sectPr>
      </w:pPr>
    </w:p>
    <w:bookmarkStart w:id="9" w:name="page10"/>
    <w:bookmarkEnd w:id="9"/>
    <w:p>
      <w:pPr>
        <w:jc w:val="center"/>
        <w:ind w:right="80"/>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00" w:type="dxa"/>
            <w:vAlign w:val="bottom"/>
          </w:tcPr>
          <w:p>
            <w:pPr>
              <w:spacing w:after="0"/>
              <w:rPr>
                <w:sz w:val="16"/>
                <w:szCs w:val="16"/>
                <w:color w:val="auto"/>
              </w:rPr>
            </w:pPr>
          </w:p>
        </w:tc>
      </w:tr>
      <w:tr>
        <w:trPr>
          <w:trHeight w:val="24"/>
        </w:trPr>
        <w:tc>
          <w:tcPr>
            <w:tcW w:w="7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76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r>
      <w:tr>
        <w:trPr>
          <w:trHeight w:val="21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20" w:type="dxa"/>
            <w:vAlign w:val="bottom"/>
          </w:tcPr>
          <w:p>
            <w:pPr>
              <w:spacing w:after="0"/>
              <w:rPr>
                <w:sz w:val="18"/>
                <w:szCs w:val="18"/>
                <w:color w:val="auto"/>
              </w:rPr>
            </w:pPr>
          </w:p>
        </w:tc>
        <w:tc>
          <w:tcPr>
            <w:tcW w:w="18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8"/>
                <w:szCs w:val="18"/>
                <w:color w:val="auto"/>
              </w:rPr>
            </w:pPr>
          </w:p>
        </w:tc>
      </w:tr>
      <w:tr>
        <w:trPr>
          <w:trHeight w:val="225"/>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181,129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154,742</w:t>
            </w: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realized investment loss</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w:t>
            </w: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amortization of premium on investment securities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w:t>
            </w:r>
          </w:p>
        </w:tc>
      </w:tr>
      <w:tr>
        <w:trPr>
          <w:trHeight w:val="220"/>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43,765</w:t>
            </w: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7,168</w:t>
            </w: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Premiums receivable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w:t>
            </w:r>
          </w:p>
        </w:tc>
      </w:tr>
      <w:tr>
        <w:trPr>
          <w:trHeight w:val="22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(3,249)</w:t>
            </w: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w:t>
            </w:r>
          </w:p>
        </w:tc>
      </w:tr>
      <w:tr>
        <w:trPr>
          <w:trHeight w:val="22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Reinsurance recoverable</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(2,436)</w:t>
            </w: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2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Unearned premiums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(17,968)</w:t>
            </w: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10,612</w:t>
            </w:r>
          </w:p>
        </w:tc>
      </w:tr>
      <w:tr>
        <w:trPr>
          <w:trHeight w:val="22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Reinsurance balances, net</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r>
      <w:tr>
        <w:trPr>
          <w:trHeight w:val="228"/>
        </w:trPr>
        <w:tc>
          <w:tcPr>
            <w:tcW w:w="7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r>
      <w:tr>
        <w:trPr>
          <w:trHeight w:val="214"/>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229,363</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191,740</w:t>
            </w:r>
          </w:p>
        </w:tc>
      </w:tr>
      <w:tr>
        <w:trPr>
          <w:trHeight w:val="20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(101,545)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(152,715)</w:t>
            </w: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(236,755)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(224,378)</w:t>
            </w: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37,700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189,670</w:t>
            </w: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maturities and redemptions of fixed-maturity investments, available-for-sale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92,260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72,503</w:t>
            </w:r>
          </w:p>
        </w:tc>
      </w:tr>
      <w:tr>
        <w:trPr>
          <w:trHeight w:val="220"/>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Additions to software and equipment</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(4,026)</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(4,550)</w:t>
            </w:r>
          </w:p>
        </w:tc>
      </w:tr>
      <w:tr>
        <w:trPr>
          <w:trHeight w:val="22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(212,366)</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(119,470)</w:t>
            </w:r>
          </w:p>
        </w:tc>
      </w:tr>
      <w:tr>
        <w:trPr>
          <w:trHeight w:val="200"/>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w:t>
            </w: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(5,296)</w:t>
            </w: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senior unsecured notes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419,705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of senior secured notes</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(405,080)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(52,054)</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(40,792)</w:t>
            </w:r>
          </w:p>
        </w:tc>
      </w:tr>
      <w:tr>
        <w:trPr>
          <w:trHeight w:val="21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(51,057)</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(43,377)</w:t>
            </w:r>
          </w:p>
        </w:tc>
      </w:tr>
      <w:tr>
        <w:trPr>
          <w:trHeight w:val="234"/>
        </w:trPr>
        <w:tc>
          <w:tcPr>
            <w:tcW w:w="7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4"/>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(34,060)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28,893</w:t>
            </w:r>
          </w:p>
        </w:tc>
      </w:tr>
      <w:tr>
        <w:trPr>
          <w:trHeight w:val="220"/>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44,426</w:t>
            </w:r>
          </w:p>
        </w:tc>
      </w:tr>
      <w:tr>
        <w:trPr>
          <w:trHeight w:val="246"/>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62,629</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73,319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4"/>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paid</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14,013</w:t>
            </w:r>
          </w:p>
        </w:tc>
        <w:tc>
          <w:tcPr>
            <w:tcW w:w="80" w:type="dxa"/>
            <w:vAlign w:val="bottom"/>
          </w:tcPr>
          <w:p>
            <w:pPr>
              <w:spacing w:after="0"/>
              <w:rPr>
                <w:sz w:val="19"/>
                <w:szCs w:val="19"/>
                <w:color w:val="auto"/>
              </w:rPr>
            </w:pP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14,750</w:t>
            </w:r>
          </w:p>
        </w:tc>
      </w:tr>
      <w:tr>
        <w:trPr>
          <w:trHeight w:val="228"/>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Income taxes paid</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Basis of Presentation and Summary of Accounting Principles</w:t>
      </w:r>
    </w:p>
    <w:p>
      <w:pPr>
        <w:spacing w:after="0" w:line="1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2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2023, included in our 2023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2024.</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Principles</w:t>
      </w:r>
    </w:p>
    <w:p>
      <w:pPr>
        <w:spacing w:after="0" w:line="164"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There have been no changes to our significant accounting principles as described in Item 8, “</w:t>
      </w:r>
      <w:r>
        <w:rPr>
          <w:rFonts w:ascii="Times New Roman" w:cs="Times New Roman" w:eastAsia="Times New Roman" w:hAnsi="Times New Roman"/>
          <w:sz w:val="18"/>
          <w:szCs w:val="18"/>
          <w:i w:val="1"/>
          <w:iCs w:val="1"/>
          <w:color w:val="auto"/>
        </w:rPr>
        <w:t>Financial Statements and Supplementary Data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 Note 2 - Summary of Accounting Principles” </w:t>
      </w:r>
      <w:r>
        <w:rPr>
          <w:rFonts w:ascii="Times New Roman" w:cs="Times New Roman" w:eastAsia="Times New Roman" w:hAnsi="Times New Roman"/>
          <w:sz w:val="18"/>
          <w:szCs w:val="18"/>
          <w:color w:val="auto"/>
        </w:rPr>
        <w:t>of our 2023 10-K.</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164"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The update expands annual and interim disclosure requirements for reportable segments, primarily through enhanced disclosures about significant segment expenses. The standard will take effect for all public business entities, including those that have only a single reportable segment for fiscal years beginning after December 15, 2023, and interim periods beginning after December 31, 2024. We are currently evaluating the impact the adoption of this ASU will have, if any, on our consolidated financial statements.</w:t>
      </w:r>
    </w:p>
    <w:p>
      <w:pPr>
        <w:spacing w:after="0" w:line="11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The update enhances the disclosure requirements related to tax rate reconciliations and income taxes paid. The standard will take effect for public business entities for fiscal years beginning after December 15, 2025. Early adoption is permitted. We are currently evaluating the impact the adoption of this ASU will have, if any,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64" w:lineRule="exact"/>
        <w:rPr>
          <w:sz w:val="20"/>
          <w:szCs w:val="20"/>
          <w:color w:val="auto"/>
        </w:rPr>
      </w:pPr>
    </w:p>
    <w:p>
      <w:pPr>
        <w:jc w:val="both"/>
        <w:ind w:left="120" w:firstLine="475"/>
        <w:spacing w:after="0" w:line="283" w:lineRule="auto"/>
        <w:rPr>
          <w:sz w:val="20"/>
          <w:szCs w:val="20"/>
          <w:color w:val="auto"/>
        </w:rPr>
      </w:pPr>
      <w:r>
        <w:rPr>
          <w:rFonts w:ascii="Times New Roman" w:cs="Times New Roman" w:eastAsia="Times New Roman" w:hAnsi="Times New Roman"/>
          <w:sz w:val="16"/>
          <w:szCs w:val="16"/>
          <w:color w:val="auto"/>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 w:cs="Times New Roman" w:eastAsia="Times New Roman" w:hAnsi="Times New Roman"/>
          <w:sz w:val="16"/>
          <w:szCs w:val="16"/>
          <w:i w:val="1"/>
          <w:iCs w:val="1"/>
          <w:color w:val="auto"/>
        </w:rPr>
        <w:t>Net Realized Investment Loss</w:t>
      </w:r>
      <w:r>
        <w:rPr>
          <w:rFonts w:ascii="Times New Roman" w:cs="Times New Roman" w:eastAsia="Times New Roman" w:hAnsi="Times New Roman"/>
          <w:sz w:val="16"/>
          <w:szCs w:val="16"/>
          <w:color w:val="auto"/>
        </w:rPr>
        <w:t>.”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Fair Values and Gross Unrealized Gains and Losses on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123,983</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622,616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1,643,134</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42,985</w:t>
            </w: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2,619,130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2,432,718</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88,272</w:t>
            </w:r>
          </w:p>
        </w:tc>
        <w:tc>
          <w:tcPr>
            <w:tcW w:w="0" w:type="dxa"/>
            <w:vAlign w:val="bottom"/>
          </w:tcPr>
          <w:p>
            <w:pPr>
              <w:spacing w:after="0"/>
              <w:rPr>
                <w:sz w:val="1"/>
                <w:szCs w:val="1"/>
                <w:color w:val="auto"/>
              </w:rPr>
            </w:pPr>
          </w:p>
        </w:tc>
      </w:tr>
      <w:tr>
        <w:trPr>
          <w:trHeight w:val="242"/>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2,520,990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24"/>
                <w:szCs w:val="24"/>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166,388</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621,130</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1,511,479</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2,347,208</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0" w:type="dxa"/>
            <w:vAlign w:val="bottom"/>
          </w:tcPr>
          <w:p>
            <w:pPr>
              <w:spacing w:after="0"/>
              <w:rPr>
                <w:sz w:val="1"/>
                <w:szCs w:val="1"/>
                <w:color w:val="auto"/>
              </w:rPr>
            </w:pPr>
          </w:p>
        </w:tc>
      </w:tr>
      <w:tr>
        <w:trPr>
          <w:trHeight w:val="24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2,542,862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2,371,021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did not own any mortgage-backed securities in our asset-backed securities portfolio at June 30, 2024 or December 31, 2023.</w:t>
      </w:r>
    </w:p>
    <w:p>
      <w:pPr>
        <w:spacing w:after="0" w:line="162" w:lineRule="exact"/>
        <w:rPr>
          <w:sz w:val="20"/>
          <w:szCs w:val="20"/>
          <w:color w:val="auto"/>
        </w:rPr>
      </w:pPr>
    </w:p>
    <w:p>
      <w:pPr>
        <w:jc w:val="both"/>
        <w:ind w:left="120" w:firstLine="475"/>
        <w:spacing w:after="0" w:line="294" w:lineRule="auto"/>
        <w:rPr>
          <w:sz w:val="20"/>
          <w:szCs w:val="20"/>
          <w:color w:val="auto"/>
        </w:rPr>
      </w:pPr>
      <w:r>
        <w:rPr>
          <w:rFonts w:ascii="Times New Roman" w:cs="Times New Roman" w:eastAsia="Times New Roman" w:hAnsi="Times New Roman"/>
          <w:sz w:val="16"/>
          <w:szCs w:val="16"/>
          <w:color w:val="auto"/>
        </w:rPr>
        <w:t xml:space="preserve">We periodically recognize unsettled trade receivables or payables in connection with our investing activity. Unsettled trade receivables represent funds due but not yet received for the sale or maturity of investments at period end. Unsettled trade payables represent funds due but not yet paid for investments purchased at period end. </w:t>
      </w:r>
      <w:r>
        <w:rPr>
          <w:rFonts w:ascii="Times New Roman" w:cs="Times New Roman" w:eastAsia="Times New Roman" w:hAnsi="Times New Roman"/>
          <w:sz w:val="16"/>
          <w:szCs w:val="16"/>
          <w:i w:val="1"/>
          <w:iCs w:val="1"/>
          <w:color w:val="auto"/>
        </w:rPr>
        <w:t>“Other Assets”</w:t>
      </w:r>
      <w:r>
        <w:rPr>
          <w:rFonts w:ascii="Times New Roman" w:cs="Times New Roman" w:eastAsia="Times New Roman" w:hAnsi="Times New Roman"/>
          <w:sz w:val="16"/>
          <w:szCs w:val="16"/>
          <w:color w:val="auto"/>
        </w:rPr>
        <w:t xml:space="preserve"> on our condensed consolidated balance sheets included $43.0 million of unsettled trade receivables related to the maturity of certain investment securities at June 30, 2024. No unsettled trade receivables or payables were outstanding at December 31,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a breakdown of the fair value of our corporate debt securities by issuer industry group as of June 30, 2024 and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June 30, 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5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4"/>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w:t>
            </w:r>
          </w:p>
        </w:tc>
      </w:tr>
      <w:tr>
        <w:trPr>
          <w:trHeight w:val="224"/>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w:t>
            </w:r>
          </w:p>
        </w:tc>
      </w:tr>
      <w:tr>
        <w:trPr>
          <w:trHeight w:val="22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120" w:firstLine="475"/>
        <w:spacing w:after="0" w:line="269" w:lineRule="auto"/>
        <w:rPr>
          <w:sz w:val="20"/>
          <w:szCs w:val="20"/>
          <w:color w:val="auto"/>
        </w:rPr>
      </w:pPr>
      <w:r>
        <w:rPr>
          <w:rFonts w:ascii="Times New Roman" w:cs="Times New Roman" w:eastAsia="Times New Roman" w:hAnsi="Times New Roman"/>
          <w:sz w:val="18"/>
          <w:szCs w:val="18"/>
          <w:color w:val="auto"/>
        </w:rPr>
        <w:t>As of both June 30, 2024 and December 31, 2023, approximately $5.3 million of our cash and investments were held in the form of U.S. Treasury securities on deposit with various state insurance departments to satisfy regulatory requirements.</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64"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The amortized cost and fair value of available-for-sale securities as of June 30, 2024 and December 31, 2023,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2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13"/>
                <w:szCs w:val="13"/>
                <w:color w:val="auto"/>
              </w:rPr>
            </w:pPr>
          </w:p>
        </w:tc>
        <w:tc>
          <w:tcPr>
            <w:tcW w:w="120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2"/>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214,664</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1,418,059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1,331,158</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892,216</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42,985</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2,707,416</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2,520,990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24"/>
                <w:szCs w:val="24"/>
                <w:color w:val="auto"/>
              </w:rPr>
            </w:pPr>
          </w:p>
        </w:tc>
        <w:tc>
          <w:tcPr>
            <w:tcW w:w="120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189,729</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1,162,259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959,633</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0" w:type="dxa"/>
            <w:vAlign w:val="bottom"/>
          </w:tcPr>
          <w:p>
            <w:pPr>
              <w:spacing w:after="0"/>
              <w:rPr>
                <w:sz w:val="1"/>
                <w:szCs w:val="1"/>
                <w:color w:val="auto"/>
              </w:rPr>
            </w:pP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2,542,862</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2,371,021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Aging of Unrealized Losses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June 30, 2024, the investment portfolio had gross unrealized losses of $190.1 million, of which $184.8 million were associated with securities that had been in an unrealized loss position for a period of twelve months or longer. As of December 31, 2023, the investment portfolio had gross unrealized losses of $184.3 million, of which $183.1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2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25"/>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tcPr>
          <w:p>
            <w:pPr>
              <w:jc w:val="right"/>
              <w:ind w:right="198"/>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6"/>
              <w:spacing w:after="0" w:line="12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6"/>
              <w:spacing w:after="0" w:line="127"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8"/>
              </w:rPr>
              <w:t>obligations of U.S. government</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114,419</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484,737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599,156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305,550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1,104,989</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1,410,539</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9"/>
                <w:szCs w:val="19"/>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42,985</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1,653,418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2,174,443</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5"/>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Borders>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jc w:val="right"/>
              <w:ind w:right="205"/>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76"/>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38"/>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U.S. Treasury securities and</w:t>
            </w: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obligations of U.S. government</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467,098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523,378</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(58,462)</w:t>
            </w: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1,150,662</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1,206,701</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(120,576)</w:t>
            </w: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47,426</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127,266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1,737,189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(183,065)</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1,864,455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(184,339)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June 30, 2024 and December 31, 2023, we did not recognize an allowance for credit loss for any security in the investment portfolio and we did not record any provision for credit loss for investment securities during the three or six months ended June 30, 2024 or 2023.</w:t>
      </w:r>
    </w:p>
    <w:p>
      <w:pPr>
        <w:spacing w:after="0" w:line="11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evaluated the securities in an unrealized loss position as of June 30, 2024, assessing their credit ratings as well as any adverse conditions specifically related to the security. Based upon our assessment of the amount and timing of cash flows to be collected over the remaining life of each instrument, we believe the unrealized losses as of June 30, 2024 are not indicative of the ultimate collectability of the current amortized cost of the securities. Rather, the unrealized losses on securities held as of June 30, 2024 were primarily driven by fluctuations in interest rates, and to a lesser extent, movements in credit spreads following the purchase of those securities.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components of net investment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60" w:type="dxa"/>
            <w:vAlign w:val="bottom"/>
          </w:tcPr>
          <w:p>
            <w:pPr>
              <w:spacing w:after="0"/>
              <w:rPr>
                <w:sz w:val="16"/>
                <w:szCs w:val="16"/>
                <w:color w:val="auto"/>
              </w:rPr>
            </w:pPr>
          </w:p>
        </w:tc>
        <w:tc>
          <w:tcPr>
            <w:tcW w:w="266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9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5"/>
        </w:trPr>
        <w:tc>
          <w:tcPr>
            <w:tcW w:w="49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4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2"/>
                <w:szCs w:val="22"/>
                <w:color w:val="auto"/>
                <w:vertAlign w:val="superscript"/>
              </w:rPr>
              <w:t>(1)</w:t>
            </w:r>
          </w:p>
        </w:tc>
        <w:tc>
          <w:tcPr>
            <w:tcW w:w="92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20,954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31,765</w:t>
            </w:r>
          </w:p>
        </w:tc>
      </w:tr>
      <w:tr>
        <w:trPr>
          <w:trHeight w:val="224"/>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20,688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320" w:hanging="314"/>
        <w:spacing w:after="0" w:line="249" w:lineRule="auto"/>
        <w:tabs>
          <w:tab w:leader="none" w:pos="32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recognized on cash and cash equivalents of $1.8 million and $2.9 million during the three and six months ended June 30, 2024, respectively, and $0.4 million and $0.7 million during the three and six months ended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components of net realized investment losses: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20" w:type="dxa"/>
            <w:vAlign w:val="bottom"/>
          </w:tcPr>
          <w:p>
            <w:pPr>
              <w:spacing w:after="0"/>
              <w:rPr>
                <w:sz w:val="16"/>
                <w:szCs w:val="16"/>
                <w:color w:val="auto"/>
              </w:rPr>
            </w:pPr>
          </w:p>
        </w:tc>
      </w:tr>
      <w:tr>
        <w:trPr>
          <w:trHeight w:val="24"/>
        </w:trPr>
        <w:tc>
          <w:tcPr>
            <w:tcW w:w="4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5"/>
        </w:trPr>
        <w:tc>
          <w:tcPr>
            <w:tcW w:w="4940" w:type="dxa"/>
            <w:vAlign w:val="bottom"/>
          </w:tcPr>
          <w:p>
            <w:pPr>
              <w:spacing w:after="0"/>
              <w:rPr>
                <w:sz w:val="16"/>
                <w:szCs w:val="16"/>
                <w:color w:val="auto"/>
              </w:rPr>
            </w:pPr>
          </w:p>
        </w:tc>
        <w:tc>
          <w:tcPr>
            <w:tcW w:w="10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191"/>
        </w:trPr>
        <w:tc>
          <w:tcPr>
            <w:tcW w:w="4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investment gains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r>
      <w:tr>
        <w:trPr>
          <w:trHeight w:val="22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investment losses</w:t>
            </w:r>
          </w:p>
        </w:tc>
        <w:tc>
          <w:tcPr>
            <w:tcW w:w="106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42"/>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us to determine the fair value of our financial instruments:</w:t>
      </w:r>
    </w:p>
    <w:p>
      <w:pPr>
        <w:spacing w:after="0" w:line="16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6"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8"/>
          <w:szCs w:val="18"/>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116"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0"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Assets Classified as Level 1 and Level 2</w:t>
      </w:r>
    </w:p>
    <w:p>
      <w:pPr>
        <w:spacing w:after="0" w:line="164"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the level within the fair value hierarchy at which our financial instruments were measured: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19"/>
              <w:spacing w:after="0" w:line="12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39"/>
              <w:spacing w:after="0" w:line="127"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123,983</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123,983</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622,616</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1,643,134</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42,985</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150,901</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274,884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2,308,735</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2,583,619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19"/>
              <w:spacing w:after="0" w:line="12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39"/>
              <w:spacing w:after="0" w:line="125"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39"/>
              <w:spacing w:after="0" w:line="13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3"/>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00" w:type="dxa"/>
            <w:vAlign w:val="bottom"/>
          </w:tcPr>
          <w:p>
            <w:pPr>
              <w:spacing w:after="0"/>
              <w:rPr>
                <w:sz w:val="11"/>
                <w:szCs w:val="11"/>
                <w:color w:val="auto"/>
              </w:rPr>
            </w:pPr>
          </w:p>
        </w:tc>
        <w:tc>
          <w:tcPr>
            <w:tcW w:w="1420" w:type="dxa"/>
            <w:vAlign w:val="bottom"/>
            <w:gridSpan w:val="2"/>
          </w:tcPr>
          <w:p>
            <w:pPr>
              <w:jc w:val="center"/>
              <w:ind w:right="520"/>
              <w:spacing w:after="0" w:line="13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0" w:type="dxa"/>
            <w:vAlign w:val="bottom"/>
          </w:tcPr>
          <w:p>
            <w:pPr>
              <w:spacing w:after="0"/>
              <w:rPr>
                <w:sz w:val="16"/>
                <w:szCs w:val="16"/>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166,388</w:t>
            </w: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166,388</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621,130</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1,511,479</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120,502</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286,890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2,180,820</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2,467,710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There were no transfers between Level 2 and Level 3 of the fair value hierarchy during the six months ended June 30, 2024 or the year ended December 31, 2023.</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May 21, 2024, we issued $425 million aggregate principal amount of senior unsecured notes that mature on August 15, 2029 (the 2024 Notes). Proceeds from the 2024 Notes offering were primarily used to repay our then outstanding $400 million senior secured notes (the 2020 Notes). At June 30, 2024, the 2024 Notes were carried at a cost of $414.2 million, net of unamortized debt issuance costs and an original issue discount totaling $10.8 million, and had a fair value of $421.6 million as assessed under our Level 2 hierarchy. At December 31, 2023, the 2020 Notes were carried at a cost of $397.6 million, net of unamortized debt issuance costs of $2.4 million, and had a fair value of $401.9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At June 30, 2024, we had $425 million aggregate principal amount of senior unsecured notes outstanding. The 2024 Notes were issued pursuant to an indenture dated May 21, 2024 and bear interest at a rate of 6.00%, payable semi-annually on February 15 and August 15. Proceeds from the 2024 Notes offering were primarily used to repay the $400 million aggregate principal amount outstanding and associated amounts due on the redemption of the 2020 Notes. Remaining proceeds are available for general corporate purposes.</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2024 Notes mature on August 15, 2029. We may elect to redeem the 2024 Notes in whole or in part at any time prior to July 15, 2029 at a price equal to the greater of (1) the aggregate principal balance outstanding plus the present value of all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future interest payments due through July 15, 2029, and (2) the aggregate principal balance due plus any accrued and unpaid interest. We may elect to redeem the 2024 Notes in whole or in part at any time on or after July 15, 2029 at a price equal to 100% of the aggregate principal amount of the 2024 Notes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plus accrued and unpaid interest thereon</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connection with the 2024 Notes offering, we recorded capitalized debt issuance costs and an original issue discount of $10.9 million. Such amounts will be amortized over the contractual life of the 2024 Notes using the effective interest method. The effective interest rate on the 2024 Notes is 6.583%. At June 30, 2024, $10.8 million of unamortized debt issuance costs and original issue discounts remained. At December 31, 2023, $2.4 million of unamortized debt issuance costs remained related to the 2020 Notes.</w:t>
      </w:r>
    </w:p>
    <w:p>
      <w:pPr>
        <w:spacing w:after="0" w:line="128"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During the six months ended June 30, 2024, we recorded a $6.8 million loss related to the redemption of the 2020 Notes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on our condensed consolidated statements of comprehensive income.</w:t>
      </w:r>
    </w:p>
    <w:p>
      <w:pPr>
        <w:spacing w:after="0" w:line="111"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At June 30, 2024 and December 31, 2023, $2.8 million and $2.5 million, respectively, of accrued and unpaid interest was included in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Payable and Accrued Expenses” </w:t>
      </w:r>
      <w:r>
        <w:rPr>
          <w:rFonts w:ascii="Times New Roman" w:cs="Times New Roman" w:eastAsia="Times New Roman" w:hAnsi="Times New Roman"/>
          <w:sz w:val="18"/>
          <w:szCs w:val="18"/>
          <w:color w:val="auto"/>
        </w:rPr>
        <w:t>on our condensed consolidated balance sheets.</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(SOFR) (as defined in the 2024 Revolving Credit Facility) plus a margin of 1.375% to 2.875% per annum, with the margin in each of (i) or (ii) based on our applicable corporate credit rating at the time. As of June 30, 2024 and December 31, 2023, no amounts were drawn under the 2024 or 2021 Revolving Credit Facilities, respectively.</w:t>
      </w:r>
    </w:p>
    <w:p>
      <w:pPr>
        <w:spacing w:after="0" w:line="13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2024 Revolving Credit Facility, we are required to pay a quarterly commitment fee on the average daily undrawn amount of 0.175% to 0.525%, based on the applicable corporate credit rating at the time. As of June 30, 2024, the applicable commitment fee was 0.225%. For the three and six months ended June 30, 2024, we recorded $0.2 million and $0.3 million, respectively, of commitment fees in interest expense.</w:t>
      </w:r>
    </w:p>
    <w:p>
      <w:pPr>
        <w:spacing w:after="0" w:line="12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June 30, 2024 and December 31, 2023, unamortized deferred debt issuance costs of $2.6 million and $0.8 million, respectively, were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our condensed consolidated balance sheets.</w:t>
      </w:r>
    </w:p>
    <w:p>
      <w:pPr>
        <w:spacing w:after="0" w:line="13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June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Reinsurance</w:t>
      </w:r>
    </w:p>
    <w:p>
      <w:pPr>
        <w:spacing w:after="0" w:line="164"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our reinsurance agreements on premiums written and earned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Pr>
          <w:p>
            <w:pPr>
              <w:spacing w:after="0"/>
              <w:rPr>
                <w:sz w:val="16"/>
                <w:szCs w:val="16"/>
                <w:color w:val="auto"/>
              </w:rPr>
            </w:pP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4"/>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166,183</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151,992</w:t>
            </w:r>
          </w:p>
        </w:tc>
        <w:tc>
          <w:tcPr>
            <w:tcW w:w="8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329,390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300,924</w:t>
            </w:r>
          </w:p>
        </w:tc>
      </w:tr>
      <w:tr>
        <w:trPr>
          <w:trHeight w:val="224"/>
        </w:trPr>
        <w:tc>
          <w:tcPr>
            <w:tcW w:w="534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(32,369)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(34,848)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(65,331)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(70,804)</w:t>
            </w:r>
          </w:p>
        </w:tc>
      </w:tr>
      <w:tr>
        <w:trPr>
          <w:trHeight w:val="217"/>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written</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133,814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117,144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264,059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230,120</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173,633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160,988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343,351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318,892</w:t>
            </w:r>
          </w:p>
        </w:tc>
      </w:tr>
      <w:tr>
        <w:trPr>
          <w:trHeight w:val="224"/>
        </w:trPr>
        <w:tc>
          <w:tcPr>
            <w:tcW w:w="534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(32,465)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(35,003)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7"/>
              </w:rPr>
              <w:t>(65,526)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7"/>
              </w:rPr>
              <w:t>(71,153)</w:t>
            </w:r>
          </w:p>
        </w:tc>
      </w:tr>
      <w:tr>
        <w:trPr>
          <w:trHeight w:val="242"/>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141,168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125,985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277,825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247,739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profit commission.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Excess-of-loss Reinsurance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Insurance-Linked Notes</w:t>
      </w:r>
    </w:p>
    <w:p>
      <w:pPr>
        <w:spacing w:after="0" w:line="164"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NMIC is a party to reinsurance agreements with Oaktown Re III Ltd., Oaktown Re V Ltd., Oaktown Re VI Ltd., and Oaktown Re VII Ltd. (special purpose reinsurance entities collectively referred to as the Oaktown Re Vehicles) effective July 30, 2019,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$5.9 million and $11.8 million during the three and six months ended June 30, 2024, respectively, and $8.8 million and $17.9 million during the three and six months ended June 30, 2023, respectively.</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three and six months ended June 30, 2024 and 2023, as the aggregate first layer risk retention for each applicable agreement was not exhausted during such periods.</w:t>
      </w:r>
    </w:p>
    <w:p>
      <w:pPr>
        <w:spacing w:after="0" w:line="126"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ten-years (in the case of the notes issued by Oaktown Re III Ltd. and Oaktown Re V Ltd.) and 12.5 years (in the case of the notes issued by Oaktown Re VI Ltd. and Oaktown Re VII Ltd.) from the inception date of their associated reinsurance agreement. We refer to NMIC’s reinsurance agreements with and the insurance-linked note issuances by Oaktown Re Vehicles individually as the 2019 ILN Transaction, 2020-2 ILN Transaction, 2021-1 ILN Transaction, and 2021-2 ILN Transaction, and collectively as the ILN Transactions.</w:t>
      </w:r>
    </w:p>
    <w:p>
      <w:pPr>
        <w:spacing w:after="0" w:line="11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respective reinsurance coverage amounts provided by the Oaktown Re Vehicles decrease (over a ten-year period in the case of Oaktown Re III Ltd. and Oaktown Re V Ltd. and 12.5-year period in the case of Oaktown Re VI Ltd. and Oaktown Re 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insurance-linked note principal is suspended if certain credit enhancement or delinquency thresholds, as defined in each agreement, are triggered (each, a Lock-Out Event).</w:t>
      </w:r>
    </w:p>
    <w:p>
      <w:pPr>
        <w:spacing w:after="0" w:line="11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June 30,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 First</w:t>
            </w:r>
          </w:p>
        </w:tc>
        <w:tc>
          <w:tcPr>
            <w:tcW w:w="120" w:type="dxa"/>
            <w:vAlign w:val="bottom"/>
          </w:tcPr>
          <w:p>
            <w:pPr>
              <w:spacing w:after="0"/>
              <w:rPr>
                <w:sz w:val="13"/>
                <w:szCs w:val="13"/>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Current First</w:t>
            </w:r>
          </w:p>
        </w:tc>
        <w:tc>
          <w:tcPr>
            <w:tcW w:w="0" w:type="dxa"/>
            <w:vAlign w:val="bottom"/>
          </w:tcPr>
          <w:p>
            <w:pPr>
              <w:spacing w:after="0"/>
              <w:rPr>
                <w:sz w:val="1"/>
                <w:szCs w:val="1"/>
                <w:color w:val="auto"/>
              </w:rPr>
            </w:pPr>
          </w:p>
        </w:tc>
      </w:tr>
      <w:tr>
        <w:trPr>
          <w:trHeight w:val="143"/>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 values in thousands)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3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3"/>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120" w:type="dxa"/>
            <w:vAlign w:val="bottom"/>
          </w:tcPr>
          <w:p>
            <w:pPr>
              <w:spacing w:after="0"/>
              <w:rPr>
                <w:sz w:val="12"/>
                <w:szCs w:val="12"/>
                <w:color w:val="auto"/>
              </w:rPr>
            </w:pPr>
          </w:p>
        </w:tc>
        <w:tc>
          <w:tcPr>
            <w:tcW w:w="1100" w:type="dxa"/>
            <w:vAlign w:val="bottom"/>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4"/>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ILN Transaction</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July 30, 2019</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6/1/2018 – 6/30/2019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121,588</w:t>
            </w: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2020-2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29, 2020</w:t>
            </w:r>
          </w:p>
        </w:tc>
        <w:tc>
          <w:tcPr>
            <w:tcW w:w="2320" w:type="dxa"/>
            <w:vAlign w:val="bottom"/>
            <w:gridSpan w:val="2"/>
          </w:tcPr>
          <w:p>
            <w:pPr>
              <w:jc w:val="center"/>
              <w:ind w:right="160"/>
              <w:spacing w:after="0" w:line="224" w:lineRule="exact"/>
              <w:rPr>
                <w:sz w:val="20"/>
                <w:szCs w:val="20"/>
                <w:color w:val="auto"/>
              </w:rPr>
            </w:pPr>
            <w:r>
              <w:rPr>
                <w:rFonts w:ascii="Times New Roman" w:cs="Times New Roman" w:eastAsia="Times New Roman" w:hAnsi="Times New Roman"/>
                <w:sz w:val="18"/>
                <w:szCs w:val="18"/>
                <w:color w:val="auto"/>
                <w:w w:val="95"/>
              </w:rPr>
              <w:t xml:space="preserve">4/1/2020 – 9/30/2020 </w:t>
            </w:r>
            <w:r>
              <w:rPr>
                <w:rFonts w:ascii="Times New Roman" w:cs="Times New Roman" w:eastAsia="Times New Roman" w:hAnsi="Times New Roman"/>
                <w:sz w:val="22"/>
                <w:szCs w:val="22"/>
                <w:color w:val="auto"/>
                <w:w w:val="95"/>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121,015</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2021-1 ILN Transaction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April 27, 2021</w:t>
            </w:r>
          </w:p>
        </w:tc>
        <w:tc>
          <w:tcPr>
            <w:tcW w:w="2320" w:type="dxa"/>
            <w:vAlign w:val="bottom"/>
            <w:gridSpan w:val="2"/>
            <w:shd w:val="clear" w:color="auto" w:fill="CCEEFF"/>
          </w:tcPr>
          <w:p>
            <w:pPr>
              <w:jc w:val="center"/>
              <w:ind w:right="140"/>
              <w:spacing w:after="0" w:line="224" w:lineRule="exact"/>
              <w:rPr>
                <w:sz w:val="20"/>
                <w:szCs w:val="20"/>
                <w:color w:val="auto"/>
              </w:rPr>
            </w:pPr>
            <w:r>
              <w:rPr>
                <w:rFonts w:ascii="Times New Roman" w:cs="Times New Roman" w:eastAsia="Times New Roman" w:hAnsi="Times New Roman"/>
                <w:sz w:val="18"/>
                <w:szCs w:val="18"/>
                <w:color w:val="auto"/>
                <w:w w:val="95"/>
              </w:rPr>
              <w:t xml:space="preserve">10/1/2020 – 3/31/2021 </w:t>
            </w:r>
            <w:r>
              <w:rPr>
                <w:rFonts w:ascii="Times New Roman" w:cs="Times New Roman" w:eastAsia="Times New Roman" w:hAnsi="Times New Roman"/>
                <w:sz w:val="22"/>
                <w:szCs w:val="22"/>
                <w:color w:val="auto"/>
                <w:w w:val="95"/>
                <w:vertAlign w:val="superscript"/>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163,321</w:t>
            </w:r>
          </w:p>
        </w:tc>
        <w:tc>
          <w:tcPr>
            <w:tcW w:w="0" w:type="dxa"/>
            <w:vAlign w:val="bottom"/>
          </w:tcPr>
          <w:p>
            <w:pPr>
              <w:spacing w:after="0"/>
              <w:rPr>
                <w:sz w:val="1"/>
                <w:szCs w:val="1"/>
                <w:color w:val="auto"/>
              </w:rPr>
            </w:pPr>
          </w:p>
        </w:tc>
      </w:tr>
      <w:tr>
        <w:trPr>
          <w:trHeight w:val="30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2021-2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26, 2021</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 xml:space="preserve">4/1/2021 – 9/30/2021 </w:t>
            </w:r>
            <w:r>
              <w:rPr>
                <w:rFonts w:ascii="Times New Roman" w:cs="Times New Roman" w:eastAsia="Times New Roman" w:hAnsi="Times New Roman"/>
                <w:sz w:val="22"/>
                <w:szCs w:val="22"/>
                <w:color w:val="auto"/>
                <w:w w:val="95"/>
                <w:vertAlign w:val="superscript"/>
              </w:rPr>
              <w:t>(4)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145,549</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4"/>
        <w:spacing w:after="0" w:line="254" w:lineRule="auto"/>
        <w:tabs>
          <w:tab w:leader="none" w:pos="39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4"/>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4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our ILN Transactions, we are required to maintain a certain level of restricted funds in premium deposit accounts with Bank of New York Mellon until the respective notes have been redeemed in full.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on our condensed consolidated balance sheets includes restricted amounts of $1.2 million and $1.3 million as of June 30, 2024 and December 31, 2023, respectively. The restricted balances required under these transactions will decline over time as the outstanding principal balance of the respective insurance-linked notes are amortized.</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Traditional Reinsurance</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is party to six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and the 2024 XOL Transaction, effective January 1, 2024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3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Under the terms of the XOL Transactions, NMIC makes risk premium payments to its third-party reinsurance providers for the outstanding reinsurance coverage amount and ceded aggregate premiums of $9.4 million and $18.6 million during the three and six months ended June 30, 2024, respectively, and $7.7 million and $14.9 million during the three and six months ended June 30, 2023, respectively. NMIC applies claims paid on covered policies against its first layer aggregate retained loss exposure under each agreement. NMIC did not cede any incurred losses on covered policies under the XOL Transactions during the three and six months ended June 30, 2024 and 2023, as the aggregate first layer risk retention for each agreement was not exhausted during such periods.</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Each of the third-party reinsurance providers that is party to the XOL Transactions has an insurer financial strength rating of A- or better by S&amp;P Global Ratings (S&amp;P), A.M. Best Company Inc. (A.M. Best) or both.</w:t>
      </w:r>
    </w:p>
    <w:p>
      <w:pPr>
        <w:spacing w:after="0" w:line="11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June 30,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 First</w:t>
            </w:r>
          </w:p>
        </w:tc>
        <w:tc>
          <w:tcPr>
            <w:tcW w:w="12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Current First</w:t>
            </w:r>
          </w:p>
        </w:tc>
        <w:tc>
          <w:tcPr>
            <w:tcW w:w="0" w:type="dxa"/>
            <w:vAlign w:val="bottom"/>
          </w:tcPr>
          <w:p>
            <w:pPr>
              <w:spacing w:after="0"/>
              <w:rPr>
                <w:sz w:val="1"/>
                <w:szCs w:val="1"/>
                <w:color w:val="auto"/>
              </w:rPr>
            </w:pPr>
          </w:p>
        </w:tc>
      </w:tr>
      <w:tr>
        <w:trPr>
          <w:trHeight w:val="143"/>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5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6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10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2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4"/>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2022-1 XOL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April 1, 2022</w:t>
            </w:r>
          </w:p>
        </w:tc>
        <w:tc>
          <w:tcPr>
            <w:tcW w:w="2400" w:type="dxa"/>
            <w:vAlign w:val="bottom"/>
            <w:tcBorders>
              <w:top w:val="single" w:sz="8" w:color="auto"/>
            </w:tcBorders>
            <w:shd w:val="clear" w:color="auto" w:fill="CCEEFF"/>
          </w:tcPr>
          <w:p>
            <w:pPr>
              <w:jc w:val="center"/>
              <w:spacing w:after="0" w:line="224" w:lineRule="exact"/>
              <w:rPr>
                <w:sz w:val="20"/>
                <w:szCs w:val="20"/>
                <w:color w:val="auto"/>
              </w:rPr>
            </w:pPr>
            <w:r>
              <w:rPr>
                <w:rFonts w:ascii="Times New Roman" w:cs="Times New Roman" w:eastAsia="Times New Roman" w:hAnsi="Times New Roman"/>
                <w:sz w:val="18"/>
                <w:szCs w:val="18"/>
                <w:color w:val="auto"/>
                <w:w w:val="95"/>
              </w:rPr>
              <w:t xml:space="preserve">10/1/2021 – 3/31/2022 </w:t>
            </w:r>
            <w:r>
              <w:rPr>
                <w:rFonts w:ascii="Times New Roman" w:cs="Times New Roman" w:eastAsia="Times New Roman" w:hAnsi="Times New Roman"/>
                <w:sz w:val="22"/>
                <w:szCs w:val="22"/>
                <w:color w:val="auto"/>
                <w:w w:val="95"/>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132,863</w:t>
            </w:r>
          </w:p>
        </w:tc>
        <w:tc>
          <w:tcPr>
            <w:tcW w:w="0" w:type="dxa"/>
            <w:vAlign w:val="bottom"/>
          </w:tcPr>
          <w:p>
            <w:pPr>
              <w:spacing w:after="0"/>
              <w:rPr>
                <w:sz w:val="1"/>
                <w:szCs w:val="1"/>
                <w:color w:val="auto"/>
              </w:rPr>
            </w:pPr>
          </w:p>
        </w:tc>
      </w:tr>
      <w:tr>
        <w:trPr>
          <w:trHeight w:val="22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2022-2 XOL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July 1, 2022</w:t>
            </w:r>
          </w:p>
        </w:tc>
        <w:tc>
          <w:tcPr>
            <w:tcW w:w="2500" w:type="dxa"/>
            <w:vAlign w:val="bottom"/>
            <w:gridSpan w:val="2"/>
          </w:tcPr>
          <w:p>
            <w:pPr>
              <w:jc w:val="center"/>
              <w:ind w:right="120"/>
              <w:spacing w:after="0" w:line="224" w:lineRule="exact"/>
              <w:rPr>
                <w:sz w:val="20"/>
                <w:szCs w:val="20"/>
                <w:color w:val="auto"/>
              </w:rPr>
            </w:pPr>
            <w:r>
              <w:rPr>
                <w:rFonts w:ascii="Times New Roman" w:cs="Times New Roman" w:eastAsia="Times New Roman" w:hAnsi="Times New Roman"/>
                <w:sz w:val="18"/>
                <w:szCs w:val="18"/>
                <w:color w:val="auto"/>
                <w:w w:val="96"/>
              </w:rPr>
              <w:t xml:space="preserve">4/1/2022 – 6/30/2022 </w:t>
            </w:r>
            <w:r>
              <w:rPr>
                <w:rFonts w:ascii="Times New Roman" w:cs="Times New Roman" w:eastAsia="Times New Roman" w:hAnsi="Times New Roman"/>
                <w:sz w:val="22"/>
                <w:szCs w:val="22"/>
                <w:color w:val="auto"/>
                <w:w w:val="96"/>
                <w:vertAlign w:val="superscript"/>
              </w:rPr>
              <w:t>(3)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78,518</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2022-3 XOL Transaction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October 1, 2022</w:t>
            </w:r>
          </w:p>
        </w:tc>
        <w:tc>
          <w:tcPr>
            <w:tcW w:w="2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7/1/2022 – 9/30/2022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105,961</w:t>
            </w:r>
          </w:p>
        </w:tc>
        <w:tc>
          <w:tcPr>
            <w:tcW w:w="0" w:type="dxa"/>
            <w:vAlign w:val="bottom"/>
          </w:tcPr>
          <w:p>
            <w:pPr>
              <w:spacing w:after="0"/>
              <w:rPr>
                <w:sz w:val="1"/>
                <w:szCs w:val="1"/>
                <w:color w:val="auto"/>
              </w:rPr>
            </w:pPr>
          </w:p>
        </w:tc>
      </w:tr>
      <w:tr>
        <w:trPr>
          <w:trHeight w:val="22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2023-1 XOL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January 1, 2023</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10/1/2022 – 6/30/2023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146,218</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2023-2 XOL Transaction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July 1, 2023</w:t>
            </w:r>
          </w:p>
        </w:tc>
        <w:tc>
          <w:tcPr>
            <w:tcW w:w="2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7/1/2023 – 12/31/2023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0" w:type="dxa"/>
            <w:vAlign w:val="bottom"/>
          </w:tcPr>
          <w:p>
            <w:pPr>
              <w:spacing w:after="0"/>
              <w:rPr>
                <w:sz w:val="1"/>
                <w:szCs w:val="1"/>
                <w:color w:val="auto"/>
              </w:rPr>
            </w:pPr>
          </w:p>
        </w:tc>
      </w:tr>
      <w:tr>
        <w:trPr>
          <w:trHeight w:val="30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2024 XOL Transaction </w:t>
            </w:r>
            <w:r>
              <w:rPr>
                <w:rFonts w:ascii="Times New Roman" w:cs="Times New Roman" w:eastAsia="Times New Roman" w:hAnsi="Times New Roman"/>
                <w:sz w:val="22"/>
                <w:szCs w:val="22"/>
                <w:color w:val="auto"/>
                <w:vertAlign w:val="superscript"/>
              </w:rPr>
              <w:t>(4)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January 1, 2024</w:t>
            </w:r>
          </w:p>
        </w:tc>
        <w:tc>
          <w:tcPr>
            <w:tcW w:w="2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1/1/2024 – 12/31/2024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151,609</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20" w:hanging="314"/>
        <w:spacing w:after="0" w:line="254" w:lineRule="auto"/>
        <w:tabs>
          <w:tab w:leader="none" w:pos="38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4"/>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10" w:lineRule="exact"/>
        <w:rPr>
          <w:rFonts w:ascii="Times New Roman" w:cs="Times New Roman" w:eastAsia="Times New Roman" w:hAnsi="Times New Roman"/>
          <w:sz w:val="14"/>
          <w:szCs w:val="14"/>
          <w:color w:val="auto"/>
        </w:rPr>
      </w:pPr>
    </w:p>
    <w:p>
      <w:pPr>
        <w:ind w:left="320" w:hanging="314"/>
        <w:spacing w:after="0" w:line="271" w:lineRule="auto"/>
        <w:tabs>
          <w:tab w:leader="none" w:pos="3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reinsurance coverage, current reinsurance coverage, initial first layer retained loss and current first layer retained loss for the 2024 XOL Transaction will increase as incremental covered production is ceded under the transaction through December 31, 2024.</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Quota Share Reinsurance</w:t>
      </w:r>
    </w:p>
    <w:p>
      <w:pPr>
        <w:spacing w:after="0" w:line="16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is party to eight quota share reinsurance treaties – the 2016 QSR Transaction, effective September 1, 2016 and as modified April 1, 2019, the 2018 QSR Transaction, effective January 1, 2018, the 2020 QSR Transaction, effective April 1, 2020 and as amended January 1, 2024, the 2021 QSR Transaction, effective January 1, 2021, the 2022 QSR Transaction, effective October 1, 2021, the 2022 Seasoned QSR Transaction, effective July 1, 2022, the 2023 QSR Transaction, effective January 1, 2023 and the 2024 QSR Transaction, effective January 1, 2024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3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Under the terms of the 2016 QSR Transaction, NMIC cedes premiums written related to 20.5% of the risk on eligible primary policies written for all periods through December 31, 2017 and 100% of the risk under our pool agreement with Fannie Mae. </w:t>
      </w:r>
      <w:r>
        <w:rPr>
          <w:rFonts w:ascii="Times New Roman" w:cs="Times New Roman" w:eastAsia="Times New Roman" w:hAnsi="Times New Roman"/>
          <w:sz w:val="18"/>
          <w:szCs w:val="18"/>
          <w:color w:val="212529"/>
        </w:rPr>
        <w:t>The 2016 QSR Transaction is scheduled to terminate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December 31, 2027, except with respect to the ceded pool risk, which expired on August 31, 2023. NMIC has the option, based on certain conditions and subject to a termination fee, to terminate the agreement as of December 31, 2020, or at the end of any calendar quarter thereafter, which could result in NMIC recapturing the related risk.</w:t>
      </w:r>
    </w:p>
    <w:p>
      <w:pPr>
        <w:spacing w:after="0" w:line="13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could result in NMIC recapturing the related risk.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2020 QSR Transaction, NMIC cedes premiums earned related to 21% of the risk on eligible policies written between April 1, 2020 and December 31, 2020. The 2020 QSR Transaction is scheduled to terminate on December 31, 2030. NMIC had the option, based on certain conditions and subject to a termination fee, to terminate the agreement as of December 31, 2025, or at the end of any calendar quarter thereafter, which could result in NMIC recapturing the related risk.</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could result in NMIC recapturing the related risk.</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2024 or semi-annually thereafter, which could result in NMIC recapturing the related risk.</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 with the payment of a termination fee, and as of March 31, 2028 or quarterly thereafter without the payment of a termination fee. Such termination could result in NMIC recapturing the related risk.</w:t>
      </w:r>
    </w:p>
    <w:p>
      <w:pPr>
        <w:spacing w:after="0" w:line="13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2023 QSR Transaction, NMIC cedes premiums earned related to 20% of the risk on eligible policies written in 2023. The 2023 QSR Transaction is scheduled to terminate on December 31, 2033. NMIC has the option, based on certain conditions and subject to a termination fee, to terminate the agreement as of December 31, 2025 or semi-annually thereafter, which could result in NMIC recapturing the related risk.</w:t>
      </w:r>
    </w:p>
    <w:p>
      <w:pPr>
        <w:spacing w:after="0" w:line="113" w:lineRule="exact"/>
        <w:rPr>
          <w:sz w:val="20"/>
          <w:szCs w:val="20"/>
          <w:color w:val="auto"/>
        </w:rPr>
      </w:pPr>
    </w:p>
    <w:p>
      <w:pPr>
        <w:jc w:val="both"/>
        <w:ind w:firstLine="633"/>
        <w:spacing w:after="0" w:line="287" w:lineRule="auto"/>
        <w:rPr>
          <w:sz w:val="20"/>
          <w:szCs w:val="20"/>
          <w:color w:val="auto"/>
        </w:rPr>
      </w:pPr>
      <w:r>
        <w:rPr>
          <w:rFonts w:ascii="Times New Roman" w:cs="Times New Roman" w:eastAsia="Times New Roman" w:hAnsi="Times New Roman"/>
          <w:sz w:val="16"/>
          <w:szCs w:val="16"/>
          <w:color w:val="auto"/>
        </w:rPr>
        <w:t>Under the terms of the 2024 QSR Transaction, NMIC cedes premiums earned related to 20% of the risk on eligible policies written in 2024. The 2024 QSR Transaction is scheduled to terminate on December 31, 2034. NMIC has the option, based on certain conditions and subject to a termination fee, to terminate the agreement as of December 31, 2027, or at the end of any calendar quarter thereafter, which could result in NMIC recapturing the related risk.</w:t>
      </w:r>
    </w:p>
    <w:p>
      <w:pPr>
        <w:spacing w:after="0" w:line="10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amounts related to the QSR Transactions: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00" w:type="dxa"/>
            <w:vAlign w:val="bottom"/>
          </w:tcPr>
          <w:p>
            <w:pPr>
              <w:spacing w:after="0"/>
              <w:rPr>
                <w:sz w:val="16"/>
                <w:szCs w:val="16"/>
                <w:color w:val="auto"/>
              </w:rPr>
            </w:pPr>
          </w:p>
        </w:tc>
        <w:tc>
          <w:tcPr>
            <w:tcW w:w="272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r>
      <w:tr>
        <w:trPr>
          <w:trHeight w:val="24"/>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1"/>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97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risk-in-force</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12,815,434</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12,761,294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12,815,434</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12,761,294</w:t>
            </w: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(84,098)</w:t>
            </w: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claims and claim (benefits)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521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Ceding commission earned</w:t>
            </w:r>
          </w:p>
        </w:tc>
        <w:tc>
          <w:tcPr>
            <w:tcW w:w="22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10,222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20,514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19,842</w:t>
            </w: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commission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24,351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47,758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Ceded premiums written under the 2016 QSR Transaction are recorded as prepaid reinsurance premiums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our consolidated balance sheets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and the 2020 QSR Transaction under which it receives a 36% ceding commission. NMIC also receives a profit commission under each of the QSR Transactions, provided that the loss ratios on loans covered under the 2016, 2018, 2020, 2021, 2022, 2022 Seasoned, 2023 and 2024 QSR Transactions, generally remain below 60%, 61%, 50%, 57.5%, 62%, 55%, 62% and 56%, respectively, as measured annually. Ceded claims and claim expenses under each of the QSR Transactions reduce the respective profit commission received by NMIC on a dollar-for-dollar basis.</w:t>
      </w:r>
    </w:p>
    <w:p>
      <w:pPr>
        <w:spacing w:after="0" w:line="137"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are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$1.4 million and $1.7 million as of June 30, 2024 and December 31, 2023, respectively.</w:t>
      </w:r>
    </w:p>
    <w:p>
      <w:pPr>
        <w:spacing w:after="0" w:line="10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In accordance with the terms of the 2018, 2020, 2021, 2022, 2022 Seasoned, 2023 and 2024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2022 Seasoned, 2023, and 2024 QSR Transactions was $25.9 million and $25.8 million as of June 30, 2024 and December 31, 2023, respectively.</w:t>
      </w:r>
    </w:p>
    <w:p>
      <w:pPr>
        <w:spacing w:after="0" w:line="13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June 30, 2024 and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Reserves for Insurance Claims and Claim Expenses</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June 30, 2024, we held gross reserves for insurance claims and claim expenses of $125.4 million. During the six months ended June 30, 2024, we paid 101 claims totaling $3.0 million, including 97 claims covered under the QSR Transactions representing $0.7 million of ceded claims and claim expenses.</w:t>
      </w:r>
    </w:p>
    <w:p>
      <w:pPr>
        <w:spacing w:after="0" w:line="13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had 4,904 loans in default in our primary insured portfolio as of June 30, 2024, which represented a 0.76% default rate against 645,276 total policies in-force and 5,099 loans in default in our primary portfolio as of December 31, 2023, which represented a 0.81% default rate against 629,690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gross reserve balances for primary insurance claims and claim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Pr>
          <w:p>
            <w:pPr>
              <w:spacing w:after="0"/>
              <w:rPr>
                <w:sz w:val="16"/>
                <w:szCs w:val="16"/>
                <w:color w:val="auto"/>
              </w:rPr>
            </w:pPr>
          </w:p>
        </w:tc>
      </w:tr>
      <w:tr>
        <w:trPr>
          <w:trHeight w:val="24"/>
        </w:trPr>
        <w:tc>
          <w:tcPr>
            <w:tcW w:w="7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5"/>
        </w:trPr>
        <w:tc>
          <w:tcPr>
            <w:tcW w:w="7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r>
      <w:tr>
        <w:trPr>
          <w:trHeight w:val="191"/>
        </w:trPr>
        <w:tc>
          <w:tcPr>
            <w:tcW w:w="7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20" w:type="dxa"/>
            <w:vAlign w:val="bottom"/>
            <w:gridSpan w:val="3"/>
          </w:tcPr>
          <w:p>
            <w:pPr>
              <w:jc w:val="right"/>
              <w:ind w:right="57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6"/>
                <w:szCs w:val="16"/>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99,836</w:t>
            </w:r>
          </w:p>
        </w:tc>
      </w:tr>
      <w:tr>
        <w:trPr>
          <w:trHeight w:val="224"/>
        </w:trPr>
        <w:tc>
          <w:tcPr>
            <w:tcW w:w="77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w:t>
            </w:r>
          </w:p>
        </w:tc>
      </w:tr>
      <w:tr>
        <w:trPr>
          <w:trHeight w:val="21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78,249</w:t>
            </w:r>
          </w:p>
        </w:tc>
      </w:tr>
      <w:tr>
        <w:trPr>
          <w:trHeight w:val="244"/>
        </w:trPr>
        <w:tc>
          <w:tcPr>
            <w:tcW w:w="7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4"/>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70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44,870</w:t>
            </w:r>
          </w:p>
        </w:tc>
      </w:tr>
      <w:tr>
        <w:trPr>
          <w:trHeight w:val="224"/>
        </w:trPr>
        <w:tc>
          <w:tcPr>
            <w:tcW w:w="770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(35,296)</w:t>
            </w:r>
          </w:p>
        </w:tc>
      </w:tr>
      <w:tr>
        <w:trPr>
          <w:trHeight w:val="21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r>
      <w:tr>
        <w:trPr>
          <w:trHeight w:val="125"/>
        </w:trPr>
        <w:tc>
          <w:tcPr>
            <w:tcW w:w="7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4"/>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770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7700" w:type="dxa"/>
            <w:vAlign w:val="bottom"/>
            <w:tcBorders>
              <w:bottom w:val="single" w:sz="8" w:color="CCEEFF"/>
            </w:tcBorders>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44"/>
        </w:trPr>
        <w:tc>
          <w:tcPr>
            <w:tcW w:w="7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86,425</w:t>
            </w:r>
          </w:p>
        </w:tc>
      </w:tr>
      <w:tr>
        <w:trPr>
          <w:trHeight w:val="224"/>
        </w:trPr>
        <w:tc>
          <w:tcPr>
            <w:tcW w:w="77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24,023</w:t>
            </w:r>
          </w:p>
        </w:tc>
      </w:tr>
      <w:tr>
        <w:trPr>
          <w:trHeight w:val="242"/>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Note 5,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xml:space="preserve"> for additional information.</w:t>
      </w:r>
    </w:p>
    <w:p>
      <w:pPr>
        <w:spacing w:after="0" w:line="15" w:lineRule="exact"/>
        <w:rPr>
          <w:rFonts w:ascii="Times New Roman" w:cs="Times New Roman" w:eastAsia="Times New Roman" w:hAnsi="Times New Roman"/>
          <w:sz w:val="14"/>
          <w:szCs w:val="14"/>
          <w:color w:val="auto"/>
        </w:rPr>
      </w:pPr>
    </w:p>
    <w:p>
      <w:pPr>
        <w:jc w:val="both"/>
        <w:ind w:left="320" w:hanging="314"/>
        <w:spacing w:after="0" w:line="253" w:lineRule="auto"/>
        <w:tabs>
          <w:tab w:leader="none" w:pos="32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$43.1 million attributed to net case reserves and $6.4 million attributed to net IBNR reserves for the six months ended June 30, 2024 and $39.1 million attributed to net case reserves and $5.0 million attributed to net IBNR reserves for the six months ended June 30, 2023.</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3" w:lineRule="auto"/>
        <w:tabs>
          <w:tab w:leader="none" w:pos="3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$39.2 million attributed to net case reserves and $6.3 million attributed to net IBNR reserves for the six months ended June 30, 2024 and $30.3 million attributed to net case reserves and $4.5 million attributed to net IBNR reserves for the six months ended June 30, 2023.</w:t>
      </w:r>
    </w:p>
    <w:p>
      <w:pPr>
        <w:spacing w:after="0" w:line="222"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six months ended June 30, 2024, compared to the same period in the prior year, primarily due to an increase in the total number of new delinquencies emerging during the period tied to the growth and natural seasoning of our portfolio, partially offset by a decrease in the average case reserve established against newly defaulted loans. Our provision for claims and claim expenses during both the six months ended June 30, 2024 and 2023 benefited from favorable development on prior year defaults. We recognized $46.4 million and $35.3 million of favorable prior year development during the six months ended June 30, 2024 and 2023,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$61.4 million related to prior year defaults remained as of June 30,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(EPS)</w:t>
      </w:r>
    </w:p>
    <w:p>
      <w:pPr>
        <w:spacing w:after="0" w:line="1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shares of common stock outstanding used in the computations of basic and diluted EPS of common stock: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6"/>
                <w:szCs w:val="16"/>
                <w:color w:val="auto"/>
              </w:rPr>
            </w:pPr>
          </w:p>
        </w:tc>
        <w:tc>
          <w:tcPr>
            <w:tcW w:w="26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3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4"/>
                <w:szCs w:val="14"/>
                <w:i w:val="1"/>
                <w:iCs w:val="1"/>
                <w:color w:val="auto"/>
              </w:rPr>
              <w:t>(In Thousands, except for per share data)</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92,079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154,742</w:t>
            </w:r>
          </w:p>
        </w:tc>
      </w:tr>
      <w:tr>
        <w:trPr>
          <w:trHeight w:val="264"/>
        </w:trPr>
        <w:tc>
          <w:tcPr>
            <w:tcW w:w="5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80,117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83,277</w:t>
            </w:r>
          </w:p>
        </w:tc>
      </w:tr>
      <w:tr>
        <w:trPr>
          <w:trHeight w:val="224"/>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issuable shares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81,300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4"/>
        </w:trPr>
        <w:tc>
          <w:tcPr>
            <w:tcW w:w="5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64"/>
        </w:trPr>
        <w:tc>
          <w:tcPr>
            <w:tcW w:w="5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64"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pre-tax income was 22.4% and 22.3% for the three and six months ended June 30, 2024, respectively, compared to 22.8% and 22.7% for the three and six months ended June 30, 2023,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spacing w:after="0" w:line="1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six months ended June 30, 2024 and 2023 primarily represents a change in our net deferred tax liability. As of June 30, 2024 and December 31, 2023, we held $235.3 million of tax and loss bonds in </w:t>
      </w:r>
      <w:r>
        <w:rPr>
          <w:rFonts w:ascii="Times New Roman" w:cs="Times New Roman" w:eastAsia="Times New Roman" w:hAnsi="Times New Roman"/>
          <w:sz w:val="18"/>
          <w:szCs w:val="18"/>
          <w:i w:val="1"/>
          <w:iCs w:val="1"/>
          <w:color w:val="auto"/>
        </w:rPr>
        <w:t>“Prepaid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Federal Income Taxes” </w:t>
      </w:r>
      <w:r>
        <w:rPr>
          <w:rFonts w:ascii="Times New Roman" w:cs="Times New Roman" w:eastAsia="Times New Roman" w:hAnsi="Times New Roman"/>
          <w:sz w:val="18"/>
          <w:szCs w:val="18"/>
          <w:color w:val="auto"/>
        </w:rPr>
        <w:t>on our condensed consolidated balance sheets.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initial $125 million share repurchase program through December 31, 2025 to align its remaining tenor with that of the $200 million program.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2024, we repurchased 1.7 million shares at an average price of $30.89 per share (excluding associated costs and applicable taxes). During the year ended December 31, 2023, we repurchased 3.5 million shares at an average price of $25.93 per share (excluding associated costs and applicable taxes). As of June 30, 2024, we had $124.9 million of repurchase authority remaining under our program.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 affect our accrual for probable losses or our estimated disclosure of possible losses and make ongoing adjustments to our accruals and disclosures as appropriate. Significant judgment is required to determine both the likelihood and the estimated amount of potential losses related to such matters.</w:t>
      </w:r>
    </w:p>
    <w:p>
      <w:pPr>
        <w:spacing w:after="0" w:line="13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are currently named as a defendant in a litigation proceeding pertaining to the refund of certain mortgage insurance premiums under the Homeowners Protection Act. The case was dismissed in September 2023 and is currently pending appeal. We do not currently expect that we will incur a material loss in connection with the case and have not recorded a litigation liability for this matter.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Premiums Receivable</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$2.2 million and $2.7 million reserve for premium write-offs at June 30, 2024 and December 31, 2023, respectively.</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June 30, 2024 and December 31,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Regulatory Information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Statutory Requirements</w:t>
      </w:r>
    </w:p>
    <w:p>
      <w:pPr>
        <w:spacing w:after="0" w:line="16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NMIC and Re One generated combined statutory net income of $36.0 million and $70.7 million for the three and six months ended June 30, 2024, respectively, compared to $28.1 million and $49.9 million for the three and six months ended June 30, 2023, respectively.</w:t>
      </w:r>
    </w:p>
    <w:p>
      <w:pPr>
        <w:spacing w:after="0" w:line="11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NMIC's statutory surplus, contingency reserve, statutory capital and risk-to-capital (RTC) ratio as of June 30, 2024 and December 31,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60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5"/>
        </w:trPr>
        <w:tc>
          <w:tcPr>
            <w:tcW w:w="6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20" w:type="dxa"/>
            <w:vAlign w:val="bottom"/>
          </w:tcPr>
          <w:p>
            <w:pPr>
              <w:spacing w:after="0"/>
              <w:rPr>
                <w:sz w:val="16"/>
                <w:szCs w:val="16"/>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surplus</w:t>
            </w:r>
          </w:p>
        </w:tc>
        <w:tc>
          <w:tcPr>
            <w:tcW w:w="1740" w:type="dxa"/>
            <w:vAlign w:val="bottom"/>
            <w:shd w:val="clear" w:color="auto" w:fill="CCEEFF"/>
          </w:tcPr>
          <w:p>
            <w:pPr>
              <w:jc w:val="right"/>
              <w:ind w:right="15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932,419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963,085</w:t>
            </w:r>
          </w:p>
        </w:tc>
      </w:tr>
      <w:tr>
        <w:trPr>
          <w:trHeight w:val="224"/>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w:t>
            </w:r>
          </w:p>
        </w:tc>
        <w:tc>
          <w:tcPr>
            <w:tcW w:w="1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1,573,360</w:t>
            </w:r>
          </w:p>
        </w:tc>
      </w:tr>
      <w:tr>
        <w:trPr>
          <w:trHeight w:val="242"/>
        </w:trPr>
        <w:tc>
          <w:tcPr>
            <w:tcW w:w="6000" w:type="dxa"/>
            <w:vAlign w:val="bottom"/>
            <w:tcBorders>
              <w:bottom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Statutory capital </w:t>
            </w:r>
            <w:r>
              <w:rPr>
                <w:rFonts w:ascii="Times New Roman" w:cs="Times New Roman" w:eastAsia="Times New Roman" w:hAnsi="Times New Roman"/>
                <w:sz w:val="22"/>
                <w:szCs w:val="22"/>
                <w:color w:val="auto"/>
                <w:vertAlign w:val="superscript"/>
              </w:rPr>
              <w:t>(1)</w:t>
            </w:r>
          </w:p>
        </w:tc>
        <w:tc>
          <w:tcPr>
            <w:tcW w:w="1740" w:type="dxa"/>
            <w:vAlign w:val="bottom"/>
            <w:tcBorders>
              <w:bottom w:val="single" w:sz="8" w:color="auto"/>
            </w:tcBorders>
            <w:shd w:val="clear" w:color="auto" w:fill="CCEEFF"/>
          </w:tcPr>
          <w:p>
            <w:pPr>
              <w:jc w:val="right"/>
              <w:ind w:right="155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2,669,539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2,536,445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w:t>
            </w:r>
          </w:p>
        </w:tc>
        <w:tc>
          <w:tcPr>
            <w:tcW w:w="17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bl>
    <w:p>
      <w:pPr>
        <w:spacing w:after="0" w:line="228"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of the statutory surplus and contingency reserve.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 One had $2.1 million and $2.0 million of statutory capital at June 30, 2024 and December 31, 2023, respectively.</w:t>
      </w:r>
    </w:p>
    <w:p>
      <w:pPr>
        <w:spacing w:after="0" w:line="16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116" w:lineRule="exact"/>
        <w:rPr>
          <w:sz w:val="20"/>
          <w:szCs w:val="20"/>
          <w:color w:val="auto"/>
        </w:rPr>
      </w:pPr>
    </w:p>
    <w:p>
      <w:pPr>
        <w:jc w:val="both"/>
        <w:ind w:firstLine="633"/>
        <w:spacing w:after="0" w:line="287" w:lineRule="auto"/>
        <w:rPr>
          <w:sz w:val="20"/>
          <w:szCs w:val="20"/>
          <w:color w:val="auto"/>
        </w:rPr>
      </w:pPr>
      <w:r>
        <w:rPr>
          <w:rFonts w:ascii="Times New Roman" w:cs="Times New Roman" w:eastAsia="Times New Roman" w:hAnsi="Times New Roman"/>
          <w:sz w:val="18"/>
          <w:szCs w:val="18"/>
          <w:color w:val="auto"/>
        </w:rPr>
        <w:t>NMIC and Re One are subject to certain rules and regulations prescribed by jurisdictions in which they are authorized to operate and the GSEs that may restrict their ability to pay dividends to NMIH. NMIC has the capacity to pay $96.3 million of aggregate ordinary dividends to NMIH during the twelve-month period ending December 31, 2024, and on May 30, 2024, NMIC paid a $96.3 million ordinary course dividend to NMIH.</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Effective July 25, 2024, NMIC exercised its optional call to terminate the 2019 ILN Transaction. In connection with the termination of the transaction, NMIC’s excess of loss reinsurance agreement with Oaktown Re III Ltd. was commuted and the insurance-linked notes issued by Oaktown Re III Ltd. were redeemed in full with a distribution of remaining collateral assets.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189"/>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2023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2023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4"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0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2024, we had issued master policies with 2,022 customers, including national and regional mortgage banks, money center banks, credit unions, community banks, builder-owned mortgage lenders, internet-sourced lenders and other non-bank lenders. As of June 30, 2024, we had $203.5 billion of primary insurance-in-force (IIF) and $54.0 billion of primary risk-in-force (RIF).</w:t>
      </w:r>
    </w:p>
    <w:p>
      <w:pPr>
        <w:spacing w:after="0" w:line="135" w:lineRule="exact"/>
        <w:rPr>
          <w:sz w:val="20"/>
          <w:szCs w:val="20"/>
          <w:color w:val="auto"/>
        </w:rPr>
      </w:pPr>
    </w:p>
    <w:p>
      <w:pPr>
        <w:jc w:val="both"/>
        <w:ind w:firstLine="633"/>
        <w:spacing w:after="0" w:line="238" w:lineRule="auto"/>
        <w:rPr>
          <w:sz w:val="20"/>
          <w:szCs w:val="20"/>
          <w:color w:val="auto"/>
        </w:rPr>
      </w:pPr>
      <w:r>
        <w:rPr>
          <w:rFonts w:ascii="Times New Roman" w:cs="Times New Roman" w:eastAsia="Times New Roman" w:hAnsi="Times New Roman"/>
          <w:sz w:val="18"/>
          <w:szCs w:val="18"/>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pricing platform to dynamically evaluate risk and price our policies, and foster a culture of collaboration and excellence that helps us attract and retain experienced industry leaders.</w:t>
      </w:r>
    </w:p>
    <w:p>
      <w:pPr>
        <w:spacing w:after="0" w:line="14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 xml:space="preserve">Our common stock trades on the Nasdaq under the symbol “NMIH.” Our headquarters is located in Emeryville, California. As of June 30, 2024, we had 228 employees. Our corporate website is located at </w:t>
      </w:r>
      <w:r>
        <w:rPr>
          <w:rFonts w:ascii="Times New Roman" w:cs="Times New Roman" w:eastAsia="Times New Roman" w:hAnsi="Times New Roman"/>
          <w:sz w:val="18"/>
          <w:szCs w:val="18"/>
          <w:i w:val="1"/>
          <w:iCs w:val="1"/>
          <w:color w:val="auto"/>
        </w:rPr>
        <w:t>www.nationalmi.com</w:t>
      </w:r>
      <w:r>
        <w:rPr>
          <w:rFonts w:ascii="Times New Roman" w:cs="Times New Roman" w:eastAsia="Times New Roman" w:hAnsi="Times New Roman"/>
          <w:sz w:val="18"/>
          <w:szCs w:val="18"/>
          <w:color w:val="auto"/>
        </w:rPr>
        <w:t>. Our website and the information contained on or accessible through our website are not incorporated by reference into this report.</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jc w:val="center"/>
        <w:ind w:right="7740"/>
        <w:spacing w:after="0"/>
        <w:rPr>
          <w:sz w:val="20"/>
          <w:szCs w:val="20"/>
          <w:color w:val="auto"/>
        </w:rPr>
      </w:pPr>
      <w:r>
        <w:rPr>
          <w:rFonts w:ascii="Times New Roman" w:cs="Times New Roman" w:eastAsia="Times New Roman" w:hAnsi="Times New Roman"/>
          <w:sz w:val="16"/>
          <w:szCs w:val="16"/>
          <w:b w:val="1"/>
          <w:bCs w:val="1"/>
          <w:color w:val="auto"/>
        </w:rPr>
        <w:t>Conditions and Trends Affecting Our Business</w:t>
      </w:r>
    </w:p>
    <w:p>
      <w:pPr>
        <w:spacing w:after="0" w:line="183"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18"/>
          <w:szCs w:val="18"/>
          <w:b w:val="1"/>
          <w:bCs w:val="1"/>
          <w:i w:val="1"/>
          <w:iCs w:val="1"/>
          <w:color w:val="auto"/>
        </w:rPr>
        <w:t>Macroeconomic Developments</w:t>
      </w:r>
    </w:p>
    <w:p>
      <w:pPr>
        <w:spacing w:after="0" w:line="16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New Insurance Written, Insurance-In-Force and Risk-In-Force</w:t>
      </w:r>
    </w:p>
    <w:p>
      <w:pPr>
        <w:spacing w:after="0" w:line="16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Net Premiums Earned</w:t>
      </w:r>
    </w:p>
    <w:p>
      <w:pPr>
        <w:spacing w:after="0" w:line="166" w:lineRule="exact"/>
        <w:rPr>
          <w:sz w:val="20"/>
          <w:szCs w:val="20"/>
          <w:color w:val="auto"/>
        </w:rPr>
      </w:pPr>
    </w:p>
    <w:p>
      <w:pPr>
        <w:jc w:val="both"/>
        <w:ind w:firstLine="633"/>
        <w:spacing w:after="0" w:line="222" w:lineRule="auto"/>
        <w:rPr>
          <w:sz w:val="20"/>
          <w:szCs w:val="20"/>
          <w:color w:val="auto"/>
        </w:rPr>
      </w:pPr>
      <w:r>
        <w:rPr>
          <w:rFonts w:ascii="Times New Roman" w:cs="Times New Roman" w:eastAsia="Times New Roman" w:hAnsi="Times New Roman"/>
          <w:sz w:val="18"/>
          <w:szCs w:val="18"/>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June 2018 to replace our previous rate card pricing system. While most of our new business is priced through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we also continue to offer a rate card pricing option to a limited number of lender customers who require a rate card for operational reasons. We believe the introduction and utilization of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4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26" w:lineRule="exact"/>
        <w:rPr>
          <w:sz w:val="20"/>
          <w:szCs w:val="20"/>
          <w:color w:val="auto"/>
        </w:rPr>
      </w:pPr>
    </w:p>
    <w:p>
      <w:pPr>
        <w:ind w:left="960" w:hanging="32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w:t>
      </w:r>
    </w:p>
    <w:p>
      <w:pPr>
        <w:spacing w:after="0" w:line="162"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and the mix of premium payment type, which are either single, monthly or annual premiums, as described below;</w:t>
      </w:r>
    </w:p>
    <w:p>
      <w:pPr>
        <w:spacing w:after="0" w:line="162"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26"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cession of premiums under third-party reinsurance arrangements.</w:t>
      </w:r>
    </w:p>
    <w:p>
      <w:pPr>
        <w:spacing w:after="0" w:line="162"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Premiums are paid either by the borrower (borrower-paid mortgage insurance or BPMI) or the lender (lender-paid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June 30, 2024 were non-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18"/>
          <w:szCs w:val="18"/>
          <w:color w:val="auto"/>
        </w:rPr>
        <w:t>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Effect of Reinsurance on Our Results</w:t>
      </w:r>
    </w:p>
    <w:p>
      <w:pPr>
        <w:spacing w:after="0" w:line="166"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Excess-of-Loss Reinsurance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Insurance-Linked Notes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30"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respective reinsurance coverage amounts provided by the Oaktown Re Vehicles decrease (over a ten-year period in the case of Oaktown Re III Ltd. and Oaktown Re V Ltd. and 12.5-year period in the case of Oaktown Re VI Ltd. and Oaktown Re VII Ltd.)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spacing w:after="0" w:line="138"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ILN Transaction. Current amounts are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presented as of June 30,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 First</w:t>
            </w:r>
          </w:p>
        </w:tc>
        <w:tc>
          <w:tcPr>
            <w:tcW w:w="120" w:type="dxa"/>
            <w:vAlign w:val="bottom"/>
          </w:tcPr>
          <w:p>
            <w:pPr>
              <w:spacing w:after="0"/>
              <w:rPr>
                <w:sz w:val="13"/>
                <w:szCs w:val="13"/>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Current First</w:t>
            </w:r>
          </w:p>
        </w:tc>
        <w:tc>
          <w:tcPr>
            <w:tcW w:w="0" w:type="dxa"/>
            <w:vAlign w:val="bottom"/>
          </w:tcPr>
          <w:p>
            <w:pPr>
              <w:spacing w:after="0"/>
              <w:rPr>
                <w:sz w:val="1"/>
                <w:szCs w:val="1"/>
                <w:color w:val="auto"/>
              </w:rPr>
            </w:pPr>
          </w:p>
        </w:tc>
      </w:tr>
      <w:tr>
        <w:trPr>
          <w:trHeight w:val="143"/>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4"/>
                <w:szCs w:val="14"/>
                <w:i w:val="1"/>
                <w:iCs w:val="1"/>
                <w:color w:val="auto"/>
              </w:rPr>
              <w:t>$ values in thousands)</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23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3"/>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120" w:type="dxa"/>
            <w:vAlign w:val="bottom"/>
          </w:tcPr>
          <w:p>
            <w:pPr>
              <w:spacing w:after="0"/>
              <w:rPr>
                <w:sz w:val="12"/>
                <w:szCs w:val="12"/>
                <w:color w:val="auto"/>
              </w:rPr>
            </w:pPr>
          </w:p>
        </w:tc>
        <w:tc>
          <w:tcPr>
            <w:tcW w:w="1100" w:type="dxa"/>
            <w:vAlign w:val="bottom"/>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4"/>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ILN Transaction</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July 30, 2019</w:t>
            </w: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6/1/2018 – 6/30/2019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121,588</w:t>
            </w:r>
          </w:p>
        </w:tc>
        <w:tc>
          <w:tcPr>
            <w:tcW w:w="0" w:type="dxa"/>
            <w:vAlign w:val="bottom"/>
          </w:tcPr>
          <w:p>
            <w:pPr>
              <w:spacing w:after="0"/>
              <w:rPr>
                <w:sz w:val="1"/>
                <w:szCs w:val="1"/>
                <w:color w:val="auto"/>
              </w:rPr>
            </w:pPr>
          </w:p>
        </w:tc>
      </w:tr>
      <w:tr>
        <w:trPr>
          <w:trHeight w:val="224"/>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2020-2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29, 2020</w:t>
            </w:r>
          </w:p>
        </w:tc>
        <w:tc>
          <w:tcPr>
            <w:tcW w:w="2320" w:type="dxa"/>
            <w:vAlign w:val="bottom"/>
            <w:gridSpan w:val="2"/>
          </w:tcPr>
          <w:p>
            <w:pPr>
              <w:jc w:val="center"/>
              <w:ind w:right="160"/>
              <w:spacing w:after="0" w:line="224" w:lineRule="exact"/>
              <w:rPr>
                <w:sz w:val="20"/>
                <w:szCs w:val="20"/>
                <w:color w:val="auto"/>
              </w:rPr>
            </w:pPr>
            <w:r>
              <w:rPr>
                <w:rFonts w:ascii="Times New Roman" w:cs="Times New Roman" w:eastAsia="Times New Roman" w:hAnsi="Times New Roman"/>
                <w:sz w:val="18"/>
                <w:szCs w:val="18"/>
                <w:color w:val="auto"/>
                <w:w w:val="95"/>
              </w:rPr>
              <w:t xml:space="preserve">4/1/2020 – 9/30/2020 </w:t>
            </w:r>
            <w:r>
              <w:rPr>
                <w:rFonts w:ascii="Times New Roman" w:cs="Times New Roman" w:eastAsia="Times New Roman" w:hAnsi="Times New Roman"/>
                <w:sz w:val="22"/>
                <w:szCs w:val="22"/>
                <w:color w:val="auto"/>
                <w:w w:val="95"/>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121,015</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2021-1 ILN Transaction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April 27, 2021</w:t>
            </w:r>
          </w:p>
        </w:tc>
        <w:tc>
          <w:tcPr>
            <w:tcW w:w="2320" w:type="dxa"/>
            <w:vAlign w:val="bottom"/>
            <w:gridSpan w:val="2"/>
            <w:shd w:val="clear" w:color="auto" w:fill="CCEEFF"/>
          </w:tcPr>
          <w:p>
            <w:pPr>
              <w:jc w:val="center"/>
              <w:ind w:right="140"/>
              <w:spacing w:after="0" w:line="224" w:lineRule="exact"/>
              <w:rPr>
                <w:sz w:val="20"/>
                <w:szCs w:val="20"/>
                <w:color w:val="auto"/>
              </w:rPr>
            </w:pPr>
            <w:r>
              <w:rPr>
                <w:rFonts w:ascii="Times New Roman" w:cs="Times New Roman" w:eastAsia="Times New Roman" w:hAnsi="Times New Roman"/>
                <w:sz w:val="18"/>
                <w:szCs w:val="18"/>
                <w:color w:val="auto"/>
                <w:w w:val="95"/>
              </w:rPr>
              <w:t xml:space="preserve">10/1/2020 – 3/31/2021 </w:t>
            </w:r>
            <w:r>
              <w:rPr>
                <w:rFonts w:ascii="Times New Roman" w:cs="Times New Roman" w:eastAsia="Times New Roman" w:hAnsi="Times New Roman"/>
                <w:sz w:val="22"/>
                <w:szCs w:val="22"/>
                <w:color w:val="auto"/>
                <w:w w:val="95"/>
                <w:vertAlign w:val="superscript"/>
              </w:rPr>
              <w:t>(3)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163,321</w:t>
            </w:r>
          </w:p>
        </w:tc>
        <w:tc>
          <w:tcPr>
            <w:tcW w:w="0" w:type="dxa"/>
            <w:vAlign w:val="bottom"/>
          </w:tcPr>
          <w:p>
            <w:pPr>
              <w:spacing w:after="0"/>
              <w:rPr>
                <w:sz w:val="1"/>
                <w:szCs w:val="1"/>
                <w:color w:val="auto"/>
              </w:rPr>
            </w:pPr>
          </w:p>
        </w:tc>
      </w:tr>
      <w:tr>
        <w:trPr>
          <w:trHeight w:val="30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2021-2 ILN Transaction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October 26, 2021</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 xml:space="preserve">4/1/2021 – 9/30/2021 </w:t>
            </w:r>
            <w:r>
              <w:rPr>
                <w:rFonts w:ascii="Times New Roman" w:cs="Times New Roman" w:eastAsia="Times New Roman" w:hAnsi="Times New Roman"/>
                <w:sz w:val="22"/>
                <w:szCs w:val="22"/>
                <w:color w:val="auto"/>
                <w:w w:val="95"/>
                <w:vertAlign w:val="superscript"/>
              </w:rPr>
              <w:t>(4)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145,549</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4"/>
        <w:spacing w:after="0" w:line="254" w:lineRule="auto"/>
        <w:tabs>
          <w:tab w:leader="none" w:pos="39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4"/>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2020-2 ILN Transaction has coverage reporting dates between July 1, 2019 and March 31, 2020.</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16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Effective July 25, 2024, NMIC exercised its optional call to terminate the 2019 ILN Transaction. In connection with the termination of the transaction, NMIC’s excess of loss reinsurance agreement with Oaktown Re III Ltd. was commuted and the insurance-linked notes issued by Oaktown Re III Ltd. were redeemed in full with a distribution of remaining collateral assets.</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Traditional Reinsurance</w:t>
      </w:r>
    </w:p>
    <w:p>
      <w:pPr>
        <w:spacing w:after="0" w:line="16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is party to six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and the 2024 XOL Transaction, effective January 1, 2024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3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Each of the third-party reinsurance providers that is party to the XOL Transactions has an insurer financial strength rating of A- or better by S&amp;P, A.M. Best or both.</w:t>
      </w:r>
    </w:p>
    <w:p>
      <w:pPr>
        <w:spacing w:after="0" w:line="11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June 30,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 First</w:t>
            </w:r>
          </w:p>
        </w:tc>
        <w:tc>
          <w:tcPr>
            <w:tcW w:w="12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Current First</w:t>
            </w:r>
          </w:p>
        </w:tc>
        <w:tc>
          <w:tcPr>
            <w:tcW w:w="0" w:type="dxa"/>
            <w:vAlign w:val="bottom"/>
          </w:tcPr>
          <w:p>
            <w:pPr>
              <w:spacing w:after="0"/>
              <w:rPr>
                <w:sz w:val="1"/>
                <w:szCs w:val="1"/>
                <w:color w:val="auto"/>
              </w:rPr>
            </w:pPr>
          </w:p>
        </w:tc>
      </w:tr>
      <w:tr>
        <w:trPr>
          <w:trHeight w:val="143"/>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6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10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Layer Retained</w:t>
            </w:r>
          </w:p>
        </w:tc>
        <w:tc>
          <w:tcPr>
            <w:tcW w:w="0" w:type="dxa"/>
            <w:vAlign w:val="bottom"/>
          </w:tcPr>
          <w:p>
            <w:pPr>
              <w:spacing w:after="0"/>
              <w:rPr>
                <w:sz w:val="1"/>
                <w:szCs w:val="1"/>
                <w:color w:val="auto"/>
              </w:rPr>
            </w:pPr>
          </w:p>
        </w:tc>
      </w:tr>
      <w:tr>
        <w:trPr>
          <w:trHeight w:val="192"/>
        </w:trPr>
        <w:tc>
          <w:tcPr>
            <w:tcW w:w="26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Loss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4"/>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2022-1 XOL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April 1, 2022</w:t>
            </w:r>
          </w:p>
        </w:tc>
        <w:tc>
          <w:tcPr>
            <w:tcW w:w="2320" w:type="dxa"/>
            <w:vAlign w:val="bottom"/>
            <w:tcBorders>
              <w:top w:val="single" w:sz="8" w:color="auto"/>
            </w:tcBorders>
            <w:shd w:val="clear" w:color="auto" w:fill="CCEEFF"/>
          </w:tcPr>
          <w:p>
            <w:pPr>
              <w:jc w:val="center"/>
              <w:spacing w:after="0" w:line="224" w:lineRule="exact"/>
              <w:rPr>
                <w:sz w:val="20"/>
                <w:szCs w:val="20"/>
                <w:color w:val="auto"/>
              </w:rPr>
            </w:pPr>
            <w:r>
              <w:rPr>
                <w:rFonts w:ascii="Times New Roman" w:cs="Times New Roman" w:eastAsia="Times New Roman" w:hAnsi="Times New Roman"/>
                <w:sz w:val="18"/>
                <w:szCs w:val="18"/>
                <w:color w:val="auto"/>
                <w:w w:val="95"/>
              </w:rPr>
              <w:t xml:space="preserve">10/1/2021 – 3/31/2022 </w:t>
            </w:r>
            <w:r>
              <w:rPr>
                <w:rFonts w:ascii="Times New Roman" w:cs="Times New Roman" w:eastAsia="Times New Roman" w:hAnsi="Times New Roman"/>
                <w:sz w:val="22"/>
                <w:szCs w:val="22"/>
                <w:color w:val="auto"/>
                <w:w w:val="95"/>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132,863</w:t>
            </w:r>
          </w:p>
        </w:tc>
        <w:tc>
          <w:tcPr>
            <w:tcW w:w="0" w:type="dxa"/>
            <w:vAlign w:val="bottom"/>
          </w:tcPr>
          <w:p>
            <w:pPr>
              <w:spacing w:after="0"/>
              <w:rPr>
                <w:sz w:val="1"/>
                <w:szCs w:val="1"/>
                <w:color w:val="auto"/>
              </w:rPr>
            </w:pPr>
          </w:p>
        </w:tc>
      </w:tr>
      <w:tr>
        <w:trPr>
          <w:trHeight w:val="22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2022-2 XOL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2022</w:t>
            </w:r>
          </w:p>
        </w:tc>
        <w:tc>
          <w:tcPr>
            <w:tcW w:w="2420" w:type="dxa"/>
            <w:vAlign w:val="bottom"/>
            <w:gridSpan w:val="2"/>
          </w:tcPr>
          <w:p>
            <w:pPr>
              <w:jc w:val="center"/>
              <w:ind w:right="40"/>
              <w:spacing w:after="0" w:line="224" w:lineRule="exact"/>
              <w:rPr>
                <w:sz w:val="20"/>
                <w:szCs w:val="20"/>
                <w:color w:val="auto"/>
              </w:rPr>
            </w:pPr>
            <w:r>
              <w:rPr>
                <w:rFonts w:ascii="Times New Roman" w:cs="Times New Roman" w:eastAsia="Times New Roman" w:hAnsi="Times New Roman"/>
                <w:sz w:val="18"/>
                <w:szCs w:val="18"/>
                <w:color w:val="auto"/>
                <w:w w:val="96"/>
              </w:rPr>
              <w:t xml:space="preserve">4/1/2022 – 6/30/2022 </w:t>
            </w:r>
            <w:r>
              <w:rPr>
                <w:rFonts w:ascii="Times New Roman" w:cs="Times New Roman" w:eastAsia="Times New Roman" w:hAnsi="Times New Roman"/>
                <w:sz w:val="22"/>
                <w:szCs w:val="22"/>
                <w:color w:val="auto"/>
                <w:w w:val="96"/>
                <w:vertAlign w:val="superscript"/>
              </w:rPr>
              <w:t>(3)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78,518</w:t>
            </w:r>
          </w:p>
        </w:tc>
        <w:tc>
          <w:tcPr>
            <w:tcW w:w="0" w:type="dxa"/>
            <w:vAlign w:val="bottom"/>
          </w:tcPr>
          <w:p>
            <w:pPr>
              <w:spacing w:after="0"/>
              <w:rPr>
                <w:sz w:val="1"/>
                <w:szCs w:val="1"/>
                <w:color w:val="auto"/>
              </w:rPr>
            </w:pPr>
          </w:p>
        </w:tc>
      </w:tr>
      <w:tr>
        <w:trPr>
          <w:trHeight w:val="22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2022-3 XOL Transaction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October 1, 2022</w:t>
            </w:r>
          </w:p>
        </w:tc>
        <w:tc>
          <w:tcPr>
            <w:tcW w:w="2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6"/>
              </w:rPr>
              <w:t>7/1/2022 – 9/30/2022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105,961</w:t>
            </w:r>
          </w:p>
        </w:tc>
        <w:tc>
          <w:tcPr>
            <w:tcW w:w="0" w:type="dxa"/>
            <w:vAlign w:val="bottom"/>
          </w:tcPr>
          <w:p>
            <w:pPr>
              <w:spacing w:after="0"/>
              <w:rPr>
                <w:sz w:val="1"/>
                <w:szCs w:val="1"/>
                <w:color w:val="auto"/>
              </w:rPr>
            </w:pPr>
          </w:p>
        </w:tc>
      </w:tr>
      <w:tr>
        <w:trPr>
          <w:trHeight w:val="22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2023-1 XOL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January 1, 2023</w:t>
            </w:r>
          </w:p>
        </w:tc>
        <w:tc>
          <w:tcPr>
            <w:tcW w:w="2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10/1/2022 – 6/30/2023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146,218</w:t>
            </w:r>
          </w:p>
        </w:tc>
        <w:tc>
          <w:tcPr>
            <w:tcW w:w="0" w:type="dxa"/>
            <w:vAlign w:val="bottom"/>
          </w:tcPr>
          <w:p>
            <w:pPr>
              <w:spacing w:after="0"/>
              <w:rPr>
                <w:sz w:val="1"/>
                <w:szCs w:val="1"/>
                <w:color w:val="auto"/>
              </w:rPr>
            </w:pPr>
          </w:p>
        </w:tc>
      </w:tr>
      <w:tr>
        <w:trPr>
          <w:trHeight w:val="22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2023-2 XOL Transaction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2023</w:t>
            </w:r>
          </w:p>
        </w:tc>
        <w:tc>
          <w:tcPr>
            <w:tcW w:w="24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7/1/2023 – 12/31/2023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136,875</w:t>
            </w:r>
          </w:p>
        </w:tc>
        <w:tc>
          <w:tcPr>
            <w:tcW w:w="0" w:type="dxa"/>
            <w:vAlign w:val="bottom"/>
          </w:tcPr>
          <w:p>
            <w:pPr>
              <w:spacing w:after="0"/>
              <w:rPr>
                <w:sz w:val="1"/>
                <w:szCs w:val="1"/>
                <w:color w:val="auto"/>
              </w:rPr>
            </w:pPr>
          </w:p>
        </w:tc>
      </w:tr>
      <w:tr>
        <w:trPr>
          <w:trHeight w:val="30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2024 XOL Transaction </w:t>
            </w:r>
            <w:r>
              <w:rPr>
                <w:rFonts w:ascii="Times New Roman" w:cs="Times New Roman" w:eastAsia="Times New Roman" w:hAnsi="Times New Roman"/>
                <w:sz w:val="22"/>
                <w:szCs w:val="22"/>
                <w:color w:val="auto"/>
                <w:vertAlign w:val="superscript"/>
              </w:rPr>
              <w:t>(4)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January 1, 2024</w:t>
            </w:r>
          </w:p>
        </w:tc>
        <w:tc>
          <w:tcPr>
            <w:tcW w:w="2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1/1/2024 – 12/31/2024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151,609</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20" w:hanging="314"/>
        <w:spacing w:after="0" w:line="254" w:lineRule="auto"/>
        <w:tabs>
          <w:tab w:leader="none" w:pos="38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00" w:hanging="29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spacing w:after="0" w:line="10" w:lineRule="exact"/>
        <w:rPr>
          <w:rFonts w:ascii="Times New Roman" w:cs="Times New Roman" w:eastAsia="Times New Roman" w:hAnsi="Times New Roman"/>
          <w:sz w:val="14"/>
          <w:szCs w:val="14"/>
          <w:color w:val="auto"/>
        </w:rPr>
      </w:pPr>
    </w:p>
    <w:p>
      <w:pPr>
        <w:ind w:left="320" w:hanging="314"/>
        <w:spacing w:after="0" w:line="271" w:lineRule="auto"/>
        <w:tabs>
          <w:tab w:leader="none" w:pos="3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reinsurance coverage, current reinsurance coverage, initial first layer retained loss and current first layer retained loss for the 2024 XOL Transaction will increase as incremental covered production is ceded under the transaction through December 31, 2024.</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Quota Share Reinsurance</w:t>
      </w:r>
    </w:p>
    <w:p>
      <w:pPr>
        <w:spacing w:after="0" w:line="16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is party to eight quota share reinsurance treaties – the 2016 QSR Transaction, effective September 1, 2016 and as modified April 1, 2019, the 2018 QSR Transaction, effective January 1, 2018, the 2020 QSR Transaction, effective April 1, 2020 and as amended January 1, 2024, the 2021 QSR Transaction, effective January 1, 2021, the 2022 QSR Transaction, effective October 1, 2021, the 2022 Seasoned QSR Transaction, effective July 1, 2022, the 2023 QSR Transaction, effective January 1, 2023 and the 2024 QSR Transaction, effective January 1, 2024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38"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2016 QSR Transaction, NMIC cedes premiums written related to 20.5% of the risk on eligible primary policies written for all periods through December 31, 2017 in exchange for reimbursement of ceded claims and claim expenses on covered policies, a 20% ceding commission, and a profit commission of up to 60% that varies directly and inversely with ceded claims. NMIC previously ceded 100% of the risk under its pool agreement with Fannie Mae; however, such agreement expired on August 31, 2023 and NMIC no longer cedes pool risk under the 2016 QSR Transaction.</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2020 QSR Transaction, NMIC cedes premiums earned related to 21% of the risk on eligible policies written between April 1, 2020 and December 31, 2020, in exchange for reimbursement of ceded claims and claim expenses on covered policies, a 36% ceding commission, and a profit commission of up to 50%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1" w:name="page32"/>
    <w:bookmarkEnd w:id="31"/>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Under the terms of the 2022 Seasoned QSR Transaction, NMIC cedes premiums earned related to 95% of the net risk on eligible policies primarily for a seasoned pool of mortgage insurance policies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2023 QSR Transaction, NMIC cedes premiums earned related to 20% of the risk on eligible policies written in 2023, in exchange for reimbursement of ceded claims and claim expenses on covered policies, a 20% ceding commission, and a profit commission of up to 62% that varies directly and inversely with ceded claims.</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Under the terms of the 2024 QSR Transaction, NMIC cedes premiums earned related to 20% of the risk on eligible policies written in 2024, in exchange for reimbursement of ceded claims and claim expenses on covered policies, a 20% ceding commission, and a profit commission of up to 56% that varies directly and inversely with ceded claims.</w:t>
      </w:r>
    </w:p>
    <w:p>
      <w:pPr>
        <w:spacing w:after="0" w:line="126"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07" w:lineRule="exact"/>
        <w:rPr>
          <w:sz w:val="20"/>
          <w:szCs w:val="20"/>
          <w:color w:val="auto"/>
        </w:rPr>
      </w:pPr>
    </w:p>
    <w:p>
      <w:pPr>
        <w:ind w:firstLine="633"/>
        <w:spacing w:after="0" w:line="272" w:lineRule="auto"/>
        <w:rPr>
          <w:sz w:val="20"/>
          <w:szCs w:val="20"/>
          <w:color w:val="auto"/>
        </w:rPr>
      </w:pPr>
      <w:r>
        <w:rPr>
          <w:rFonts w:ascii="Times New Roman" w:cs="Times New Roman" w:eastAsia="Times New Roman" w:hAnsi="Times New Roman"/>
          <w:sz w:val="18"/>
          <w:szCs w:val="18"/>
          <w:color w:val="auto"/>
        </w:rPr>
        <w:t>See Item 1, “</w:t>
      </w:r>
      <w:r>
        <w:rPr>
          <w:rFonts w:ascii="Times New Roman" w:cs="Times New Roman" w:eastAsia="Times New Roman" w:hAnsi="Times New Roman"/>
          <w:sz w:val="18"/>
          <w:szCs w:val="18"/>
          <w:i w:val="1"/>
          <w:iCs w:val="1"/>
          <w:color w:val="auto"/>
        </w:rPr>
        <w:t>Financial Statements - Notes to Condensed Consolidated Financial Statements - Note 5, Reinsurance”</w:t>
      </w:r>
      <w:r>
        <w:rPr>
          <w:rFonts w:ascii="Times New Roman" w:cs="Times New Roman" w:eastAsia="Times New Roman" w:hAnsi="Times New Roman"/>
          <w:sz w:val="18"/>
          <w:szCs w:val="18"/>
          <w:color w:val="auto"/>
        </w:rPr>
        <w:t xml:space="preserve"> for further discussion of these third-party reinsurance arrangements.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Portfolio Data</w:t>
      </w:r>
    </w:p>
    <w:p>
      <w:pPr>
        <w:spacing w:after="0" w:line="16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NIW and primary and pool IIF as of the dates and for the periods indicated. Unless otherwise noted, the tables below do not include the effects of our third-party reinsurance arrangements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NIW and primary and pool IIF</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4"/>
        </w:trPr>
        <w:tc>
          <w:tcPr>
            <w:tcW w:w="3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5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1"/>
        </w:trPr>
        <w:tc>
          <w:tcPr>
            <w:tcW w:w="30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NIW</w:t>
            </w: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IIF</w:t>
            </w:r>
          </w:p>
        </w:tc>
        <w:tc>
          <w:tcPr>
            <w:tcW w:w="12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NIW</w:t>
            </w:r>
          </w:p>
        </w:tc>
        <w:tc>
          <w:tcPr>
            <w:tcW w:w="4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IIF</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NIW</w:t>
            </w:r>
          </w:p>
        </w:tc>
        <w:tc>
          <w:tcPr>
            <w:tcW w:w="1100" w:type="dxa"/>
            <w:vAlign w:val="bottom"/>
            <w:tcBorders>
              <w:top w:val="single" w:sz="8" w:color="auto"/>
              <w:bottom w:val="single" w:sz="8" w:color="auto"/>
            </w:tcBorders>
          </w:tcPr>
          <w:p>
            <w:pPr>
              <w:spacing w:after="0"/>
              <w:rPr>
                <w:sz w:val="16"/>
                <w:szCs w:val="16"/>
                <w:color w:val="auto"/>
              </w:rPr>
            </w:pPr>
          </w:p>
        </w:tc>
      </w:tr>
      <w:tr>
        <w:trPr>
          <w:trHeight w:val="191"/>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Monthly</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Single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1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w:t>
            </w:r>
          </w:p>
        </w:tc>
      </w:tr>
      <w:tr>
        <w:trPr>
          <w:trHeight w:val="106"/>
        </w:trPr>
        <w:tc>
          <w:tcPr>
            <w:tcW w:w="3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192,306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20,212</w:t>
            </w:r>
          </w:p>
        </w:tc>
      </w:tr>
      <w:tr>
        <w:trPr>
          <w:trHeight w:val="20"/>
        </w:trPr>
        <w:tc>
          <w:tcPr>
            <w:tcW w:w="3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NIW for the three and six months ended June 30, 2024 was $12.5 billion and $21.9 billion, respectively, compared to $11.5 billion and $20.2 billion for the three and six months ended June 30, 2023, respectively. NIW increased year-on-year primarily due to growth in our customer franchise and market presence tied to the increased penetration of existing customer accounts and new customer activations.</w:t>
      </w:r>
    </w:p>
    <w:p>
      <w:pPr>
        <w:spacing w:after="0" w:line="194" w:lineRule="exact"/>
        <w:rPr>
          <w:sz w:val="20"/>
          <w:szCs w:val="20"/>
          <w:color w:val="auto"/>
        </w:rPr>
      </w:pPr>
    </w:p>
    <w:p>
      <w:pPr>
        <w:jc w:val="both"/>
        <w:ind w:firstLine="633"/>
        <w:spacing w:after="0" w:line="287" w:lineRule="auto"/>
        <w:rPr>
          <w:sz w:val="20"/>
          <w:szCs w:val="20"/>
          <w:color w:val="auto"/>
        </w:rPr>
      </w:pPr>
      <w:r>
        <w:rPr>
          <w:rFonts w:ascii="Times New Roman" w:cs="Times New Roman" w:eastAsia="Times New Roman" w:hAnsi="Times New Roman"/>
          <w:sz w:val="16"/>
          <w:szCs w:val="16"/>
          <w:color w:val="auto"/>
        </w:rPr>
        <w:t>Primary IIF increased 6% at June 30, 2024 compared to June 30, 2023, primarily due to the NIW generated between such measurement dates, partially offset by the run-off of in-force policies. Our persistency rate was 85.4% at June 30, 2024 and 86.0% at June 30, 2023. Our persistency rate remains historically high due to a continued slowdown in the pace of mortgage refinancing activity tied to the prevailing interest and mortgage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8"/>
          <w:szCs w:val="18"/>
          <w:color w:val="auto"/>
        </w:rPr>
        <w:t>The following table presents net premiums written and earned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premiums written and earned</w:t>
            </w:r>
          </w:p>
        </w:tc>
        <w:tc>
          <w:tcPr>
            <w:tcW w:w="340" w:type="dxa"/>
            <w:vAlign w:val="bottom"/>
          </w:tcPr>
          <w:p>
            <w:pPr>
              <w:spacing w:after="0"/>
              <w:rPr>
                <w:sz w:val="16"/>
                <w:szCs w:val="16"/>
                <w:color w:val="auto"/>
              </w:rPr>
            </w:pPr>
          </w:p>
        </w:tc>
        <w:tc>
          <w:tcPr>
            <w:tcW w:w="30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20" w:type="dxa"/>
            <w:vAlign w:val="bottom"/>
          </w:tcPr>
          <w:p>
            <w:pPr>
              <w:spacing w:after="0"/>
              <w:rPr>
                <w:sz w:val="16"/>
                <w:szCs w:val="16"/>
                <w:color w:val="auto"/>
              </w:rPr>
            </w:pPr>
          </w:p>
        </w:tc>
        <w:tc>
          <w:tcPr>
            <w:tcW w:w="282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5"/>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133,814</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264,059</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230,120</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141,168</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277,825</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247,739</w:t>
            </w:r>
          </w:p>
        </w:tc>
      </w:tr>
    </w:tbl>
    <w:p>
      <w:pPr>
        <w:spacing w:after="0" w:line="22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premiums written increased 14% and 15%, respectively, and net premiums earned increased 12%, consecutively, during the three and six months ended June 30, 2024 compared to the three and six months ended June 30, 2023, primarily driven by growth in our monthly IIF and monthly pay premium receipts, as well as a decline in the total premiums ceded under our reinsurance treaties.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Statistics</w:t>
      </w:r>
    </w:p>
    <w:p>
      <w:pPr>
        <w:spacing w:after="0" w:line="16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4"/>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w w:val="99"/>
              </w:rPr>
              <w:t>As of and for the three months ended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4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3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1"/>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00" w:type="dxa"/>
            <w:vAlign w:val="bottom"/>
            <w:gridSpan w:val="5"/>
          </w:tcPr>
          <w:p>
            <w:pPr>
              <w:jc w:val="center"/>
              <w:ind w:right="72"/>
              <w:spacing w:after="0"/>
              <w:rPr>
                <w:sz w:val="20"/>
                <w:szCs w:val="20"/>
                <w:color w:val="auto"/>
              </w:rPr>
            </w:pPr>
            <w:r>
              <w:rPr>
                <w:rFonts w:ascii="Times New Roman" w:cs="Times New Roman" w:eastAsia="Times New Roman" w:hAnsi="Times New Roman"/>
                <w:sz w:val="14"/>
                <w:szCs w:val="14"/>
                <w:i w:val="1"/>
                <w:iCs w:val="1"/>
                <w:color w:val="auto"/>
              </w:rPr>
              <w:t>($ Values In Millions, except as noted below)</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insurance written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12,503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9,398</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8,927</w:t>
            </w:r>
          </w:p>
        </w:tc>
        <w:tc>
          <w:tcPr>
            <w:tcW w:w="4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11,334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11,478</w:t>
            </w:r>
          </w:p>
        </w:tc>
      </w:tr>
      <w:tr>
        <w:trPr>
          <w:trHeight w:val="224"/>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Percentage of monthly premium</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4"/>
        </w:trPr>
        <w:tc>
          <w:tcPr>
            <w:tcW w:w="4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Percentage of single premium</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4"/>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risk written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2,486</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2,354</w:t>
            </w:r>
          </w:p>
        </w:tc>
        <w:tc>
          <w:tcPr>
            <w:tcW w:w="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3,022</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Insurance-in-force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203,501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199,373</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197,029</w:t>
            </w:r>
          </w:p>
        </w:tc>
        <w:tc>
          <w:tcPr>
            <w:tcW w:w="4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194,781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191,306</w:t>
            </w:r>
          </w:p>
        </w:tc>
      </w:tr>
      <w:tr>
        <w:trPr>
          <w:trHeight w:val="224"/>
        </w:trPr>
        <w:tc>
          <w:tcPr>
            <w:tcW w:w="4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Percentage of monthly premium</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4"/>
        </w:trPr>
        <w:tc>
          <w:tcPr>
            <w:tcW w:w="4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Percentage of single premium</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4"/>
        </w:trPr>
        <w:tc>
          <w:tcPr>
            <w:tcW w:w="45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Risk-in-force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53,956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52,610</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51,796</w:t>
            </w:r>
          </w:p>
        </w:tc>
        <w:tc>
          <w:tcPr>
            <w:tcW w:w="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51,011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49,875</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645,276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635,662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629,690</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622,993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611,441</w:t>
            </w:r>
          </w:p>
        </w:tc>
      </w:tr>
      <w:tr>
        <w:trPr>
          <w:trHeight w:val="237"/>
        </w:trPr>
        <w:tc>
          <w:tcPr>
            <w:tcW w:w="4520" w:type="dxa"/>
            <w:vAlign w:val="bottom"/>
          </w:tcPr>
          <w:p>
            <w:pPr>
              <w:ind w:left="220"/>
              <w:spacing w:after="0" w:line="238" w:lineRule="exact"/>
              <w:rPr>
                <w:sz w:val="20"/>
                <w:szCs w:val="20"/>
                <w:color w:val="auto"/>
              </w:rPr>
            </w:pPr>
            <w:r>
              <w:rPr>
                <w:rFonts w:ascii="Times New Roman" w:cs="Times New Roman" w:eastAsia="Times New Roman" w:hAnsi="Times New Roman"/>
                <w:sz w:val="18"/>
                <w:szCs w:val="18"/>
                <w:color w:val="auto"/>
              </w:rPr>
              <w:t xml:space="preserve">Average loan size </w:t>
            </w:r>
            <w:r>
              <w:rPr>
                <w:rFonts w:ascii="Times New Roman" w:cs="Times New Roman" w:eastAsia="Times New Roman" w:hAnsi="Times New Roman"/>
                <w:sz w:val="14"/>
                <w:szCs w:val="14"/>
                <w:i w:val="1"/>
                <w:iCs w:val="1"/>
                <w:color w:val="auto"/>
              </w:rPr>
              <w:t>($ value 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313</w:t>
            </w:r>
          </w:p>
        </w:tc>
        <w:tc>
          <w:tcPr>
            <w:tcW w:w="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313</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Coverage percentage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4"/>
        </w:trPr>
        <w:tc>
          <w:tcPr>
            <w:tcW w:w="45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Loans in default (count)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4,904</w:t>
            </w:r>
          </w:p>
        </w:tc>
        <w:tc>
          <w:tcPr>
            <w:tcW w:w="180" w:type="dxa"/>
            <w:vAlign w:val="bottom"/>
          </w:tcPr>
          <w:p>
            <w:pPr>
              <w:spacing w:after="0"/>
              <w:rPr>
                <w:sz w:val="19"/>
                <w:szCs w:val="19"/>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5,109</w:t>
            </w:r>
          </w:p>
        </w:tc>
        <w:tc>
          <w:tcPr>
            <w:tcW w:w="34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5,099</w:t>
            </w:r>
          </w:p>
        </w:tc>
        <w:tc>
          <w:tcPr>
            <w:tcW w:w="48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4,594</w:t>
            </w:r>
          </w:p>
        </w:tc>
        <w:tc>
          <w:tcPr>
            <w:tcW w:w="2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4,349</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Default rate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0.71 %</w:t>
            </w:r>
          </w:p>
        </w:tc>
      </w:tr>
      <w:tr>
        <w:trPr>
          <w:trHeight w:val="224"/>
        </w:trPr>
        <w:tc>
          <w:tcPr>
            <w:tcW w:w="45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408</w:t>
            </w:r>
          </w:p>
        </w:tc>
        <w:tc>
          <w:tcPr>
            <w:tcW w:w="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335</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Average net premium yield </w:t>
            </w:r>
            <w:r>
              <w:rPr>
                <w:rFonts w:ascii="Times New Roman" w:cs="Times New Roman" w:eastAsia="Times New Roman" w:hAnsi="Times New Roman"/>
                <w:sz w:val="22"/>
                <w:szCs w:val="22"/>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r>
      <w:tr>
        <w:trPr>
          <w:trHeight w:val="224"/>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from cancellations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Annual persistency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w:t>
            </w:r>
          </w:p>
        </w:tc>
      </w:tr>
      <w:tr>
        <w:trPr>
          <w:trHeight w:val="30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Quarterly run-off </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139"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as of the end of the period.</w:t>
      </w:r>
    </w:p>
    <w:p>
      <w:pPr>
        <w:spacing w:after="0" w:line="2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end of period RIF divided by end of period IIF.</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net premiums earned divided by average primary IIF for the period, annualized.</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remains on our books after a given twelve-month period.</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is no longer on our books after a given three-month period.</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a summary of the change in total primary IIF for the dates and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29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June 30,</w:t>
            </w:r>
          </w:p>
        </w:tc>
        <w:tc>
          <w:tcPr>
            <w:tcW w:w="140" w:type="dxa"/>
            <w:vAlign w:val="bottom"/>
          </w:tcPr>
          <w:p>
            <w:pPr>
              <w:spacing w:after="0"/>
              <w:rPr>
                <w:sz w:val="16"/>
                <w:szCs w:val="16"/>
                <w:color w:val="auto"/>
              </w:rPr>
            </w:pPr>
          </w:p>
        </w:tc>
        <w:tc>
          <w:tcPr>
            <w:tcW w:w="27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As of and for the six months ended June 30,</w:t>
            </w:r>
          </w:p>
        </w:tc>
      </w:tr>
      <w:tr>
        <w:trPr>
          <w:trHeight w:val="24"/>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7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183,968</w:t>
            </w:r>
          </w:p>
        </w:tc>
      </w:tr>
      <w:tr>
        <w:trPr>
          <w:trHeight w:val="224"/>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NIW</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w:t>
            </w:r>
          </w:p>
        </w:tc>
      </w:tr>
      <w:tr>
        <w:trPr>
          <w:trHeight w:val="224"/>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 principal repayments and other reductions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191,306</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a summary of our primary IIF and RIF by book year as of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
        </w:trPr>
        <w:tc>
          <w:tcPr>
            <w:tcW w:w="4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5"/>
        </w:trPr>
        <w:tc>
          <w:tcPr>
            <w:tcW w:w="4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tcPr>
          <w:p>
            <w:pPr>
              <w:spacing w:after="0"/>
              <w:rPr>
                <w:sz w:val="16"/>
                <w:szCs w:val="16"/>
                <w:color w:val="auto"/>
              </w:rPr>
            </w:pPr>
          </w:p>
        </w:tc>
      </w:tr>
      <w:tr>
        <w:trPr>
          <w:trHeight w:val="190"/>
        </w:trPr>
        <w:tc>
          <w:tcPr>
            <w:tcW w:w="4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IIF</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Book year</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r>
      <w:tr>
        <w:trPr>
          <w:trHeight w:val="22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17,553</w:t>
            </w: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r>
      <w:tr>
        <w:trPr>
          <w:trHeight w:val="224"/>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2019 and before</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r>
      <w:tr>
        <w:trPr>
          <w:trHeight w:val="242"/>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5"/>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5"/>
        </w:trPr>
        <w:tc>
          <w:tcPr>
            <w:tcW w:w="43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r>
      <w:tr>
        <w:trPr>
          <w:trHeight w:val="224"/>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4"/>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24"/>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4"/>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4"/>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w:t>
            </w:r>
          </w:p>
        </w:tc>
      </w:tr>
      <w:tr>
        <w:trPr>
          <w:trHeight w:val="217"/>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FICO</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0"/>
        </w:trPr>
        <w:tc>
          <w:tcPr>
            <w:tcW w:w="4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380" w:type="dxa"/>
            <w:vAlign w:val="bottom"/>
          </w:tcPr>
          <w:p>
            <w:pPr>
              <w:spacing w:after="0"/>
              <w:rPr>
                <w:sz w:val="16"/>
                <w:szCs w:val="16"/>
                <w:color w:val="auto"/>
              </w:rPr>
            </w:pPr>
          </w:p>
        </w:tc>
        <w:tc>
          <w:tcPr>
            <w:tcW w:w="3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20" w:type="dxa"/>
            <w:vAlign w:val="bottom"/>
          </w:tcPr>
          <w:p>
            <w:pPr>
              <w:spacing w:after="0"/>
              <w:rPr>
                <w:sz w:val="16"/>
                <w:szCs w:val="16"/>
                <w:color w:val="auto"/>
              </w:rPr>
            </w:pPr>
          </w:p>
        </w:tc>
        <w:tc>
          <w:tcPr>
            <w:tcW w:w="30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5"/>
        </w:trPr>
        <w:tc>
          <w:tcPr>
            <w:tcW w:w="4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1,361</w:t>
            </w:r>
          </w:p>
        </w:tc>
      </w:tr>
      <w:tr>
        <w:trPr>
          <w:trHeight w:val="224"/>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38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10,059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9,408</w:t>
            </w:r>
          </w:p>
        </w:tc>
      </w:tr>
      <w:tr>
        <w:trPr>
          <w:trHeight w:val="224"/>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6,670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7,125</w:t>
            </w:r>
          </w:p>
        </w:tc>
      </w:tr>
      <w:tr>
        <w:trPr>
          <w:trHeight w:val="224"/>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2,318</w:t>
            </w:r>
          </w:p>
        </w:tc>
      </w:tr>
      <w:tr>
        <w:trPr>
          <w:trHeight w:val="21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21,901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20,212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LTV</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91.9 %</w:t>
            </w:r>
          </w:p>
        </w:tc>
      </w:tr>
      <w:tr>
        <w:trPr>
          <w:trHeight w:val="20"/>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3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91"/>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5"/>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w:t>
            </w:r>
          </w:p>
        </w:tc>
        <w:tc>
          <w:tcPr>
            <w:tcW w:w="6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11,233</w:t>
            </w:r>
          </w:p>
        </w:tc>
        <w:tc>
          <w:tcPr>
            <w:tcW w:w="620" w:type="dxa"/>
            <w:vAlign w:val="bottom"/>
            <w:gridSpan w:val="3"/>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20" w:type="dxa"/>
            <w:vAlign w:val="bottom"/>
          </w:tcPr>
          <w:p>
            <w:pPr>
              <w:spacing w:after="0"/>
              <w:rPr>
                <w:sz w:val="20"/>
                <w:szCs w:val="20"/>
                <w:color w:val="auto"/>
              </w:rPr>
            </w:pPr>
          </w:p>
        </w:tc>
      </w:tr>
      <w:tr>
        <w:trPr>
          <w:trHeight w:val="224"/>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Refinance</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9"/>
                <w:szCs w:val="19"/>
                <w:color w:val="auto"/>
              </w:rPr>
            </w:pPr>
          </w:p>
        </w:tc>
      </w:tr>
      <w:tr>
        <w:trPr>
          <w:trHeight w:val="242"/>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11,478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w:t>
            </w:r>
          </w:p>
        </w:tc>
        <w:tc>
          <w:tcPr>
            <w:tcW w:w="20" w:type="dxa"/>
            <w:vAlign w:val="bottom"/>
          </w:tcPr>
          <w:p>
            <w:pPr>
              <w:spacing w:after="0"/>
              <w:rPr>
                <w:sz w:val="20"/>
                <w:szCs w:val="20"/>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tables below present our total primary IIF and RIF by FICO and LTV, and total primary RIF by loan type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5"/>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gridSpan w:val="6"/>
          </w:tcPr>
          <w:p>
            <w:pPr>
              <w:jc w:val="center"/>
              <w:ind w:left="235"/>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94,931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20"/>
                <w:szCs w:val="20"/>
                <w:color w:val="auto"/>
              </w:rPr>
            </w:pP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33,841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191,306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20"/>
                <w:szCs w:val="20"/>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gridSpan w:val="6"/>
          </w:tcPr>
          <w:p>
            <w:pPr>
              <w:jc w:val="center"/>
              <w:ind w:left="235"/>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&gt;= 760</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24,472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0" w:type="dxa"/>
            <w:vAlign w:val="bottom"/>
          </w:tcPr>
          <w:p>
            <w:pPr>
              <w:spacing w:after="0"/>
              <w:rPr>
                <w:sz w:val="20"/>
                <w:szCs w:val="20"/>
                <w:color w:val="auto"/>
              </w:rPr>
            </w:pP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8,888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&lt;=679</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20"/>
                <w:szCs w:val="20"/>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gridSpan w:val="6"/>
          </w:tcPr>
          <w:p>
            <w:pPr>
              <w:jc w:val="center"/>
              <w:ind w:left="235"/>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18,141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20"/>
                <w:szCs w:val="20"/>
                <w:color w:val="auto"/>
              </w:rPr>
            </w:pP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91,719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23,236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191,306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20"/>
                <w:szCs w:val="20"/>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91"/>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gridSpan w:val="6"/>
          </w:tcPr>
          <w:p>
            <w:pPr>
              <w:jc w:val="center"/>
              <w:ind w:left="235"/>
              <w:spacing w:after="0"/>
              <w:rPr>
                <w:sz w:val="20"/>
                <w:szCs w:val="20"/>
                <w:color w:val="auto"/>
              </w:rPr>
            </w:pPr>
            <w:r>
              <w:rPr>
                <w:rFonts w:ascii="Times New Roman" w:cs="Times New Roman" w:eastAsia="Times New Roman" w:hAnsi="Times New Roman"/>
                <w:sz w:val="14"/>
                <w:szCs w:val="14"/>
                <w:i w:val="1"/>
                <w:iCs w:val="1"/>
                <w:color w:val="auto"/>
                <w:w w:val="98"/>
              </w:rPr>
              <w:t>($ Values In Millions)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95.01% and above</w:t>
            </w:r>
          </w:p>
        </w:tc>
        <w:tc>
          <w:tcPr>
            <w:tcW w:w="48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Pr>
          <w:p>
            <w:pPr>
              <w:spacing w:after="0"/>
              <w:rPr>
                <w:sz w:val="20"/>
                <w:szCs w:val="20"/>
                <w:color w:val="auto"/>
              </w:rPr>
            </w:pPr>
          </w:p>
        </w:tc>
      </w:tr>
      <w:tr>
        <w:trPr>
          <w:trHeight w:val="22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27,097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9"/>
                <w:szCs w:val="19"/>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85.00% and below</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20"/>
                <w:szCs w:val="20"/>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5"/>
        </w:trPr>
        <w:tc>
          <w:tcPr>
            <w:tcW w:w="47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r>
      <w:tr>
        <w:trPr>
          <w:trHeight w:val="22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r>
      <w:tr>
        <w:trPr>
          <w:trHeight w:val="22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Adjustable rate mortgages: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than five years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Five years and longer</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tcPr>
          <w:p>
            <w:pPr>
              <w:spacing w:after="0"/>
              <w:rPr>
                <w:sz w:val="19"/>
                <w:szCs w:val="19"/>
                <w:color w:val="auto"/>
              </w:rPr>
            </w:pP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3" w:right="39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8"/>
          <w:szCs w:val="18"/>
          <w:color w:val="auto"/>
        </w:rPr>
        <w:t>The table below presents selected primary portfolio statistics, by book year, as of June 30,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20" w:type="dxa"/>
            <w:vAlign w:val="bottom"/>
          </w:tcPr>
          <w:p>
            <w:pPr>
              <w:spacing w:after="0"/>
              <w:rPr>
                <w:sz w:val="11"/>
                <w:szCs w:val="11"/>
                <w:color w:val="auto"/>
              </w:rPr>
            </w:pPr>
          </w:p>
        </w:tc>
        <w:tc>
          <w:tcPr>
            <w:tcW w:w="800" w:type="dxa"/>
            <w:vAlign w:val="bottom"/>
          </w:tcPr>
          <w:p>
            <w:pPr>
              <w:jc w:val="center"/>
              <w:ind w:right="35"/>
              <w:spacing w:after="0" w:line="127"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 Remaining of</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Policies Ever</w:t>
            </w:r>
          </w:p>
        </w:tc>
        <w:tc>
          <w:tcPr>
            <w:tcW w:w="106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3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Incurred Loss</w:t>
            </w:r>
          </w:p>
        </w:tc>
        <w:tc>
          <w:tcPr>
            <w:tcW w:w="12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3"/>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92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Insurance in</w:t>
            </w:r>
          </w:p>
        </w:tc>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8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Loans in</w:t>
            </w: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Claims</w:t>
            </w:r>
          </w:p>
        </w:tc>
        <w:tc>
          <w:tcPr>
            <w:tcW w:w="13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Ratio (Inception</w:t>
            </w:r>
          </w:p>
        </w:tc>
        <w:tc>
          <w:tcPr>
            <w:tcW w:w="12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Written</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Force</w:t>
            </w: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8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Paid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to Date) </w:t>
            </w:r>
            <w:r>
              <w:rPr>
                <w:rFonts w:ascii="Times New Roman" w:cs="Times New Roman" w:eastAsia="Times New Roman" w:hAnsi="Times New Roman"/>
                <w:sz w:val="9"/>
                <w:szCs w:val="9"/>
                <w:b w:val="1"/>
                <w:bCs w:val="1"/>
                <w:color w:val="auto"/>
              </w:rPr>
              <w:t>(1)</w:t>
            </w:r>
          </w:p>
        </w:tc>
        <w:tc>
          <w:tcPr>
            <w:tcW w:w="1200" w:type="dxa"/>
            <w:vAlign w:val="bottom"/>
            <w:tcBorders>
              <w:bottom w:val="single" w:sz="8" w:color="auto"/>
            </w:tcBorders>
          </w:tcPr>
          <w:p>
            <w:pPr>
              <w:jc w:val="right"/>
              <w:ind w:right="95"/>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18"/>
                <w:szCs w:val="18"/>
                <w:b w:val="1"/>
                <w:bCs w:val="1"/>
                <w:color w:val="auto"/>
                <w:vertAlign w:val="superscript"/>
              </w:rPr>
              <w:t>(2)</w:t>
            </w:r>
          </w:p>
        </w:tc>
        <w:tc>
          <w:tcPr>
            <w:tcW w:w="1100" w:type="dxa"/>
            <w:vAlign w:val="bottom"/>
            <w:tcBorders>
              <w:bottom w:val="single" w:sz="8" w:color="auto"/>
            </w:tcBorders>
          </w:tcPr>
          <w:p>
            <w:pPr>
              <w:jc w:val="right"/>
              <w:ind w:right="235"/>
              <w:spacing w:after="0" w:line="198"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85"/>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ind w:left="340"/>
              <w:spacing w:after="0"/>
              <w:rPr>
                <w:sz w:val="20"/>
                <w:szCs w:val="20"/>
                <w:color w:val="auto"/>
              </w:rPr>
            </w:pPr>
            <w:r>
              <w:rPr>
                <w:rFonts w:ascii="Times New Roman" w:cs="Times New Roman" w:eastAsia="Times New Roman" w:hAnsi="Times New Roman"/>
                <w:sz w:val="14"/>
                <w:szCs w:val="14"/>
                <w:i w:val="1"/>
                <w:iCs w:val="1"/>
                <w:color w:val="auto"/>
              </w:rPr>
              <w:t>($ Values In Millions)</w:t>
            </w: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2015 and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56,248</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183,369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17.1 %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36,792</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11.4 %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4"/>
        </w:trPr>
        <w:tc>
          <w:tcPr>
            <w:tcW w:w="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w:t>
            </w:r>
          </w:p>
        </w:tc>
        <w:tc>
          <w:tcPr>
            <w:tcW w:w="128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8"/>
                <w:szCs w:val="18"/>
                <w:color w:val="auto"/>
              </w:rPr>
              <w:t>98 %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8"/>
                <w:szCs w:val="18"/>
                <w:color w:val="auto"/>
              </w:rPr>
              <w:t>2.3 %</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2"/>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1,267,719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spacing w:after="0" w:line="13"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3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Geographic Dispersion</w:t>
      </w:r>
    </w:p>
    <w:p>
      <w:pPr>
        <w:spacing w:after="0" w:line="164"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shows the distribution by state of our primary RIF as of the dates indicated. The distribution of our primary RIF as of June 30, 2024 is not necessarily representative of the geographic distribution we expect in the future.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13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60" w:type="dxa"/>
            <w:vAlign w:val="bottom"/>
          </w:tcPr>
          <w:p>
            <w:pPr>
              <w:spacing w:after="0"/>
              <w:rPr>
                <w:sz w:val="16"/>
                <w:szCs w:val="16"/>
                <w:color w:val="auto"/>
              </w:rPr>
            </w:pPr>
          </w:p>
        </w:tc>
      </w:tr>
      <w:tr>
        <w:trPr>
          <w:trHeight w:val="24"/>
        </w:trPr>
        <w:tc>
          <w:tcPr>
            <w:tcW w:w="86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5"/>
        </w:trPr>
        <w:tc>
          <w:tcPr>
            <w:tcW w:w="748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Insurance Claims and Claim Expenses</w:t>
      </w:r>
    </w:p>
    <w:p>
      <w:pPr>
        <w:spacing w:after="0" w:line="16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3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Reserves for claims and claim expenses are established for mortgage loans that are in default. A loan is considered to be in default as of the payment date at which a borrower has missed the preceding two or more consecutive monthly payments. We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7" w:name="page38"/>
    <w:bookmarkEnd w:id="37"/>
    <w:p>
      <w:pPr>
        <w:jc w:val="both"/>
        <w:spacing w:after="0" w:line="250" w:lineRule="auto"/>
        <w:rPr>
          <w:sz w:val="20"/>
          <w:szCs w:val="20"/>
          <w:color w:val="auto"/>
        </w:rPr>
      </w:pPr>
      <w:r>
        <w:rPr>
          <w:rFonts w:ascii="Times New Roman" w:cs="Times New Roman" w:eastAsia="Times New Roman" w:hAnsi="Times New Roman"/>
          <w:sz w:val="18"/>
          <w:szCs w:val="18"/>
          <w:color w:val="auto"/>
        </w:rPr>
        <w:t>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35"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for each transaction.</w:t>
      </w:r>
    </w:p>
    <w:p>
      <w:pPr>
        <w:spacing w:after="0" w:line="11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spacing w:after="0" w:line="125" w:lineRule="exact"/>
        <w:rPr>
          <w:sz w:val="20"/>
          <w:szCs w:val="20"/>
          <w:color w:val="auto"/>
        </w:rPr>
      </w:pPr>
    </w:p>
    <w:p>
      <w:pPr>
        <w:jc w:val="both"/>
        <w:ind w:firstLine="633"/>
        <w:spacing w:after="0" w:line="238" w:lineRule="auto"/>
        <w:rPr>
          <w:sz w:val="20"/>
          <w:szCs w:val="20"/>
          <w:color w:val="auto"/>
        </w:rPr>
      </w:pPr>
      <w:r>
        <w:rPr>
          <w:rFonts w:ascii="Times New Roman" w:cs="Times New Roman" w:eastAsia="Times New Roman" w:hAnsi="Times New Roman"/>
          <w:sz w:val="18"/>
          <w:szCs w:val="18"/>
          <w:color w:val="auto"/>
        </w:rPr>
        <w:t>In response to the COVID-19 pandemic, politicians, regulators, lenders, loan servicers and others offered extraordinary assistance to dislocated borrowers through, among other programs, the forbearance, foreclosure moratorium and other assistance programs codified under the Coronavirus Aid, Relief, and Economic Security Act (CARES Act). The FHFA and GSEs offered further assistance by introducing new repayment and loan modification options to assist borrowers with their transition out of forbearance programs and default status.</w:t>
      </w:r>
    </w:p>
    <w:p>
      <w:pPr>
        <w:spacing w:after="0" w:line="14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gross reserve balances for primary insurance claims and claim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0" w:type="dxa"/>
            <w:vAlign w:val="bottom"/>
          </w:tcPr>
          <w:p>
            <w:pPr>
              <w:spacing w:after="0"/>
              <w:rPr>
                <w:sz w:val="16"/>
                <w:szCs w:val="16"/>
                <w:color w:val="auto"/>
              </w:rPr>
            </w:pPr>
          </w:p>
        </w:tc>
        <w:tc>
          <w:tcPr>
            <w:tcW w:w="252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99,836</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w:t>
            </w: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net of reinsurance recoverables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78,249</w:t>
            </w:r>
          </w:p>
        </w:tc>
      </w:tr>
      <w:tr>
        <w:trPr>
          <w:trHeight w:val="244"/>
        </w:trPr>
        <w:tc>
          <w:tcPr>
            <w:tcW w:w="5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claims incurred: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30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44,870</w:t>
            </w:r>
          </w:p>
        </w:tc>
      </w:tr>
      <w:tr>
        <w:trPr>
          <w:trHeight w:val="224"/>
        </w:trPr>
        <w:tc>
          <w:tcPr>
            <w:tcW w:w="530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(35,296)</w:t>
            </w:r>
          </w:p>
        </w:tc>
      </w:tr>
      <w:tr>
        <w:trPr>
          <w:trHeight w:val="21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incurred</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r>
      <w:tr>
        <w:trPr>
          <w:trHeight w:val="244"/>
        </w:trPr>
        <w:tc>
          <w:tcPr>
            <w:tcW w:w="5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300" w:type="dxa"/>
            <w:vAlign w:val="bottom"/>
            <w:shd w:val="clear" w:color="auto" w:fill="CCEEFF"/>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Current year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4"/>
        </w:trPr>
        <w:tc>
          <w:tcPr>
            <w:tcW w:w="5300" w:type="dxa"/>
            <w:vAlign w:val="bottom"/>
            <w:tcBorders>
              <w:bottom w:val="single" w:sz="8" w:color="CCEEFF"/>
            </w:tcBorders>
          </w:tcPr>
          <w:p>
            <w:pPr>
              <w:ind w:left="460"/>
              <w:spacing w:after="0" w:line="224" w:lineRule="exact"/>
              <w:rPr>
                <w:sz w:val="20"/>
                <w:szCs w:val="20"/>
                <w:color w:val="auto"/>
              </w:rPr>
            </w:pPr>
            <w:r>
              <w:rPr>
                <w:rFonts w:ascii="Times New Roman" w:cs="Times New Roman" w:eastAsia="Times New Roman" w:hAnsi="Times New Roman"/>
                <w:sz w:val="18"/>
                <w:szCs w:val="18"/>
                <w:color w:val="auto"/>
              </w:rPr>
              <w:t xml:space="preserve">Prior years </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and claim expenses paid</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44"/>
        </w:trPr>
        <w:tc>
          <w:tcPr>
            <w:tcW w:w="5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at end of period, net of reinsurance recoverables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86,425</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24,023</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hanging="314"/>
        <w:spacing w:after="0" w:line="256"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Item 1, “</w:t>
      </w:r>
      <w:r>
        <w:rPr>
          <w:rFonts w:ascii="Times New Roman" w:cs="Times New Roman" w:eastAsia="Times New Roman" w:hAnsi="Times New Roman"/>
          <w:sz w:val="14"/>
          <w:szCs w:val="14"/>
          <w:i w:val="1"/>
          <w:iCs w:val="1"/>
          <w:color w:val="auto"/>
        </w:rPr>
        <w:t>Financial Statements - Notes to Condensed Consolidated Financial Statements - Note 5, Reinsurance”</w:t>
      </w:r>
      <w:r>
        <w:rPr>
          <w:rFonts w:ascii="Times New Roman" w:cs="Times New Roman" w:eastAsia="Times New Roman" w:hAnsi="Times New Roman"/>
          <w:sz w:val="14"/>
          <w:szCs w:val="14"/>
          <w:color w:val="auto"/>
        </w:rPr>
        <w:t xml:space="preserve"> for additional information.</w:t>
      </w:r>
    </w:p>
    <w:p>
      <w:pPr>
        <w:jc w:val="both"/>
        <w:ind w:left="320" w:hanging="314"/>
        <w:spacing w:after="0" w:line="255" w:lineRule="auto"/>
        <w:tabs>
          <w:tab w:leader="none" w:pos="32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$43.1 million attributed to net case reserves and $6.4 million attributed to net IBNR reserves for the six months ended June 30, 2024 and $39.1 million attributed to net case reserves and $5.0 million attributed to net IBNR reserves for the six months ended June 30, 2023.</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3" w:lineRule="auto"/>
        <w:tabs>
          <w:tab w:leader="none" w:pos="30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$39.2 million attributed to net case reserves and $6.3 million attributed to net IBNR reserves for the six months ended June 30, 2024 and $30.3 million attributed to net case reserves and $4.5 million attributed to net IBNR reserves for the six months ended June 30, 2023.</w:t>
      </w:r>
    </w:p>
    <w:p>
      <w:pPr>
        <w:spacing w:after="0" w:line="38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claims incurred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color w:val="auto"/>
        </w:rPr>
        <w:t xml:space="preserve">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$61.4 million related to prior year defaults remained as of June 30,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count of loans in default: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31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10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59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5"/>
        </w:trPr>
        <w:tc>
          <w:tcPr>
            <w:tcW w:w="49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2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r>
      <w:tr>
        <w:trPr>
          <w:trHeight w:val="224"/>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 and claims denied</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r>
      <w:tr>
        <w:trPr>
          <w:trHeight w:val="20"/>
        </w:trPr>
        <w:tc>
          <w:tcPr>
            <w:tcW w:w="4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200" w:firstLine="633"/>
        <w:spacing w:after="0" w:line="269" w:lineRule="auto"/>
        <w:rPr>
          <w:sz w:val="20"/>
          <w:szCs w:val="20"/>
          <w:color w:val="auto"/>
        </w:rPr>
      </w:pPr>
      <w:r>
        <w:rPr>
          <w:rFonts w:ascii="Times New Roman" w:cs="Times New Roman" w:eastAsia="Times New Roman" w:hAnsi="Times New Roman"/>
          <w:sz w:val="18"/>
          <w:szCs w:val="18"/>
          <w:color w:val="auto"/>
        </w:rPr>
        <w:t>Ending default inventory increased from June 30, 2023 to June 30, 2024, primarily due to the growth and natural seasoning of our insured portfolio, largely offset by cure activity within our default population during the intervening period.</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details of our claims paid, before giving effect to claims ceded under the QSR Transactions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33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60" w:type="dxa"/>
            <w:vAlign w:val="bottom"/>
          </w:tcPr>
          <w:p>
            <w:pPr>
              <w:spacing w:after="0"/>
              <w:rPr>
                <w:sz w:val="16"/>
                <w:szCs w:val="16"/>
                <w:color w:val="auto"/>
              </w:rPr>
            </w:pPr>
          </w:p>
        </w:tc>
        <w:tc>
          <w:tcPr>
            <w:tcW w:w="29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46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4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gridSpan w:val="4"/>
          </w:tcPr>
          <w:p>
            <w:pPr>
              <w:jc w:val="right"/>
              <w:ind w:right="898"/>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Number of claims paid </w:t>
            </w:r>
            <w:r>
              <w:rPr>
                <w:rFonts w:ascii="Times New Roman" w:cs="Times New Roman" w:eastAsia="Times New Roman" w:hAnsi="Times New Roman"/>
                <w:sz w:val="22"/>
                <w:szCs w:val="22"/>
                <w:color w:val="auto"/>
                <w:vertAlign w:val="superscript"/>
              </w:rPr>
              <w:t>(1)</w:t>
            </w:r>
          </w:p>
        </w:tc>
        <w:tc>
          <w:tcPr>
            <w:tcW w:w="9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67</w:t>
            </w:r>
          </w:p>
        </w:tc>
      </w:tr>
      <w:tr>
        <w:trPr>
          <w:trHeight w:val="22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 paid for claims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8"/>
              </w:rPr>
              <w:t>1,877</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3,022</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1,730</w:t>
            </w:r>
          </w:p>
        </w:tc>
      </w:tr>
      <w:tr>
        <w:trPr>
          <w:trHeight w:val="2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amount paid per claim</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w:t>
            </w:r>
          </w:p>
        </w:tc>
      </w:tr>
      <w:tr>
        <w:trPr>
          <w:trHeight w:val="30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Severity </w:t>
            </w:r>
            <w:r>
              <w:rPr>
                <w:rFonts w:ascii="Times New Roman" w:cs="Times New Roman" w:eastAsia="Times New Roman" w:hAnsi="Times New Roman"/>
                <w:sz w:val="22"/>
                <w:szCs w:val="22"/>
                <w:color w:val="auto"/>
                <w:vertAlign w:val="superscript"/>
              </w:rPr>
              <w:t>(2)</w:t>
            </w:r>
          </w:p>
        </w:tc>
        <w:tc>
          <w:tcPr>
            <w:tcW w:w="9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139" w:lineRule="exact"/>
        <w:rPr>
          <w:sz w:val="20"/>
          <w:szCs w:val="20"/>
          <w:color w:val="auto"/>
        </w:rPr>
      </w:pPr>
    </w:p>
    <w:p>
      <w:pPr>
        <w:ind w:left="320" w:hanging="314"/>
        <w:spacing w:after="0" w:line="264" w:lineRule="auto"/>
        <w:tabs>
          <w:tab w:leader="none" w:pos="32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includes 19 and 35 claims settled without payment during the three and six months ended June 30, 2024, respectively, and 17 and 24 claims settled without payment during the three and six months ended June 30, 2023, respectively.</w:t>
      </w:r>
    </w:p>
    <w:p>
      <w:pPr>
        <w:ind w:left="320" w:hanging="314"/>
        <w:spacing w:after="0" w:line="271" w:lineRule="auto"/>
        <w:tabs>
          <w:tab w:leader="none" w:pos="33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paid 59 and 101 claims during the three and six months ended June 30, 2024, respectively, and 46 and 67 claims during the three and six months ended June 30, 2023, respectively.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spacing w:after="0" w:line="135"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Our claims severity was 54% for both the three and six months ended June 30, 2024 compared to 62% and 56% for the three and six months ended June 30, 2023, respectively. Our claims severity for each period was below long-term industry norms and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0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0" w:name="page41"/>
    <w:bookmarkEnd w:id="40"/>
    <w:p>
      <w:pPr>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provides detail on our average reserve per default, before giving effect to reserves ceded under the QSR Transactions, as of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1480" w:type="dxa"/>
            <w:vAlign w:val="bottom"/>
          </w:tcPr>
          <w:p>
            <w:pPr>
              <w:spacing w:after="0"/>
              <w:rPr>
                <w:sz w:val="16"/>
                <w:szCs w:val="16"/>
                <w:color w:val="auto"/>
              </w:rPr>
            </w:pPr>
          </w:p>
        </w:tc>
        <w:tc>
          <w:tcPr>
            <w:tcW w:w="142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500" w:type="dxa"/>
            <w:vAlign w:val="bottom"/>
          </w:tcPr>
          <w:p>
            <w:pPr>
              <w:spacing w:after="0"/>
              <w:rPr>
                <w:sz w:val="16"/>
                <w:szCs w:val="16"/>
                <w:color w:val="auto"/>
              </w:rPr>
            </w:pPr>
          </w:p>
        </w:tc>
      </w:tr>
      <w:tr>
        <w:trPr>
          <w:trHeight w:val="24"/>
        </w:trPr>
        <w:tc>
          <w:tcPr>
            <w:tcW w:w="68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5"/>
        </w:trPr>
        <w:tc>
          <w:tcPr>
            <w:tcW w:w="6820" w:type="dxa"/>
            <w:vAlign w:val="bottom"/>
          </w:tcPr>
          <w:p>
            <w:pPr>
              <w:spacing w:after="0"/>
              <w:rPr>
                <w:sz w:val="16"/>
                <w:szCs w:val="16"/>
                <w:color w:val="auto"/>
              </w:rPr>
            </w:pPr>
          </w:p>
        </w:tc>
        <w:tc>
          <w:tcPr>
            <w:tcW w:w="14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00" w:type="dxa"/>
            <w:vAlign w:val="bottom"/>
          </w:tcPr>
          <w:p>
            <w:pPr>
              <w:spacing w:after="0"/>
              <w:rPr>
                <w:sz w:val="16"/>
                <w:szCs w:val="16"/>
                <w:color w:val="auto"/>
              </w:rPr>
            </w:pP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Case </w:t>
            </w:r>
            <w:r>
              <w:rPr>
                <w:rFonts w:ascii="Times New Roman" w:cs="Times New Roman" w:eastAsia="Times New Roman" w:hAnsi="Times New Roman"/>
                <w:sz w:val="22"/>
                <w:szCs w:val="22"/>
                <w:color w:val="auto"/>
                <w:vertAlign w:val="superscript"/>
              </w:rPr>
              <w:t>(1)</w:t>
            </w:r>
          </w:p>
        </w:tc>
        <w:tc>
          <w:tcPr>
            <w:tcW w:w="1480" w:type="dxa"/>
            <w:vAlign w:val="bottom"/>
            <w:shd w:val="clear" w:color="auto" w:fill="CCEEFF"/>
          </w:tcPr>
          <w:p>
            <w:pPr>
              <w:jc w:val="right"/>
              <w:ind w:right="12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4"/>
        </w:trPr>
        <w:tc>
          <w:tcPr>
            <w:tcW w:w="68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(1)(2)</w:t>
            </w:r>
          </w:p>
        </w:tc>
        <w:tc>
          <w:tcPr>
            <w:tcW w:w="1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ind w:right="12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228"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gross reserve per insured loan in default.</w:t>
      </w:r>
    </w:p>
    <w:p>
      <w:pPr>
        <w:spacing w:after="0" w:line="13"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claims adjustment expenses.</w:t>
      </w:r>
    </w:p>
    <w:p>
      <w:pPr>
        <w:spacing w:after="0" w:line="15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Average reserve per default increased modestly from June 30, 2023 to June 30, 2024, primarily due to changes in the composition of our default inventory as measured by the size, vintage and current estimated LTV of defaulted loans. Average reserves per default were further impacted by changes in observed and forecasted housing market conditions and macroeconomic factors between the measurement dates.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GSE Oversight</w:t>
      </w:r>
    </w:p>
    <w:p>
      <w:pPr>
        <w:spacing w:after="0" w:line="164" w:lineRule="exact"/>
        <w:rPr>
          <w:sz w:val="20"/>
          <w:szCs w:val="20"/>
          <w:color w:val="auto"/>
        </w:rPr>
      </w:pPr>
    </w:p>
    <w:p>
      <w:pPr>
        <w:jc w:val="both"/>
        <w:ind w:firstLine="673"/>
        <w:spacing w:after="0" w:line="251" w:lineRule="auto"/>
        <w:rPr>
          <w:sz w:val="20"/>
          <w:szCs w:val="20"/>
          <w:color w:val="auto"/>
        </w:rPr>
      </w:pPr>
      <w:r>
        <w:rPr>
          <w:rFonts w:ascii="Times New Roman" w:cs="Times New Roman" w:eastAsia="Times New Roman" w:hAnsi="Times New Roman"/>
          <w:sz w:val="18"/>
          <w:szCs w:val="18"/>
          <w:color w:val="auto"/>
        </w:rPr>
        <w:t xml:space="preserve">As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NMIC is subject to ongoing compliance with the PMIERs established by each of the GSEs (</w:t>
      </w:r>
      <w:r>
        <w:rPr>
          <w:rFonts w:ascii="Times New Roman" w:cs="Times New Roman" w:eastAsia="Times New Roman" w:hAnsi="Times New Roman"/>
          <w:sz w:val="18"/>
          <w:szCs w:val="18"/>
          <w:i w:val="1"/>
          <w:iCs w:val="1"/>
          <w:color w:val="auto"/>
        </w:rPr>
        <w:t>italicized</w:t>
      </w:r>
      <w:r>
        <w:rPr>
          <w:rFonts w:ascii="Times New Roman" w:cs="Times New Roman" w:eastAsia="Times New Roman" w:hAnsi="Times New Roman"/>
          <w:sz w:val="18"/>
          <w:szCs w:val="18"/>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current vs. delinquent), LTV ratio and other risk features. In general, higher quality loans carry lower asset charges.</w:t>
      </w:r>
    </w:p>
    <w:p>
      <w:pPr>
        <w:spacing w:after="0" w:line="131" w:lineRule="exact"/>
        <w:rPr>
          <w:sz w:val="20"/>
          <w:szCs w:val="20"/>
          <w:color w:val="auto"/>
        </w:rPr>
      </w:pPr>
    </w:p>
    <w:p>
      <w:pPr>
        <w:jc w:val="both"/>
        <w:ind w:firstLine="673"/>
        <w:spacing w:after="0" w:line="250" w:lineRule="auto"/>
        <w:rPr>
          <w:sz w:val="20"/>
          <w:szCs w:val="20"/>
          <w:color w:val="auto"/>
        </w:rPr>
      </w:pPr>
      <w:r>
        <w:rPr>
          <w:rFonts w:ascii="Times New Roman" w:cs="Times New Roman" w:eastAsia="Times New Roman" w:hAnsi="Times New Roman"/>
          <w:sz w:val="18"/>
          <w:szCs w:val="18"/>
          <w:color w:val="auto"/>
        </w:rPr>
        <w:t xml:space="preserve">Under the PMIERs,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xml:space="preserve"> must maintain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that equal or exceed </w:t>
      </w:r>
      <w:r>
        <w:rPr>
          <w:rFonts w:ascii="Times New Roman" w:cs="Times New Roman" w:eastAsia="Times New Roman" w:hAnsi="Times New Roman"/>
          <w:sz w:val="18"/>
          <w:szCs w:val="18"/>
          <w:i w:val="1"/>
          <w:iCs w:val="1"/>
          <w:color w:val="auto"/>
        </w:rPr>
        <w:t>minimum required assets</w:t>
      </w:r>
      <w:r>
        <w:rPr>
          <w:rFonts w:ascii="Times New Roman" w:cs="Times New Roman" w:eastAsia="Times New Roman" w:hAnsi="Times New Roman"/>
          <w:sz w:val="18"/>
          <w:szCs w:val="18"/>
          <w:color w:val="auto"/>
        </w:rPr>
        <w:t xml:space="preserve">, which is an amount equal to the greater of (i) $400 million or (ii) a total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The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is a function of the risk profile of an </w:t>
      </w:r>
      <w:r>
        <w:rPr>
          <w:rFonts w:ascii="Times New Roman" w:cs="Times New Roman" w:eastAsia="Times New Roman" w:hAnsi="Times New Roman"/>
          <w:sz w:val="18"/>
          <w:szCs w:val="18"/>
          <w:i w:val="1"/>
          <w:iCs w:val="1"/>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insurer's </w:t>
      </w:r>
      <w:r>
        <w:rPr>
          <w:rFonts w:ascii="Times New Roman" w:cs="Times New Roman" w:eastAsia="Times New Roman" w:hAnsi="Times New Roman"/>
          <w:sz w:val="18"/>
          <w:szCs w:val="18"/>
          <w:color w:val="auto"/>
        </w:rPr>
        <w:t>RIF, assessed on a loan-by-loan basis and considered against certain risk-based factors derived from tables set out in the PMIERs, which is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adjusted on an aggregate basis for reinsurance transactions approved by the GSEs, such as with respect to our ILN Transactions, XOL Transactions and QSR Transactions. The </w:t>
      </w:r>
      <w:r>
        <w:rPr>
          <w:rFonts w:ascii="Times New Roman" w:cs="Times New Roman" w:eastAsia="Times New Roman" w:hAnsi="Times New Roman"/>
          <w:sz w:val="18"/>
          <w:szCs w:val="18"/>
          <w:i w:val="1"/>
          <w:iCs w:val="1"/>
          <w:color w:val="auto"/>
        </w:rPr>
        <w:t>aggregate gross risk-based required asset</w:t>
      </w:r>
      <w:r>
        <w:rPr>
          <w:rFonts w:ascii="Times New Roman" w:cs="Times New Roman" w:eastAsia="Times New Roman" w:hAnsi="Times New Roman"/>
          <w:sz w:val="18"/>
          <w:szCs w:val="18"/>
          <w:color w:val="auto"/>
        </w:rPr>
        <w:t xml:space="preserve"> amount for performing, primary insurance is subject to a floor of 5.6% of </w:t>
      </w:r>
      <w:r>
        <w:rPr>
          <w:rFonts w:ascii="Times New Roman" w:cs="Times New Roman" w:eastAsia="Times New Roman" w:hAnsi="Times New Roman"/>
          <w:sz w:val="18"/>
          <w:szCs w:val="18"/>
          <w:i w:val="1"/>
          <w:iCs w:val="1"/>
          <w:color w:val="auto"/>
        </w:rPr>
        <w:t>performing 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adjusted RIF</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By April 15th of each year, NMIC must certify it met all PMIERs requirements as of December 31st of the prior year. We certified to the GSEs by April 15, 2024 that NMIC was in full compliance with the PMIERs as of December 31, 2023. NMIC also has an ongoing obligation to immediately notify the GSEs in writing upon discovery of a failure to meet one or more of the PMIERs requirements. We continuously monitor NMIC's compliance with the PMIERs.</w:t>
      </w:r>
    </w:p>
    <w:p>
      <w:pPr>
        <w:spacing w:after="0" w:line="90"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The following table provides a comparison of the PMIERs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and net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as reported by NMIC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6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5"/>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9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16"/>
                <w:szCs w:val="16"/>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assets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2,827,721</w:t>
            </w:r>
          </w:p>
        </w:tc>
        <w:tc>
          <w:tcPr>
            <w:tcW w:w="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2,491,280</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risk-based required assets</w:t>
            </w:r>
          </w:p>
        </w:tc>
        <w:tc>
          <w:tcPr>
            <w:tcW w:w="42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1,651,569</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1,317,961</w:t>
            </w:r>
          </w:p>
        </w:tc>
      </w:tr>
    </w:tbl>
    <w:p>
      <w:pPr>
        <w:spacing w:after="0" w:line="22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Available assets </w:t>
      </w:r>
      <w:r>
        <w:rPr>
          <w:rFonts w:ascii="Times New Roman" w:cs="Times New Roman" w:eastAsia="Times New Roman" w:hAnsi="Times New Roman"/>
          <w:sz w:val="18"/>
          <w:szCs w:val="18"/>
          <w:color w:val="auto"/>
        </w:rPr>
        <w:t>were $2.8 billion at June 30, 2024, compared to $2.5 billion at June 30, 2023. The $336 million increase in</w:t>
      </w:r>
      <w:r>
        <w:rPr>
          <w:rFonts w:ascii="Times New Roman" w:cs="Times New Roman" w:eastAsia="Times New Roman" w:hAnsi="Times New Roman"/>
          <w:sz w:val="18"/>
          <w:szCs w:val="18"/>
          <w:i w:val="1"/>
          <w:iCs w:val="1"/>
          <w:color w:val="auto"/>
        </w:rPr>
        <w:t xml:space="preserve"> available assets </w:t>
      </w:r>
      <w:r>
        <w:rPr>
          <w:rFonts w:ascii="Times New Roman" w:cs="Times New Roman" w:eastAsia="Times New Roman" w:hAnsi="Times New Roman"/>
          <w:sz w:val="18"/>
          <w:szCs w:val="18"/>
          <w:color w:val="auto"/>
        </w:rPr>
        <w:t>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dates presented was primarily driven by NMIC's positive cash flow from operations during the intervening period, partially offset by the payment of an ordinary course dividend from NMIC to NMIH in May 2024.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at June 30, 2024 excludes $43 million of unsettled trade receivables due on the maturity of certain investments.</w:t>
      </w:r>
    </w:p>
    <w:p>
      <w:pPr>
        <w:spacing w:after="0" w:line="130"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color w:val="auto"/>
        </w:rPr>
        <w:t xml:space="preserve">Net </w:t>
      </w:r>
      <w:r>
        <w:rPr>
          <w:rFonts w:ascii="Times New Roman" w:cs="Times New Roman" w:eastAsia="Times New Roman" w:hAnsi="Times New Roman"/>
          <w:sz w:val="18"/>
          <w:szCs w:val="18"/>
          <w:i w:val="1"/>
          <w:iCs w:val="1"/>
          <w:color w:val="auto"/>
        </w:rPr>
        <w:t>risk-based required assets</w:t>
      </w:r>
      <w:r>
        <w:rPr>
          <w:rFonts w:ascii="Times New Roman" w:cs="Times New Roman" w:eastAsia="Times New Roman" w:hAnsi="Times New Roman"/>
          <w:sz w:val="18"/>
          <w:szCs w:val="18"/>
          <w:color w:val="auto"/>
        </w:rPr>
        <w:t xml:space="preserve"> were $1.7 billion at June 30, 2024, compared to $1.3 billion at June 30, 2023. The $334 million increase in the </w:t>
      </w:r>
      <w:r>
        <w:rPr>
          <w:rFonts w:ascii="Times New Roman" w:cs="Times New Roman" w:eastAsia="Times New Roman" w:hAnsi="Times New Roman"/>
          <w:sz w:val="18"/>
          <w:szCs w:val="18"/>
          <w:i w:val="1"/>
          <w:iCs w:val="1"/>
          <w:color w:val="auto"/>
        </w:rPr>
        <w:t xml:space="preserve">risk-based required asset </w:t>
      </w:r>
      <w:r>
        <w:rPr>
          <w:rFonts w:ascii="Times New Roman" w:cs="Times New Roman" w:eastAsia="Times New Roman" w:hAnsi="Times New Roman"/>
          <w:sz w:val="18"/>
          <w:szCs w:val="18"/>
          <w:color w:val="auto"/>
        </w:rPr>
        <w:t>amount between the dates presented was primarily due to the growth in our gross RIF and aggregate gross</w:t>
      </w:r>
      <w:r>
        <w:rPr>
          <w:rFonts w:ascii="Times New Roman" w:cs="Times New Roman" w:eastAsia="Times New Roman" w:hAnsi="Times New Roman"/>
          <w:sz w:val="18"/>
          <w:szCs w:val="18"/>
          <w:i w:val="1"/>
          <w:iCs w:val="1"/>
          <w:color w:val="auto"/>
        </w:rPr>
        <w:t xml:space="preserve"> risk-based required asset </w:t>
      </w:r>
      <w:r>
        <w:rPr>
          <w:rFonts w:ascii="Times New Roman" w:cs="Times New Roman" w:eastAsia="Times New Roman" w:hAnsi="Times New Roman"/>
          <w:sz w:val="18"/>
          <w:szCs w:val="18"/>
          <w:color w:val="auto"/>
        </w:rPr>
        <w:t>amount.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6"/>
          </w:tcPr>
          <w:p>
            <w:pPr>
              <w:jc w:val="right"/>
              <w:ind w:right="75"/>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141,168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125,985</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277,825</w:t>
            </w:r>
          </w:p>
        </w:tc>
        <w:tc>
          <w:tcPr>
            <w:tcW w:w="4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247,739</w:t>
            </w:r>
          </w:p>
        </w:tc>
        <w:tc>
          <w:tcPr>
            <w:tcW w:w="0" w:type="dxa"/>
            <w:vAlign w:val="bottom"/>
          </w:tcPr>
          <w:p>
            <w:pPr>
              <w:spacing w:after="0"/>
              <w:rPr>
                <w:sz w:val="1"/>
                <w:szCs w:val="1"/>
                <w:color w:val="auto"/>
              </w:rPr>
            </w:pPr>
          </w:p>
        </w:tc>
      </w:tr>
      <w:tr>
        <w:trPr>
          <w:trHeight w:val="22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16,518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31,412</w:t>
            </w: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162,122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142,685</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318,375</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279,464</w:t>
            </w:r>
          </w:p>
        </w:tc>
        <w:tc>
          <w:tcPr>
            <w:tcW w:w="0" w:type="dxa"/>
            <w:vAlign w:val="bottom"/>
          </w:tcPr>
          <w:p>
            <w:pPr>
              <w:spacing w:after="0"/>
              <w:rPr>
                <w:sz w:val="1"/>
                <w:szCs w:val="1"/>
                <w:color w:val="auto"/>
              </w:rPr>
            </w:pPr>
          </w:p>
        </w:tc>
      </w:tr>
      <w:tr>
        <w:trPr>
          <w:trHeight w:val="204"/>
        </w:trPr>
        <w:tc>
          <w:tcPr>
            <w:tcW w:w="50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claims and claim expenses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2,873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9,574</w:t>
            </w:r>
          </w:p>
        </w:tc>
        <w:tc>
          <w:tcPr>
            <w:tcW w:w="0" w:type="dxa"/>
            <w:vAlign w:val="bottom"/>
          </w:tcPr>
          <w:p>
            <w:pPr>
              <w:spacing w:after="0"/>
              <w:rPr>
                <w:sz w:val="1"/>
                <w:szCs w:val="1"/>
                <w:color w:val="auto"/>
              </w:rPr>
            </w:pPr>
          </w:p>
        </w:tc>
      </w:tr>
      <w:tr>
        <w:trPr>
          <w:trHeight w:val="22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27,448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53,234</w:t>
            </w: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expenses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8,048</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43,478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38,636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85,164</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79,242</w:t>
            </w:r>
          </w:p>
        </w:tc>
        <w:tc>
          <w:tcPr>
            <w:tcW w:w="0" w:type="dxa"/>
            <w:vAlign w:val="bottom"/>
          </w:tcPr>
          <w:p>
            <w:pPr>
              <w:spacing w:after="0"/>
              <w:rPr>
                <w:sz w:val="1"/>
                <w:szCs w:val="1"/>
                <w:color w:val="auto"/>
              </w:rPr>
            </w:pPr>
          </w:p>
        </w:tc>
      </w:tr>
      <w:tr>
        <w:trPr>
          <w:trHeight w:val="244"/>
        </w:trPr>
        <w:tc>
          <w:tcPr>
            <w:tcW w:w="5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118,644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104,049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200,222</w:t>
            </w: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26,565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23,765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45,480</w:t>
            </w:r>
          </w:p>
        </w:tc>
        <w:tc>
          <w:tcPr>
            <w:tcW w:w="0" w:type="dxa"/>
            <w:vAlign w:val="bottom"/>
          </w:tcPr>
          <w:p>
            <w:pPr>
              <w:spacing w:after="0"/>
              <w:rPr>
                <w:sz w:val="1"/>
                <w:szCs w:val="1"/>
                <w:color w:val="auto"/>
              </w:rPr>
            </w:pPr>
          </w:p>
        </w:tc>
      </w:tr>
      <w:tr>
        <w:trPr>
          <w:trHeight w:val="24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92,079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80,284</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181,129</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154,742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0.97</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0.95</w:t>
            </w:r>
          </w:p>
        </w:tc>
        <w:tc>
          <w:tcPr>
            <w:tcW w:w="60" w:type="dxa"/>
            <w:vAlign w:val="bottom"/>
          </w:tcPr>
          <w:p>
            <w:pPr>
              <w:spacing w:after="0"/>
              <w:rPr>
                <w:sz w:val="19"/>
                <w:szCs w:val="19"/>
                <w:color w:val="auto"/>
              </w:rPr>
            </w:pPr>
          </w:p>
        </w:tc>
        <w:tc>
          <w:tcPr>
            <w:tcW w:w="32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8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Loss ratio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Expense ratio </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17"/>
        </w:trPr>
        <w:tc>
          <w:tcPr>
            <w:tcW w:w="500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Combined ratio </w:t>
            </w:r>
            <w:r>
              <w:rPr>
                <w:rFonts w:ascii="Times New Roman" w:cs="Times New Roman" w:eastAsia="Times New Roman" w:hAnsi="Times New Roman"/>
                <w:sz w:val="22"/>
                <w:szCs w:val="22"/>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444"/>
        </w:trPr>
        <w:tc>
          <w:tcPr>
            <w:tcW w:w="5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8"/>
                <w:szCs w:val="18"/>
                <w:b w:val="1"/>
                <w:bCs w:val="1"/>
                <w:color w:val="auto"/>
                <w:vertAlign w:val="superscript"/>
              </w:rPr>
              <w:t>(4)</w:t>
            </w: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6"/>
          </w:tcPr>
          <w:p>
            <w:pPr>
              <w:jc w:val="right"/>
              <w:ind w:right="135"/>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before tax</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104,049</w:t>
            </w:r>
          </w:p>
        </w:tc>
        <w:tc>
          <w:tcPr>
            <w:tcW w:w="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186,632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EPS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ratio is calculated by dividing insurance claims and claim expenses by net premiums earned.</w:t>
      </w:r>
    </w:p>
    <w:p>
      <w:pPr>
        <w:spacing w:after="0" w:line="2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ratio is calculated by dividing underwriting and operating expenses by net premiums earned.</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Combined ratio may not foot due to rounding.</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Explanation and Reconciliation of Our Use of Non-GAAP Financial Measures,”</w:t>
      </w:r>
      <w:r>
        <w:rPr>
          <w:rFonts w:ascii="Times New Roman" w:cs="Times New Roman" w:eastAsia="Times New Roman" w:hAnsi="Times New Roman"/>
          <w:sz w:val="14"/>
          <w:szCs w:val="14"/>
          <w:color w:val="auto"/>
        </w:rPr>
        <w:t xml:space="preserve">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premiums earned were $141.2 million and $277.8 million for the three and six months ended June 30, 2024, respectively, compared to $126.0 million and $247.7 million for the three and six months ended June 30, 2023, respectively. The year-on-year increase in net premiums earned in each respective period was primarily driven by growth in our monthly IIF and monthly pay premium receipts, as well as a decline in the total premiums ceded under our reinsurance treaties.</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investment income was $20.7 million and $40.1 million for the three and six months ended June 30, 2024, respectively, compared to $16.5 million and $31.4 million for the three and six months ended June 30, 2023, respectively. The year-on-year increase in net investment income in each respective period was primarily driven by an increase in the book yield of our investment portfolio tied to the deployment of new cash flows and reinvestment of rolling maturities at incrementally higher rates, as well as growth in the size of our total invested asset base.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2" w:name="page43"/>
    <w:bookmarkEnd w:id="42"/>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Other revenues were $0.3 million and $0.4 million for the three and six months ended June 30, 2024, respectively, compared to $0.2 million and $0.3 million for the three and six months ended June 30, 2023, respectively. 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6"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92"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Insurance claims and claim expenses were $0.3 million and $4.0 million for the three and six months ended June 30, 2024, respectively, compared to $2.9 million and $9.6 million for the three and six months ended June 30, 2023, respectively. The decrease in insurance claims and claim expenses in each respective period was primarily driven by the release of a portion of the reserves we established for anticipated claims payments in prior periods (in connection with cure activity and ongoing analysis of loss development trends), partially offset by the establishment of initial reserves on newly defaulted loans during the periods, as well as an increase in the average case reserve held against previously defaulted loans that aged in their delinquent status.</w:t>
      </w:r>
    </w:p>
    <w:p>
      <w:pPr>
        <w:spacing w:after="0" w:line="135"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Underwriting and operating expenses were $28.3 million and $58.1 million for the three and six months ended June 30, 2024, respectively, compared to $27.4 million and $53.2 million for the three and six months ended June 30, 2023, respectively. The increase in underwriting and operating expenses in each respective period primarily reflects an adjustment to the pace of amortization of certain deferred policy acquisition costs, as well as an increase in employee compensation costs, partially offset by an increase in ceding commissions received under our QSR Transactions and a decline in certain technology expenses.</w:t>
      </w:r>
    </w:p>
    <w:p>
      <w:pPr>
        <w:spacing w:after="0" w:line="10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Service expenses were $0.2 million and $0.3 million for the three and six months ended June 30, 2024, respectively, compared to $0.3 million for both the three and six months ended June 30, 2023. 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Interest expense was $14.7 million and $22.7 million for the three and six months ended June 30, 2024, respectively, compared to $8.0 million and $16.1 million for the three and six months ended June 30, 2023, respectively. Interest expense for the three and six months ended June 30, 2024 includes $7.0 million of non-recurring costs related to the refinancing of the 2020 Notes and 2021 Revolving Credit Facility. See Item 1, “</w:t>
      </w:r>
      <w:r>
        <w:rPr>
          <w:rFonts w:ascii="Times New Roman" w:cs="Times New Roman" w:eastAsia="Times New Roman" w:hAnsi="Times New Roman"/>
          <w:sz w:val="18"/>
          <w:szCs w:val="18"/>
          <w:i w:val="1"/>
          <w:iCs w:val="1"/>
          <w:color w:val="auto"/>
        </w:rPr>
        <w:t>Financial Statements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Consolidated Financial Statements - Note 4, Debt.”</w:t>
      </w:r>
    </w:p>
    <w:p>
      <w:pPr>
        <w:spacing w:after="0" w:line="130"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Income tax expense was $26.6 million and $52.1 million for the three and six months ended June 30, 2024, respectively, compared to $23.8 million and $45.5 million for the three and six months ended June 30, 2023, respectively. The increase in income tax expense in each respective period was primarily driven by growth in our pre-tax income. Our effective tax rate on pre-tax income was 22.4% and 22.3% for the three and six months ended June 30, 2024, respectively, compared to 22.8% and 22.7% for the three and six months ended June 30, 2023,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six months ended June 30, 2024 and 2023 reflect the discrete tax effects of the vesting of RSUs and exercise of options. See Item 1, “</w:t>
      </w:r>
      <w:r>
        <w:rPr>
          <w:rFonts w:ascii="Times New Roman" w:cs="Times New Roman" w:eastAsia="Times New Roman" w:hAnsi="Times New Roman"/>
          <w:sz w:val="18"/>
          <w:szCs w:val="18"/>
          <w:i w:val="1"/>
          <w:iCs w:val="1"/>
          <w:color w:val="auto"/>
        </w:rPr>
        <w:t>Financial Statements - Notes to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 - Note 8,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6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Net income was $92.1 million and $181.1 million for the three and six months ended June 30, 2024, respectively, compared to $80.3 million and $154.7 million for the three and six months ended June 30, 2023, respectively. Adjusted net income was $97.6 million and $186.6 million for the three and six months ended June 30, 2024, respectively, compared to $80.3 million and $154.8 million for the three and six months ended June 30, 2023, respectively. The increase in net income and adjusted net income in each respective period were primarily driven by growth in our total revenues, as well as a decline in our insurance claims and claim expenses, partially offset by increases in income tax expense and underwriting and operating expenses. The increase in net income in each respective period was further offset by an increase in our interest expense related to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3" w:name="page44"/>
    <w:bookmarkEnd w:id="43"/>
    <w:p>
      <w:pPr>
        <w:jc w:val="both"/>
        <w:ind w:left="74"/>
        <w:spacing w:after="0" w:line="269" w:lineRule="auto"/>
        <w:rPr>
          <w:sz w:val="20"/>
          <w:szCs w:val="20"/>
          <w:color w:val="auto"/>
        </w:rPr>
      </w:pPr>
      <w:r>
        <w:rPr>
          <w:rFonts w:ascii="Times New Roman" w:cs="Times New Roman" w:eastAsia="Times New Roman" w:hAnsi="Times New Roman"/>
          <w:sz w:val="18"/>
          <w:szCs w:val="18"/>
          <w:color w:val="auto"/>
        </w:rPr>
        <w:t>non-recurring costs incurred in connection with the refinancing of the 2020 Notes and 2021 Revolving Credit Facility. Such amounts are excluded from the calculation of adjusted net income.</w:t>
      </w:r>
    </w:p>
    <w:p>
      <w:pPr>
        <w:spacing w:after="0" w:line="116" w:lineRule="exact"/>
        <w:rPr>
          <w:sz w:val="20"/>
          <w:szCs w:val="20"/>
          <w:color w:val="auto"/>
        </w:rPr>
      </w:pPr>
    </w:p>
    <w:p>
      <w:pPr>
        <w:jc w:val="both"/>
        <w:ind w:left="74" w:firstLine="633"/>
        <w:spacing w:after="0" w:line="250" w:lineRule="auto"/>
        <w:rPr>
          <w:sz w:val="20"/>
          <w:szCs w:val="20"/>
          <w:color w:val="auto"/>
        </w:rPr>
      </w:pPr>
      <w:r>
        <w:rPr>
          <w:rFonts w:ascii="Times New Roman" w:cs="Times New Roman" w:eastAsia="Times New Roman" w:hAnsi="Times New Roman"/>
          <w:sz w:val="18"/>
          <w:szCs w:val="18"/>
          <w:color w:val="auto"/>
        </w:rPr>
        <w:t>Diluted EPS was $1.13 and $2.22 for the three and six months ended June 30, 2024, respectively, compared to $0.95 and $1.83 for the three and six months ended June 30, 2023, respectively. Adjusted diluted EPS was $1.20 and $2.28 for the three and six months ended June 30, 2024, respectively, compared to $0.95 and $1.83 for the three and six months ended June 30, 2023, respectively. Diluted and adjusted diluted EPS increased in each respective period primarily due to growth in our net income and adjusted net income, as well as a decline in the number of weighted average diluted shares outstanding tied to share repurchase activity.</w:t>
      </w:r>
    </w:p>
    <w:p>
      <w:pPr>
        <w:spacing w:after="0" w:line="135" w:lineRule="exact"/>
        <w:rPr>
          <w:sz w:val="20"/>
          <w:szCs w:val="20"/>
          <w:color w:val="auto"/>
        </w:rPr>
      </w:pPr>
    </w:p>
    <w:p>
      <w:pPr>
        <w:jc w:val="both"/>
        <w:ind w:left="74" w:firstLine="633"/>
        <w:spacing w:after="0" w:line="269" w:lineRule="auto"/>
        <w:rPr>
          <w:sz w:val="20"/>
          <w:szCs w:val="20"/>
          <w:color w:val="auto"/>
        </w:rPr>
      </w:pPr>
      <w:r>
        <w:rPr>
          <w:rFonts w:ascii="Times New Roman" w:cs="Times New Roman" w:eastAsia="Times New Roman" w:hAnsi="Times New Roman"/>
          <w:sz w:val="18"/>
          <w:szCs w:val="18"/>
          <w:color w:val="auto"/>
        </w:rPr>
        <w:t>The non-GAAP financial measures of adjusted income before tax, adjusted net income and adjusted diluted EPS are presented to enhance the comparability of financial results between periods.</w:t>
      </w:r>
    </w:p>
    <w:p>
      <w:pPr>
        <w:spacing w:after="0" w:line="158" w:lineRule="exact"/>
        <w:rPr>
          <w:sz w:val="20"/>
          <w:szCs w:val="20"/>
          <w:color w:val="auto"/>
        </w:rPr>
      </w:pPr>
    </w:p>
    <w:tbl>
      <w:tblPr>
        <w:tblLayout w:type="fixed"/>
        <w:tblInd w:w="74" w:type="dxa"/>
        <w:tblCellMar>
          <w:top w:w="0" w:type="dxa"/>
          <w:left w:w="0" w:type="dxa"/>
          <w:bottom w:w="0" w:type="dxa"/>
          <w:right w:w="0" w:type="dxa"/>
        </w:tblCellMar>
      </w:tblPr>
      <w:tr>
        <w:trPr>
          <w:trHeight w:val="211"/>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 Reconciliations</w:t>
            </w:r>
          </w:p>
        </w:tc>
        <w:tc>
          <w:tcPr>
            <w:tcW w:w="220" w:type="dxa"/>
            <w:vAlign w:val="bottom"/>
          </w:tcPr>
          <w:p>
            <w:pPr>
              <w:spacing w:after="0"/>
              <w:rPr>
                <w:sz w:val="18"/>
                <w:szCs w:val="18"/>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8"/>
                <w:szCs w:val="18"/>
                <w:color w:val="auto"/>
              </w:rPr>
            </w:pPr>
          </w:p>
        </w:tc>
        <w:tc>
          <w:tcPr>
            <w:tcW w:w="264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87"/>
        </w:trPr>
        <w:tc>
          <w:tcPr>
            <w:tcW w:w="53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200,222</w:t>
            </w:r>
          </w:p>
        </w:tc>
      </w:tr>
      <w:tr>
        <w:trPr>
          <w:trHeight w:val="224"/>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45,480</w:t>
            </w:r>
          </w:p>
        </w:tc>
      </w:tr>
      <w:tr>
        <w:trPr>
          <w:trHeight w:val="24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markets transaction costs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before tax</w:t>
            </w: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125,610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104,049</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240,177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200,255</w:t>
            </w:r>
          </w:p>
        </w:tc>
      </w:tr>
      <w:tr>
        <w:trPr>
          <w:trHeight w:val="198"/>
        </w:trPr>
        <w:tc>
          <w:tcPr>
            <w:tcW w:w="5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4"/>
        </w:trPr>
        <w:tc>
          <w:tcPr>
            <w:tcW w:w="53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Income tax expense on adjustments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7"/>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154,768</w:t>
            </w:r>
          </w:p>
        </w:tc>
      </w:tr>
      <w:tr>
        <w:trPr>
          <w:trHeight w:val="211"/>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84,504</w:t>
            </w:r>
          </w:p>
        </w:tc>
      </w:tr>
      <w:tr>
        <w:trPr>
          <w:trHeight w:val="23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16" w:lineRule="exact"/>
        <w:rPr>
          <w:sz w:val="20"/>
          <w:szCs w:val="20"/>
          <w:color w:val="auto"/>
        </w:rPr>
      </w:pPr>
    </w:p>
    <w:p>
      <w:pPr>
        <w:ind w:left="314" w:right="20" w:hanging="314"/>
        <w:spacing w:after="0" w:line="269" w:lineRule="auto"/>
        <w:tabs>
          <w:tab w:leader="none" w:pos="32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Marginal tax impact of non-GAAP adjustments is calculated based on our statutory U.S. federal corporate income tax rate of 21%, except for those items that are not eligible for an income tax deduction.</w:t>
      </w:r>
    </w:p>
    <w:p>
      <w:pPr>
        <w:spacing w:after="0" w:line="208"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8"/>
          <w:szCs w:val="18"/>
          <w:b w:val="1"/>
          <w:bCs w:val="1"/>
          <w:color w:val="auto"/>
        </w:rPr>
        <w:t>Explanation and Reconciliation of Our Use of Non-GAAP Financial Measures</w:t>
      </w:r>
    </w:p>
    <w:p>
      <w:pPr>
        <w:spacing w:after="0" w:line="164" w:lineRule="exact"/>
        <w:rPr>
          <w:sz w:val="20"/>
          <w:szCs w:val="20"/>
          <w:color w:val="auto"/>
        </w:rPr>
      </w:pPr>
    </w:p>
    <w:p>
      <w:pPr>
        <w:jc w:val="both"/>
        <w:ind w:left="74" w:firstLine="633"/>
        <w:spacing w:after="0" w:line="249" w:lineRule="auto"/>
        <w:rPr>
          <w:sz w:val="20"/>
          <w:szCs w:val="20"/>
          <w:color w:val="auto"/>
        </w:rPr>
      </w:pPr>
      <w:r>
        <w:rPr>
          <w:rFonts w:ascii="Times New Roman" w:cs="Times New Roman" w:eastAsia="Times New Roman" w:hAnsi="Times New Roman"/>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4" w:lineRule="exact"/>
        <w:rPr>
          <w:sz w:val="20"/>
          <w:szCs w:val="20"/>
          <w:color w:val="auto"/>
        </w:rPr>
      </w:pPr>
    </w:p>
    <w:p>
      <w:pPr>
        <w:jc w:val="both"/>
        <w:ind w:left="74" w:firstLine="633"/>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Adjusted income before tax </w:t>
      </w:r>
      <w:r>
        <w:rPr>
          <w:rFonts w:ascii="Times New Roman" w:cs="Times New Roman" w:eastAsia="Times New Roman" w:hAnsi="Times New Roman"/>
          <w:sz w:val="18"/>
          <w:szCs w:val="18"/>
          <w:color w:val="auto"/>
        </w:rPr>
        <w:t>is defined as GAAP income before tax, excluding the pre-tax effects of net realized gains or losses from our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periodic costs incurred in connection with capital markets transactions, and other infrequent, unusual or non-operating items in the periods in which such items are incurred.</w:t>
      </w:r>
    </w:p>
    <w:p>
      <w:pPr>
        <w:spacing w:after="0" w:line="124" w:lineRule="exact"/>
        <w:rPr>
          <w:sz w:val="20"/>
          <w:szCs w:val="20"/>
          <w:color w:val="auto"/>
        </w:rPr>
      </w:pPr>
    </w:p>
    <w:p>
      <w:pPr>
        <w:jc w:val="both"/>
        <w:ind w:left="74" w:firstLine="633"/>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is defined as GAAP net income, excluding the after-tax effects of net realized gains or losses from our investment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spacing w:after="0" w:line="124" w:lineRule="exact"/>
        <w:rPr>
          <w:sz w:val="20"/>
          <w:szCs w:val="20"/>
          <w:color w:val="auto"/>
        </w:rPr>
      </w:pPr>
    </w:p>
    <w:p>
      <w:pPr>
        <w:jc w:val="both"/>
        <w:ind w:left="74" w:firstLine="633"/>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Adjusted diluted EPS </w:t>
      </w:r>
      <w:r>
        <w:rPr>
          <w:rFonts w:ascii="Times New Roman" w:cs="Times New Roman" w:eastAsia="Times New Roman" w:hAnsi="Times New Roman"/>
          <w:sz w:val="18"/>
          <w:szCs w:val="18"/>
          <w:color w:val="auto"/>
        </w:rPr>
        <w:t>is defined as adjusted net income divided by adjusted weighted average diluted shares outstanding. Adjusted weighted 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diluted shares outstanding is defined as weighted average diluted shares outstanding, adjusted for changes in the dilutive effect of non-vested shares that would otherwise have occurred had GAAP net income been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14"/>
          </w:cols>
          <w:pgMar w:left="246" w:top="992" w:right="339" w:bottom="1440" w:gutter="0" w:footer="0" w:header="0"/>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18"/>
          <w:szCs w:val="18"/>
          <w:color w:val="auto"/>
        </w:rPr>
        <w:t>calculated in accordance with adjusted net income. There will be no adjustment to weighted average diluted shares outstanding in the years that non-vested shares are anti-dilutive under GAAP.</w:t>
      </w:r>
    </w:p>
    <w:p>
      <w:pPr>
        <w:spacing w:after="0" w:line="11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28" w:lineRule="exact"/>
        <w:rPr>
          <w:sz w:val="20"/>
          <w:szCs w:val="20"/>
          <w:color w:val="auto"/>
        </w:rPr>
      </w:pPr>
    </w:p>
    <w:p>
      <w:pPr>
        <w:jc w:val="both"/>
        <w:ind w:left="640" w:hanging="318"/>
        <w:spacing w:after="0" w:line="25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realized investment gains and losses</w:t>
      </w:r>
      <w:r>
        <w:rPr>
          <w:rFonts w:ascii="Times New Roman" w:cs="Times New Roman" w:eastAsia="Times New Roman" w:hAnsi="Times New Roman"/>
          <w:sz w:val="18"/>
          <w:szCs w:val="18"/>
          <w:color w:val="auto"/>
        </w:rPr>
        <w:t>. The recognition of the net realized investment gains or losses can vary significantly across periods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23" w:lineRule="exact"/>
        <w:rPr>
          <w:rFonts w:ascii="Times New Roman" w:cs="Times New Roman" w:eastAsia="Times New Roman" w:hAnsi="Times New Roman"/>
          <w:sz w:val="18"/>
          <w:szCs w:val="18"/>
          <w:color w:val="auto"/>
        </w:rPr>
      </w:pPr>
    </w:p>
    <w:p>
      <w:pPr>
        <w:jc w:val="both"/>
        <w:ind w:left="640" w:hanging="318"/>
        <w:spacing w:after="0" w:line="258" w:lineRule="auto"/>
        <w:tabs>
          <w:tab w:leader="none" w:pos="6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Capital markets transaction costs</w:t>
      </w:r>
      <w:r>
        <w:rPr>
          <w:rFonts w:ascii="Times New Roman" w:cs="Times New Roman" w:eastAsia="Times New Roman" w:hAnsi="Times New Roman"/>
          <w:sz w:val="18"/>
          <w:szCs w:val="18"/>
          <w:color w:val="auto"/>
        </w:rPr>
        <w:t>. Capital markets transaction costs result from activities that are undertaken to improve our debt profile or enhance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23" w:lineRule="exact"/>
        <w:rPr>
          <w:rFonts w:ascii="Times New Roman" w:cs="Times New Roman" w:eastAsia="Times New Roman" w:hAnsi="Times New Roman"/>
          <w:sz w:val="18"/>
          <w:szCs w:val="18"/>
          <w:i w:val="1"/>
          <w:iCs w:val="1"/>
          <w:color w:val="auto"/>
        </w:rPr>
      </w:pPr>
    </w:p>
    <w:p>
      <w:pPr>
        <w:jc w:val="both"/>
        <w:ind w:left="640" w:hanging="318"/>
        <w:spacing w:after="0" w:line="24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infrequent, unusual or non-operating items</w:t>
      </w:r>
      <w:r>
        <w:rPr>
          <w:rFonts w:ascii="Times New Roman" w:cs="Times New Roman" w:eastAsia="Times New Roman" w:hAnsi="Times New Roman"/>
          <w:sz w:val="18"/>
          <w:szCs w:val="18"/>
          <w:color w:val="auto"/>
        </w:rPr>
        <w:t>. Items that are the result of unforeseen or uncommon events, and are not expected to recur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8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4"/>
          </w:tcPr>
          <w:p>
            <w:pPr>
              <w:jc w:val="right"/>
              <w:ind w:right="1193"/>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2,371,021</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 receivable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76,456</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30,252</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Reinsurance recoverable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federal income taxes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235,286</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0" w:type="dxa"/>
            <w:vAlign w:val="bottom"/>
          </w:tcPr>
          <w:p>
            <w:pPr>
              <w:spacing w:after="0"/>
              <w:rPr>
                <w:sz w:val="1"/>
                <w:szCs w:val="1"/>
                <w:color w:val="auto"/>
              </w:rPr>
            </w:pPr>
          </w:p>
        </w:tc>
      </w:tr>
      <w:tr>
        <w:trPr>
          <w:trHeight w:val="24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3,101,903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2,940,507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80" w:type="dxa"/>
            <w:vAlign w:val="bottom"/>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414,249</w:t>
            </w:r>
          </w:p>
        </w:tc>
        <w:tc>
          <w:tcPr>
            <w:tcW w:w="100" w:type="dxa"/>
            <w:vAlign w:val="bottom"/>
          </w:tcPr>
          <w:p>
            <w:pPr>
              <w:spacing w:after="0"/>
              <w:rPr>
                <w:sz w:val="17"/>
                <w:szCs w:val="17"/>
                <w:color w:val="auto"/>
              </w:rPr>
            </w:pPr>
          </w:p>
        </w:tc>
        <w:tc>
          <w:tcPr>
            <w:tcW w:w="1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92,295</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86,189</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123,974</w:t>
            </w:r>
          </w:p>
        </w:tc>
        <w:tc>
          <w:tcPr>
            <w:tcW w:w="0" w:type="dxa"/>
            <w:vAlign w:val="bottom"/>
          </w:tcPr>
          <w:p>
            <w:pPr>
              <w:spacing w:after="0"/>
              <w:rPr>
                <w:sz w:val="1"/>
                <w:szCs w:val="1"/>
                <w:color w:val="auto"/>
              </w:rPr>
            </w:pP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301,573</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1,014,503</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1,926,004</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3,101,903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2,940,507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funds withheld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has been reclassified as “Other liabilities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 the prior period.</w:t>
      </w:r>
    </w:p>
    <w:p>
      <w:pPr>
        <w:spacing w:after="0" w:line="16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Total cash and investments were $2.6 billion as of June 30, 2024, compared to $2.5 billion as of December 31, 2023. Cash and investments at June 30, 2024 included $149.2 million held by NMIH. The increase in total cash and investments reflects the addition of incremental cash provided by operating activities, partially offset by share repurchase activity and an increase in the unrealized loss position of our fixed income portfolio primarily tied to changes in interest rates during the six months ended June 30, 2024.</w:t>
      </w:r>
    </w:p>
    <w:p>
      <w:pPr>
        <w:spacing w:after="0" w:line="1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Premiums receivable was $76.5 million as of both June 30, 2024 and December 31, 2023. Premiums receivable represents premiums due on our mortgage insurance policies and may fluctuate based on changes in our monthly premium policies in force, where premiums are generally paid one month in arrears, and the pace of settlement of previously outstanding receivables in a given period.</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deferred policy acquisition costs were $63.2 million as of June 30, 2024, compared to $62.9 million as of December 31, 2023. The increase was primarily driven by the deferral of certain costs associated with the origination of new policies between the respective balance sheet dates, and was partially offset by the recognition of previously deferred policy acquisition costs.</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Reinsurance recoverable was $27.3 million as of June 30, 2024, compared to $27.5 million as of December 31, 2023. The decrease was driven by a decline in ceded losses recoverable under our QSR Transactions.</w:t>
      </w:r>
    </w:p>
    <w:p>
      <w:pPr>
        <w:spacing w:after="0" w:line="11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Prepaid federal income taxes were $235.3 million as of June 30, 2024 and December 31, 2023. Prepaid federal income taxes represent tax and loss bonds purchased in connection with our claimed tax deduction for our statutory contingency reserve position. See Item 1, “</w:t>
      </w:r>
      <w:r>
        <w:rPr>
          <w:rFonts w:ascii="Times New Roman" w:cs="Times New Roman" w:eastAsia="Times New Roman" w:hAnsi="Times New Roman"/>
          <w:sz w:val="18"/>
          <w:szCs w:val="18"/>
          <w:i w:val="1"/>
          <w:iCs w:val="1"/>
          <w:color w:val="auto"/>
        </w:rPr>
        <w:t>Financial Statements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Consolidated Financial Statements - Note 8, Income Taxes.”</w:t>
      </w:r>
    </w:p>
    <w:p>
      <w:pPr>
        <w:spacing w:after="0" w:line="12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Other assets were $87.1 million as of June 30, 2024, compared to $40.4 million as of December 31, 2023. The increase was primarily driven by a $43.0 million increase in unsettled trade receivables due on the maturity of certain investments at June 30, 2024.</w:t>
      </w:r>
    </w:p>
    <w:p>
      <w:pPr>
        <w:spacing w:after="0" w:line="11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Debt was $414.2 million as of June 30, 2024, compared to $397.6 million as of December 31, 2023. Debt as of June 30, 2024 represented the carrying value of the $425 million aggregate principal amount 2024 Notes which issued in May 2024. Debt at December 31, 2023 represented the carrying value of the $400 million aggregate principal amount 2020 Notes, which were redeemed in full upon the completion of the 2024 Notes offering. For more information see Item 1, “</w:t>
      </w:r>
      <w:r>
        <w:rPr>
          <w:rFonts w:ascii="Times New Roman" w:cs="Times New Roman" w:eastAsia="Times New Roman" w:hAnsi="Times New Roman"/>
          <w:sz w:val="18"/>
          <w:szCs w:val="18"/>
          <w:i w:val="1"/>
          <w:iCs w:val="1"/>
          <w:color w:val="auto"/>
        </w:rPr>
        <w:t>Financial Statements - Notes to Condensed Consolidated Financial Statements - Note 4, Debt.”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6" w:name="page47"/>
    <w:bookmarkEnd w:id="46"/>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Unearned premiums were $78.3 million as of June 30, 2024, compared to $92.3 million as of December 31, 2023. The decrease was driven by the amortization of existing unearned premiums through earnings in accordance with the expiration of risk on related single premium policies and the cancellations of other single premium policies, partially offset by single premium policy originations during the six months ended June 30, 2024.</w:t>
      </w:r>
    </w:p>
    <w:p>
      <w:pPr>
        <w:spacing w:after="0" w:line="12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Accounts payable and accrued expenses were $77.9 million as of June 30, 2024, compared to $86.2 million as of December 31, 2023. The decrease was primarily driven by the settlement of previously accrued compensation expenses and certain vendor payables, partially offset by an increase in current tax and reinsurance premium payables.</w:t>
      </w:r>
    </w:p>
    <w:p>
      <w:pPr>
        <w:spacing w:after="0" w:line="12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Reserve for insurance claims and claim expenses was $125.4 million as of June 30, 2024, compared to $124.0 million as of December 31, 2023. The increase was primarily driven by the establishment of initial reserves on newly defaulted loans during the six months ended June 30, 2024, as well as an increase in the average case reserve held against previously defaulted loans that aged in their delinquent status.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 w:cs="Times New Roman" w:eastAsia="Times New Roman" w:hAnsi="Times New Roman"/>
          <w:sz w:val="18"/>
          <w:szCs w:val="18"/>
          <w:i w:val="1"/>
          <w:iCs w:val="1"/>
          <w:color w:val="auto"/>
        </w:rPr>
        <w:t>Insurance Claims and Claim Expenses</w:t>
      </w:r>
      <w:r>
        <w:rPr>
          <w:rFonts w:ascii="Times New Roman" w:cs="Times New Roman" w:eastAsia="Times New Roman" w:hAnsi="Times New Roman"/>
          <w:sz w:val="18"/>
          <w:szCs w:val="18"/>
          <w:color w:val="auto"/>
        </w:rPr>
        <w:t>,” above for further details.</w:t>
      </w:r>
    </w:p>
    <w:p>
      <w:pPr>
        <w:spacing w:after="0" w:line="13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deferred tax liability was $348.3 million as of June 30, 2024, compared to $301.6 million as of December 31, 2023. The increase was primarily due to an increase in the claimed deductibility of our statutory contingency reserve, partially offset by the increase in unrealized losses recorded in other comprehensive income. For further information regarding income taxes and their impact on our results of operations and financial position, see Item 1, “</w:t>
      </w:r>
      <w:r>
        <w:rPr>
          <w:rFonts w:ascii="Times New Roman" w:cs="Times New Roman" w:eastAsia="Times New Roman" w:hAnsi="Times New Roman"/>
          <w:sz w:val="18"/>
          <w:szCs w:val="18"/>
          <w:i w:val="1"/>
          <w:iCs w:val="1"/>
          <w:color w:val="auto"/>
        </w:rPr>
        <w:t>Financial Statements - Notes to Condensed Consolidated Financial Statements - Note 8, Income Taxes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420" w:type="dxa"/>
            <w:vAlign w:val="bottom"/>
          </w:tcPr>
          <w:p>
            <w:pPr>
              <w:spacing w:after="0"/>
              <w:rPr>
                <w:sz w:val="16"/>
                <w:szCs w:val="16"/>
                <w:color w:val="auto"/>
              </w:rPr>
            </w:pPr>
          </w:p>
        </w:tc>
        <w:tc>
          <w:tcPr>
            <w:tcW w:w="314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76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6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20" w:type="dxa"/>
            <w:vAlign w:val="bottom"/>
          </w:tcPr>
          <w:p>
            <w:pPr>
              <w:spacing w:after="0"/>
              <w:rPr>
                <w:sz w:val="18"/>
                <w:szCs w:val="18"/>
                <w:color w:val="auto"/>
              </w:rPr>
            </w:pPr>
          </w:p>
        </w:tc>
        <w:tc>
          <w:tcPr>
            <w:tcW w:w="196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8"/>
                <w:szCs w:val="18"/>
                <w:color w:val="auto"/>
              </w:rPr>
            </w:pPr>
          </w:p>
        </w:tc>
      </w:tr>
      <w:tr>
        <w:trPr>
          <w:trHeight w:val="225"/>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191,740</w:t>
            </w:r>
          </w:p>
        </w:tc>
      </w:tr>
      <w:tr>
        <w:trPr>
          <w:trHeight w:val="22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(119,470)</w:t>
            </w:r>
          </w:p>
        </w:tc>
      </w:tr>
      <w:tr>
        <w:trPr>
          <w:trHeight w:val="224"/>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(43,377)</w:t>
            </w:r>
          </w:p>
        </w:tc>
      </w:tr>
      <w:tr>
        <w:trPr>
          <w:trHeight w:val="21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(34,060)</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28,893</w:t>
            </w: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Net cash provided by operating activities was $229.4 million for the six months ended June 30, 2024, compared to $191.7 million for the six months ended June 30, 2023. Cash provided by operating activities increased during the six months ended June 30, 2024, primarily due to an increase in our net premium receipts, growth in our investment income and a reduction in technology service costs paid under our long-term IT services agreement with Tata Consultancy Services, partially offset by an increase in short-term employee incentive payments, premium taxes paid and net claim settlement costs.</w:t>
      </w:r>
    </w:p>
    <w:p>
      <w:pPr>
        <w:spacing w:after="0" w:line="10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2024 and 2023 reflects the purchase of fixed and short-term maturities with cash provided by operating activities, and the reinvestment of coupon payments, maturities and sale proceeds within our investment portfolio.</w:t>
      </w:r>
    </w:p>
    <w:p>
      <w:pPr>
        <w:spacing w:after="0" w:line="11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Cash used in financing activities was $51.1 million for the six months ended June 30, 2024, compared to $43.4 million for the six months ended June 30, 2023. Cash used in financing activities primarily relates to the repurchase of common stock and taxes paid on the net share settlement of equity awards for certain employees. Cash used in financing activities for the six months ended June 30, 2024 further reflects the net impact of the redemption of the 2020 Notes and issuance of the 2024 Notes during the period.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7" w:name="page48"/>
    <w:bookmarkEnd w:id="47"/>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June 30, 2024, NMIH had $149.2 million of cash and investments. NMIH's principal sources of net cash are dividends from its subsidiaries and investment income. NMIC paid a $96.3 million ordinary course dividend to NMIH on May 30, 2024, representing its full ordinary course dividend capacity payable under Wisconsin insurance laws for the twelve-month period ending December 31, 2024. NMIH also has access to $250 million of undrawn revolving credit capacity under the 2024 Revolving Credit Facility.</w:t>
      </w:r>
    </w:p>
    <w:p>
      <w:pPr>
        <w:spacing w:after="0" w:line="130"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On February 10, 2022, our Board of Directors authorized a $125 million share repurchase program (excluding associated costs and applicable taxes) effective through December 31, 2023. On July 31, 2023, our Board of Directors authorized a new $200 million share repurchase program (excluding associated costs and applicable taxes) effective through December 31, 2025. Concurrent with the new authorization, our Board of Directors also approved an extension of our existing $125 million share repurchase program through December 31, 2025 to align its remaining tenor with that of the new $200 million program. The authorization provides NMIH the flexibility, based on market and business conditions, stock price and other factors, to repurchase stock from time to time through open market repurchases, privately negotiated transactions, or other means, including pursuant to Rule 10b5-1 trading plans.</w:t>
      </w:r>
    </w:p>
    <w:p>
      <w:pPr>
        <w:spacing w:after="0" w:line="1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During the six months ended June 30, 2024, NMIH repurchased 1.7 million shares of common stock at a total cost of $52.4 million, including associated costs and applicable taxes. As of June 30, 2024, NMIH had $124.9 million of repurchase authority remaining.</w:t>
      </w:r>
    </w:p>
    <w:p>
      <w:pPr>
        <w:spacing w:after="0" w:line="11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On May 21, 2024, NMIH completed the $425 million sale of the 2024 Notes, raising net proceeds of $414.1 million after giving effect to offering expenses and an initial underwriting discount. Net proceeds from the offering were primarily used to effect the redemption of the $400 million aggregate principal amount 2020 Notes. In June 2024, NMIH contributed remaining net proceeds of the offering to NMIC. For more information, see Item 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Notes to Condensed Consolidated Financial Statements - Note 4, Debt.”</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spacing w:after="0" w:line="13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Under the 2024 Revolving Credit Facility, NMIH is required to pay a quarterly commitment fee on the average daily undrawn amount of 0.175% to 0.525%, based on the applicable corporate credit rating at the time. As of June 30, 2024, the applicable commitment fee was 0.225%.</w:t>
      </w:r>
    </w:p>
    <w:p>
      <w:pPr>
        <w:spacing w:after="0" w:line="11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June 30, 2024.</w:t>
      </w:r>
    </w:p>
    <w:p>
      <w:pPr>
        <w:spacing w:after="0" w:line="12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NMIC and Re One are subject to certain capital and dividend rules and regulations prescribed by jurisdictions in which they are authorized to operate and by the GSEs. Under Wisconsin insurance laws, NMIC and Re One may pay dividends up to specified levels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May 30, 2024, NMIC paid a $96.3 million ordinary course dividend to NMIH, representing its full ordinary course dividend capacity payable under Wisconsin insurance laws for the twelve-month period ending December 31, 2024.</w:t>
      </w:r>
    </w:p>
    <w:p>
      <w:pPr>
        <w:spacing w:after="0" w:line="133"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As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xml:space="preserve"> under PMIERs, NMIC would generally be subject to additional restrictions on its ability to pay dividends to NMIH if it failed to meet the financial requirements prescribed by PMIERs. Approved insurers that fail to meet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prescribed PMIERs financial requirements are not permitted to pay dividends without prior approval from the GSEs.</w:t>
      </w:r>
    </w:p>
    <w:p>
      <w:pPr>
        <w:spacing w:after="0" w:line="162"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8"/>
          <w:szCs w:val="18"/>
          <w:i w:val="1"/>
          <w:iCs w:val="1"/>
          <w:color w:val="auto"/>
        </w:rPr>
        <w:t xml:space="preserve">minimum required asset </w:t>
      </w:r>
      <w:r>
        <w:rPr>
          <w:rFonts w:ascii="Times New Roman" w:cs="Times New Roman" w:eastAsia="Times New Roman" w:hAnsi="Times New Roman"/>
          <w:sz w:val="18"/>
          <w:szCs w:val="18"/>
          <w:color w:val="auto"/>
        </w:rPr>
        <w:t>thresholds under the PMIERs and minimum state capital requirements (respectively, as defined therein).</w:t>
      </w:r>
    </w:p>
    <w:p>
      <w:pPr>
        <w:spacing w:after="0" w:line="12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subject to a minimum floor of $400 million. At June 30, 2024, NMIC reported $2,828 million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against $1,652 million net </w:t>
      </w:r>
      <w:r>
        <w:rPr>
          <w:rFonts w:ascii="Times New Roman" w:cs="Times New Roman" w:eastAsia="Times New Roman" w:hAnsi="Times New Roman"/>
          <w:sz w:val="18"/>
          <w:szCs w:val="18"/>
          <w:i w:val="1"/>
          <w:iCs w:val="1"/>
          <w:color w:val="auto"/>
        </w:rPr>
        <w:t>risk-based required assets</w:t>
      </w:r>
      <w:r>
        <w:rPr>
          <w:rFonts w:ascii="Times New Roman" w:cs="Times New Roman" w:eastAsia="Times New Roman" w:hAnsi="Times New Roman"/>
          <w:sz w:val="18"/>
          <w:szCs w:val="18"/>
          <w:color w:val="auto"/>
        </w:rPr>
        <w:t xml:space="preserve"> for a $1,176 million “excess” funding position. Available assets at June 30, 2024 excludes $43 million of unsettled trade receivables due on the maturity of certain investments.</w:t>
      </w:r>
    </w:p>
    <w:p>
      <w:pPr>
        <w:spacing w:after="0" w:line="13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70%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haircut for the duration of the forbearance period and subsequent repayment plan or trial modification period.</w:t>
      </w:r>
    </w:p>
    <w:p>
      <w:pPr>
        <w:spacing w:after="0" w:line="135"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18"/>
          <w:szCs w:val="18"/>
          <w:color w:val="auto"/>
        </w:rPr>
        <w:t xml:space="preserve">NMIC's PMIERs minimum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is also adjusted for its reinsurance transactions (as approved by the GSEs). Under NMIC's quota share reinsurance treaties, it receives credit for the PMIERs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on ceded RIF. As its gross PMIERs </w:t>
      </w:r>
      <w:r>
        <w:rPr>
          <w:rFonts w:ascii="Times New Roman" w:cs="Times New Roman" w:eastAsia="Times New Roman" w:hAnsi="Times New Roman"/>
          <w:sz w:val="18"/>
          <w:szCs w:val="18"/>
          <w:i w:val="1"/>
          <w:iCs w:val="1"/>
          <w:color w:val="auto"/>
        </w:rPr>
        <w:t>risk-based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required asset </w:t>
      </w:r>
      <w:r>
        <w:rPr>
          <w:rFonts w:ascii="Times New Roman" w:cs="Times New Roman" w:eastAsia="Times New Roman" w:hAnsi="Times New Roman"/>
          <w:sz w:val="18"/>
          <w:szCs w:val="18"/>
          <w:color w:val="auto"/>
        </w:rPr>
        <w:t>amount on ceded RIF increases, the PMIERs credit for ceded RIF automatically increases as well (in an unlimited amount). Under NMIC's ILN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XOL Transactions, it generally receives credit for the PMIERs </w:t>
      </w:r>
      <w:r>
        <w:rPr>
          <w:rFonts w:ascii="Times New Roman" w:cs="Times New Roman" w:eastAsia="Times New Roman" w:hAnsi="Times New Roman"/>
          <w:sz w:val="18"/>
          <w:szCs w:val="18"/>
          <w:i w:val="1"/>
          <w:iCs w:val="1"/>
          <w:color w:val="auto"/>
        </w:rPr>
        <w:t>risk-based required asset</w:t>
      </w:r>
      <w:r>
        <w:rPr>
          <w:rFonts w:ascii="Times New Roman" w:cs="Times New Roman" w:eastAsia="Times New Roman" w:hAnsi="Times New Roman"/>
          <w:sz w:val="18"/>
          <w:szCs w:val="18"/>
          <w:color w:val="auto"/>
        </w:rPr>
        <w:t xml:space="preserve"> amount on ceded RIF to the extent such requirement is within the subordinated coverage (excess of loss detachment threshold) afforded by the transaction.</w:t>
      </w:r>
    </w:p>
    <w:p>
      <w:pPr>
        <w:spacing w:after="0" w:line="13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3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June 30, 2024, NMIC had a RTC ratio of 12.4:1 with $33.1 billion of performing primary RIF, net of reinsurance, and $2.7 billion of total statutory capital, including contingency reserves. Re One has no risk in force remaining and no longer reports a RTC ratio.</w:t>
      </w:r>
    </w:p>
    <w:p>
      <w:pPr>
        <w:spacing w:after="0" w:line="116"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June 30, 2024, NMIC had $2.4 billion of cash and investments, including $23.4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June 30, 2024, NMIC generated $360 million of cash flow from operations and received an additional $298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were broadly applied in response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49" w:name="page50"/>
    <w:bookmarkEnd w:id="49"/>
    <w:p>
      <w:pPr>
        <w:jc w:val="both"/>
        <w:spacing w:after="0" w:line="269" w:lineRule="auto"/>
        <w:rPr>
          <w:sz w:val="20"/>
          <w:szCs w:val="20"/>
          <w:color w:val="auto"/>
        </w:rPr>
      </w:pPr>
      <w:r>
        <w:rPr>
          <w:rFonts w:ascii="Times New Roman" w:cs="Times New Roman" w:eastAsia="Times New Roman" w:hAnsi="Times New Roman"/>
          <w:sz w:val="18"/>
          <w:szCs w:val="18"/>
          <w:color w:val="auto"/>
        </w:rPr>
        <w:t>COVID-19 pandemic and serve to further extend the default-to-foreclosure-to-claim cycle timeline), we do not expect NMIC to use a meaningful amount of cash to settle claims in the near-term.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Financial Strength Ratings</w:t>
      </w:r>
    </w:p>
    <w:p>
      <w:pPr>
        <w:spacing w:after="0" w:line="151"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18"/>
          <w:szCs w:val="18"/>
          <w:color w:val="auto"/>
        </w:rPr>
        <w:t>NMIC's financial strength is rated “A-” by Fitch Ratings (Fitch), “A3” by Moody's and “BBB+” by S&amp;P. NMIH's 2024 Notes are rated “BBB-” by Fitch and “Baa3” by Moody's. The outlook for all ratings provided by Fitch, Moody's and S&amp;P is stable.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Investment Portfolio</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0"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investment portfolio is comprised entirely of fixed maturity instruments. As of June 30, 2024, the fair value of our investment portfolio was $2.5 billion and we held an additional $62.6 million of cash and cash equivalents. Pre-tax book yield on the investment portfolio for the six months ended June 30, 2024 was 2.9%.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a breakdown of our investment portfolio and cash and cash equivalents by investment type and credit rating: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4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18"/>
                <w:szCs w:val="18"/>
                <w:b w:val="1"/>
                <w:bCs w:val="1"/>
                <w:color w:val="auto"/>
                <w:vertAlign w:val="superscript"/>
              </w:rPr>
              <w:t>(1)</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7460" w:type="dxa"/>
            <w:vAlign w:val="bottom"/>
            <w:vMerge w:val="continue"/>
          </w:tcPr>
          <w:p>
            <w:pPr>
              <w:spacing w:after="0"/>
              <w:rPr>
                <w:sz w:val="24"/>
                <w:szCs w:val="24"/>
                <w:color w:val="auto"/>
              </w:rPr>
            </w:pP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7"/>
        </w:trPr>
        <w:tc>
          <w:tcPr>
            <w:tcW w:w="7460" w:type="dxa"/>
            <w:vAlign w:val="bottom"/>
            <w:tcBorders>
              <w:top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AAA </w:t>
            </w:r>
            <w:r>
              <w:rPr>
                <w:rFonts w:ascii="Times New Roman" w:cs="Times New Roman" w:eastAsia="Times New Roman" w:hAnsi="Times New Roman"/>
                <w:sz w:val="22"/>
                <w:szCs w:val="22"/>
                <w:color w:val="auto"/>
                <w:vertAlign w:val="superscript"/>
              </w:rPr>
              <w:t>(2)</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4"/>
        </w:trPr>
        <w:tc>
          <w:tcPr>
            <w:tcW w:w="7460" w:type="dxa"/>
            <w:vAlign w:val="bottom"/>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 xml:space="preserve"> (3)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 xml:space="preserve"> (3)</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4"/>
        </w:trPr>
        <w:tc>
          <w:tcPr>
            <w:tcW w:w="74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BBB </w:t>
            </w:r>
            <w:r>
              <w:rPr>
                <w:rFonts w:ascii="Times New Roman" w:cs="Times New Roman" w:eastAsia="Times New Roman" w:hAnsi="Times New Roman"/>
                <w:sz w:val="22"/>
                <w:szCs w:val="22"/>
                <w:color w:val="auto"/>
                <w:vertAlign w:val="superscript"/>
              </w:rPr>
              <w:t>(3)</w:t>
            </w: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25"/>
                <w:szCs w:val="25"/>
                <w:color w:val="auto"/>
                <w:vertAlign w:val="subscript"/>
              </w:rPr>
              <w:t>BB</w:t>
            </w:r>
            <w:r>
              <w:rPr>
                <w:rFonts w:ascii="Times New Roman" w:cs="Times New Roman" w:eastAsia="Times New Roman" w:hAnsi="Times New Roman"/>
                <w:sz w:val="10"/>
                <w:szCs w:val="10"/>
                <w:color w:val="auto"/>
              </w:rPr>
              <w:t xml:space="preserve"> (4)</w:t>
            </w:r>
          </w:p>
        </w:tc>
        <w:tc>
          <w:tcPr>
            <w:tcW w:w="1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certain operating cash accounts.</w:t>
      </w:r>
    </w:p>
    <w:p>
      <w:pPr>
        <w:spacing w:after="0" w:line="2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securities rated A-1+.</w:t>
      </w:r>
    </w:p>
    <w:p>
      <w:pPr>
        <w:spacing w:after="0" w:line="10"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 ratings.</w:t>
      </w:r>
    </w:p>
    <w:p>
      <w:pPr>
        <w:spacing w:after="0" w:line="1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held one security with a BB+ rating at June 30, 2024 and December 31, 2023, which is not identifiable in the table due to rounding.</w:t>
      </w:r>
    </w:p>
    <w:p>
      <w:pPr>
        <w:spacing w:after="0" w:line="227"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Investment Securities - Allowance for credit losses</w:t>
      </w:r>
    </w:p>
    <w:p>
      <w:pPr>
        <w:spacing w:after="0" w:line="164"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We did not recognize an allowance for credit loss for any security in the investment portfolio as of June 30, 2024 or December 31, 2023, and we did not record any provision for credit loss for investment securities during the three or six month periods ended June 30, 2024 or 2023.</w:t>
      </w:r>
    </w:p>
    <w:p>
      <w:pPr>
        <w:spacing w:after="0" w:line="116"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As of June 30, 2024, the investment portfolio had gross unrealized losses of $190.1 million, of which $184.8 million were associated with securities that had been in an unrealized loss position for a period of twelve months or longer. As of</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0" w:name="page51"/>
    <w:bookmarkEnd w:id="50"/>
    <w:p>
      <w:pPr>
        <w:jc w:val="both"/>
        <w:spacing w:after="0" w:line="269" w:lineRule="auto"/>
        <w:rPr>
          <w:sz w:val="20"/>
          <w:szCs w:val="20"/>
          <w:color w:val="auto"/>
        </w:rPr>
      </w:pPr>
      <w:r>
        <w:rPr>
          <w:rFonts w:ascii="Times New Roman" w:cs="Times New Roman" w:eastAsia="Times New Roman" w:hAnsi="Times New Roman"/>
          <w:sz w:val="18"/>
          <w:szCs w:val="18"/>
          <w:color w:val="auto"/>
        </w:rPr>
        <w:t>December 31, 2023, the investment portfolio had gross unrealized losses of $184.3 million, of which $183.1 million were associated with securities that had been in an unrealized loss position for a period of twelve months or longer.</w:t>
      </w:r>
    </w:p>
    <w:p>
      <w:pPr>
        <w:spacing w:after="0" w:line="11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evaluated the securities in an unrealized loss position as of June 30, 2024, assessing their credit ratings as well as any adverse conditions specifically related to the security. Based upon our assessment of the amount and timing of cash flows to be collected over the remaining life of each instrument, we believe the unrealized losses as of June 30, 2024 are not indicative of the ultimate collectability of the current amortized cost of the securities. Rather, the unrealized losses on securities held as of June 30, 2024 were primarily driven by fluctuations in interest rates, and to a lesser extent, movements in credit spreads following the purchase of those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2023 10-K.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Board's Risk Committee.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drivers of our market risk exposure monitored and managed by us include but are not limited to:</w:t>
      </w:r>
    </w:p>
    <w:p>
      <w:pPr>
        <w:spacing w:after="0" w:line="143" w:lineRule="exact"/>
        <w:rPr>
          <w:sz w:val="20"/>
          <w:szCs w:val="20"/>
          <w:color w:val="auto"/>
        </w:rPr>
      </w:pPr>
    </w:p>
    <w:p>
      <w:pPr>
        <w:jc w:val="both"/>
        <w:ind w:left="960" w:hanging="321"/>
        <w:spacing w:after="0" w:line="250"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the level of interest rates</w:t>
      </w:r>
      <w:r>
        <w:rPr>
          <w:rFonts w:ascii="Times New Roman" w:cs="Times New Roman" w:eastAsia="Times New Roman" w:hAnsi="Times New Roman"/>
          <w:sz w:val="18"/>
          <w:szCs w:val="18"/>
          <w:color w:val="auto"/>
        </w:rPr>
        <w:t>. 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spacing w:after="0" w:line="130"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the term structure of interest rates</w:t>
      </w:r>
      <w:r>
        <w:rPr>
          <w:rFonts w:ascii="Times New Roman" w:cs="Times New Roman" w:eastAsia="Times New Roman" w:hAnsi="Times New Roman"/>
          <w:sz w:val="18"/>
          <w:szCs w:val="18"/>
          <w:color w:val="auto"/>
        </w:rPr>
        <w:t>. 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11" w:lineRule="exact"/>
        <w:rPr>
          <w:rFonts w:ascii="Times New Roman" w:cs="Times New Roman" w:eastAsia="Times New Roman" w:hAnsi="Times New Roman"/>
          <w:sz w:val="18"/>
          <w:szCs w:val="18"/>
          <w:i w:val="1"/>
          <w:iCs w:val="1"/>
          <w:color w:val="auto"/>
        </w:rPr>
      </w:pPr>
    </w:p>
    <w:p>
      <w:pPr>
        <w:jc w:val="both"/>
        <w:ind w:left="960" w:hanging="321"/>
        <w:spacing w:after="0" w:line="258"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volatility/changes in the real or perceived credit quality of investments</w:t>
      </w:r>
      <w:r>
        <w:rPr>
          <w:rFonts w:ascii="Times New Roman" w:cs="Times New Roman" w:eastAsia="Times New Roman" w:hAnsi="Times New Roman"/>
          <w:sz w:val="18"/>
          <w:szCs w:val="18"/>
          <w:color w:val="auto"/>
        </w:rPr>
        <w:t>. 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rating agency or investment advisors) assessments, will reduce the value and potentially the liquidity of investments.</w:t>
      </w:r>
    </w:p>
    <w:p>
      <w:pPr>
        <w:spacing w:after="0" w:line="123"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risk</w:t>
      </w:r>
      <w:r>
        <w:rPr>
          <w:rFonts w:ascii="Times New Roman" w:cs="Times New Roman" w:eastAsia="Times New Roman" w:hAnsi="Times New Roman"/>
          <w:sz w:val="18"/>
          <w:szCs w:val="18"/>
          <w:color w:val="auto"/>
        </w:rPr>
        <w:t>. 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11" w:lineRule="exact"/>
        <w:rPr>
          <w:rFonts w:ascii="Times New Roman" w:cs="Times New Roman" w:eastAsia="Times New Roman" w:hAnsi="Times New Roman"/>
          <w:sz w:val="18"/>
          <w:szCs w:val="18"/>
          <w:color w:val="auto"/>
        </w:rPr>
      </w:pPr>
    </w:p>
    <w:p>
      <w:pPr>
        <w:ind w:left="960" w:hanging="321"/>
        <w:spacing w:after="0" w:line="272"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risk</w:t>
      </w:r>
      <w:r>
        <w:rPr>
          <w:rFonts w:ascii="Times New Roman" w:cs="Times New Roman" w:eastAsia="Times New Roman" w:hAnsi="Times New Roman"/>
          <w:sz w:val="18"/>
          <w:szCs w:val="18"/>
          <w:color w:val="auto"/>
        </w:rPr>
        <w:t>. 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1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carrying value of our investment portfolio as of June 30, 2024 and December 31, 2023 was $2.5 billion and $2.4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June 30, 2024, the duration of our fixed income portfolio, including cash and cash equivalents, was 3.77 years, which means that an instantaneous parallel shift (movement up or down) in the yield curve of 100 basis points would result in a change of 3.77% in fair value of our fixed income portfolio. Excluding cash, our fixed income portfolio duration was 3.86 years, which means that an instantaneous parallel shift (movement up or down) in the yield curve of 100 basis points would result in a change of 3.86% in fair value of our fixed income portfolio.</w:t>
      </w:r>
    </w:p>
    <w:p>
      <w:pPr>
        <w:spacing w:after="0" w:line="128"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color w:val="auto"/>
        </w:rPr>
        <w:t>We are also subject to market risk related to the 2024 Revolving Credit Facility and the ILN Transactions. As discussed in Item 1,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 Notes to Condensed Consolidated Financial Statements - Note 4, Debt” </w:t>
      </w:r>
      <w:r>
        <w:rPr>
          <w:rFonts w:ascii="Times New Roman" w:cs="Times New Roman" w:eastAsia="Times New Roman" w:hAnsi="Times New Roman"/>
          <w:sz w:val="18"/>
          <w:szCs w:val="18"/>
          <w:color w:val="auto"/>
        </w:rPr>
        <w:t>the 2024 Revolving Credit Facility bears interest at a variable rate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increases in market interest rates would generally result in increased interest expense on any outstanding drawn balance.</w:t>
      </w:r>
    </w:p>
    <w:p>
      <w:pPr>
        <w:spacing w:after="0" w:line="126"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conducted an evaluation of the effectiveness of our disclosure controls and procedures (as defined in Rule 13a-15(e) of the Exchange Act) as of June 30, 2024,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June 30, 2024,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3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As we have previously disclosed, we were named as a defendant in one litigation case that involves refunds of mortgage insurance premiums under the Homeowners Protection Act. In September 2023, the United States District Court for the Eastern District of Virginia granted our motion to dismiss the case. Subsequently, the plaintiff filed a notice of appeal in October 2023, appealing the District Court’s decision to the United States Court of Appeals for the Fourth Circuit. The appeal is currently pending.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of our 2023 10-K. As of the date of this report, we are not aware of any material changes in our risk factors from the risk factors disclosed in our 2023 10-K. You should carefully consider the risks and uncertainties described herein and in our 2023 10-K, which have the potential to affect our business, financial condition, results of operations, cash flows or prospects in a material and adverse manner. The risks described herein and in our 2023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of NMI Holdings, Inc. common stock by us during the three months ended June 30,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3"/>
        </w:trPr>
        <w:tc>
          <w:tcPr>
            <w:tcW w:w="3500" w:type="dxa"/>
            <w:vAlign w:val="bottom"/>
          </w:tcPr>
          <w:p>
            <w:pPr>
              <w:spacing w:after="0"/>
              <w:rPr>
                <w:sz w:val="12"/>
                <w:szCs w:val="12"/>
                <w:color w:val="auto"/>
              </w:rPr>
            </w:pPr>
          </w:p>
        </w:tc>
        <w:tc>
          <w:tcPr>
            <w:tcW w:w="186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240" w:type="dxa"/>
            <w:vAlign w:val="bottom"/>
          </w:tcPr>
          <w:p>
            <w:pPr>
              <w:spacing w:after="0"/>
              <w:rPr>
                <w:sz w:val="12"/>
                <w:szCs w:val="12"/>
                <w:color w:val="auto"/>
              </w:rPr>
            </w:pPr>
          </w:p>
        </w:tc>
        <w:tc>
          <w:tcPr>
            <w:tcW w:w="1720" w:type="dxa"/>
            <w:vAlign w:val="bottom"/>
          </w:tcPr>
          <w:p>
            <w:pPr>
              <w:jc w:val="center"/>
              <w:ind w:right="59"/>
              <w:spacing w:after="0" w:line="143"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5"/>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860" w:type="dxa"/>
            <w:vAlign w:val="bottom"/>
            <w:vMerge w:val="continue"/>
          </w:tcPr>
          <w:p>
            <w:pPr>
              <w:spacing w:after="0"/>
              <w:rPr>
                <w:sz w:val="12"/>
                <w:szCs w:val="12"/>
                <w:color w:val="auto"/>
              </w:rPr>
            </w:pPr>
          </w:p>
        </w:tc>
        <w:tc>
          <w:tcPr>
            <w:tcW w:w="204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960" w:type="dxa"/>
            <w:vAlign w:val="bottom"/>
            <w:gridSpan w:val="2"/>
          </w:tcPr>
          <w:p>
            <w:pPr>
              <w:jc w:val="center"/>
              <w:ind w:left="4"/>
              <w:spacing w:after="0" w:line="145"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40" w:type="dxa"/>
            <w:vAlign w:val="bottom"/>
            <w:tcBorders>
              <w:bottom w:val="single" w:sz="8" w:color="auto"/>
            </w:tcBorders>
            <w:gridSpan w:val="2"/>
            <w:vMerge w:val="continue"/>
          </w:tcPr>
          <w:p>
            <w:pPr>
              <w:spacing w:after="0"/>
              <w:rPr>
                <w:sz w:val="17"/>
                <w:szCs w:val="17"/>
                <w:color w:val="auto"/>
              </w:rPr>
            </w:pPr>
          </w:p>
        </w:tc>
        <w:tc>
          <w:tcPr>
            <w:tcW w:w="18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 xml:space="preserve">Programs </w:t>
            </w:r>
            <w:r>
              <w:rPr>
                <w:rFonts w:ascii="Times New Roman" w:cs="Times New Roman" w:eastAsia="Times New Roman" w:hAnsi="Times New Roman"/>
                <w:sz w:val="18"/>
                <w:szCs w:val="18"/>
                <w:b w:val="1"/>
                <w:bCs w:val="1"/>
                <w:color w:val="auto"/>
                <w:w w:val="93"/>
                <w:vertAlign w:val="superscript"/>
              </w:rPr>
              <w:t>(1)</w:t>
            </w: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79"/>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Program </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4/1/2024 to 4/30/2024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372,341</w:t>
            </w:r>
          </w:p>
        </w:tc>
        <w:tc>
          <w:tcPr>
            <w:tcW w:w="840" w:type="dxa"/>
            <w:vAlign w:val="bottom"/>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30.56</w:t>
            </w:r>
          </w:p>
        </w:tc>
        <w:tc>
          <w:tcPr>
            <w:tcW w:w="1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372,341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140,373</w:t>
            </w: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5/1/2024 to 5/31/2024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245,120</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32.79</w:t>
            </w:r>
          </w:p>
        </w:tc>
        <w:tc>
          <w:tcPr>
            <w:tcW w:w="1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245,120</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132,336</w:t>
            </w:r>
          </w:p>
        </w:tc>
        <w:tc>
          <w:tcPr>
            <w:tcW w:w="0" w:type="dxa"/>
            <w:vAlign w:val="bottom"/>
          </w:tcPr>
          <w:p>
            <w:pPr>
              <w:spacing w:after="0"/>
              <w:rPr>
                <w:sz w:val="1"/>
                <w:szCs w:val="1"/>
                <w:color w:val="auto"/>
              </w:rPr>
            </w:pPr>
          </w:p>
        </w:tc>
      </w:tr>
      <w:tr>
        <w:trPr>
          <w:trHeight w:val="224"/>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6/1/2024 to 6/30/2024</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226,467</w:t>
            </w:r>
          </w:p>
        </w:tc>
        <w:tc>
          <w:tcPr>
            <w:tcW w:w="8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8"/>
                <w:szCs w:val="18"/>
                <w:color w:val="auto"/>
              </w:rPr>
              <w:t>32.74</w:t>
            </w:r>
          </w:p>
        </w:tc>
        <w:tc>
          <w:tcPr>
            <w:tcW w:w="1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226,467</w:t>
            </w:r>
          </w:p>
        </w:tc>
        <w:tc>
          <w:tcPr>
            <w:tcW w:w="2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124,920</w:t>
            </w:r>
          </w:p>
        </w:tc>
        <w:tc>
          <w:tcPr>
            <w:tcW w:w="0" w:type="dxa"/>
            <w:vAlign w:val="bottom"/>
          </w:tcPr>
          <w:p>
            <w:pPr>
              <w:spacing w:after="0"/>
              <w:rPr>
                <w:sz w:val="1"/>
                <w:szCs w:val="1"/>
                <w:color w:val="auto"/>
              </w:rPr>
            </w:pPr>
          </w:p>
        </w:tc>
      </w:tr>
      <w:tr>
        <w:trPr>
          <w:trHeight w:val="24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843,928</w:t>
            </w:r>
          </w:p>
        </w:tc>
        <w:tc>
          <w:tcPr>
            <w:tcW w:w="8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843,928</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320" w:hanging="314"/>
        <w:spacing w:after="0" w:line="258" w:lineRule="auto"/>
        <w:tabs>
          <w:tab w:leader="none" w:pos="3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10, 2022, our Board of Directors approved a $125 million share repurchase program effective through December 31, 2023, excluding associated costs and applicable taxes. On July 31, 2023, our Board of Directors approved an extension of the $125 million repurchase program through December 31, 2025. On July 31, 2023, the Board also approved a new $200 million share repurchase program (excluding associated costs and applicable taxes) effective through December 31, 2025. As of June 30, 2024, no repurchase authority remained available under the February 2022 share repurchase program and $124.9 million repurchase authority remained under the July 2023 share repurchase program. See Part I, Item 1, “</w:t>
      </w:r>
      <w:r>
        <w:rPr>
          <w:rFonts w:ascii="Times New Roman" w:cs="Times New Roman" w:eastAsia="Times New Roman" w:hAnsi="Times New Roman"/>
          <w:sz w:val="14"/>
          <w:szCs w:val="14"/>
          <w:i w:val="1"/>
          <w:iCs w:val="1"/>
          <w:color w:val="auto"/>
        </w:rPr>
        <w:t>Financial Statements - Notes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Condensed Consolidated Financial Statements - Note 9, Stockholder's Equity” </w:t>
      </w:r>
      <w:r>
        <w:rPr>
          <w:rFonts w:ascii="Times New Roman" w:cs="Times New Roman" w:eastAsia="Times New Roman" w:hAnsi="Times New Roman"/>
          <w:sz w:val="14"/>
          <w:szCs w:val="14"/>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ectPr>
          <w:pgSz w:w="11900" w:h="16838" w:orient="portrait"/>
          <w:cols w:equalWidth="0" w:num="1">
            <w:col w:w="10960"/>
          </w:cols>
          <w:pgMar w:left="320" w:top="990" w:right="619" w:bottom="1440" w:gutter="0" w:footer="0" w:header="0"/>
        </w:sectPr>
      </w:pP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636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448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63500</wp:posOffset>
            </wp:positionV>
            <wp:extent cx="6264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4900" w:space="720"/>
            <w:col w:w="5340"/>
          </w:cols>
          <w:pgMar w:left="320" w:top="990" w:right="619" w:bottom="1440" w:gutter="0" w:footer="0" w:header="0"/>
          <w:type w:val="continuous"/>
        </w:sectPr>
      </w:pPr>
    </w:p>
    <w:p>
      <w:pPr>
        <w:spacing w:after="0" w:line="31" w:lineRule="exact"/>
        <w:rPr>
          <w:sz w:val="20"/>
          <w:szCs w:val="20"/>
          <w:color w:val="auto"/>
        </w:rPr>
      </w:pPr>
    </w:p>
    <w:p>
      <w:pPr>
        <w:jc w:val="right"/>
        <w:ind w:left="400"/>
        <w:spacing w:after="0" w:line="218"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1.1      </w:t>
      </w:r>
      <w:hyperlink r:id="rId67">
        <w:r>
          <w:rPr>
            <w:rFonts w:ascii="Times New Roman" w:cs="Times New Roman" w:eastAsia="Times New Roman" w:hAnsi="Times New Roman"/>
            <w:sz w:val="18"/>
            <w:szCs w:val="18"/>
            <w:u w:val="single" w:color="auto"/>
            <w:color w:val="0000FF"/>
          </w:rPr>
          <w:t>Underwriting Agreement, dated May 7, 2024, among the Company, RBC Capital Markets, LLC, Goldman Sachs &amp; Co. LLC, BMO</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FF"/>
          </w:rPr>
          <w:t>Capital Markets Corp., Citigroup Global Markets Inc. and Truist Securities, Inc. acting as representatives of several underwriters named</w:t>
        </w:r>
      </w:hyperlink>
    </w:p>
    <w:p>
      <w:pPr>
        <w:ind w:left="1140"/>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u w:val="single" w:color="auto"/>
            <w:color w:val="0000FF"/>
          </w:rPr>
          <w:t>therein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1.1 to our Form 8-K, filed on May 8, 2024)</w:t>
        </w:r>
      </w:hyperlink>
    </w:p>
    <w:p>
      <w:pPr>
        <w:ind w:left="40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8">
        <w:r>
          <w:rPr>
            <w:rFonts w:ascii="Times New Roman" w:cs="Times New Roman" w:eastAsia="Times New Roman" w:hAnsi="Times New Roman"/>
            <w:sz w:val="16"/>
            <w:szCs w:val="16"/>
            <w:u w:val="single" w:color="auto"/>
            <w:color w:val="0000FF"/>
          </w:rPr>
          <w:t xml:space="preserve">Third Amended and Restated Certificate of Incorporation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3.1 to our Form 8-K, filed on May</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10, 2024)</w:t>
      </w:r>
    </w:p>
    <w:p>
      <w:pPr>
        <w:spacing w:after="0" w:line="10" w:lineRule="exact"/>
        <w:rPr>
          <w:sz w:val="20"/>
          <w:szCs w:val="20"/>
          <w:color w:val="auto"/>
        </w:rPr>
      </w:pPr>
    </w:p>
    <w:p>
      <w:pPr>
        <w:ind w:left="400"/>
        <w:spacing w:after="0"/>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9">
        <w:r>
          <w:rPr>
            <w:rFonts w:ascii="Times New Roman" w:cs="Times New Roman" w:eastAsia="Times New Roman" w:hAnsi="Times New Roman"/>
            <w:sz w:val="16"/>
            <w:szCs w:val="16"/>
            <w:u w:val="single" w:color="auto"/>
            <w:color w:val="0000FF"/>
          </w:rPr>
          <w:t xml:space="preserve">Fifth Amended and Restated Bylaws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3.2 to our Form 8-K, filed on May 10, 2024)</w:t>
      </w:r>
    </w:p>
    <w:p>
      <w:pPr>
        <w:spacing w:after="0" w:line="22" w:lineRule="exact"/>
        <w:rPr>
          <w:sz w:val="20"/>
          <w:szCs w:val="20"/>
          <w:color w:val="auto"/>
        </w:rPr>
      </w:pPr>
    </w:p>
    <w:p>
      <w:pPr>
        <w:jc w:val="right"/>
        <w:ind w:left="400"/>
        <w:spacing w:after="0" w:line="21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4.1      </w:t>
      </w:r>
      <w:hyperlink r:id="rId70">
        <w:r>
          <w:rPr>
            <w:rFonts w:ascii="Times New Roman" w:cs="Times New Roman" w:eastAsia="Times New Roman" w:hAnsi="Times New Roman"/>
            <w:sz w:val="18"/>
            <w:szCs w:val="18"/>
            <w:u w:val="single" w:color="auto"/>
            <w:color w:val="0000FF"/>
          </w:rPr>
          <w:t>Indenture, dated as of June 19, 2020, among NMI Holdings, Inc., NMI Services, Inc. as the Initial Guarantor, and the Bank of New York</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FF"/>
          </w:rPr>
          <w:t>Mellon Trust Company, N.A. as Trustee and Notes Collateral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4.1 to our Form 8-K, filed</w:t>
        </w:r>
      </w:hyperlink>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on June 19, 2020)</w:t>
      </w:r>
    </w:p>
    <w:p>
      <w:pPr>
        <w:spacing w:after="0" w:line="2" w:lineRule="exact"/>
        <w:rPr>
          <w:sz w:val="20"/>
          <w:szCs w:val="20"/>
          <w:color w:val="auto"/>
        </w:rPr>
      </w:pPr>
    </w:p>
    <w:p>
      <w:pPr>
        <w:ind w:left="1140" w:hanging="733"/>
        <w:spacing w:after="0" w:line="229"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4.2</w:t>
      </w:r>
      <w:r>
        <w:rPr>
          <w:sz w:val="20"/>
          <w:szCs w:val="20"/>
          <w:color w:val="auto"/>
        </w:rPr>
        <w:tab/>
      </w:r>
      <w:hyperlink r:id="rId71">
        <w:r>
          <w:rPr>
            <w:rFonts w:ascii="Times New Roman" w:cs="Times New Roman" w:eastAsia="Times New Roman" w:hAnsi="Times New Roman"/>
            <w:sz w:val="18"/>
            <w:szCs w:val="18"/>
            <w:u w:val="single" w:color="auto"/>
            <w:color w:val="0000FF"/>
          </w:rPr>
          <w:t>Indenture, dated as of May 21, 2024, by and between NMI Holdings, Inc. and The Bank of New York Mellon Trust Company, N.A. as</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Trustee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4.1 to our Form 8-K, filed on May 21, 2024)</w:t>
        </w:r>
      </w:hyperlink>
    </w:p>
    <w:p>
      <w:pPr>
        <w:spacing w:after="0" w:line="9" w:lineRule="exact"/>
        <w:rPr>
          <w:sz w:val="20"/>
          <w:szCs w:val="20"/>
          <w:color w:val="auto"/>
        </w:rPr>
      </w:pPr>
    </w:p>
    <w:p>
      <w:pPr>
        <w:jc w:val="right"/>
        <w:ind w:left="400"/>
        <w:spacing w:after="0" w:line="218"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4.3      </w:t>
      </w:r>
      <w:hyperlink r:id="rId72">
        <w:r>
          <w:rPr>
            <w:rFonts w:ascii="Times New Roman" w:cs="Times New Roman" w:eastAsia="Times New Roman" w:hAnsi="Times New Roman"/>
            <w:sz w:val="18"/>
            <w:szCs w:val="18"/>
            <w:u w:val="single" w:color="auto"/>
            <w:color w:val="0000FF"/>
          </w:rPr>
          <w:t>Supplemental Indenture, dated as of May 21, 2024, by and between NMI Holdings, Inc. and The Bank of New York Mellon Trust</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FF"/>
          </w:rPr>
          <w:t>Company, N.A. as Trustee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the form of the Notes) (incorporated herein by reference to Exhibit 4.2 to our Form 8-K, filed on May</w:t>
        </w:r>
      </w:hyperlink>
    </w:p>
    <w:p>
      <w:pPr>
        <w:ind w:left="1140"/>
        <w:spacing w:after="0"/>
        <w:rPr>
          <w:sz w:val="20"/>
          <w:szCs w:val="20"/>
          <w:color w:val="auto"/>
        </w:rPr>
      </w:pPr>
      <w:r>
        <w:rPr>
          <w:rFonts w:ascii="Times New Roman" w:cs="Times New Roman" w:eastAsia="Times New Roman" w:hAnsi="Times New Roman"/>
          <w:sz w:val="18"/>
          <w:szCs w:val="18"/>
          <w:color w:val="auto"/>
        </w:rPr>
        <w:t>21, 2024)</w:t>
      </w:r>
    </w:p>
    <w:p>
      <w:pPr>
        <w:spacing w:after="0" w:line="2"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u w:val="single" w:color="auto"/>
          <w:color w:val="0000FF"/>
        </w:rPr>
        <w:t>Description of Securities</w:t>
      </w:r>
    </w:p>
    <w:p>
      <w:pPr>
        <w:spacing w:after="0" w:line="17" w:lineRule="exact"/>
        <w:rPr>
          <w:sz w:val="20"/>
          <w:szCs w:val="20"/>
          <w:color w:val="auto"/>
        </w:rPr>
      </w:pPr>
    </w:p>
    <w:p>
      <w:pPr>
        <w:ind w:left="1140" w:hanging="846"/>
        <w:spacing w:after="0" w:line="229"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 ~</w:t>
      </w:r>
      <w:r>
        <w:rPr>
          <w:sz w:val="20"/>
          <w:szCs w:val="20"/>
          <w:color w:val="auto"/>
        </w:rPr>
        <w:tab/>
      </w:r>
      <w:hyperlink r:id="rId73">
        <w:r>
          <w:rPr>
            <w:rFonts w:ascii="Times New Roman" w:cs="Times New Roman" w:eastAsia="Times New Roman" w:hAnsi="Times New Roman"/>
            <w:sz w:val="18"/>
            <w:szCs w:val="18"/>
            <w:u w:val="single" w:color="auto"/>
            <w:color w:val="0000FF"/>
          </w:rPr>
          <w:t xml:space="preserve">NMI Holdings, Inc. 2012 Stock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10.1 to our Form S-1 Registration Statement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(Registration No. 333-191635), filed on October 9, 2013)</w:t>
      </w:r>
    </w:p>
    <w:p>
      <w:pPr>
        <w:spacing w:after="0" w:line="9" w:lineRule="exact"/>
        <w:rPr>
          <w:sz w:val="20"/>
          <w:szCs w:val="20"/>
          <w:color w:val="auto"/>
        </w:rPr>
      </w:pPr>
    </w:p>
    <w:p>
      <w:pPr>
        <w:ind w:left="1140" w:right="180" w:hanging="846"/>
        <w:spacing w:after="0" w:line="266" w:lineRule="auto"/>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 ~</w:t>
      </w:r>
      <w:r>
        <w:rPr>
          <w:sz w:val="20"/>
          <w:szCs w:val="20"/>
          <w:color w:val="auto"/>
        </w:rPr>
        <w:tab/>
      </w:r>
      <w:hyperlink r:id="rId74">
        <w:r>
          <w:rPr>
            <w:rFonts w:ascii="Times New Roman" w:cs="Times New Roman" w:eastAsia="Times New Roman" w:hAnsi="Times New Roman"/>
            <w:sz w:val="16"/>
            <w:szCs w:val="16"/>
            <w:u w:val="single" w:color="auto"/>
            <w:color w:val="0000FF"/>
          </w:rPr>
          <w:t xml:space="preserve">Form of NMI Holdings, Inc. 2012 Stock Incentive Plan Nonqualified Stock Option Award Agreement (For CEO and CFO)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10.5 to our Form S-1 Registration Statement (Registration No. 333-191635), filed on October 9, 2013)</w:t>
      </w:r>
    </w:p>
    <w:p>
      <w:pPr>
        <w:spacing w:after="0" w:line="1" w:lineRule="exact"/>
        <w:rPr>
          <w:sz w:val="20"/>
          <w:szCs w:val="20"/>
          <w:color w:val="auto"/>
        </w:rPr>
      </w:pPr>
    </w:p>
    <w:p>
      <w:pPr>
        <w:ind w:left="1140" w:right="300" w:hanging="846"/>
        <w:spacing w:after="0" w:line="266" w:lineRule="auto"/>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10.3 ~</w:t>
      </w:r>
      <w:r>
        <w:rPr>
          <w:sz w:val="20"/>
          <w:szCs w:val="20"/>
          <w:color w:val="auto"/>
        </w:rPr>
        <w:tab/>
      </w:r>
      <w:hyperlink r:id="rId75">
        <w:r>
          <w:rPr>
            <w:rFonts w:ascii="Times New Roman" w:cs="Times New Roman" w:eastAsia="Times New Roman" w:hAnsi="Times New Roman"/>
            <w:sz w:val="16"/>
            <w:szCs w:val="16"/>
            <w:u w:val="single" w:color="auto"/>
            <w:color w:val="0000FF"/>
          </w:rPr>
          <w:t xml:space="preserve">Form of NMI Holdings, Inc. 2012 Stock Incentive Plan Nonqualified Stock Option Award Agreement (For Management)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1140" w:right="100" w:hanging="846"/>
        <w:spacing w:after="0" w:line="245" w:lineRule="auto"/>
        <w:tabs>
          <w:tab w:leader="none" w:pos="11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10.4 ~</w:t>
      </w:r>
      <w:r>
        <w:rPr>
          <w:sz w:val="20"/>
          <w:szCs w:val="20"/>
          <w:color w:val="auto"/>
        </w:rPr>
        <w:tab/>
      </w:r>
      <w:hyperlink r:id="rId76">
        <w:r>
          <w:rPr>
            <w:rFonts w:ascii="Times New Roman" w:cs="Times New Roman" w:eastAsia="Times New Roman" w:hAnsi="Times New Roman"/>
            <w:sz w:val="16"/>
            <w:szCs w:val="16"/>
            <w:u w:val="single" w:color="auto"/>
            <w:color w:val="0000FF"/>
          </w:rPr>
          <w:t>Form of NMI Holdings, Inc. 2012 Stock Incentive Plan Nonqualified Stock Option Award Agreement (For Non-Employee Directors)</w:t>
        </w:r>
      </w:hyperlink>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(incorporated herein by reference to Exhibit 10.7 to our Form S-1 Registration Statement (Registration No. 333-191635), filed on October</w:t>
      </w:r>
    </w:p>
    <w:p>
      <w:pPr>
        <w:ind w:left="1140"/>
        <w:spacing w:after="0"/>
        <w:rPr>
          <w:sz w:val="20"/>
          <w:szCs w:val="20"/>
          <w:color w:val="auto"/>
        </w:rPr>
      </w:pPr>
      <w:r>
        <w:rPr>
          <w:rFonts w:ascii="Times New Roman" w:cs="Times New Roman" w:eastAsia="Times New Roman" w:hAnsi="Times New Roman"/>
          <w:sz w:val="18"/>
          <w:szCs w:val="18"/>
          <w:color w:val="auto"/>
        </w:rPr>
        <w:t>9, 2013)</w:t>
      </w:r>
    </w:p>
    <w:p>
      <w:pPr>
        <w:spacing w:after="0" w:line="2" w:lineRule="exact"/>
        <w:rPr>
          <w:sz w:val="20"/>
          <w:szCs w:val="20"/>
          <w:color w:val="auto"/>
        </w:rPr>
      </w:pPr>
    </w:p>
    <w:p>
      <w:pPr>
        <w:ind w:left="1140" w:right="480" w:hanging="846"/>
        <w:spacing w:after="0" w:line="229"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 ~</w:t>
      </w:r>
      <w:r>
        <w:rPr>
          <w:sz w:val="20"/>
          <w:szCs w:val="20"/>
          <w:color w:val="auto"/>
        </w:rPr>
        <w:tab/>
      </w:r>
      <w:hyperlink r:id="rId77">
        <w:r>
          <w:rPr>
            <w:rFonts w:ascii="Times New Roman" w:cs="Times New Roman" w:eastAsia="Times New Roman" w:hAnsi="Times New Roman"/>
            <w:sz w:val="18"/>
            <w:szCs w:val="18"/>
            <w:u w:val="single" w:color="auto"/>
            <w:color w:val="0000FF"/>
          </w:rPr>
          <w:t xml:space="preserve">Form of NMI Holdings, Inc. 2012 Stock Incentive Plan Nonqualified Stock Option Award Agreement (For CEO/CFO)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10.8 to our Form 10-K, filed on February 17, 2017)</w:t>
      </w:r>
    </w:p>
    <w:p>
      <w:pPr>
        <w:spacing w:after="0" w:line="9" w:lineRule="exact"/>
        <w:rPr>
          <w:sz w:val="20"/>
          <w:szCs w:val="20"/>
          <w:color w:val="auto"/>
        </w:rPr>
      </w:pPr>
    </w:p>
    <w:p>
      <w:pPr>
        <w:ind w:left="1140" w:right="440" w:hanging="846"/>
        <w:spacing w:after="0" w:line="231"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 ~</w:t>
      </w:r>
      <w:r>
        <w:rPr>
          <w:sz w:val="20"/>
          <w:szCs w:val="20"/>
          <w:color w:val="auto"/>
        </w:rPr>
        <w:tab/>
      </w:r>
      <w:hyperlink r:id="rId78">
        <w:r>
          <w:rPr>
            <w:rFonts w:ascii="Times New Roman" w:cs="Times New Roman" w:eastAsia="Times New Roman" w:hAnsi="Times New Roman"/>
            <w:sz w:val="18"/>
            <w:szCs w:val="18"/>
            <w:u w:val="single" w:color="auto"/>
            <w:color w:val="0000FF"/>
          </w:rPr>
          <w:t xml:space="preserve">Form of NMI Holdings, Inc. 2012 Stock Incentive Plan Nonqualified Stock Option Award Agreement (For Employees)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10.9 to our Form 10-K, filed on February 17, 2017)</w:t>
      </w:r>
    </w:p>
    <w:p>
      <w:pPr>
        <w:spacing w:after="0" w:line="10" w:lineRule="exact"/>
        <w:rPr>
          <w:sz w:val="20"/>
          <w:szCs w:val="20"/>
          <w:color w:val="auto"/>
        </w:rPr>
      </w:pPr>
    </w:p>
    <w:p>
      <w:pPr>
        <w:ind w:left="1140" w:right="240" w:hanging="846"/>
        <w:spacing w:after="0" w:line="231"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 ~</w:t>
      </w:r>
      <w:r>
        <w:rPr>
          <w:sz w:val="20"/>
          <w:szCs w:val="20"/>
          <w:color w:val="auto"/>
        </w:rPr>
        <w:tab/>
      </w:r>
      <w:hyperlink r:id="rId79">
        <w:r>
          <w:rPr>
            <w:rFonts w:ascii="Times New Roman" w:cs="Times New Roman" w:eastAsia="Times New Roman" w:hAnsi="Times New Roman"/>
            <w:sz w:val="18"/>
            <w:szCs w:val="18"/>
            <w:u w:val="single" w:color="auto"/>
            <w:color w:val="0000FF"/>
          </w:rPr>
          <w:t xml:space="preserve">Form of NMI Holdings, Inc. 2012 Stock Incentive Plan Nonqualified Stock Option Agreement (For Employees)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10.32 to our Form 10-Q, filed on May 2, 2019)</w:t>
      </w:r>
    </w:p>
    <w:p>
      <w:pPr>
        <w:spacing w:after="0" w:line="10" w:lineRule="exact"/>
        <w:rPr>
          <w:sz w:val="20"/>
          <w:szCs w:val="20"/>
          <w:color w:val="auto"/>
        </w:rPr>
      </w:pPr>
    </w:p>
    <w:p>
      <w:pPr>
        <w:ind w:left="1140" w:hanging="846"/>
        <w:spacing w:after="0" w:line="231"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 ~</w:t>
      </w:r>
      <w:r>
        <w:rPr>
          <w:sz w:val="20"/>
          <w:szCs w:val="20"/>
          <w:color w:val="auto"/>
        </w:rPr>
        <w:tab/>
      </w:r>
      <w:hyperlink r:id="rId80">
        <w:r>
          <w:rPr>
            <w:rFonts w:ascii="Times New Roman" w:cs="Times New Roman" w:eastAsia="Times New Roman" w:hAnsi="Times New Roman"/>
            <w:sz w:val="18"/>
            <w:szCs w:val="18"/>
            <w:u w:val="single" w:color="auto"/>
            <w:color w:val="0000FF"/>
          </w:rPr>
          <w:t xml:space="preserve">NMI Holdings, Inc. Amended and Restated 2014 Omnibus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Appendix A to our 2022</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Annual Proxy Statement, filed on March 29, 2022)</w:t>
      </w:r>
    </w:p>
    <w:p>
      <w:pPr>
        <w:spacing w:after="0" w:line="10" w:lineRule="exact"/>
        <w:rPr>
          <w:sz w:val="20"/>
          <w:szCs w:val="20"/>
          <w:color w:val="auto"/>
        </w:rPr>
      </w:pPr>
    </w:p>
    <w:p>
      <w:pPr>
        <w:ind w:left="1140" w:hanging="846"/>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10.9 ~</w:t>
      </w:r>
      <w:r>
        <w:rPr>
          <w:sz w:val="20"/>
          <w:szCs w:val="20"/>
          <w:color w:val="auto"/>
        </w:rPr>
        <w:tab/>
      </w:r>
      <w:hyperlink r:id="rId81">
        <w:r>
          <w:rPr>
            <w:rFonts w:ascii="Times New Roman" w:cs="Times New Roman" w:eastAsia="Times New Roman" w:hAnsi="Times New Roman"/>
            <w:sz w:val="18"/>
            <w:szCs w:val="18"/>
            <w:u w:val="single" w:color="auto"/>
            <w:color w:val="0000FF"/>
          </w:rPr>
          <w:t>Form of NMI Holdings, Inc. Amended and Restated 2014 Omnibus Incentive Plan Nonqualified Stock Option Award Agreement (For</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CEO)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10.23 to our Form 10-Q filed on August 1, 2017)</w:t>
        </w:r>
      </w:hyperlink>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10.10 ~</w:t>
      </w:r>
      <w:r>
        <w:rPr>
          <w:sz w:val="20"/>
          <w:szCs w:val="20"/>
          <w:color w:val="auto"/>
        </w:rPr>
        <w:tab/>
      </w:r>
      <w:hyperlink r:id="rId82">
        <w:r>
          <w:rPr>
            <w:rFonts w:ascii="Times New Roman" w:cs="Times New Roman" w:eastAsia="Times New Roman" w:hAnsi="Times New Roman"/>
            <w:sz w:val="18"/>
            <w:szCs w:val="18"/>
            <w:u w:val="single" w:color="auto"/>
            <w:color w:val="0000FF"/>
          </w:rPr>
          <w:t>Form of NMI Holdings, Inc. Amended and Restated 2014 Omnibus Incentive Plan Nonqualified Stock Option Award Agreement (For</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Executive Officers and Employees</w:t>
        </w:r>
        <w:r>
          <w:rPr>
            <w:rFonts w:ascii="Times New Roman" w:cs="Times New Roman" w:eastAsia="Times New Roman" w:hAnsi="Times New Roman"/>
            <w:sz w:val="18"/>
            <w:szCs w:val="18"/>
            <w:color w:val="000000"/>
          </w:rPr>
          <w:t>) (incorporated herein by reference to Exhibit 10.24 to our Form 10-Q filed on August 1, 2017)</w:t>
        </w:r>
      </w:hyperlink>
    </w:p>
    <w:p>
      <w:pPr>
        <w:spacing w:after="0" w:line="10" w:lineRule="exact"/>
        <w:rPr>
          <w:sz w:val="20"/>
          <w:szCs w:val="20"/>
          <w:color w:val="auto"/>
        </w:rPr>
      </w:pPr>
    </w:p>
    <w:p>
      <w:pPr>
        <w:ind w:left="1140" w:hanging="887"/>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10.11 ~</w:t>
      </w:r>
      <w:r>
        <w:rPr>
          <w:sz w:val="20"/>
          <w:szCs w:val="20"/>
          <w:color w:val="auto"/>
        </w:rPr>
        <w:tab/>
      </w:r>
      <w:hyperlink r:id="rId83">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Based)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10.38 to our Form 10-Q, filed on May 7, 2020)</w:t>
        </w:r>
      </w:hyperlink>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10.12 ~</w:t>
      </w:r>
      <w:r>
        <w:rPr>
          <w:sz w:val="20"/>
          <w:szCs w:val="20"/>
          <w:color w:val="auto"/>
        </w:rPr>
        <w:tab/>
      </w:r>
      <w:hyperlink r:id="rId84">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Independent Directors</w:t>
        </w:r>
        <w:r>
          <w:rPr>
            <w:rFonts w:ascii="Times New Roman" w:cs="Times New Roman" w:eastAsia="Times New Roman" w:hAnsi="Times New Roman"/>
            <w:sz w:val="18"/>
            <w:szCs w:val="18"/>
            <w:color w:val="000000"/>
          </w:rPr>
          <w:t>) (incorporated herein by reference to Exhibit 10.33 to our Form 10-Q, filed on May 2, 2019)</w:t>
        </w:r>
      </w:hyperlink>
    </w:p>
    <w:p>
      <w:pPr>
        <w:spacing w:after="0" w:line="10" w:lineRule="exact"/>
        <w:rPr>
          <w:sz w:val="20"/>
          <w:szCs w:val="20"/>
          <w:color w:val="auto"/>
        </w:rPr>
      </w:pPr>
    </w:p>
    <w:p>
      <w:pPr>
        <w:ind w:left="1140" w:hanging="890"/>
        <w:spacing w:after="0" w:line="231" w:lineRule="auto"/>
        <w:tabs>
          <w:tab w:leader="none" w:pos="11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10.13 ~</w:t>
      </w:r>
      <w:r>
        <w:rPr>
          <w:sz w:val="20"/>
          <w:szCs w:val="20"/>
          <w:color w:val="auto"/>
        </w:rPr>
        <w:tab/>
      </w:r>
      <w:hyperlink r:id="rId85">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Independent Directors)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10.20 to our Form 10-K, filed on February 15,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990" w:right="619" w:bottom="1440" w:gutter="0" w:footer="0" w:header="0"/>
          <w:type w:val="continuous"/>
        </w:sectPr>
      </w:pPr>
    </w:p>
    <w:bookmarkStart w:id="56" w:name="page57"/>
    <w:bookmarkEnd w:id="56"/>
    <w:p>
      <w:pPr>
        <w:ind w:left="900" w:hanging="890"/>
        <w:spacing w:after="0" w:line="231"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10.14 ~</w:t>
      </w:r>
      <w:r>
        <w:rPr>
          <w:sz w:val="20"/>
          <w:szCs w:val="20"/>
          <w:color w:val="auto"/>
        </w:rPr>
        <w:tab/>
      </w:r>
      <w:hyperlink r:id="rId87">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Employees</w:t>
        </w:r>
        <w:r>
          <w:rPr>
            <w:rFonts w:ascii="Times New Roman" w:cs="Times New Roman" w:eastAsia="Times New Roman" w:hAnsi="Times New Roman"/>
            <w:sz w:val="18"/>
            <w:szCs w:val="18"/>
            <w:color w:val="000000"/>
          </w:rPr>
          <w:t>) (incorporated herein by reference to Exhibit 10.34 to our Form 10-Q, filed on May 2, 2019)</w:t>
        </w:r>
      </w:hyperlink>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10.15 ~</w:t>
      </w:r>
      <w:r>
        <w:rPr>
          <w:sz w:val="20"/>
          <w:szCs w:val="20"/>
          <w:color w:val="auto"/>
        </w:rPr>
        <w:tab/>
      </w:r>
      <w:hyperlink r:id="rId88">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Executives)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10.22 to our Form 10-K, filed on February 15, 2024)</w:t>
        </w:r>
      </w:hyperlink>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10.16 ~</w:t>
      </w:r>
      <w:r>
        <w:rPr>
          <w:sz w:val="20"/>
          <w:szCs w:val="20"/>
          <w:color w:val="auto"/>
        </w:rPr>
        <w:tab/>
      </w:r>
      <w:hyperlink r:id="rId89">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(For</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Employees)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10.23 to our Form 10-K, filed on February 15, 2024)</w:t>
        </w:r>
      </w:hyperlink>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10.17 ~</w:t>
      </w:r>
      <w:r>
        <w:rPr>
          <w:sz w:val="20"/>
          <w:szCs w:val="20"/>
          <w:color w:val="auto"/>
        </w:rPr>
        <w:tab/>
      </w:r>
      <w:hyperlink r:id="rId90">
        <w:r>
          <w:rPr>
            <w:rFonts w:ascii="Times New Roman" w:cs="Times New Roman" w:eastAsia="Times New Roman" w:hAnsi="Times New Roman"/>
            <w:sz w:val="18"/>
            <w:szCs w:val="18"/>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Based)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(incorporated herein by reference to Exhibit 10.24 to our Form 10-K, filed on February 15, 2024)</w:t>
        </w:r>
      </w:hyperlink>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10.18 ~</w:t>
      </w:r>
      <w:r>
        <w:rPr>
          <w:sz w:val="20"/>
          <w:szCs w:val="20"/>
          <w:color w:val="auto"/>
        </w:rPr>
        <w:tab/>
      </w:r>
      <w:hyperlink r:id="rId91">
        <w:r>
          <w:rPr>
            <w:rFonts w:ascii="Times New Roman" w:cs="Times New Roman" w:eastAsia="Times New Roman" w:hAnsi="Times New Roman"/>
            <w:sz w:val="16"/>
            <w:szCs w:val="16"/>
            <w:u w:val="single" w:color="auto"/>
            <w:color w:val="0000FF"/>
          </w:rPr>
          <w:t>Form of NMI Holdings, Inc. Amended and Restated 2014 Omnibus Incentive Plan Nonqualified Stock Option Agreement (For Employees</w:t>
        </w:r>
      </w:hyperlink>
      <w:r>
        <w:rPr>
          <w:rFonts w:ascii="Times New Roman" w:cs="Times New Roman" w:eastAsia="Times New Roman" w:hAnsi="Times New Roman"/>
          <w:sz w:val="16"/>
          <w:szCs w:val="16"/>
          <w:color w:val="000000"/>
        </w:rPr>
        <w:t>)</w:t>
      </w:r>
    </w:p>
    <w:p>
      <w:pPr>
        <w:ind w:left="900"/>
        <w:spacing w:after="0"/>
        <w:rPr>
          <w:sz w:val="20"/>
          <w:szCs w:val="20"/>
          <w:color w:val="auto"/>
        </w:rPr>
      </w:pPr>
      <w:r>
        <w:rPr>
          <w:rFonts w:ascii="Times New Roman" w:cs="Times New Roman" w:eastAsia="Times New Roman" w:hAnsi="Times New Roman"/>
          <w:sz w:val="18"/>
          <w:szCs w:val="18"/>
          <w:color w:val="auto"/>
        </w:rPr>
        <w:t>(incorporated herein by reference to Exhibit 10.35 to our Form 10-Q, filed on May 2, 2019)</w:t>
      </w:r>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 ~</w:t>
      </w:r>
      <w:r>
        <w:rPr>
          <w:sz w:val="20"/>
          <w:szCs w:val="20"/>
          <w:color w:val="auto"/>
        </w:rPr>
        <w:tab/>
      </w:r>
      <w:hyperlink r:id="rId92">
        <w:r>
          <w:rPr>
            <w:rFonts w:ascii="Times New Roman" w:cs="Times New Roman" w:eastAsia="Times New Roman" w:hAnsi="Times New Roman"/>
            <w:sz w:val="18"/>
            <w:szCs w:val="18"/>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10.1 to our Form 8-K, filed on November 25, 2014)</w:t>
      </w:r>
    </w:p>
    <w:p>
      <w:pPr>
        <w:spacing w:after="0" w:line="10" w:lineRule="exact"/>
        <w:rPr>
          <w:sz w:val="20"/>
          <w:szCs w:val="20"/>
          <w:color w:val="auto"/>
        </w:rPr>
      </w:pP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10.20 ~</w:t>
      </w:r>
      <w:r>
        <w:rPr>
          <w:sz w:val="20"/>
          <w:szCs w:val="20"/>
          <w:color w:val="auto"/>
        </w:rPr>
        <w:tab/>
      </w:r>
      <w:hyperlink r:id="rId93">
        <w:r>
          <w:rPr>
            <w:rFonts w:ascii="Times New Roman" w:cs="Times New Roman" w:eastAsia="Times New Roman" w:hAnsi="Times New Roman"/>
            <w:sz w:val="16"/>
            <w:szCs w:val="16"/>
            <w:u w:val="single" w:color="auto"/>
            <w:color w:val="0000FF"/>
          </w:rPr>
          <w:t xml:space="preserve">NMI Holdings, Inc. Severance Benefit Plan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10.1 to our Form 8-K, filed on February 17, 2016)</w:t>
      </w:r>
    </w:p>
    <w:p>
      <w:pPr>
        <w:spacing w:after="0" w:line="22" w:lineRule="exact"/>
        <w:rPr>
          <w:sz w:val="20"/>
          <w:szCs w:val="20"/>
          <w:color w:val="auto"/>
        </w:rPr>
      </w:pPr>
    </w:p>
    <w:p>
      <w:pPr>
        <w:ind w:left="900" w:right="20" w:hanging="890"/>
        <w:spacing w:after="0" w:line="22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 ~</w:t>
      </w:r>
      <w:r>
        <w:rPr>
          <w:sz w:val="20"/>
          <w:szCs w:val="20"/>
          <w:color w:val="auto"/>
        </w:rPr>
        <w:tab/>
      </w:r>
      <w:hyperlink r:id="rId94">
        <w:r>
          <w:rPr>
            <w:rFonts w:ascii="Times New Roman" w:cs="Times New Roman" w:eastAsia="Times New Roman" w:hAnsi="Times New Roman"/>
            <w:sz w:val="18"/>
            <w:szCs w:val="18"/>
            <w:u w:val="single" w:color="auto"/>
            <w:color w:val="0000FF"/>
          </w:rPr>
          <w:t xml:space="preserve">NMI Holdings, Inc. Amended and Restated Change in Control Severance Benefit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10.30</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to our Form 10-Q, filed on October 30, 2018)</w:t>
      </w:r>
    </w:p>
    <w:p>
      <w:pPr>
        <w:spacing w:after="0" w:line="9" w:lineRule="exact"/>
        <w:rPr>
          <w:sz w:val="20"/>
          <w:szCs w:val="20"/>
          <w:color w:val="auto"/>
        </w:rPr>
      </w:pP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10.22 ~</w:t>
      </w:r>
      <w:r>
        <w:rPr>
          <w:sz w:val="20"/>
          <w:szCs w:val="20"/>
          <w:color w:val="auto"/>
        </w:rPr>
        <w:tab/>
      </w:r>
      <w:hyperlink r:id="rId95">
        <w:r>
          <w:rPr>
            <w:rFonts w:ascii="Times New Roman" w:cs="Times New Roman" w:eastAsia="Times New Roman" w:hAnsi="Times New Roman"/>
            <w:sz w:val="16"/>
            <w:szCs w:val="16"/>
            <w:u w:val="single" w:color="auto"/>
            <w:color w:val="0000FF"/>
          </w:rPr>
          <w:t xml:space="preserve">NMI Holdings, Inc. Clawback Policy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10.2 to our Form 8-K, filed on February 23, 2017)</w:t>
      </w:r>
    </w:p>
    <w:p>
      <w:pPr>
        <w:spacing w:after="0" w:line="22" w:lineRule="exact"/>
        <w:rPr>
          <w:sz w:val="20"/>
          <w:szCs w:val="20"/>
          <w:color w:val="auto"/>
        </w:rPr>
      </w:pPr>
    </w:p>
    <w:p>
      <w:pPr>
        <w:ind w:left="900" w:hanging="890"/>
        <w:spacing w:after="0" w:line="229"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 ~</w:t>
      </w:r>
      <w:r>
        <w:rPr>
          <w:sz w:val="20"/>
          <w:szCs w:val="20"/>
          <w:color w:val="auto"/>
        </w:rPr>
        <w:tab/>
      </w:r>
      <w:hyperlink r:id="rId96">
        <w:r>
          <w:rPr>
            <w:rFonts w:ascii="Times New Roman" w:cs="Times New Roman" w:eastAsia="Times New Roman" w:hAnsi="Times New Roman"/>
            <w:sz w:val="18"/>
            <w:szCs w:val="18"/>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Exhibit 10.10 to our Form 10-Q, filed on April 28, 2016)</w:t>
      </w:r>
    </w:p>
    <w:p>
      <w:pPr>
        <w:spacing w:after="0" w:line="9"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 ~</w:t>
      </w:r>
      <w:r>
        <w:rPr>
          <w:sz w:val="20"/>
          <w:szCs w:val="20"/>
          <w:color w:val="auto"/>
        </w:rPr>
        <w:tab/>
      </w:r>
      <w:hyperlink r:id="rId97">
        <w:r>
          <w:rPr>
            <w:rFonts w:ascii="Times New Roman" w:cs="Times New Roman" w:eastAsia="Times New Roman" w:hAnsi="Times New Roman"/>
            <w:sz w:val="18"/>
            <w:szCs w:val="18"/>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reference to Exhibit 10.1 to our Form 8-K, filed on December 28, 2018)</w:t>
      </w:r>
    </w:p>
    <w:p>
      <w:pPr>
        <w:spacing w:after="0" w:line="48" w:lineRule="exact"/>
        <w:rPr>
          <w:sz w:val="20"/>
          <w:szCs w:val="20"/>
          <w:color w:val="auto"/>
        </w:rPr>
      </w:pP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10.25 ~</w:t>
      </w:r>
      <w:r>
        <w:rPr>
          <w:sz w:val="20"/>
          <w:szCs w:val="20"/>
          <w:color w:val="auto"/>
        </w:rPr>
        <w:tab/>
      </w:r>
      <w:hyperlink r:id="rId98">
        <w:r>
          <w:rPr>
            <w:rFonts w:ascii="Times New Roman" w:cs="Times New Roman" w:eastAsia="Times New Roman" w:hAnsi="Times New Roman"/>
            <w:sz w:val="16"/>
            <w:szCs w:val="16"/>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10.1 to our Form 8-K, filed on September 9, 2021)</w:t>
      </w:r>
    </w:p>
    <w:p>
      <w:pPr>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10.26 ~</w:t>
      </w:r>
      <w:r>
        <w:rPr>
          <w:sz w:val="20"/>
          <w:szCs w:val="20"/>
          <w:color w:val="auto"/>
        </w:rPr>
        <w:tab/>
      </w:r>
      <w:hyperlink r:id="rId99">
        <w:r>
          <w:rPr>
            <w:rFonts w:ascii="Times New Roman" w:cs="Times New Roman" w:eastAsia="Times New Roman" w:hAnsi="Times New Roman"/>
            <w:sz w:val="16"/>
            <w:szCs w:val="16"/>
            <w:u w:val="single" w:color="auto"/>
            <w:color w:val="0000FF"/>
          </w:rPr>
          <w:t xml:space="preserve">Offer letter by and between NMI Holdings, Inc. and Ravi Mallela, dated December 20, 2021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w:t>
      </w:r>
    </w:p>
    <w:p>
      <w:pPr>
        <w:ind w:left="900"/>
        <w:spacing w:after="0"/>
        <w:rPr>
          <w:sz w:val="20"/>
          <w:szCs w:val="20"/>
          <w:color w:val="auto"/>
        </w:rPr>
      </w:pPr>
      <w:r>
        <w:rPr>
          <w:rFonts w:ascii="Times New Roman" w:cs="Times New Roman" w:eastAsia="Times New Roman" w:hAnsi="Times New Roman"/>
          <w:sz w:val="18"/>
          <w:szCs w:val="18"/>
          <w:color w:val="auto"/>
        </w:rPr>
        <w:t>10.1 to our Form 8-K, filed on December 21, 2021)</w:t>
      </w:r>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 ~</w:t>
      </w:r>
      <w:r>
        <w:rPr>
          <w:sz w:val="20"/>
          <w:szCs w:val="20"/>
          <w:color w:val="auto"/>
        </w:rPr>
        <w:tab/>
      </w:r>
      <w:hyperlink r:id="rId100">
        <w:r>
          <w:rPr>
            <w:rFonts w:ascii="Times New Roman" w:cs="Times New Roman" w:eastAsia="Times New Roman" w:hAnsi="Times New Roman"/>
            <w:sz w:val="18"/>
            <w:szCs w:val="18"/>
            <w:u w:val="single" w:color="auto"/>
            <w:color w:val="0000FF"/>
          </w:rPr>
          <w:t>Offer Letter by and between NMI Holdings, Inc. and Aurora Swithenbank, dated March 1, 202</w:t>
        </w:r>
      </w:hyperlink>
      <w:r>
        <w:rPr>
          <w:rFonts w:ascii="Times New Roman" w:cs="Times New Roman" w:eastAsia="Times New Roman" w:hAnsi="Times New Roman"/>
          <w:sz w:val="18"/>
          <w:szCs w:val="18"/>
          <w:color w:val="000000"/>
        </w:rPr>
        <w:t>4</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(incorporated herein by reference to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Exhibit 10.1 to our Form 8-K, filed on March 4, 2024)</w:t>
      </w:r>
    </w:p>
    <w:p>
      <w:pPr>
        <w:spacing w:after="0" w:line="10" w:lineRule="exact"/>
        <w:rPr>
          <w:sz w:val="20"/>
          <w:szCs w:val="20"/>
          <w:color w:val="auto"/>
        </w:rPr>
      </w:pPr>
    </w:p>
    <w:p>
      <w:pPr>
        <w:ind w:left="900" w:hanging="890"/>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 ~</w:t>
      </w:r>
      <w:r>
        <w:rPr>
          <w:sz w:val="20"/>
          <w:szCs w:val="20"/>
          <w:color w:val="auto"/>
        </w:rPr>
        <w:tab/>
      </w:r>
      <w:hyperlink r:id="rId101">
        <w:r>
          <w:rPr>
            <w:rFonts w:ascii="Times New Roman" w:cs="Times New Roman" w:eastAsia="Times New Roman" w:hAnsi="Times New Roman"/>
            <w:sz w:val="18"/>
            <w:szCs w:val="18"/>
            <w:u w:val="single" w:color="auto"/>
            <w:color w:val="0000FF"/>
          </w:rPr>
          <w:t xml:space="preserve">Separation Agreement by and between NMI Holdings, Inc. and Ravi Mallela, dated March 1, 2024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Exhibit 10.2 to our Form 8-K, filed on March 4, 2024)</w:t>
      </w:r>
    </w:p>
    <w:p>
      <w:pPr>
        <w:spacing w:after="0" w:line="10" w:lineRule="exact"/>
        <w:rPr>
          <w:sz w:val="20"/>
          <w:szCs w:val="20"/>
          <w:color w:val="auto"/>
        </w:rPr>
      </w:pPr>
    </w:p>
    <w:p>
      <w:pPr>
        <w:jc w:val="right"/>
        <w:spacing w:after="0" w:line="218"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10.29 +    </w:t>
      </w:r>
      <w:hyperlink r:id="rId102">
        <w:r>
          <w:rPr>
            <w:rFonts w:ascii="Times New Roman" w:cs="Times New Roman" w:eastAsia="Times New Roman" w:hAnsi="Times New Roman"/>
            <w:sz w:val="18"/>
            <w:szCs w:val="18"/>
            <w:u w:val="single" w:color="auto"/>
            <w:color w:val="0000FF"/>
          </w:rPr>
          <w:t>Commitment Letter dated July 12, 2013 for Bulk Fannie Mae-Paid Loss-on-Sale Mortgage Insurance on the Portfolio of approximately</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FF"/>
          </w:rPr>
          <w:t>$5.46 billion Purchased by Fannie Mae and Identified by Fannie Mae as Deal No. 2013 MIRT 01 and by the Company as Policy No. P-</w:t>
        </w:r>
      </w:hyperlink>
    </w:p>
    <w:p>
      <w:pPr>
        <w:ind w:left="900"/>
        <w:spacing w:after="0" w:line="220" w:lineRule="auto"/>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u w:val="single" w:color="auto"/>
            <w:color w:val="0000FF"/>
          </w:rPr>
          <w:t>0001-01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10.14 to our Form S-1 Registration Statement (Registration No. 333-191635), filed 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October 9, 2013)</w:t>
      </w:r>
    </w:p>
    <w:p>
      <w:pPr>
        <w:spacing w:after="0" w:line="1" w:lineRule="exact"/>
        <w:rPr>
          <w:sz w:val="20"/>
          <w:szCs w:val="20"/>
          <w:color w:val="auto"/>
        </w:rPr>
      </w:pPr>
    </w:p>
    <w:p>
      <w:pPr>
        <w:jc w:val="right"/>
        <w:ind w:left="60"/>
        <w:spacing w:after="0" w:line="21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10.30     </w:t>
      </w:r>
      <w:hyperlink r:id="rId103">
        <w:r>
          <w:rPr>
            <w:rFonts w:ascii="Times New Roman" w:cs="Times New Roman" w:eastAsia="Times New Roman" w:hAnsi="Times New Roman"/>
            <w:sz w:val="18"/>
            <w:szCs w:val="18"/>
            <w:u w:val="single" w:color="auto"/>
            <w:color w:val="0000FF"/>
          </w:rPr>
          <w:t>Amended and Restated Credit Agreement, dated as of November 29, 2021, by and among the Company, the lender parties thereto and</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JPMorgan Chase Bank, N.A., as administrative 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10.1 to our Form 8-K filed on November</w:t>
        </w:r>
      </w:hyperlink>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30, 2021)</w:t>
      </w:r>
    </w:p>
    <w:p>
      <w:pPr>
        <w:spacing w:after="0" w:line="2" w:lineRule="exact"/>
        <w:rPr>
          <w:sz w:val="20"/>
          <w:szCs w:val="20"/>
          <w:color w:val="auto"/>
        </w:rPr>
      </w:pPr>
    </w:p>
    <w:p>
      <w:pPr>
        <w:ind w:left="900" w:hanging="821"/>
        <w:spacing w:after="0" w:line="229" w:lineRule="auto"/>
        <w:tabs>
          <w:tab w:leader="none" w:pos="88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10.31</w:t>
      </w:r>
      <w:r>
        <w:rPr>
          <w:sz w:val="20"/>
          <w:szCs w:val="20"/>
          <w:color w:val="auto"/>
        </w:rPr>
        <w:tab/>
      </w:r>
      <w:hyperlink r:id="rId104">
        <w:r>
          <w:rPr>
            <w:rFonts w:ascii="Times New Roman" w:cs="Times New Roman" w:eastAsia="Times New Roman" w:hAnsi="Times New Roman"/>
            <w:sz w:val="18"/>
            <w:szCs w:val="18"/>
            <w:u w:val="single" w:color="auto"/>
            <w:color w:val="0000FF"/>
          </w:rPr>
          <w:t>Credit Agreement, dated as of April 29, 2024, by and among the Company, the lenders party hereto, and Royal Bank of Canada, as the</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Agent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herein by reference to Exhibit 10.31 to our Form 10-Q, filed on May 1, 2024)</w:t>
        </w:r>
      </w:hyperlink>
    </w:p>
    <w:p>
      <w:pPr>
        <w:spacing w:after="0" w:line="9" w:lineRule="exact"/>
        <w:rPr>
          <w:sz w:val="20"/>
          <w:szCs w:val="20"/>
          <w:color w:val="auto"/>
        </w:rPr>
      </w:pPr>
    </w:p>
    <w:p>
      <w:pPr>
        <w:ind w:left="120"/>
        <w:spacing w:after="0"/>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105">
        <w:r>
          <w:rPr>
            <w:rFonts w:ascii="Times New Roman" w:cs="Times New Roman" w:eastAsia="Times New Roman" w:hAnsi="Times New Roman"/>
            <w:sz w:val="16"/>
            <w:szCs w:val="16"/>
            <w:u w:val="single" w:color="auto"/>
            <w:color w:val="0000FF"/>
          </w:rPr>
          <w:t xml:space="preserve">Subsidiaries of NMI Holdings, Inc. </w:t>
        </w:r>
      </w:hyperlink>
      <w:r>
        <w:rPr>
          <w:rFonts w:ascii="Times New Roman" w:cs="Times New Roman" w:eastAsia="Times New Roman" w:hAnsi="Times New Roman"/>
          <w:sz w:val="16"/>
          <w:szCs w:val="16"/>
          <w:color w:val="000000"/>
        </w:rPr>
        <w:t>(incorporated</w:t>
      </w:r>
      <w:r>
        <w:rPr>
          <w:rFonts w:ascii="Times New Roman" w:cs="Times New Roman" w:eastAsia="Times New Roman" w:hAnsi="Times New Roman"/>
          <w:sz w:val="16"/>
          <w:szCs w:val="16"/>
          <w:u w:val="single" w:color="auto"/>
          <w:color w:val="0000FF"/>
        </w:rPr>
        <w:t xml:space="preserve"> </w:t>
      </w:r>
      <w:r>
        <w:rPr>
          <w:rFonts w:ascii="Times New Roman" w:cs="Times New Roman" w:eastAsia="Times New Roman" w:hAnsi="Times New Roman"/>
          <w:sz w:val="16"/>
          <w:szCs w:val="16"/>
          <w:color w:val="000000"/>
        </w:rPr>
        <w:t>herein by reference to Exhibit 21.1 to our Form 10-Q, filed on October 30, 2015)</w:t>
      </w:r>
    </w:p>
    <w:p>
      <w:pPr>
        <w:spacing w:after="0" w:line="22"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u w:val="single" w:color="auto"/>
          <w:color w:val="0000FF"/>
        </w:rPr>
        <w:t>Principal Executive Officer's Certification Pursuant to Section 302 of the Sarbanes-Oxley Act of 2002</w:t>
      </w:r>
    </w:p>
    <w:p>
      <w:pPr>
        <w:spacing w:after="0" w:line="17"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u w:val="single" w:color="auto"/>
          <w:color w:val="0000FF"/>
        </w:rPr>
        <w:t>Principal Financial Officer's Certification Pursuant to Section 302 of the Sarbanes-Oxley Act of 2002</w:t>
      </w:r>
    </w:p>
    <w:p>
      <w:pPr>
        <w:ind w:left="40"/>
        <w:spacing w:after="0" w:line="236" w:lineRule="auto"/>
        <w:tabs>
          <w:tab w:leader="none" w:pos="88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u w:val="single" w:color="auto"/>
          <w:color w:val="0000FF"/>
        </w:rPr>
        <w:t>Certifications of CEO and CFO Pursuant to 18 U.S.C. Section 1350, as Adopted Pursuant to Section 906 of the Sarbanes-Oxley Act of</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10" w:lineRule="exact"/>
        <w:rPr>
          <w:sz w:val="20"/>
          <w:szCs w:val="20"/>
          <w:color w:val="auto"/>
        </w:rPr>
      </w:pPr>
    </w:p>
    <w:p>
      <w:pPr>
        <w:ind w:left="900" w:right="60" w:hanging="777"/>
        <w:spacing w:after="0" w:line="23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106">
        <w:r>
          <w:rPr>
            <w:rFonts w:ascii="Times New Roman" w:cs="Times New Roman" w:eastAsia="Times New Roman" w:hAnsi="Times New Roman"/>
            <w:sz w:val="18"/>
            <w:szCs w:val="18"/>
            <w:u w:val="single" w:color="auto"/>
            <w:color w:val="0000FF"/>
          </w:rPr>
          <w:t xml:space="preserve">NMI Holdings, Inc. Compensation Recovery Policy, Effective September 13, 2023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herein by reference to Exhibit 97.1 to our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Form 10-K, filed on February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60" w:top="1031" w:right="619" w:bottom="1440" w:gutter="0" w:footer="0" w:header="0"/>
        </w:sectPr>
      </w:pPr>
    </w:p>
    <w:bookmarkStart w:id="57" w:name="page58"/>
    <w:bookmarkEnd w:id="57"/>
    <w:p>
      <w:pPr>
        <w:ind w:left="1005" w:right="500" w:hanging="765"/>
        <w:spacing w:after="0" w:line="231" w:lineRule="auto"/>
        <w:tabs>
          <w:tab w:leader="none" w:pos="10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NMI Holdings, Inc.'s Quarterly Report on Form 10-Q for the quarter ended June 30, 2024 (Unaudited) formatted in XBRL (eXtensible Business Reporting Language):</w:t>
      </w:r>
    </w:p>
    <w:p>
      <w:pPr>
        <w:spacing w:after="0" w:line="10" w:lineRule="exact"/>
        <w:rPr>
          <w:rFonts w:ascii="Times New Roman" w:cs="Times New Roman" w:eastAsia="Times New Roman" w:hAnsi="Times New Roman"/>
          <w:sz w:val="18"/>
          <w:szCs w:val="18"/>
          <w:color w:val="auto"/>
        </w:rPr>
      </w:pPr>
    </w:p>
    <w:p>
      <w:pPr>
        <w:ind w:left="1205" w:hanging="209"/>
        <w:spacing w:after="0"/>
        <w:tabs>
          <w:tab w:leader="none" w:pos="12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as of June 30, 2024 (Unaudited) and December 31, 2023;</w:t>
      </w:r>
    </w:p>
    <w:p>
      <w:pPr>
        <w:spacing w:after="0" w:line="21" w:lineRule="exact"/>
        <w:rPr>
          <w:rFonts w:ascii="Times New Roman" w:cs="Times New Roman" w:eastAsia="Times New Roman" w:hAnsi="Times New Roman"/>
          <w:sz w:val="18"/>
          <w:szCs w:val="18"/>
          <w:color w:val="auto"/>
        </w:rPr>
      </w:pPr>
    </w:p>
    <w:p>
      <w:pPr>
        <w:ind w:left="1005" w:right="120" w:hanging="9"/>
        <w:spacing w:after="0" w:line="229" w:lineRule="auto"/>
        <w:tabs>
          <w:tab w:leader="none" w:pos="12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Operations and Comprehensive Income for the three and six months ended June 30, 2024 and 2023 (Unaudited);</w:t>
      </w:r>
    </w:p>
    <w:p>
      <w:pPr>
        <w:spacing w:after="0" w:line="9" w:lineRule="exact"/>
        <w:rPr>
          <w:rFonts w:ascii="Times New Roman" w:cs="Times New Roman" w:eastAsia="Times New Roman" w:hAnsi="Times New Roman"/>
          <w:sz w:val="18"/>
          <w:szCs w:val="18"/>
          <w:color w:val="auto"/>
        </w:rPr>
      </w:pPr>
    </w:p>
    <w:p>
      <w:pPr>
        <w:ind w:left="1005" w:right="100" w:hanging="9"/>
        <w:spacing w:after="0" w:line="231" w:lineRule="auto"/>
        <w:tabs>
          <w:tab w:leader="none" w:pos="131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Shareholders' Equity for the three months ended March 31 and June 30, 2024 and 2023 (Unaudited);</w:t>
      </w:r>
    </w:p>
    <w:p>
      <w:pPr>
        <w:spacing w:after="0" w:line="10" w:lineRule="exact"/>
        <w:rPr>
          <w:rFonts w:ascii="Times New Roman" w:cs="Times New Roman" w:eastAsia="Times New Roman" w:hAnsi="Times New Roman"/>
          <w:sz w:val="18"/>
          <w:szCs w:val="18"/>
          <w:color w:val="auto"/>
        </w:rPr>
      </w:pPr>
    </w:p>
    <w:p>
      <w:pPr>
        <w:ind w:left="1285" w:hanging="289"/>
        <w:spacing w:after="0"/>
        <w:tabs>
          <w:tab w:leader="none" w:pos="128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six months ended June 30, 2024 and 2023 (Unaudited); and</w:t>
      </w:r>
    </w:p>
    <w:p>
      <w:pPr>
        <w:spacing w:after="0" w:line="21" w:lineRule="exact"/>
        <w:rPr>
          <w:rFonts w:ascii="Times New Roman" w:cs="Times New Roman" w:eastAsia="Times New Roman" w:hAnsi="Times New Roman"/>
          <w:sz w:val="18"/>
          <w:szCs w:val="18"/>
          <w:color w:val="auto"/>
        </w:rPr>
      </w:pPr>
    </w:p>
    <w:p>
      <w:pPr>
        <w:ind w:left="1005" w:right="260" w:hanging="9"/>
        <w:spacing w:after="0" w:line="229" w:lineRule="auto"/>
        <w:tabs>
          <w:tab w:leader="none" w:pos="12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 (Unaudited). The instance document does not appear in the Interactive Data File because XBRL tags are embedded within the Inline XBRL document.</w:t>
      </w:r>
    </w:p>
    <w:p>
      <w:pPr>
        <w:spacing w:after="0" w:line="9" w:lineRule="exact"/>
        <w:rPr>
          <w:sz w:val="20"/>
          <w:szCs w:val="20"/>
          <w:color w:val="auto"/>
        </w:rPr>
      </w:pPr>
    </w:p>
    <w:p>
      <w:pPr>
        <w:ind w:left="1005" w:hanging="765"/>
        <w:spacing w:after="0" w:line="231" w:lineRule="auto"/>
        <w:tabs>
          <w:tab w:leader="none" w:pos="10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NMI Holdings, Inc.'s Quarterly Report on Form 10-Q for the quarter ended June 30, 2024 (formatted as Inline XBRL and contained in Exhibit 101).</w:t>
      </w:r>
    </w:p>
    <w:p>
      <w:pPr>
        <w:spacing w:after="0" w:line="291" w:lineRule="exact"/>
        <w:rPr>
          <w:rFonts w:ascii="Times New Roman" w:cs="Times New Roman" w:eastAsia="Times New Roman" w:hAnsi="Times New Roman"/>
          <w:sz w:val="18"/>
          <w:szCs w:val="18"/>
          <w:color w:val="auto"/>
        </w:rPr>
      </w:pPr>
    </w:p>
    <w:p>
      <w:pPr>
        <w:ind w:left="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27" w:lineRule="exact"/>
        <w:rPr>
          <w:sz w:val="20"/>
          <w:szCs w:val="20"/>
          <w:color w:val="auto"/>
        </w:rPr>
      </w:pPr>
    </w:p>
    <w:p>
      <w:pPr>
        <w:ind w:left="265" w:hanging="265"/>
        <w:spacing w:after="0"/>
        <w:tabs>
          <w:tab w:leader="none" w:pos="26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7" w:lineRule="exact"/>
        <w:rPr>
          <w:sz w:val="20"/>
          <w:szCs w:val="20"/>
          <w:color w:val="auto"/>
        </w:rPr>
      </w:pPr>
    </w:p>
    <w:p>
      <w:pPr>
        <w:ind w:left="265" w:hanging="265"/>
        <w:spacing w:after="0"/>
        <w:tabs>
          <w:tab w:leader="none" w:pos="26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7" w:lineRule="exact"/>
        <w:rPr>
          <w:sz w:val="20"/>
          <w:szCs w:val="20"/>
          <w:color w:val="auto"/>
        </w:rPr>
      </w:pPr>
    </w:p>
    <w:p>
      <w:pPr>
        <w:ind w:left="265" w:right="80" w:hanging="265"/>
        <w:spacing w:after="0" w:line="227" w:lineRule="auto"/>
        <w:tabs>
          <w:tab w:leader="none" w:pos="26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4"/>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5"/>
          </w:cols>
          <w:pgMar w:left="455" w:top="1031" w:right="67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7"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NMI HOLDINGS, INC.</w:t>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Aurora Swithenbank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-10160</wp:posOffset>
            </wp:positionV>
            <wp:extent cx="15627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1562735" cy="8255"/>
                    </a:xfrm>
                    <a:prstGeom prst="rect">
                      <a:avLst/>
                    </a:prstGeom>
                    <a:noFill/>
                  </pic:spPr>
                </pic:pic>
              </a:graphicData>
            </a:graphic>
          </wp:anchor>
        </w:drawing>
      </w:r>
    </w:p>
    <w:p>
      <w:pPr>
        <w:spacing w:after="0" w:line="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 Aurora Swithenbank</w:t>
      </w:r>
    </w:p>
    <w:p>
      <w:pPr>
        <w:spacing w:after="0" w:line="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04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9"/>
          <w:szCs w:val="19"/>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12" w:lineRule="exact"/>
        <w:rPr>
          <w:sz w:val="20"/>
          <w:szCs w:val="20"/>
          <w:color w:val="auto"/>
        </w:rPr>
      </w:pPr>
    </w:p>
    <w:p>
      <w:pPr>
        <w:jc w:val="both"/>
        <w:ind w:firstLine="351"/>
        <w:spacing w:after="0" w:line="269" w:lineRule="auto"/>
        <w:rPr>
          <w:sz w:val="20"/>
          <w:szCs w:val="20"/>
          <w:color w:val="auto"/>
        </w:rPr>
      </w:pPr>
      <w:r>
        <w:rPr>
          <w:rFonts w:ascii="Times New Roman" w:cs="Times New Roman" w:eastAsia="Times New Roman" w:hAnsi="Times New Roman"/>
          <w:sz w:val="18"/>
          <w:szCs w:val="18"/>
          <w:color w:val="auto"/>
        </w:rPr>
        <w:t>NMI Holdings, Inc. (“NMIH”) has one class of securities registered under Section 12 of the Securities Exchange Act of 1934, as amended: NMIH’s common stock, $0.01 par value per share (“common stock”).</w:t>
      </w:r>
    </w:p>
    <w:p>
      <w:pPr>
        <w:spacing w:after="0" w:line="64" w:lineRule="exact"/>
        <w:rPr>
          <w:sz w:val="20"/>
          <w:szCs w:val="20"/>
          <w:color w:val="auto"/>
        </w:rPr>
      </w:pPr>
    </w:p>
    <w:p>
      <w:pPr>
        <w:jc w:val="both"/>
        <w:ind w:firstLine="351"/>
        <w:spacing w:after="0" w:line="289" w:lineRule="auto"/>
        <w:rPr>
          <w:sz w:val="20"/>
          <w:szCs w:val="20"/>
          <w:color w:val="auto"/>
        </w:rPr>
      </w:pPr>
      <w:r>
        <w:rPr>
          <w:rFonts w:ascii="Times New Roman" w:cs="Times New Roman" w:eastAsia="Times New Roman" w:hAnsi="Times New Roman"/>
          <w:sz w:val="16"/>
          <w:szCs w:val="16"/>
          <w:color w:val="auto"/>
        </w:rPr>
        <w:t>The following description of NMIH’s common stock is a summary and does not purport to be complete. This description is qualified in its entirety by reference to NMIH’s Third Amended and Restated Certificate of Incorporation (“Certificate of Incorporation”) and Fifth Amended and Restated Bylaws (“Bylaws”), each of which is incorporated by reference as an exhibit to NMIH’s Current Report on Form 8-K, filed on May 10, 2024. The terms of NMIH’s Certificate of Incorporation and Bylaws are more detailed than the general information provided below. NMIH encourages you to read its Certificate of Incorporation and Bylaws and the applicable provisions of the General Corporation Law of the State of Delaware (“DGCL”)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Capital Stock</w:t>
      </w:r>
    </w:p>
    <w:p>
      <w:pPr>
        <w:spacing w:after="0" w:line="114" w:lineRule="exact"/>
        <w:rPr>
          <w:sz w:val="20"/>
          <w:szCs w:val="20"/>
          <w:color w:val="auto"/>
        </w:rPr>
      </w:pPr>
    </w:p>
    <w:p>
      <w:pPr>
        <w:jc w:val="both"/>
        <w:ind w:firstLine="351"/>
        <w:spacing w:after="0" w:line="269" w:lineRule="auto"/>
        <w:rPr>
          <w:sz w:val="20"/>
          <w:szCs w:val="20"/>
          <w:color w:val="auto"/>
        </w:rPr>
      </w:pPr>
      <w:r>
        <w:rPr>
          <w:rFonts w:ascii="Times New Roman" w:cs="Times New Roman" w:eastAsia="Times New Roman" w:hAnsi="Times New Roman"/>
          <w:sz w:val="18"/>
          <w:szCs w:val="18"/>
          <w:color w:val="auto"/>
        </w:rPr>
        <w:t>NMIH’s Certificate of Incorporation authorizes NMIH to issue 250,000,000 shares of common stock, $0.01 per share and 10,000,000 shares of preferred stock, $0.01 per share.</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Common Stock</w:t>
      </w:r>
    </w:p>
    <w:p>
      <w:pPr>
        <w:spacing w:after="0" w:line="112" w:lineRule="exact"/>
        <w:rPr>
          <w:sz w:val="20"/>
          <w:szCs w:val="20"/>
          <w:color w:val="auto"/>
        </w:rPr>
      </w:pPr>
    </w:p>
    <w:p>
      <w:pPr>
        <w:jc w:val="both"/>
        <w:ind w:firstLine="351"/>
        <w:spacing w:after="0" w:line="250" w:lineRule="auto"/>
        <w:rPr>
          <w:sz w:val="20"/>
          <w:szCs w:val="20"/>
          <w:color w:val="auto"/>
        </w:rPr>
      </w:pPr>
      <w:r>
        <w:rPr>
          <w:rFonts w:ascii="Times New Roman" w:cs="Times New Roman" w:eastAsia="Times New Roman" w:hAnsi="Times New Roman"/>
          <w:sz w:val="18"/>
          <w:szCs w:val="18"/>
          <w:i w:val="1"/>
          <w:iCs w:val="1"/>
          <w:color w:val="auto"/>
        </w:rPr>
        <w:t>Voting Power</w:t>
      </w:r>
      <w:r>
        <w:rPr>
          <w:rFonts w:ascii="Times New Roman" w:cs="Times New Roman" w:eastAsia="Times New Roman" w:hAnsi="Times New Roman"/>
          <w:sz w:val="18"/>
          <w:szCs w:val="18"/>
          <w:color w:val="auto"/>
        </w:rPr>
        <w:t>. Except as otherwise required by law or as otherwise provided in any certificate of designation for any series of preferred stock,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NMIH common stock possess all voting power for the election of NMIH’s directors and all other matters requiring stockholder action. Each holder of NMIH common stock is entitled to one vote for each share on all matters to be voted upon by the stockholders, and there are no cumulative voting rights. Except as otherwise provided by law, NMIH’s Certificate of Incorporation or Bylaws or in respect of the election of directors, all matters to be voted on by NMIH stockholders must be approved by a majority of the shares present in person or by proxy at the meeting and entitled to vote on the subject matter. In the case of an election of directors, where a quorum is present, a plurality of the votes cast shall be sufficient to elect each director.</w:t>
      </w:r>
    </w:p>
    <w:p>
      <w:pPr>
        <w:spacing w:after="0" w:line="78"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ratably the dividends, if any, as may be declared from time to time by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of funds legally available therefor. In no event will any stock dividends or stock splits or combinations of stock be declared or made on NMIH’s common stock unless all shares of common stock at the time outstanding are treated equally and identically.</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Liquidation</w:t>
      </w:r>
      <w:r>
        <w:rPr>
          <w:rFonts w:ascii="Times New Roman" w:cs="Times New Roman" w:eastAsia="Times New Roman" w:hAnsi="Times New Roman"/>
          <w:sz w:val="16"/>
          <w:szCs w:val="16"/>
          <w:color w:val="auto"/>
        </w:rPr>
        <w:t>. If NMIH liquidates, dissolves or winds up, (i) the rights of the holders of any outstanding shares of preferred stock will first be satisfied; and</w:t>
      </w:r>
    </w:p>
    <w:p>
      <w:pPr>
        <w:spacing w:after="0" w:line="47" w:lineRule="exact"/>
        <w:rPr>
          <w:sz w:val="20"/>
          <w:szCs w:val="20"/>
          <w:color w:val="auto"/>
        </w:rPr>
      </w:pPr>
    </w:p>
    <w:p>
      <w:pPr>
        <w:ind w:firstLine="6"/>
        <w:spacing w:after="0" w:line="249" w:lineRule="auto"/>
        <w:tabs>
          <w:tab w:leader="none" w:pos="2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holders of common stock will be entitled to receive all of NMIH’s remaining assets of whatever kind available for distributions to such holders.</w:t>
      </w:r>
    </w:p>
    <w:p>
      <w:pPr>
        <w:spacing w:after="0" w:line="78"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i w:val="1"/>
          <w:iCs w:val="1"/>
          <w:color w:val="auto"/>
        </w:rPr>
        <w:t>Preemptive or Other Rights</w:t>
      </w:r>
      <w:r>
        <w:rPr>
          <w:rFonts w:ascii="Times New Roman" w:cs="Times New Roman" w:eastAsia="Times New Roman" w:hAnsi="Times New Roman"/>
          <w:sz w:val="18"/>
          <w:szCs w:val="18"/>
          <w:color w:val="auto"/>
        </w:rPr>
        <w:t>. Holders of common stock have no preemptive or conversion rights or other subscription rights, and there are no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sinking fund provisions applicable to the common stock. The rights, preferences and privileges of the holders of common stock are subject to, and may be adversely affected by, the rights of the holders of shares of any series of preferred stock which NMIH may designate in the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Anti-Takeover Provisions</w:t>
      </w:r>
    </w:p>
    <w:p>
      <w:pPr>
        <w:spacing w:after="0" w:line="125" w:lineRule="exact"/>
        <w:rPr>
          <w:sz w:val="20"/>
          <w:szCs w:val="20"/>
          <w:color w:val="auto"/>
        </w:rPr>
      </w:pPr>
    </w:p>
    <w:p>
      <w:pPr>
        <w:jc w:val="both"/>
        <w:ind w:firstLine="351"/>
        <w:spacing w:after="0" w:line="278" w:lineRule="auto"/>
        <w:rPr>
          <w:sz w:val="20"/>
          <w:szCs w:val="20"/>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NMIH’s Bylaws generally provide that special meetings of stockholders may be called only by the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the chief executive officer or by resolution of NMIH’s board of directors. Stockholders are not permitted to call a special meeting or require NMIH’s board of directors to call a special meeting. At any special meeting of NMIH’s stockholders, only such business will be conducted as has been specified in the notice of meeting given by or at the direction of the NMIH board of directors or otherwise properly brought before the special meeting by or at the direction of the board of directors.</w:t>
      </w:r>
    </w:p>
    <w:p>
      <w:pPr>
        <w:spacing w:after="0" w:line="67"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cumulative voting in the election of directors unless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provides otherwise. NMIH’s Certificate of Incorporation does not provide for cumulative voting in the election of directors.</w:t>
      </w:r>
    </w:p>
    <w:p>
      <w:pPr>
        <w:spacing w:after="0" w:line="77" w:lineRule="exact"/>
        <w:rPr>
          <w:sz w:val="20"/>
          <w:szCs w:val="20"/>
          <w:color w:val="auto"/>
        </w:rPr>
      </w:pPr>
    </w:p>
    <w:p>
      <w:pPr>
        <w:jc w:val="both"/>
        <w:ind w:firstLine="351"/>
        <w:spacing w:after="0" w:line="272"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NMIH’s Bylaws provide that stockholders seeking to bring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 meeting of stockholders, or to nominate candidates for election</w:t>
      </w:r>
    </w:p>
    <w:p>
      <w:pPr>
        <w:sectPr>
          <w:pgSz w:w="11900" w:h="16838" w:orient="portrait"/>
          <w:cols w:equalWidth="0" w:num="1">
            <w:col w:w="11240"/>
          </w:cols>
          <w:pgMar w:left="320" w:top="118" w:right="339" w:bottom="1440" w:gutter="0" w:footer="0" w:header="0"/>
        </w:sectPr>
      </w:pPr>
    </w:p>
    <w:bookmarkStart w:id="60" w:name="page61"/>
    <w:bookmarkEnd w:id="60"/>
    <w:p>
      <w:pPr>
        <w:spacing w:after="0" w:line="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directors at a meeting of stockholders, must provide timely notice of their intent in writing. To be timely, a stockholder’s notice must be delivered to NMIH’s principal executive offices, in the case of an annual meeting, no fewer than 90 days nor more than 120 days prior to the anniversary date of the annual meeting in the preceding year, subject to changes if the annual meeting date is advanced more than 30 days before or delayed more than 60 days after the anniversary date of the preceding year’s annual meeting, or, in the case of a special meeting, no fewer than 90 days nor more than 120 days prior to the special meeting, subject to changes if the first public announcement of the date of such special meeting is less than 100 days prior to the date of such special meeting. NMIH’s Bylaws also specify certain requirements as to the form and content of a stockholder’s notice, including the stockholder’s ownership of NMIH, synthetic equity transactions engaged in by the stockholder related to NMIH, any proxies or voting agreements pursuant to which such stockholder has a right to vote shares of NMIH, any stock borrowing agreements entered into by the stockholder related to NMIH, any performance related fees the stockholder is entitled to based upon changes in the value of NMIH and any other information that would be required to be made in connection with a solicitation of proxies by such stockholder pursuant to Section 14(a) of the Exchange Act. NMIH’s Bylaws also provide that such stockholder must provide information concerning each item of business proposed by the stockholder and individuals nominated for election as a director, as applicable. These provisions may preclude NMIH’s stockholders from bringing matters before an NMIH annual meeting of stockholders or from making nominations for directors at NMIH’s annual meeting of stockholders.</w:t>
      </w:r>
    </w:p>
    <w:p>
      <w:pPr>
        <w:spacing w:after="0" w:line="95"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i w:val="1"/>
          <w:iCs w:val="1"/>
          <w:color w:val="auto"/>
        </w:rPr>
        <w:t>No Stockholder Action by Written Consent</w:t>
      </w:r>
      <w:r>
        <w:rPr>
          <w:rFonts w:ascii="Times New Roman" w:cs="Times New Roman" w:eastAsia="Times New Roman" w:hAnsi="Times New Roman"/>
          <w:sz w:val="18"/>
          <w:szCs w:val="18"/>
          <w:color w:val="auto"/>
        </w:rPr>
        <w:t>. NMIH’s Certificate of Incorporation provides that, subject to the rights of the holders of any series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respect to such series of preferred stock, any action required or permitted to be taken by NMIH’s stockholders must be effected at a duly called annual or special meeting of NMIH’s stockholders and may not be effected by any consent in writing by such stockholders.</w:t>
      </w:r>
    </w:p>
    <w:p>
      <w:pPr>
        <w:spacing w:after="0" w:line="77"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i w:val="1"/>
          <w:iCs w:val="1"/>
          <w:color w:val="auto"/>
        </w:rPr>
        <w:t>Bylaw Amendments</w:t>
      </w:r>
      <w:r>
        <w:rPr>
          <w:rFonts w:ascii="Times New Roman" w:cs="Times New Roman" w:eastAsia="Times New Roman" w:hAnsi="Times New Roman"/>
          <w:sz w:val="18"/>
          <w:szCs w:val="18"/>
          <w:color w:val="auto"/>
        </w:rPr>
        <w:t>. NMIH’s Bylaws may be adopted, amended, altered or repealed by stockholders only upon approval of at least two-thirds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all the then outstanding shares of common stock. Additionally, NMIH’s Bylaws may be amended, altered or repealed by the NMIH board of directors by a majority vote.</w:t>
      </w:r>
    </w:p>
    <w:p>
      <w:pPr>
        <w:spacing w:after="0" w:line="64"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NMIH’s authorized but unissued shares of common stock are available for future issuances without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subject to applicable stock exchange rules,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spacing w:after="0" w:line="78" w:lineRule="exact"/>
        <w:rPr>
          <w:sz w:val="20"/>
          <w:szCs w:val="20"/>
          <w:color w:val="auto"/>
        </w:rPr>
      </w:pPr>
    </w:p>
    <w:p>
      <w:pPr>
        <w:jc w:val="both"/>
        <w:ind w:firstLine="351"/>
        <w:spacing w:after="0" w:line="247" w:lineRule="auto"/>
        <w:rPr>
          <w:sz w:val="20"/>
          <w:szCs w:val="20"/>
          <w:color w:val="auto"/>
        </w:rPr>
      </w:pPr>
      <w:r>
        <w:rPr>
          <w:rFonts w:ascii="Times New Roman" w:cs="Times New Roman" w:eastAsia="Times New Roman" w:hAnsi="Times New Roman"/>
          <w:sz w:val="18"/>
          <w:szCs w:val="18"/>
          <w:i w:val="1"/>
          <w:iCs w:val="1"/>
          <w:color w:val="auto"/>
        </w:rPr>
        <w:t>Section 203 of the DGCL</w:t>
      </w:r>
      <w:r>
        <w:rPr>
          <w:rFonts w:ascii="Times New Roman" w:cs="Times New Roman" w:eastAsia="Times New Roman" w:hAnsi="Times New Roman"/>
          <w:sz w:val="18"/>
          <w:szCs w:val="18"/>
          <w:color w:val="auto"/>
        </w:rPr>
        <w:t>. NMIH is subject to Section 203 of the DGCL. Subject to certain exceptions, Section 203 of the DGCL prohibits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(a) prior to such time the board of directors of such corporation approved either the business combination or the transaction that resulted in the stockholder becoming an interested stockholder; (b)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(i) by persons who are directors and also officers of such corporation and (ii) by employee stock plans in which employee participants do not have the right to determine confidentially whether shares held subject to the plan will be tendered in a tender or exchange offer; or (c)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82"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Restrictions on Ownership Under Insurance Laws. </w:t>
      </w:r>
      <w:r>
        <w:rPr>
          <w:rFonts w:ascii="Times New Roman" w:cs="Times New Roman" w:eastAsia="Times New Roman" w:hAnsi="Times New Roman"/>
          <w:sz w:val="18"/>
          <w:szCs w:val="18"/>
          <w:color w:val="auto"/>
        </w:rPr>
        <w:t>The application of various state insurance laws could be a significant deterrent to any person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acting in concert interested in acquiring control of NMIH. The insurance and insurance holding company laws of each of the jurisdictions in which NMIH’s insurance subsidiaries are incorporated or commercially domiciled govern any acquisition of control of NMIH’s insurance subsidiaries or of NMIH. In general, these laws provide that no person or entity (or persons acting in concert) may directly or</w:t>
      </w:r>
    </w:p>
    <w:p>
      <w:pPr>
        <w:sectPr>
          <w:pgSz w:w="11900" w:h="16838" w:orient="portrait"/>
          <w:cols w:equalWidth="0" w:num="1">
            <w:col w:w="11240"/>
          </w:cols>
          <w:pgMar w:left="320" w:top="1440" w:right="339" w:bottom="1440" w:gutter="0" w:footer="0" w:header="0"/>
        </w:sectPr>
      </w:pPr>
    </w:p>
    <w:bookmarkStart w:id="61" w:name="page62"/>
    <w:bookmarkEnd w:id="61"/>
    <w:p>
      <w:pPr>
        <w:spacing w:after="0" w:line="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indirectly acquire control of an insurance company unless that person or entity has received the prior approval of the insurance regulatory authorities. An acquisition of control would be presumed in the case of any person or entity who purchases or controls 10% or more of NMIH’s outstanding common stock or the outstanding common stock of such insurance company, unless a request for an exemption from the acquisition of control is filed by the acquirer and subsequently approved by all of the applicable insurance regulatory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American Stock Transfer &amp; Trust Company.</w:t>
      </w:r>
    </w:p>
    <w:p>
      <w:pPr>
        <w:sectPr>
          <w:pgSz w:w="11900" w:h="16838" w:orient="portrait"/>
          <w:cols w:equalWidth="0" w:num="1">
            <w:col w:w="11240"/>
          </w:cols>
          <w:pgMar w:left="320" w:top="144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Pollitzer, certify that:</w:t>
      </w:r>
    </w:p>
    <w:p>
      <w:pPr>
        <w:spacing w:after="0" w:line="110" w:lineRule="exact"/>
        <w:rPr>
          <w:sz w:val="20"/>
          <w:szCs w:val="20"/>
          <w:color w:val="auto"/>
        </w:rPr>
      </w:pPr>
    </w:p>
    <w:p>
      <w:pPr>
        <w:ind w:left="320" w:hanging="314"/>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162" w:lineRule="exact"/>
        <w:rPr>
          <w:rFonts w:ascii="Times New Roman" w:cs="Times New Roman" w:eastAsia="Times New Roman" w:hAnsi="Times New Roman"/>
          <w:sz w:val="18"/>
          <w:szCs w:val="18"/>
          <w:color w:val="auto"/>
        </w:rPr>
      </w:pPr>
    </w:p>
    <w:p>
      <w:pPr>
        <w:ind w:left="320" w:hanging="314"/>
        <w:spacing w:after="0" w:line="333"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jc w:val="both"/>
        <w:ind w:left="320" w:hanging="314"/>
        <w:spacing w:after="0" w:line="257"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ind w:left="960" w:hanging="321"/>
        <w:spacing w:after="0" w:line="269" w:lineRule="auto"/>
        <w:tabs>
          <w:tab w:leader="none" w:pos="9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960" w:hanging="321"/>
        <w:spacing w:after="0" w:line="257" w:lineRule="auto"/>
        <w:tabs>
          <w:tab w:leader="none" w:pos="9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960" w:hanging="321"/>
        <w:spacing w:after="0" w:line="269" w:lineRule="auto"/>
        <w:tabs>
          <w:tab w:leader="none" w:pos="9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960" w:right="180" w:hanging="321"/>
        <w:spacing w:after="0" w:line="269" w:lineRule="auto"/>
        <w:tabs>
          <w:tab w:leader="none" w:pos="9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30, 2024</w:t>
            </w:r>
          </w:p>
        </w:tc>
        <w:tc>
          <w:tcPr>
            <w:tcW w:w="43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/s/ Adam S. Pollitzer</w:t>
            </w:r>
          </w:p>
        </w:tc>
      </w:tr>
      <w:tr>
        <w:trPr>
          <w:trHeight w:val="239"/>
        </w:trPr>
        <w:tc>
          <w:tcPr>
            <w:tcW w:w="940" w:type="dxa"/>
            <w:vAlign w:val="bottom"/>
            <w:tcBorders>
              <w:top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Adam S. Pollitzer</w:t>
            </w:r>
          </w:p>
        </w:tc>
      </w:tr>
      <w:tr>
        <w:trPr>
          <w:trHeight w:val="224"/>
        </w:trPr>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3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3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72"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Mallela, certify that:</w:t>
      </w:r>
    </w:p>
    <w:p>
      <w:pPr>
        <w:spacing w:after="0" w:line="162" w:lineRule="exact"/>
        <w:rPr>
          <w:sz w:val="20"/>
          <w:szCs w:val="20"/>
          <w:color w:val="auto"/>
        </w:rPr>
      </w:pPr>
    </w:p>
    <w:p>
      <w:pPr>
        <w:ind w:left="320" w:hanging="314"/>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162" w:lineRule="exact"/>
        <w:rPr>
          <w:rFonts w:ascii="Times New Roman" w:cs="Times New Roman" w:eastAsia="Times New Roman" w:hAnsi="Times New Roman"/>
          <w:sz w:val="18"/>
          <w:szCs w:val="18"/>
          <w:color w:val="auto"/>
        </w:rPr>
      </w:pPr>
    </w:p>
    <w:p>
      <w:pPr>
        <w:ind w:left="320" w:hanging="314"/>
        <w:spacing w:after="0" w:line="333"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8"/>
          <w:szCs w:val="18"/>
          <w:color w:val="auto"/>
        </w:rPr>
      </w:pPr>
    </w:p>
    <w:p>
      <w:pPr>
        <w:ind w:left="800" w:hanging="320"/>
        <w:spacing w:after="0" w:line="269" w:lineRule="auto"/>
        <w:tabs>
          <w:tab w:leader="none" w:pos="7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Times New Roman" w:cs="Times New Roman" w:eastAsia="Times New Roman" w:hAnsi="Times New Roman"/>
          <w:sz w:val="18"/>
          <w:szCs w:val="18"/>
          <w:color w:val="auto"/>
        </w:rPr>
      </w:pPr>
    </w:p>
    <w:p>
      <w:pPr>
        <w:jc w:val="both"/>
        <w:ind w:left="800" w:hanging="320"/>
        <w:spacing w:after="0" w:line="257" w:lineRule="auto"/>
        <w:tabs>
          <w:tab w:leader="none" w:pos="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320" w:hanging="314"/>
        <w:spacing w:after="0" w:line="269"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800" w:hanging="320"/>
        <w:spacing w:after="0" w:line="269" w:lineRule="auto"/>
        <w:tabs>
          <w:tab w:leader="none" w:pos="7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800" w:hanging="320"/>
        <w:spacing w:after="0" w:line="269" w:lineRule="auto"/>
        <w:tabs>
          <w:tab w:leader="none" w:pos="78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July 30, 2024</w:t>
            </w: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Ravi Mallela</w:t>
            </w:r>
          </w:p>
        </w:tc>
      </w:tr>
      <w:tr>
        <w:trPr>
          <w:trHeight w:val="239"/>
        </w:trPr>
        <w:tc>
          <w:tcPr>
            <w:tcW w:w="9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9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Ravi Mallela</w:t>
            </w:r>
          </w:p>
        </w:tc>
      </w:tr>
      <w:tr>
        <w:trPr>
          <w:trHeight w:val="224"/>
        </w:trPr>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72"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NMI Holdings, Inc. (the "Company") on Form 10-Q for the quarter ended June 30, 2024,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July 30, 2024</w:t>
      </w:r>
    </w:p>
    <w:p>
      <w:pPr>
        <w:spacing w:after="0" w:line="2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u w:val="single" w:color="auto"/>
          <w:color w:val="auto"/>
        </w:rPr>
        <w:t>/s/ Adam S. Pollitzer</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Adam S. Pollitzer</w:t>
      </w:r>
    </w:p>
    <w:p>
      <w:pPr>
        <w:spacing w:after="0" w:line="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July 30, 2024</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Aurora Swithenbank</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Aurora Swithenbank</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01"/>
    </w:lvl>
    <w:lvl w:ilvl="1">
      <w:lvlJc w:val="left"/>
      <w:lvlText w:val="(%2)"/>
      <w:numFmt w:val="lowerRoman"/>
      <w:start w:val="1"/>
    </w:lvl>
  </w:abstractNum>
  <w:abstractNum w:abstractNumId="26">
    <w:nsid w:val="8138641"/>
    <w:multiLevelType w:val="hybridMultilevel"/>
    <w:lvl w:ilvl="0">
      <w:lvlJc w:val="left"/>
      <w:lvlText w:val="*"/>
      <w:numFmt w:val="bullet"/>
      <w:start w:val="1"/>
    </w:lvl>
    <w:lvl w:ilvl="1">
      <w:lvlJc w:val="left"/>
      <w:lvlText w:val="%2"/>
      <w:numFmt w:val="decimal"/>
      <w:start w:val="104"/>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lowerRoman"/>
      <w:start w:val="2"/>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67" Type="http://schemas.openxmlformats.org/officeDocument/2006/relationships/hyperlink" Target="https://www.sec.gov/Archives/edgar/data/1547903/000119312524134340/d816160dex11.htm" TargetMode="External"/><Relationship Id="rId68" Type="http://schemas.openxmlformats.org/officeDocument/2006/relationships/hyperlink" Target="https://www.sec.gov/Archives/edgar/data/1547903/000154790324000111/nmih-certificateofincorpor.htm" TargetMode="External"/><Relationship Id="rId69" Type="http://schemas.openxmlformats.org/officeDocument/2006/relationships/hyperlink" Target="https://www.sec.gov/Archives/edgar/data/1547903/000154790324000111/fifthamendedandrestatedbyl.htm" TargetMode="External"/><Relationship Id="rId70" Type="http://schemas.openxmlformats.org/officeDocument/2006/relationships/hyperlink" Target="https://www.sec.gov/Archives/edgar/data/1547903/000119312520174237/d949308dex41.htm" TargetMode="External"/><Relationship Id="rId71" Type="http://schemas.openxmlformats.org/officeDocument/2006/relationships/hyperlink" Target="https://www.sec.gov/Archives/edgar/data/1547903/000119312524144008/d768666dex41.htm" TargetMode="External"/><Relationship Id="rId72" Type="http://schemas.openxmlformats.org/officeDocument/2006/relationships/hyperlink" Target="https://www.sec.gov/Archives/edgar/data/1547903/000119312524144008/d768666dex42.htm" TargetMode="External"/><Relationship Id="rId73" Type="http://schemas.openxmlformats.org/officeDocument/2006/relationships/hyperlink" Target="https://www.sec.gov/Archives/edgar/data/1547903/000154790313000020/a101nmiholdingsinc2012stoc.htm" TargetMode="External"/><Relationship Id="rId74" Type="http://schemas.openxmlformats.org/officeDocument/2006/relationships/hyperlink" Target="https://www.sec.gov/Archives/edgar/data/1547903/000154790313000020/a105formofnonqualifiedstoc.htm" TargetMode="External"/><Relationship Id="rId75" Type="http://schemas.openxmlformats.org/officeDocument/2006/relationships/hyperlink" Target="https://www.sec.gov/Archives/edgar/data/1547903/000154790313000020/a106formofnonqualifiedstoc.htm" TargetMode="External"/><Relationship Id="rId76" Type="http://schemas.openxmlformats.org/officeDocument/2006/relationships/hyperlink" Target="https://www.sec.gov/Archives/edgar/data/1547903/000154790313000020/a107formofnonqualifiedstoc.htm" TargetMode="External"/><Relationship Id="rId77" Type="http://schemas.openxmlformats.org/officeDocument/2006/relationships/hyperlink" Target="https://www.sec.gov/Archives/edgar/data/1547903/000154790317000032/exhibit108-2012stockincent.htm" TargetMode="External"/><Relationship Id="rId78" Type="http://schemas.openxmlformats.org/officeDocument/2006/relationships/hyperlink" Target="https://www.sec.gov/Archives/edgar/data/1547903/000154790317000032/exhibit109-2012stockincent.htm" TargetMode="External"/><Relationship Id="rId79" Type="http://schemas.openxmlformats.org/officeDocument/2006/relationships/hyperlink" Target="https://www.sec.gov/Archives/edgar/data/1547903/000154790319000064/exhibit1032.htm" TargetMode="External"/><Relationship Id="rId80" Type="http://schemas.openxmlformats.org/officeDocument/2006/relationships/hyperlink" Target="https://www.sec.gov/ix?doc=/Archives/edgar/data/1547903/000154790324000103/nmih-20240331.htm" TargetMode="External"/><Relationship Id="rId81" Type="http://schemas.openxmlformats.org/officeDocument/2006/relationships/hyperlink" Target="https://www.sec.gov/Archives/edgar/data/1547903/000154790317000100/ex1023nqsceo.htm" TargetMode="External"/><Relationship Id="rId82" Type="http://schemas.openxmlformats.org/officeDocument/2006/relationships/hyperlink" Target="https://www.sec.gov/Archives/edgar/data/1547903/000154790317000100/ex1024nqseoee.htm" TargetMode="External"/><Relationship Id="rId83" Type="http://schemas.openxmlformats.org/officeDocument/2006/relationships/hyperlink" Target="https://www.sec.gov/Archives/edgar/data/1547903/000154790320000045/ex1038202010q.htm" TargetMode="External"/><Relationship Id="rId84" Type="http://schemas.openxmlformats.org/officeDocument/2006/relationships/hyperlink" Target="https://www.sec.gov/Archives/edgar/data/1547903/000154790319000064/exhibit1033.htm" TargetMode="External"/><Relationship Id="rId85" Type="http://schemas.openxmlformats.org/officeDocument/2006/relationships/hyperlink" Target="https://www.sec.gov/Archives/edgar/data/1547903/000154790324000035/ex1020ye2023rsuawardagreem.htm" TargetMode="External"/><Relationship Id="rId87" Type="http://schemas.openxmlformats.org/officeDocument/2006/relationships/hyperlink" Target="https://www.sec.gov/Archives/edgar/data/1547903/000154790319000064/exhibit1034.htm" TargetMode="External"/><Relationship Id="rId88" Type="http://schemas.openxmlformats.org/officeDocument/2006/relationships/hyperlink" Target="https://www.sec.gov/Archives/edgar/data/1547903/000154790324000035/ex1022ye2023rsuawardagreem.htm" TargetMode="External"/><Relationship Id="rId89" Type="http://schemas.openxmlformats.org/officeDocument/2006/relationships/hyperlink" Target="https://www.sec.gov/Archives/edgar/data/1547903/000154790324000035/ex1023ye2023rsuawardagreem.htm" TargetMode="External"/><Relationship Id="rId90" Type="http://schemas.openxmlformats.org/officeDocument/2006/relationships/hyperlink" Target="https://www.sec.gov/Archives/edgar/data/1547903/000154790324000035/ex1024ye2023rsuawardagreem.htm" TargetMode="External"/><Relationship Id="rId91" Type="http://schemas.openxmlformats.org/officeDocument/2006/relationships/hyperlink" Target="https://www.sec.gov/Archives/edgar/data/1547903/000154790319000064/exhibit1035.htm" TargetMode="External"/><Relationship Id="rId92" Type="http://schemas.openxmlformats.org/officeDocument/2006/relationships/hyperlink" Target="https://www.sec.gov/Archives/edgar/data/1547903/000154790314000146/exhibit101november252014.htm" TargetMode="External"/><Relationship Id="rId93" Type="http://schemas.openxmlformats.org/officeDocument/2006/relationships/hyperlink" Target="https://www.sec.gov/Archives/edgar/data/1547903/000154790316000185/ex101severancebenefitplan.htm" TargetMode="External"/><Relationship Id="rId94" Type="http://schemas.openxmlformats.org/officeDocument/2006/relationships/hyperlink" Target="https://www.sec.gov/Archives/edgar/data/1547903/000154790318000133/exhibit1030arcicsbp.htm" TargetMode="External"/><Relationship Id="rId95" Type="http://schemas.openxmlformats.org/officeDocument/2006/relationships/hyperlink" Target="https://www.sec.gov/Archives/edgar/data/1547903/000154790317000035/exhibit102.htm" TargetMode="External"/><Relationship Id="rId96" Type="http://schemas.openxmlformats.org/officeDocument/2006/relationships/hyperlink" Target="https://www.sec.gov/Archives/edgar/data/1547903/000154790316000230/exhibit1010leatherberrybil.htm" TargetMode="External"/><Relationship Id="rId97" Type="http://schemas.openxmlformats.org/officeDocument/2006/relationships/hyperlink" Target="https://www.sec.gov/Archives/edgar/data/1547903/000154790318000137/exhibit101shuster.htm" TargetMode="External"/><Relationship Id="rId98" Type="http://schemas.openxmlformats.org/officeDocument/2006/relationships/hyperlink" Target="https://www.sec.gov/Archives/edgar/data/0001547903/000154790321000153/exhibit101-nmihxapollitz.htm" TargetMode="External"/><Relationship Id="rId99" Type="http://schemas.openxmlformats.org/officeDocument/2006/relationships/hyperlink" Target="https://www.sec.gov/Archives/edgar/data/0001547903/000154790321000188/rmallelaofferletter.htm" TargetMode="External"/><Relationship Id="rId100" Type="http://schemas.openxmlformats.org/officeDocument/2006/relationships/hyperlink" Target="https://www.sec.gov/Archives/edgar/data/1547903/000154790324000041/nmih-aswithenbankofferlett.htm" TargetMode="External"/><Relationship Id="rId101" Type="http://schemas.openxmlformats.org/officeDocument/2006/relationships/hyperlink" Target="https://www.sec.gov/Archives/edgar/data/1547903/000154790324000041/nmih-rmallelaseparationagr.htm" TargetMode="External"/><Relationship Id="rId102" Type="http://schemas.openxmlformats.org/officeDocument/2006/relationships/hyperlink" Target="https://www.sec.gov/Archives/edgar/data/1547903/000154790313000020/a1014commitmentletterforbu.htm" TargetMode="External"/><Relationship Id="rId103" Type="http://schemas.openxmlformats.org/officeDocument/2006/relationships/hyperlink" Target="https://www.sec.gov/Archives/edgar/data/0001547903/000154790321000180/nmiholdingsinc-creditagree.htm" TargetMode="External"/><Relationship Id="rId104" Type="http://schemas.openxmlformats.org/officeDocument/2006/relationships/hyperlink" Target="https://www.sec.gov/Archives/edgar/data/1547903/000154790324000103/ex1031q12024.htm" TargetMode="External"/><Relationship Id="rId105" Type="http://schemas.openxmlformats.org/officeDocument/2006/relationships/hyperlink" Target="https://www.sec.gov/Archives/edgar/data/1547903/000154790315000133/exhibit211subsidiariesofnm.htm" TargetMode="External"/><Relationship Id="rId106" Type="http://schemas.openxmlformats.org/officeDocument/2006/relationships/hyperlink" Target="https://www.sec.gov/Archives/edgar/data/1547903/000154790324000035/ex971ye2023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2024-07-31T05:44:27Z</dcterms:created>
  <dcterms:modified xsi:type="dcterms:W3CDTF">2024-07-31T05:44:27Z</dcterms:modified>
</cp:coreProperties>
</file>